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936" w:beforeLines="300"/>
        <w:jc w:val="center"/>
        <w:rPr>
          <w:rFonts w:ascii="黑体" w:hAnsi="Times New Roman" w:eastAsia="黑体" w:cs="Times New Roman"/>
          <w:b/>
          <w:color w:val="auto"/>
          <w:kern w:val="44"/>
          <w:sz w:val="48"/>
          <w:szCs w:val="20"/>
          <w:highlight w:val="none"/>
        </w:rPr>
      </w:pPr>
      <w:r>
        <w:rPr>
          <w:rFonts w:hint="eastAsia" w:ascii="黑体" w:hAnsi="Times New Roman" w:eastAsia="黑体" w:cs="Times New Roman"/>
          <w:b/>
          <w:color w:val="auto"/>
          <w:kern w:val="44"/>
          <w:sz w:val="48"/>
          <w:szCs w:val="20"/>
          <w:highlight w:val="none"/>
        </w:rPr>
        <w:t>第八部分  采购需求</w:t>
      </w:r>
      <w:r>
        <w:rPr>
          <w:rFonts w:ascii="黑体" w:hAnsi="Times New Roman" w:eastAsia="黑体" w:cs="Times New Roman"/>
          <w:b/>
          <w:color w:val="auto"/>
          <w:kern w:val="44"/>
          <w:sz w:val="48"/>
          <w:szCs w:val="20"/>
          <w:highlight w:val="none"/>
        </w:rPr>
        <w:br w:type="page"/>
      </w:r>
    </w:p>
    <w:p>
      <w:pPr>
        <w:numPr>
          <w:ilvl w:val="2"/>
          <w:numId w:val="1"/>
        </w:numPr>
        <w:adjustRightInd w:val="0"/>
        <w:snapToGrid w:val="0"/>
        <w:ind w:left="1560" w:hanging="720"/>
        <w:jc w:val="center"/>
        <w:rPr>
          <w:rFonts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货物需求一览表</w:t>
      </w:r>
    </w:p>
    <w:p>
      <w:pPr>
        <w:adjustRightInd w:val="0"/>
        <w:snapToGrid w:val="0"/>
        <w:jc w:val="center"/>
        <w:rPr>
          <w:rFonts w:ascii="宋体" w:hAnsi="宋体" w:eastAsia="宋体" w:cs="Times New Roman"/>
          <w:b/>
          <w:color w:val="auto"/>
          <w:sz w:val="30"/>
          <w:szCs w:val="30"/>
          <w:highlight w:val="none"/>
        </w:rPr>
      </w:pPr>
    </w:p>
    <w:tbl>
      <w:tblPr>
        <w:tblStyle w:val="2"/>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635"/>
        <w:gridCol w:w="1320"/>
        <w:gridCol w:w="1765"/>
        <w:gridCol w:w="252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vAlign w:val="center"/>
          </w:tcPr>
          <w:p>
            <w:pPr>
              <w:jc w:val="center"/>
              <w:rPr>
                <w:rFonts w:ascii="宋体" w:hAnsi="Bookman Old Style" w:eastAsia="宋体" w:cs="Times New Roman"/>
                <w:color w:val="auto"/>
                <w:sz w:val="24"/>
                <w:highlight w:val="none"/>
              </w:rPr>
            </w:pPr>
            <w:r>
              <w:rPr>
                <w:rFonts w:hint="eastAsia" w:ascii="宋体" w:hAnsi="Bookman Old Style" w:eastAsia="宋体" w:cs="Times New Roman"/>
                <w:color w:val="auto"/>
                <w:sz w:val="24"/>
                <w:highlight w:val="none"/>
              </w:rPr>
              <w:t>包号</w:t>
            </w:r>
          </w:p>
        </w:tc>
        <w:tc>
          <w:tcPr>
            <w:tcW w:w="2640" w:type="dxa"/>
            <w:vAlign w:val="center"/>
          </w:tcPr>
          <w:p>
            <w:pPr>
              <w:jc w:val="center"/>
              <w:rPr>
                <w:rFonts w:ascii="宋体" w:hAnsi="Bookman Old Style" w:eastAsia="宋体" w:cs="Times New Roman"/>
                <w:color w:val="auto"/>
                <w:sz w:val="24"/>
                <w:highlight w:val="none"/>
              </w:rPr>
            </w:pPr>
            <w:r>
              <w:rPr>
                <w:rFonts w:hint="eastAsia" w:ascii="宋体" w:hAnsi="Bookman Old Style" w:eastAsia="宋体" w:cs="Times New Roman"/>
                <w:color w:val="auto"/>
                <w:sz w:val="24"/>
                <w:highlight w:val="none"/>
              </w:rPr>
              <w:t>货物名称</w:t>
            </w:r>
          </w:p>
        </w:tc>
        <w:tc>
          <w:tcPr>
            <w:tcW w:w="635" w:type="dxa"/>
            <w:vAlign w:val="center"/>
          </w:tcPr>
          <w:p>
            <w:pPr>
              <w:jc w:val="center"/>
              <w:rPr>
                <w:rFonts w:ascii="宋体" w:hAnsi="Bookman Old Style" w:eastAsia="宋体" w:cs="Times New Roman"/>
                <w:color w:val="auto"/>
                <w:sz w:val="24"/>
                <w:highlight w:val="none"/>
              </w:rPr>
            </w:pPr>
            <w:r>
              <w:rPr>
                <w:rFonts w:hint="eastAsia" w:ascii="宋体" w:hAnsi="Bookman Old Style" w:eastAsia="宋体" w:cs="Times New Roman"/>
                <w:color w:val="auto"/>
                <w:sz w:val="24"/>
                <w:highlight w:val="none"/>
              </w:rPr>
              <w:t>数量</w:t>
            </w:r>
          </w:p>
        </w:tc>
        <w:tc>
          <w:tcPr>
            <w:tcW w:w="1320" w:type="dxa"/>
            <w:vAlign w:val="center"/>
          </w:tcPr>
          <w:p>
            <w:pPr>
              <w:jc w:val="center"/>
              <w:rPr>
                <w:rFonts w:ascii="宋体" w:hAnsi="Bookman Old Style" w:eastAsia="宋体" w:cs="Times New Roman"/>
                <w:color w:val="auto"/>
                <w:sz w:val="24"/>
                <w:highlight w:val="none"/>
              </w:rPr>
            </w:pPr>
            <w:r>
              <w:rPr>
                <w:rFonts w:hint="eastAsia" w:ascii="宋体" w:hAnsi="Bookman Old Style" w:eastAsia="宋体" w:cs="Times New Roman"/>
                <w:color w:val="auto"/>
                <w:sz w:val="24"/>
                <w:highlight w:val="none"/>
              </w:rPr>
              <w:t>交货期</w:t>
            </w:r>
          </w:p>
        </w:tc>
        <w:tc>
          <w:tcPr>
            <w:tcW w:w="1765" w:type="dxa"/>
            <w:vAlign w:val="center"/>
          </w:tcPr>
          <w:p>
            <w:pPr>
              <w:jc w:val="center"/>
              <w:rPr>
                <w:rFonts w:ascii="宋体" w:hAnsi="Bookman Old Style" w:eastAsia="宋体" w:cs="Times New Roman"/>
                <w:color w:val="auto"/>
                <w:sz w:val="24"/>
                <w:highlight w:val="none"/>
              </w:rPr>
            </w:pPr>
            <w:r>
              <w:rPr>
                <w:rFonts w:hint="eastAsia" w:ascii="宋体" w:hAnsi="Bookman Old Style" w:eastAsia="宋体" w:cs="Times New Roman"/>
                <w:color w:val="auto"/>
                <w:sz w:val="24"/>
                <w:highlight w:val="none"/>
              </w:rPr>
              <w:t>指定到货港</w:t>
            </w:r>
          </w:p>
        </w:tc>
        <w:tc>
          <w:tcPr>
            <w:tcW w:w="2520" w:type="dxa"/>
            <w:vAlign w:val="center"/>
          </w:tcPr>
          <w:p>
            <w:pPr>
              <w:jc w:val="center"/>
              <w:rPr>
                <w:rFonts w:ascii="宋体" w:hAnsi="Bookman Old Style" w:eastAsia="宋体" w:cs="Times New Roman"/>
                <w:color w:val="auto"/>
                <w:sz w:val="24"/>
                <w:highlight w:val="none"/>
                <w:shd w:val="pct10" w:color="auto" w:fill="FFFFFF"/>
              </w:rPr>
            </w:pPr>
            <w:r>
              <w:rPr>
                <w:rFonts w:hint="eastAsia" w:ascii="宋体" w:hAnsi="Bookman Old Style" w:eastAsia="宋体" w:cs="Times New Roman"/>
                <w:color w:val="auto"/>
                <w:sz w:val="24"/>
                <w:highlight w:val="none"/>
              </w:rPr>
              <w:t>项目现场（交货地点）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vAlign w:val="center"/>
          </w:tcPr>
          <w:p>
            <w:pPr>
              <w:jc w:val="center"/>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1</w:t>
            </w:r>
          </w:p>
        </w:tc>
        <w:tc>
          <w:tcPr>
            <w:tcW w:w="2640" w:type="dxa"/>
            <w:vAlign w:val="center"/>
          </w:tcPr>
          <w:p>
            <w:pPr>
              <w:jc w:val="center"/>
              <w:rPr>
                <w:rFonts w:ascii="Bookman Old Style" w:hAnsi="Bookman Old Style" w:eastAsia="宋体" w:cs="Times New Roman"/>
                <w:color w:val="auto"/>
                <w:sz w:val="24"/>
                <w:highlight w:val="none"/>
              </w:rPr>
            </w:pPr>
            <w:r>
              <w:rPr>
                <w:rFonts w:hint="eastAsia" w:ascii="Bookman Old Style" w:hAnsi="Bookman Old Style" w:eastAsia="宋体" w:cs="Times New Roman"/>
                <w:color w:val="auto"/>
                <w:sz w:val="24"/>
                <w:highlight w:val="none"/>
              </w:rPr>
              <w:t>超高效液相色谱三重串联四级杆质谱联用仪</w:t>
            </w:r>
          </w:p>
        </w:tc>
        <w:tc>
          <w:tcPr>
            <w:tcW w:w="635" w:type="dxa"/>
            <w:vAlign w:val="center"/>
          </w:tcPr>
          <w:p>
            <w:pPr>
              <w:jc w:val="center"/>
              <w:rPr>
                <w:rFonts w:ascii="宋体" w:hAnsi="Bookman Old Style" w:eastAsia="宋体" w:cs="Times New Roman"/>
                <w:color w:val="auto"/>
                <w:sz w:val="24"/>
                <w:highlight w:val="none"/>
              </w:rPr>
            </w:pPr>
            <w:r>
              <w:rPr>
                <w:rFonts w:hint="eastAsia" w:ascii="宋体" w:hAnsi="Bookman Old Style" w:eastAsia="宋体" w:cs="Times New Roman"/>
                <w:color w:val="auto"/>
                <w:sz w:val="24"/>
                <w:highlight w:val="none"/>
              </w:rPr>
              <w:t>1套</w:t>
            </w:r>
          </w:p>
        </w:tc>
        <w:tc>
          <w:tcPr>
            <w:tcW w:w="5605" w:type="dxa"/>
            <w:gridSpan w:val="3"/>
            <w:vAlign w:val="center"/>
          </w:tcPr>
          <w:p>
            <w:pPr>
              <w:jc w:val="center"/>
              <w:rPr>
                <w:rFonts w:ascii="宋体" w:hAnsi="Bookman Old Style" w:eastAsia="宋体" w:cs="Times New Roman"/>
                <w:color w:val="auto"/>
                <w:sz w:val="24"/>
                <w:highlight w:val="none"/>
              </w:rPr>
            </w:pPr>
            <w:r>
              <w:rPr>
                <w:rFonts w:hint="eastAsia" w:ascii="宋体" w:hAnsi="Bookman Old Style" w:eastAsia="宋体" w:cs="Times New Roman"/>
                <w:color w:val="auto"/>
                <w:sz w:val="24"/>
                <w:highlight w:val="none"/>
              </w:rPr>
              <w:t>详见具体技术规格</w:t>
            </w:r>
          </w:p>
        </w:tc>
      </w:tr>
    </w:tbl>
    <w:p>
      <w:pPr>
        <w:adjustRightInd w:val="0"/>
        <w:snapToGrid w:val="0"/>
        <w:jc w:val="center"/>
        <w:rPr>
          <w:rFonts w:ascii="宋体" w:hAnsi="宋体" w:eastAsia="宋体" w:cs="Times New Roman"/>
          <w:b/>
          <w:color w:val="auto"/>
          <w:sz w:val="30"/>
          <w:szCs w:val="30"/>
          <w:highlight w:val="none"/>
        </w:rPr>
      </w:pPr>
    </w:p>
    <w:p>
      <w:pPr>
        <w:adjustRightInd w:val="0"/>
        <w:snapToGrid w:val="0"/>
        <w:jc w:val="center"/>
        <w:rPr>
          <w:rFonts w:ascii="宋体" w:hAnsi="宋体" w:eastAsia="宋体" w:cs="Times New Roman"/>
          <w:b/>
          <w:color w:val="auto"/>
          <w:sz w:val="30"/>
          <w:szCs w:val="30"/>
          <w:highlight w:val="none"/>
        </w:rPr>
      </w:pPr>
    </w:p>
    <w:p>
      <w:pPr>
        <w:adjustRightInd w:val="0"/>
        <w:snapToGrid w:val="0"/>
        <w:jc w:val="center"/>
        <w:rPr>
          <w:rFonts w:ascii="宋体" w:hAnsi="宋体" w:eastAsia="宋体" w:cs="Times New Roman"/>
          <w:b/>
          <w:color w:val="auto"/>
          <w:sz w:val="30"/>
          <w:szCs w:val="30"/>
          <w:highlight w:val="none"/>
        </w:rPr>
      </w:pPr>
    </w:p>
    <w:p>
      <w:pPr>
        <w:rPr>
          <w:rFonts w:ascii="Bookman Old Style" w:hAnsi="Bookman Old Style" w:eastAsia="宋体" w:cs="Times New Roman"/>
          <w:color w:val="auto"/>
          <w:sz w:val="24"/>
          <w:highlight w:val="none"/>
        </w:rPr>
      </w:pPr>
      <w:r>
        <w:rPr>
          <w:rFonts w:hint="eastAsia" w:ascii="Times New Roman" w:hAnsi="Times New Roman" w:eastAsia="宋体" w:cs="Times New Roman"/>
          <w:color w:val="auto"/>
          <w:sz w:val="24"/>
          <w:highlight w:val="none"/>
        </w:rPr>
        <w:t>注：投标人须对上述投标内容中完整的一包或几包进行投标，</w:t>
      </w:r>
      <w:r>
        <w:rPr>
          <w:rFonts w:hint="eastAsia" w:ascii="Bookman Old Style" w:hAnsi="Bookman Old Style" w:eastAsia="宋体" w:cs="Times New Roman"/>
          <w:color w:val="auto"/>
          <w:sz w:val="24"/>
          <w:highlight w:val="none"/>
        </w:rPr>
        <w:t>不完整的投标将视为非响应性投标予以拒绝。</w:t>
      </w:r>
    </w:p>
    <w:p>
      <w:pPr>
        <w:adjustRightInd w:val="0"/>
        <w:snapToGrid w:val="0"/>
        <w:rPr>
          <w:rFonts w:ascii="宋体" w:hAnsi="宋体" w:eastAsia="宋体" w:cs="Times New Roman"/>
          <w:color w:val="auto"/>
          <w:szCs w:val="21"/>
          <w:highlight w:val="none"/>
        </w:rPr>
      </w:pPr>
    </w:p>
    <w:p>
      <w:pPr>
        <w:adjustRightInd w:val="0"/>
        <w:snapToGrid w:val="0"/>
        <w:rPr>
          <w:rFonts w:ascii="宋体" w:hAnsi="宋体" w:eastAsia="宋体" w:cs="Times New Roman"/>
          <w:color w:val="auto"/>
          <w:szCs w:val="21"/>
          <w:highlight w:val="none"/>
        </w:rPr>
      </w:pPr>
    </w:p>
    <w:p>
      <w:pPr>
        <w:adjustRightInd w:val="0"/>
        <w:snapToGrid w:val="0"/>
        <w:rPr>
          <w:rFonts w:ascii="宋体" w:hAnsi="宋体" w:eastAsia="宋体" w:cs="Times New Roman"/>
          <w:color w:val="auto"/>
          <w:szCs w:val="21"/>
          <w:highlight w:val="none"/>
        </w:rPr>
      </w:pPr>
    </w:p>
    <w:p>
      <w:pPr>
        <w:adjustRightInd w:val="0"/>
        <w:snapToGrid w:val="0"/>
        <w:rPr>
          <w:rFonts w:ascii="宋体" w:hAnsi="宋体" w:eastAsia="宋体" w:cs="Times New Roman"/>
          <w:color w:val="auto"/>
          <w:szCs w:val="21"/>
          <w:highlight w:val="none"/>
        </w:rPr>
      </w:pPr>
    </w:p>
    <w:p>
      <w:pPr>
        <w:adjustRightInd w:val="0"/>
        <w:snapToGrid w:val="0"/>
        <w:rPr>
          <w:rFonts w:ascii="宋体" w:hAnsi="宋体" w:eastAsia="宋体" w:cs="Times New Roman"/>
          <w:color w:val="auto"/>
          <w:szCs w:val="21"/>
          <w:highlight w:val="none"/>
        </w:rPr>
      </w:pPr>
    </w:p>
    <w:p>
      <w:pPr>
        <w:adjustRightInd w:val="0"/>
        <w:snapToGrid w:val="0"/>
        <w:rPr>
          <w:rFonts w:ascii="宋体" w:hAnsi="宋体" w:eastAsia="宋体" w:cs="Times New Roman"/>
          <w:color w:val="auto"/>
          <w:szCs w:val="21"/>
          <w:highlight w:val="none"/>
        </w:rPr>
      </w:pPr>
    </w:p>
    <w:p>
      <w:pPr>
        <w:adjustRightInd w:val="0"/>
        <w:snapToGrid w:val="0"/>
        <w:rPr>
          <w:rFonts w:ascii="宋体" w:hAnsi="宋体" w:eastAsia="宋体" w:cs="Times New Roman"/>
          <w:color w:val="auto"/>
          <w:szCs w:val="21"/>
          <w:highlight w:val="none"/>
        </w:rPr>
      </w:pPr>
    </w:p>
    <w:p>
      <w:pPr>
        <w:adjustRightInd w:val="0"/>
        <w:snapToGrid w:val="0"/>
        <w:rPr>
          <w:rFonts w:ascii="宋体" w:hAnsi="宋体" w:eastAsia="宋体" w:cs="Times New Roman"/>
          <w:color w:val="auto"/>
          <w:szCs w:val="21"/>
          <w:highlight w:val="none"/>
        </w:rPr>
      </w:pPr>
    </w:p>
    <w:p>
      <w:pPr>
        <w:adjustRightInd w:val="0"/>
        <w:snapToGrid w:val="0"/>
        <w:rPr>
          <w:rFonts w:ascii="宋体" w:hAnsi="宋体" w:eastAsia="宋体" w:cs="Times New Roman"/>
          <w:color w:val="auto"/>
          <w:szCs w:val="21"/>
          <w:highlight w:val="none"/>
        </w:rPr>
      </w:pPr>
    </w:p>
    <w:p>
      <w:pPr>
        <w:adjustRightInd w:val="0"/>
        <w:snapToGrid w:val="0"/>
        <w:rPr>
          <w:rFonts w:ascii="宋体" w:hAnsi="宋体" w:eastAsia="宋体" w:cs="Times New Roman"/>
          <w:color w:val="auto"/>
          <w:szCs w:val="21"/>
          <w:highlight w:val="none"/>
        </w:rPr>
      </w:pPr>
    </w:p>
    <w:p>
      <w:pPr>
        <w:adjustRightInd w:val="0"/>
        <w:snapToGrid w:val="0"/>
        <w:rPr>
          <w:rFonts w:ascii="宋体" w:hAnsi="宋体" w:eastAsia="宋体" w:cs="Times New Roman"/>
          <w:color w:val="auto"/>
          <w:szCs w:val="21"/>
          <w:highlight w:val="none"/>
        </w:rPr>
      </w:pPr>
    </w:p>
    <w:p>
      <w:pPr>
        <w:adjustRightInd w:val="0"/>
        <w:snapToGrid w:val="0"/>
        <w:rPr>
          <w:rFonts w:ascii="宋体" w:hAnsi="宋体" w:eastAsia="宋体" w:cs="Times New Roman"/>
          <w:color w:val="auto"/>
          <w:szCs w:val="21"/>
          <w:highlight w:val="none"/>
        </w:rPr>
      </w:pPr>
    </w:p>
    <w:p>
      <w:pPr>
        <w:adjustRightInd w:val="0"/>
        <w:snapToGrid w:val="0"/>
        <w:rPr>
          <w:rFonts w:ascii="宋体" w:hAnsi="宋体" w:eastAsia="宋体" w:cs="Times New Roman"/>
          <w:b/>
          <w:color w:val="auto"/>
          <w:sz w:val="30"/>
          <w:szCs w:val="30"/>
          <w:highlight w:val="none"/>
        </w:rPr>
      </w:pPr>
      <w:r>
        <w:rPr>
          <w:rFonts w:ascii="宋体" w:hAnsi="宋体" w:eastAsia="宋体" w:cs="Times New Roman"/>
          <w:b/>
          <w:color w:val="auto"/>
          <w:sz w:val="30"/>
          <w:szCs w:val="30"/>
          <w:highlight w:val="none"/>
        </w:rPr>
        <w:br w:type="page"/>
      </w:r>
    </w:p>
    <w:p>
      <w:pPr>
        <w:numPr>
          <w:ilvl w:val="2"/>
          <w:numId w:val="1"/>
        </w:numPr>
        <w:tabs>
          <w:tab w:val="left" w:pos="720"/>
          <w:tab w:val="clear" w:pos="1560"/>
        </w:tabs>
        <w:adjustRightInd w:val="0"/>
        <w:snapToGrid w:val="0"/>
        <w:ind w:hanging="1560"/>
        <w:jc w:val="center"/>
        <w:rPr>
          <w:rFonts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总则</w:t>
      </w:r>
    </w:p>
    <w:p>
      <w:pPr>
        <w:spacing w:before="156" w:beforeLines="50" w:after="156" w:afterLines="50" w:line="360" w:lineRule="auto"/>
        <w:ind w:left="601" w:hanging="601"/>
        <w:rPr>
          <w:rFonts w:ascii="宋体" w:hAnsi="宋体" w:eastAsia="宋体" w:cs="Times New Roman"/>
          <w:b/>
          <w:color w:val="auto"/>
          <w:sz w:val="28"/>
          <w:highlight w:val="none"/>
        </w:rPr>
      </w:pPr>
      <w:r>
        <w:rPr>
          <w:rFonts w:ascii="宋体" w:hAnsi="宋体" w:eastAsia="宋体" w:cs="Times New Roman"/>
          <w:b/>
          <w:color w:val="auto"/>
          <w:sz w:val="28"/>
          <w:highlight w:val="none"/>
        </w:rPr>
        <w:t>1</w:t>
      </w:r>
      <w:r>
        <w:rPr>
          <w:rFonts w:hint="eastAsia" w:ascii="宋体" w:hAnsi="宋体" w:eastAsia="宋体" w:cs="Times New Roman"/>
          <w:b/>
          <w:color w:val="auto"/>
          <w:sz w:val="28"/>
          <w:highlight w:val="none"/>
        </w:rPr>
        <w:t>、投标要求</w:t>
      </w:r>
    </w:p>
    <w:p>
      <w:pPr>
        <w:spacing w:line="360" w:lineRule="auto"/>
        <w:ind w:left="554" w:hanging="554" w:hangingChars="231"/>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1.1 </w:t>
      </w:r>
      <w:r>
        <w:rPr>
          <w:rFonts w:hint="eastAsia" w:ascii="宋体" w:hAnsi="宋体" w:eastAsia="宋体" w:cs="Times New Roman"/>
          <w:color w:val="auto"/>
          <w:sz w:val="24"/>
          <w:highlight w:val="none"/>
        </w:rPr>
        <w:t xml:space="preserve"> 投标人在准备投标书时，务必在所提供的商品的技术规格文件中，标明型号、商标名称、目录号。</w:t>
      </w:r>
    </w:p>
    <w:p>
      <w:pPr>
        <w:spacing w:line="360" w:lineRule="auto"/>
        <w:ind w:left="554" w:hanging="554" w:hangingChars="231"/>
        <w:rPr>
          <w:rFonts w:ascii="宋体" w:hAnsi="宋体" w:eastAsia="宋体" w:cs="Times New Roman"/>
          <w:color w:val="auto"/>
          <w:sz w:val="24"/>
          <w:highlight w:val="none"/>
        </w:rPr>
      </w:pPr>
      <w:r>
        <w:rPr>
          <w:rFonts w:hint="eastAsia" w:ascii="宋体" w:hAnsi="宋体" w:eastAsia="宋体" w:cs="Times New Roman"/>
          <w:color w:val="auto"/>
          <w:sz w:val="24"/>
          <w:highlight w:val="none"/>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pPr>
        <w:spacing w:line="360" w:lineRule="auto"/>
        <w:ind w:left="554" w:hanging="554" w:hangingChars="231"/>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 xml:space="preserve">1.3  </w:t>
      </w:r>
      <w:r>
        <w:rPr>
          <w:rFonts w:hint="eastAsia" w:ascii="Times New Roman" w:hAnsi="Times New Roman" w:eastAsia="宋体" w:cs="Times New Roman"/>
          <w:color w:val="auto"/>
          <w:sz w:val="24"/>
          <w:highlight w:val="none"/>
        </w:rPr>
        <w:t>投标人提供的</w:t>
      </w:r>
      <w:r>
        <w:rPr>
          <w:rFonts w:hint="eastAsia" w:ascii="宋体" w:hAnsi="Times New Roman" w:eastAsia="宋体" w:cs="Times New Roman"/>
          <w:color w:val="auto"/>
          <w:sz w:val="24"/>
          <w:highlight w:val="none"/>
        </w:rPr>
        <w:t>产品</w:t>
      </w:r>
      <w:r>
        <w:rPr>
          <w:rFonts w:hint="eastAsia" w:ascii="Times New Roman" w:hAnsi="Times New Roman" w:eastAsia="宋体" w:cs="Times New Roman"/>
          <w:color w:val="auto"/>
          <w:sz w:val="24"/>
          <w:highlight w:val="none"/>
        </w:rPr>
        <w:t>样本，必须是“原件”而非复印件，</w:t>
      </w:r>
      <w:r>
        <w:rPr>
          <w:rFonts w:hint="eastAsia" w:ascii="宋体" w:hAnsi="Times New Roman" w:eastAsia="宋体" w:cs="Times New Roman"/>
          <w:color w:val="auto"/>
          <w:sz w:val="24"/>
          <w:highlight w:val="none"/>
        </w:rPr>
        <w:t>图表、简图、电路图以及印刷电路板图等都应</w:t>
      </w:r>
      <w:r>
        <w:rPr>
          <w:rFonts w:hint="eastAsia" w:ascii="Times New Roman" w:hAnsi="Times New Roman" w:eastAsia="宋体" w:cs="Times New Roman"/>
          <w:color w:val="auto"/>
          <w:sz w:val="24"/>
          <w:highlight w:val="none"/>
        </w:rPr>
        <w:t>清晰易读。买方有权</w:t>
      </w:r>
      <w:r>
        <w:rPr>
          <w:rFonts w:hint="eastAsia" w:ascii="宋体" w:hAnsi="Times New Roman" w:eastAsia="宋体" w:cs="Times New Roman"/>
          <w:color w:val="auto"/>
          <w:sz w:val="24"/>
          <w:highlight w:val="none"/>
        </w:rPr>
        <w:t>不付任何附加费用</w:t>
      </w:r>
      <w:r>
        <w:rPr>
          <w:rFonts w:hint="eastAsia" w:ascii="Times New Roman" w:hAnsi="Times New Roman" w:eastAsia="宋体" w:cs="Times New Roman"/>
          <w:color w:val="auto"/>
          <w:sz w:val="24"/>
          <w:highlight w:val="none"/>
        </w:rPr>
        <w:t>复制这些资料</w:t>
      </w:r>
      <w:r>
        <w:rPr>
          <w:rFonts w:hint="eastAsia" w:ascii="宋体" w:hAnsi="Times New Roman" w:eastAsia="宋体" w:cs="Times New Roman"/>
          <w:color w:val="auto"/>
          <w:sz w:val="24"/>
          <w:highlight w:val="none"/>
        </w:rPr>
        <w:t>以供参考。</w:t>
      </w:r>
    </w:p>
    <w:p>
      <w:pPr>
        <w:spacing w:line="360" w:lineRule="auto"/>
        <w:ind w:left="554" w:hanging="554" w:hangingChars="231"/>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1.4  投标人的投标产品应符合国家有关部门规定的相应技术、节能、安全和环保标准；如国家有关部门对投标人的投标产品有强制性规定或要求的，则投标人的投标产品必须符合相应规定或要求。</w:t>
      </w:r>
    </w:p>
    <w:p>
      <w:pPr>
        <w:spacing w:before="156" w:beforeLines="50" w:after="156" w:afterLines="50" w:line="360" w:lineRule="auto"/>
        <w:ind w:left="601" w:hanging="601"/>
        <w:rPr>
          <w:rFonts w:ascii="宋体" w:hAnsi="宋体" w:eastAsia="宋体" w:cs="Times New Roman"/>
          <w:b/>
          <w:color w:val="auto"/>
          <w:sz w:val="28"/>
          <w:highlight w:val="none"/>
        </w:rPr>
      </w:pPr>
      <w:r>
        <w:rPr>
          <w:rFonts w:hint="eastAsia" w:ascii="宋体" w:hAnsi="宋体" w:eastAsia="宋体" w:cs="Times New Roman"/>
          <w:b/>
          <w:color w:val="auto"/>
          <w:sz w:val="28"/>
          <w:highlight w:val="none"/>
        </w:rPr>
        <w:t>2、评标标准</w:t>
      </w:r>
    </w:p>
    <w:p>
      <w:pPr>
        <w:spacing w:line="360" w:lineRule="auto"/>
        <w:ind w:left="554" w:hanging="554" w:hangingChars="231"/>
        <w:rPr>
          <w:rFonts w:ascii="宋体" w:hAnsi="Times New Roman" w:eastAsia="宋体" w:cs="Times New Roman"/>
          <w:color w:val="auto"/>
          <w:sz w:val="24"/>
          <w:highlight w:val="none"/>
        </w:rPr>
      </w:pPr>
      <w:r>
        <w:rPr>
          <w:rFonts w:ascii="宋体" w:hAnsi="宋体" w:eastAsia="宋体" w:cs="Times New Roman"/>
          <w:color w:val="auto"/>
          <w:sz w:val="24"/>
          <w:highlight w:val="none"/>
        </w:rPr>
        <w:t>2.</w:t>
      </w:r>
      <w:r>
        <w:rPr>
          <w:rFonts w:hint="eastAsia" w:ascii="宋体" w:hAnsi="宋体" w:eastAsia="宋体" w:cs="Times New Roman"/>
          <w:color w:val="auto"/>
          <w:sz w:val="24"/>
          <w:highlight w:val="none"/>
        </w:rPr>
        <w:t xml:space="preserve">1  </w:t>
      </w:r>
      <w:r>
        <w:rPr>
          <w:rFonts w:hint="eastAsia" w:ascii="Times New Roman" w:hAnsi="Times New Roman" w:eastAsia="宋体" w:cs="Times New Roman"/>
          <w:color w:val="auto"/>
          <w:sz w:val="24"/>
          <w:highlight w:val="none"/>
        </w:rPr>
        <w:t>除招标文件中指定的附件和专用工具外，</w:t>
      </w:r>
      <w:r>
        <w:rPr>
          <w:rFonts w:hint="eastAsia" w:ascii="宋体" w:hAnsi="Times New Roman" w:eastAsia="宋体" w:cs="Times New Roman"/>
          <w:color w:val="auto"/>
          <w:sz w:val="24"/>
          <w:highlight w:val="none"/>
        </w:rPr>
        <w:t>投标人应提供仪器设备的正常运行和常规保养所需的全套标准附件、专用工具</w:t>
      </w:r>
      <w:r>
        <w:rPr>
          <w:rFonts w:hint="eastAsia" w:ascii="Times New Roman" w:hAnsi="Times New Roman" w:eastAsia="宋体" w:cs="Times New Roman"/>
          <w:color w:val="auto"/>
          <w:sz w:val="24"/>
          <w:highlight w:val="none"/>
        </w:rPr>
        <w:t>和消耗品</w:t>
      </w:r>
      <w:r>
        <w:rPr>
          <w:rFonts w:hint="eastAsia" w:ascii="宋体" w:hAnsi="Times New Roman" w:eastAsia="宋体" w:cs="Times New Roman"/>
          <w:color w:val="auto"/>
          <w:sz w:val="24"/>
          <w:highlight w:val="none"/>
        </w:rPr>
        <w:t>。投标人在投标书中需列出这些附件和工具的数量和单价的清单，这些附件和工具的报价的总值需计入投标价中。</w:t>
      </w:r>
    </w:p>
    <w:p>
      <w:pPr>
        <w:spacing w:line="360" w:lineRule="auto"/>
        <w:ind w:left="554" w:hanging="554" w:hangingChars="231"/>
        <w:rPr>
          <w:rFonts w:ascii="Times New Roman" w:hAnsi="Times New Roman" w:eastAsia="宋体" w:cs="Times New Roman"/>
          <w:color w:val="auto"/>
          <w:sz w:val="24"/>
          <w:highlight w:val="none"/>
        </w:rPr>
      </w:pPr>
      <w:r>
        <w:rPr>
          <w:rFonts w:hint="eastAsia" w:ascii="宋体" w:hAnsi="宋体" w:eastAsia="宋体" w:cs="Times New Roman"/>
          <w:color w:val="auto"/>
          <w:sz w:val="24"/>
          <w:highlight w:val="none"/>
        </w:rPr>
        <w:t xml:space="preserve">2.2  </w:t>
      </w:r>
      <w:r>
        <w:rPr>
          <w:rFonts w:hint="eastAsia" w:ascii="Times New Roman" w:hAnsi="Times New Roman" w:eastAsia="宋体" w:cs="Times New Roman"/>
          <w:color w:val="auto"/>
          <w:sz w:val="24"/>
          <w:highlight w:val="none"/>
        </w:rPr>
        <w:t>对于标书</w:t>
      </w:r>
      <w:r>
        <w:rPr>
          <w:rFonts w:hint="eastAsia" w:ascii="宋体" w:hAnsi="Times New Roman" w:eastAsia="宋体" w:cs="Times New Roman"/>
          <w:color w:val="auto"/>
          <w:sz w:val="24"/>
          <w:highlight w:val="none"/>
        </w:rPr>
        <w:t>技术规范中已列</w:t>
      </w:r>
      <w:r>
        <w:rPr>
          <w:rFonts w:hint="eastAsia" w:ascii="Times New Roman" w:hAnsi="Times New Roman" w:eastAsia="宋体" w:cs="Times New Roman"/>
          <w:color w:val="auto"/>
          <w:sz w:val="24"/>
          <w:highlight w:val="none"/>
        </w:rPr>
        <w:t>出的作为查询选件的附件、零配件、专用工具和消耗品，投标书中</w:t>
      </w:r>
      <w:r>
        <w:rPr>
          <w:rFonts w:hint="eastAsia" w:ascii="宋体" w:hAnsi="Times New Roman" w:eastAsia="宋体" w:cs="Times New Roman"/>
          <w:color w:val="auto"/>
          <w:sz w:val="24"/>
          <w:highlight w:val="none"/>
        </w:rPr>
        <w:t>应列明其数量、单价、总价供买方参考。投标人也可推荐买方没有要求的附件或专用工具作为选件，并列明其数量、单价、总价供买方参考。选件价格不计入评标价中。</w:t>
      </w:r>
      <w:r>
        <w:rPr>
          <w:rFonts w:hint="eastAsia" w:ascii="Times New Roman" w:hAnsi="Times New Roman" w:eastAsia="宋体" w:cs="Times New Roman"/>
          <w:color w:val="auto"/>
          <w:sz w:val="24"/>
          <w:highlight w:val="none"/>
        </w:rPr>
        <w:t>选件一旦为用户接受，其费用将加入合同价中。</w:t>
      </w:r>
    </w:p>
    <w:p>
      <w:pPr>
        <w:spacing w:line="360" w:lineRule="auto"/>
        <w:ind w:left="554" w:hanging="554" w:hangingChars="231"/>
        <w:rPr>
          <w:rFonts w:ascii="宋体" w:hAnsi="宋体" w:eastAsia="宋体" w:cs="Times New Roman"/>
          <w:color w:val="auto"/>
          <w:sz w:val="24"/>
          <w:highlight w:val="none"/>
        </w:rPr>
      </w:pPr>
      <w:r>
        <w:rPr>
          <w:rFonts w:hint="eastAsia" w:ascii="宋体" w:hAnsi="宋体" w:eastAsia="宋体" w:cs="Times New Roman"/>
          <w:color w:val="auto"/>
          <w:sz w:val="24"/>
          <w:highlight w:val="none"/>
        </w:rPr>
        <w:t>2.3  为便于用户进行接收仪器的准备工作，卖方应在合同生效后</w:t>
      </w:r>
      <w:r>
        <w:rPr>
          <w:rFonts w:hint="eastAsia" w:ascii="宋体" w:hAnsi="宋体" w:eastAsia="宋体" w:cs="Times New Roman"/>
          <w:b/>
          <w:color w:val="auto"/>
          <w:sz w:val="24"/>
          <w:highlight w:val="none"/>
        </w:rPr>
        <w:t>60</w:t>
      </w:r>
      <w:r>
        <w:rPr>
          <w:rFonts w:hint="eastAsia" w:ascii="宋体" w:hAnsi="宋体" w:eastAsia="宋体" w:cs="Times New Roman"/>
          <w:color w:val="auto"/>
          <w:sz w:val="24"/>
          <w:highlight w:val="none"/>
        </w:rPr>
        <w:t>天内向用户提供一套完整的使用说明书、操作手册、维修及安装说明等文件。另一套完整上述资料应在交货时随货包装提供给用户，这些费用应计入投标价中。</w:t>
      </w:r>
    </w:p>
    <w:p>
      <w:pPr>
        <w:spacing w:line="360" w:lineRule="auto"/>
        <w:ind w:left="554" w:hanging="554" w:hangingChars="231"/>
        <w:rPr>
          <w:rFonts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ascii="宋体" w:hAnsi="宋体" w:eastAsia="宋体" w:cs="Times New Roman"/>
          <w:color w:val="auto"/>
          <w:sz w:val="24"/>
          <w:highlight w:val="none"/>
        </w:rPr>
        <w:t>.</w:t>
      </w:r>
      <w:r>
        <w:rPr>
          <w:rFonts w:hint="eastAsia" w:ascii="宋体" w:hAnsi="宋体" w:eastAsia="宋体" w:cs="Times New Roman"/>
          <w:color w:val="auto"/>
          <w:sz w:val="24"/>
          <w:highlight w:val="none"/>
        </w:rPr>
        <w:t>4</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 关于设备的安装调试，如果有必要的安装准备条件，卖方应在合同生效后一个月内向买方提出详细的要求或计划。安装调试的费用应计入投标价中，并应单独列出，供评标使用。</w:t>
      </w:r>
    </w:p>
    <w:p>
      <w:pPr>
        <w:spacing w:line="360" w:lineRule="auto"/>
        <w:ind w:left="554" w:hanging="554" w:hangingChars="231"/>
        <w:rPr>
          <w:rFonts w:ascii="宋体" w:hAnsi="宋体" w:eastAsia="宋体" w:cs="Times New Roman"/>
          <w:color w:val="auto"/>
          <w:sz w:val="24"/>
          <w:highlight w:val="none"/>
        </w:rPr>
      </w:pPr>
      <w:r>
        <w:rPr>
          <w:rFonts w:ascii="宋体" w:hAnsi="宋体" w:eastAsia="宋体" w:cs="Times New Roman"/>
          <w:color w:val="auto"/>
          <w:sz w:val="24"/>
          <w:highlight w:val="none"/>
        </w:rPr>
        <w:t>2.</w:t>
      </w:r>
      <w:r>
        <w:rPr>
          <w:rFonts w:hint="eastAsia" w:ascii="宋体" w:hAnsi="宋体" w:eastAsia="宋体" w:cs="Times New Roman"/>
          <w:color w:val="auto"/>
          <w:sz w:val="24"/>
          <w:highlight w:val="none"/>
        </w:rPr>
        <w:t>5  制造厂家提供的培训指的是涉及货物的基本原理、操作使用和保养维修等有关内容的培训。培训教员的培训费、旅费、食宿费等费用和培训场地费及培训资料费均应由卖方支付。</w:t>
      </w:r>
    </w:p>
    <w:p>
      <w:pPr>
        <w:spacing w:before="156" w:beforeLines="50" w:after="156" w:afterLines="50" w:line="360" w:lineRule="auto"/>
        <w:ind w:left="601" w:hanging="601"/>
        <w:rPr>
          <w:rFonts w:ascii="宋体" w:hAnsi="宋体" w:eastAsia="宋体" w:cs="Times New Roman"/>
          <w:b/>
          <w:color w:val="auto"/>
          <w:sz w:val="28"/>
          <w:highlight w:val="none"/>
        </w:rPr>
      </w:pPr>
      <w:r>
        <w:rPr>
          <w:rFonts w:hint="eastAsia" w:ascii="宋体" w:hAnsi="宋体" w:eastAsia="宋体" w:cs="Times New Roman"/>
          <w:b/>
          <w:color w:val="auto"/>
          <w:sz w:val="28"/>
          <w:highlight w:val="none"/>
        </w:rPr>
        <w:t>3、工作条件</w:t>
      </w:r>
    </w:p>
    <w:p>
      <w:pPr>
        <w:spacing w:after="312" w:afterLines="100"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除非在技术规格中另有说明，所有仪器、设备和系统都应符合下列要求：</w:t>
      </w:r>
      <w:r>
        <w:rPr>
          <w:rFonts w:ascii="宋体" w:hAnsi="宋体" w:eastAsia="宋体" w:cs="Times New Roman"/>
          <w:color w:val="auto"/>
          <w:sz w:val="24"/>
          <w:highlight w:val="none"/>
        </w:rPr>
        <w:t xml:space="preserve"> </w:t>
      </w:r>
    </w:p>
    <w:p>
      <w:pPr>
        <w:spacing w:line="360" w:lineRule="auto"/>
        <w:ind w:left="554" w:hanging="554" w:hangingChars="231"/>
        <w:rPr>
          <w:rFonts w:ascii="宋体" w:hAnsi="宋体" w:eastAsia="宋体" w:cs="Times New Roman"/>
          <w:color w:val="auto"/>
          <w:sz w:val="24"/>
          <w:highlight w:val="none"/>
        </w:rPr>
      </w:pPr>
      <w:r>
        <w:rPr>
          <w:rFonts w:hint="eastAsia" w:ascii="宋体" w:hAnsi="宋体" w:eastAsia="宋体" w:cs="Times New Roman"/>
          <w:color w:val="auto"/>
          <w:sz w:val="24"/>
          <w:highlight w:val="none"/>
        </w:rPr>
        <w:t>3.1  适于在气温为摄氏</w:t>
      </w:r>
      <w:r>
        <w:rPr>
          <w:rFonts w:ascii="宋体" w:hAnsi="宋体" w:eastAsia="宋体" w:cs="Times New Roman"/>
          <w:b/>
          <w:color w:val="auto"/>
          <w:sz w:val="24"/>
          <w:highlight w:val="none"/>
        </w:rPr>
        <w:t>-40</w:t>
      </w:r>
      <w:r>
        <w:rPr>
          <w:rFonts w:hint="eastAsia" w:ascii="宋体" w:hAnsi="宋体" w:eastAsia="宋体" w:cs="Times New Roman"/>
          <w:b/>
          <w:color w:val="auto"/>
          <w:sz w:val="24"/>
          <w:highlight w:val="none"/>
        </w:rPr>
        <w:t>℃～＋</w:t>
      </w:r>
      <w:r>
        <w:rPr>
          <w:rFonts w:ascii="宋体" w:hAnsi="宋体" w:eastAsia="宋体" w:cs="Times New Roman"/>
          <w:b/>
          <w:color w:val="auto"/>
          <w:sz w:val="24"/>
          <w:highlight w:val="none"/>
        </w:rPr>
        <w:t>50</w:t>
      </w:r>
      <w:r>
        <w:rPr>
          <w:rFonts w:hint="eastAsia" w:ascii="宋体" w:hAnsi="宋体" w:eastAsia="宋体" w:cs="Times New Roman"/>
          <w:b/>
          <w:color w:val="auto"/>
          <w:sz w:val="24"/>
          <w:highlight w:val="none"/>
        </w:rPr>
        <w:t>℃</w:t>
      </w:r>
      <w:r>
        <w:rPr>
          <w:rFonts w:hint="eastAsia" w:ascii="宋体" w:hAnsi="宋体" w:eastAsia="宋体" w:cs="Times New Roman"/>
          <w:color w:val="auto"/>
          <w:sz w:val="24"/>
          <w:highlight w:val="none"/>
        </w:rPr>
        <w:t>和相对湿度为</w:t>
      </w:r>
      <w:r>
        <w:rPr>
          <w:rFonts w:ascii="宋体" w:hAnsi="宋体" w:eastAsia="宋体" w:cs="Times New Roman"/>
          <w:b/>
          <w:color w:val="auto"/>
          <w:sz w:val="24"/>
          <w:highlight w:val="none"/>
        </w:rPr>
        <w:t>90</w:t>
      </w:r>
      <w:r>
        <w:rPr>
          <w:rFonts w:hint="eastAsia" w:ascii="宋体" w:hAnsi="宋体" w:eastAsia="宋体" w:cs="Times New Roman"/>
          <w:b/>
          <w:color w:val="auto"/>
          <w:sz w:val="24"/>
          <w:highlight w:val="none"/>
        </w:rPr>
        <w:t>％</w:t>
      </w:r>
      <w:r>
        <w:rPr>
          <w:rFonts w:hint="eastAsia" w:ascii="宋体" w:hAnsi="宋体" w:eastAsia="宋体" w:cs="Times New Roman"/>
          <w:color w:val="auto"/>
          <w:sz w:val="24"/>
          <w:highlight w:val="none"/>
        </w:rPr>
        <w:t>的环境条件下运输和贮存。</w:t>
      </w:r>
    </w:p>
    <w:p>
      <w:pPr>
        <w:spacing w:line="360" w:lineRule="auto"/>
        <w:ind w:left="554" w:hanging="554" w:hangingChars="231"/>
        <w:rPr>
          <w:rFonts w:ascii="宋体" w:hAnsi="宋体" w:eastAsia="宋体" w:cs="Times New Roman"/>
          <w:color w:val="auto"/>
          <w:sz w:val="24"/>
          <w:highlight w:val="none"/>
        </w:rPr>
      </w:pPr>
      <w:r>
        <w:rPr>
          <w:rFonts w:hint="eastAsia" w:ascii="宋体" w:hAnsi="宋体" w:eastAsia="宋体" w:cs="Times New Roman"/>
          <w:color w:val="auto"/>
          <w:sz w:val="24"/>
          <w:highlight w:val="none"/>
        </w:rPr>
        <w:t>3.2  适于在电源</w:t>
      </w:r>
      <w:r>
        <w:rPr>
          <w:rFonts w:ascii="宋体" w:hAnsi="宋体" w:eastAsia="宋体" w:cs="Times New Roman"/>
          <w:b/>
          <w:color w:val="auto"/>
          <w:sz w:val="24"/>
          <w:highlight w:val="none"/>
        </w:rPr>
        <w:t>220V</w:t>
      </w:r>
      <w:r>
        <w:rPr>
          <w:rFonts w:hint="eastAsia" w:ascii="宋体" w:hAnsi="宋体" w:eastAsia="宋体" w:cs="Times New Roman"/>
          <w:b/>
          <w:color w:val="auto"/>
          <w:sz w:val="24"/>
          <w:highlight w:val="none"/>
        </w:rPr>
        <w:t>（</w:t>
      </w:r>
      <w:r>
        <w:rPr>
          <w:rFonts w:ascii="宋体" w:hAnsi="宋体" w:eastAsia="宋体" w:cs="Times New Roman"/>
          <w:b/>
          <w:color w:val="auto"/>
          <w:sz w:val="24"/>
          <w:highlight w:val="none"/>
        </w:rPr>
        <w:sym w:font="Symbol" w:char="F0B1"/>
      </w:r>
      <w:r>
        <w:rPr>
          <w:rFonts w:ascii="宋体" w:hAnsi="宋体" w:eastAsia="宋体" w:cs="Times New Roman"/>
          <w:b/>
          <w:color w:val="auto"/>
          <w:sz w:val="24"/>
          <w:highlight w:val="none"/>
        </w:rPr>
        <w:t>10</w:t>
      </w:r>
      <w:r>
        <w:rPr>
          <w:rFonts w:hint="eastAsia" w:ascii="宋体" w:hAnsi="宋体" w:eastAsia="宋体" w:cs="Times New Roman"/>
          <w:b/>
          <w:color w:val="auto"/>
          <w:sz w:val="24"/>
          <w:highlight w:val="none"/>
        </w:rPr>
        <w:t>％）</w:t>
      </w:r>
      <w:r>
        <w:rPr>
          <w:rFonts w:ascii="宋体" w:hAnsi="宋体" w:eastAsia="宋体" w:cs="Times New Roman"/>
          <w:b/>
          <w:color w:val="auto"/>
          <w:sz w:val="24"/>
          <w:highlight w:val="none"/>
        </w:rPr>
        <w:t>/50Hz</w:t>
      </w:r>
      <w:r>
        <w:rPr>
          <w:rFonts w:hint="eastAsia" w:ascii="宋体" w:hAnsi="宋体" w:eastAsia="宋体" w:cs="Times New Roman"/>
          <w:color w:val="auto"/>
          <w:sz w:val="24"/>
          <w:highlight w:val="none"/>
        </w:rPr>
        <w:t>、气温摄氏</w:t>
      </w:r>
      <w:r>
        <w:rPr>
          <w:rFonts w:hint="eastAsia" w:ascii="宋体" w:hAnsi="宋体" w:eastAsia="宋体" w:cs="Times New Roman"/>
          <w:b/>
          <w:color w:val="auto"/>
          <w:sz w:val="24"/>
          <w:highlight w:val="none"/>
        </w:rPr>
        <w:t>+1</w:t>
      </w:r>
      <w:r>
        <w:rPr>
          <w:rFonts w:ascii="宋体" w:hAnsi="宋体" w:eastAsia="宋体" w:cs="Times New Roman"/>
          <w:b/>
          <w:color w:val="auto"/>
          <w:sz w:val="24"/>
          <w:highlight w:val="none"/>
        </w:rPr>
        <w:t>5</w:t>
      </w:r>
      <w:r>
        <w:rPr>
          <w:rFonts w:hint="eastAsia" w:ascii="宋体" w:hAnsi="宋体" w:eastAsia="宋体" w:cs="Times New Roman"/>
          <w:b/>
          <w:color w:val="auto"/>
          <w:sz w:val="24"/>
          <w:highlight w:val="none"/>
        </w:rPr>
        <w:t>℃～＋3</w:t>
      </w:r>
      <w:r>
        <w:rPr>
          <w:rFonts w:ascii="宋体" w:hAnsi="宋体" w:eastAsia="宋体" w:cs="Times New Roman"/>
          <w:b/>
          <w:color w:val="auto"/>
          <w:sz w:val="24"/>
          <w:highlight w:val="none"/>
        </w:rPr>
        <w:t>0</w:t>
      </w:r>
      <w:r>
        <w:rPr>
          <w:rFonts w:hint="eastAsia" w:ascii="宋体" w:hAnsi="宋体" w:eastAsia="宋体" w:cs="Times New Roman"/>
          <w:b/>
          <w:color w:val="auto"/>
          <w:sz w:val="24"/>
          <w:highlight w:val="none"/>
        </w:rPr>
        <w:t>℃</w:t>
      </w:r>
      <w:r>
        <w:rPr>
          <w:rFonts w:hint="eastAsia" w:ascii="宋体" w:hAnsi="宋体" w:eastAsia="宋体" w:cs="Times New Roman"/>
          <w:color w:val="auto"/>
          <w:sz w:val="24"/>
          <w:highlight w:val="none"/>
        </w:rPr>
        <w:t>和相对湿度小于</w:t>
      </w:r>
      <w:r>
        <w:rPr>
          <w:rFonts w:ascii="宋体" w:hAnsi="宋体" w:eastAsia="宋体" w:cs="Times New Roman"/>
          <w:b/>
          <w:color w:val="auto"/>
          <w:sz w:val="24"/>
          <w:highlight w:val="none"/>
        </w:rPr>
        <w:t>8</w:t>
      </w:r>
      <w:r>
        <w:rPr>
          <w:rFonts w:hint="eastAsia" w:ascii="宋体" w:hAnsi="宋体" w:eastAsia="宋体" w:cs="Times New Roman"/>
          <w:b/>
          <w:color w:val="auto"/>
          <w:sz w:val="24"/>
          <w:highlight w:val="none"/>
        </w:rPr>
        <w:t>0％</w:t>
      </w:r>
      <w:r>
        <w:rPr>
          <w:rFonts w:hint="eastAsia" w:ascii="宋体" w:hAnsi="宋体" w:eastAsia="宋体" w:cs="Times New Roman"/>
          <w:color w:val="auto"/>
          <w:sz w:val="24"/>
          <w:highlight w:val="none"/>
        </w:rPr>
        <w:t>的环境条件下运行。</w:t>
      </w:r>
      <w:r>
        <w:rPr>
          <w:rFonts w:hint="eastAsia" w:ascii="宋体" w:hAnsi="宋体" w:eastAsia="宋体" w:cs="Times New Roman"/>
          <w:b/>
          <w:color w:val="auto"/>
          <w:sz w:val="24"/>
          <w:highlight w:val="none"/>
        </w:rPr>
        <w:t>能够连续正常工作。</w:t>
      </w:r>
    </w:p>
    <w:p>
      <w:pPr>
        <w:spacing w:line="360" w:lineRule="auto"/>
        <w:ind w:left="554" w:hanging="554" w:hangingChars="231"/>
        <w:rPr>
          <w:rFonts w:ascii="宋体" w:hAnsi="宋体" w:eastAsia="宋体" w:cs="Times New Roman"/>
          <w:color w:val="auto"/>
          <w:sz w:val="24"/>
          <w:highlight w:val="none"/>
        </w:rPr>
      </w:pPr>
      <w:r>
        <w:rPr>
          <w:rFonts w:hint="eastAsia" w:ascii="宋体" w:hAnsi="宋体" w:eastAsia="宋体" w:cs="Times New Roman"/>
          <w:color w:val="auto"/>
          <w:sz w:val="24"/>
          <w:highlight w:val="none"/>
        </w:rPr>
        <w:t>3.3  配置符合中国有关标准要求的插头，如果没有这样的插头，则需</w:t>
      </w:r>
      <w:r>
        <w:rPr>
          <w:rFonts w:hint="eastAsia" w:ascii="宋体" w:hAnsi="Times New Roman" w:eastAsia="宋体" w:cs="Times New Roman"/>
          <w:color w:val="auto"/>
          <w:sz w:val="24"/>
          <w:highlight w:val="none"/>
        </w:rPr>
        <w:t>提供适当的转</w:t>
      </w:r>
      <w:r>
        <w:rPr>
          <w:rFonts w:hint="eastAsia" w:ascii="宋体" w:hAnsi="宋体" w:eastAsia="宋体" w:cs="Times New Roman"/>
          <w:color w:val="auto"/>
          <w:sz w:val="24"/>
          <w:highlight w:val="none"/>
        </w:rPr>
        <w:t>换插座。</w:t>
      </w:r>
    </w:p>
    <w:p>
      <w:pPr>
        <w:spacing w:line="360" w:lineRule="auto"/>
        <w:ind w:left="554" w:hanging="554" w:hangingChars="231"/>
        <w:rPr>
          <w:rFonts w:ascii="宋体" w:hAnsi="宋体" w:eastAsia="宋体" w:cs="Times New Roman"/>
          <w:color w:val="auto"/>
          <w:sz w:val="24"/>
          <w:highlight w:val="none"/>
        </w:rPr>
      </w:pPr>
      <w:r>
        <w:rPr>
          <w:rFonts w:hint="eastAsia" w:ascii="宋体" w:hAnsi="宋体" w:eastAsia="宋体" w:cs="Times New Roman"/>
          <w:color w:val="auto"/>
          <w:sz w:val="24"/>
          <w:highlight w:val="none"/>
        </w:rPr>
        <w:t>3.4  如产品达不到上述要求，投标人应注明其偏差。如仪器设备需要特殊工作条件（如水、电源、磁场强度、温度、湿度、动强度等）投标人应在投标书中加以说明。</w:t>
      </w:r>
    </w:p>
    <w:p>
      <w:pPr>
        <w:rPr>
          <w:rFonts w:ascii="Times New Roman" w:hAnsi="Times New Roman" w:eastAsia="黑体" w:cs="Times New Roman"/>
          <w:b/>
          <w:bCs/>
          <w:color w:val="auto"/>
          <w:kern w:val="44"/>
          <w:sz w:val="24"/>
          <w:highlight w:val="none"/>
        </w:rPr>
      </w:pPr>
    </w:p>
    <w:p>
      <w:pPr>
        <w:spacing w:before="156" w:beforeLines="50" w:after="156" w:afterLines="50" w:line="360" w:lineRule="auto"/>
        <w:ind w:left="601" w:hanging="601"/>
        <w:rPr>
          <w:rFonts w:ascii="宋体" w:hAnsi="宋体" w:eastAsia="宋体" w:cs="Times New Roman"/>
          <w:b/>
          <w:color w:val="auto"/>
          <w:sz w:val="28"/>
          <w:highlight w:val="none"/>
        </w:rPr>
      </w:pPr>
      <w:r>
        <w:rPr>
          <w:rFonts w:hint="eastAsia" w:ascii="宋体" w:hAnsi="宋体" w:eastAsia="宋体" w:cs="Times New Roman"/>
          <w:b/>
          <w:color w:val="auto"/>
          <w:sz w:val="28"/>
          <w:highlight w:val="none"/>
        </w:rPr>
        <w:t>4、验收标准</w:t>
      </w:r>
    </w:p>
    <w:p>
      <w:pPr>
        <w:spacing w:after="312" w:afterLines="100"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除非在技术规格中另有说明，所有仪器、设备和系统按下列要求进行验收：</w:t>
      </w:r>
      <w:r>
        <w:rPr>
          <w:rFonts w:ascii="宋体" w:hAnsi="宋体" w:eastAsia="宋体" w:cs="Times New Roman"/>
          <w:color w:val="auto"/>
          <w:sz w:val="24"/>
          <w:highlight w:val="none"/>
        </w:rPr>
        <w:t xml:space="preserve"> </w:t>
      </w:r>
    </w:p>
    <w:p>
      <w:pPr>
        <w:spacing w:line="360" w:lineRule="auto"/>
        <w:ind w:left="554" w:hanging="554" w:hangingChars="231"/>
        <w:rPr>
          <w:rFonts w:ascii="宋体" w:hAnsi="宋体" w:eastAsia="宋体" w:cs="Times New Roman"/>
          <w:color w:val="auto"/>
          <w:sz w:val="24"/>
          <w:highlight w:val="none"/>
        </w:rPr>
      </w:pPr>
      <w:r>
        <w:rPr>
          <w:rFonts w:hint="eastAsia" w:ascii="宋体" w:hAnsi="宋体" w:eastAsia="宋体" w:cs="Times New Roman"/>
          <w:color w:val="auto"/>
          <w:sz w:val="24"/>
          <w:highlight w:val="none"/>
        </w:rPr>
        <w:t>4.1  仪器设备运抵安装现场后，买方将与卖方共同开箱验收</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如卖方届时不派人来</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则验收结果应以买方的验收报告为最终验收结果。验收时发现短缺、破损</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买方有权要求卖方负责更换。</w:t>
      </w:r>
    </w:p>
    <w:p>
      <w:pPr>
        <w:spacing w:line="360" w:lineRule="auto"/>
        <w:ind w:left="554" w:hanging="554" w:hangingChars="231"/>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  </w:t>
      </w:r>
      <w:r>
        <w:rPr>
          <w:rFonts w:hint="eastAsia" w:ascii="Times New Roman" w:hAnsi="Times New Roman" w:eastAsia="宋体" w:cs="Times New Roman"/>
          <w:color w:val="auto"/>
          <w:sz w:val="24"/>
          <w:highlight w:val="none"/>
        </w:rPr>
        <w:t>验收标准以中标人提供的投标文件中所列的指标为准（该指标应不低于招标文件所要求的指标）。任何虚假指标响应一经发现即作废标，卖方必须承担由此给买方带来的一切经济损失和其它相关责任。</w:t>
      </w:r>
    </w:p>
    <w:p>
      <w:pPr>
        <w:spacing w:line="360" w:lineRule="auto"/>
        <w:ind w:left="554" w:hanging="554" w:hangingChars="231"/>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4.3  </w:t>
      </w:r>
      <w:r>
        <w:rPr>
          <w:rFonts w:ascii="宋体" w:hAnsi="宋体" w:eastAsia="宋体" w:cs="Times New Roman"/>
          <w:color w:val="auto"/>
          <w:sz w:val="24"/>
          <w:highlight w:val="none"/>
        </w:rPr>
        <w:t>验收由采购人、中标人及相关人员依国家有关标准、合同及有关附件要求进行，验收完毕由采购人及中标人在验收报告上签名。</w:t>
      </w:r>
    </w:p>
    <w:p>
      <w:pPr>
        <w:widowControl w:val="0"/>
        <w:spacing w:line="360" w:lineRule="auto"/>
        <w:ind w:left="410" w:hanging="410" w:hangingChars="170"/>
        <w:jc w:val="both"/>
        <w:rPr>
          <w:rFonts w:ascii="宋体" w:hAnsi="宋体" w:eastAsia="宋体" w:cs="Times New Roman"/>
          <w:b/>
          <w:color w:val="auto"/>
          <w:kern w:val="2"/>
          <w:sz w:val="24"/>
          <w:szCs w:val="24"/>
          <w:highlight w:val="none"/>
          <w:lang w:val="en-US" w:eastAsia="zh-CN" w:bidi="ar-SA"/>
        </w:rPr>
      </w:pPr>
    </w:p>
    <w:p>
      <w:pPr>
        <w:widowControl w:val="0"/>
        <w:spacing w:line="360" w:lineRule="auto"/>
        <w:ind w:left="410" w:hanging="410" w:hangingChars="170"/>
        <w:jc w:val="both"/>
        <w:rPr>
          <w:rFonts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5、本技术规格书中标注“*”号的为实质性要求，不满足其投标将被拒绝。</w:t>
      </w:r>
    </w:p>
    <w:p>
      <w:pPr>
        <w:widowControl w:val="0"/>
        <w:spacing w:line="360" w:lineRule="auto"/>
        <w:jc w:val="both"/>
        <w:rPr>
          <w:rFonts w:ascii="宋体" w:hAnsi="宋体" w:eastAsia="宋体" w:cs="Times New Roman"/>
          <w:b/>
          <w:color w:val="auto"/>
          <w:kern w:val="2"/>
          <w:sz w:val="24"/>
          <w:szCs w:val="24"/>
          <w:highlight w:val="none"/>
          <w:lang w:val="en-US" w:eastAsia="zh-CN" w:bidi="ar-SA"/>
        </w:rPr>
      </w:pPr>
    </w:p>
    <w:p>
      <w:pPr>
        <w:spacing w:after="156" w:afterLines="50"/>
        <w:ind w:left="601" w:hanging="601"/>
        <w:rPr>
          <w:rFonts w:ascii="宋体" w:hAnsi="宋体" w:eastAsia="宋体" w:cs="Times New Roman"/>
          <w:b/>
          <w:color w:val="auto"/>
          <w:sz w:val="28"/>
          <w:highlight w:val="none"/>
        </w:rPr>
      </w:pPr>
      <w:r>
        <w:rPr>
          <w:rFonts w:hint="eastAsia" w:ascii="Times New Roman" w:hAnsi="宋体" w:eastAsia="宋体" w:cs="Times New Roman"/>
          <w:b/>
          <w:color w:val="auto"/>
          <w:sz w:val="24"/>
          <w:highlight w:val="none"/>
        </w:rPr>
        <w:t>6、如在具体技术规格中有本总则不一致之处，以具体技术规格中的要求为准。</w:t>
      </w:r>
      <w:r>
        <w:rPr>
          <w:rFonts w:ascii="宋体" w:hAnsi="宋体" w:eastAsia="宋体" w:cs="Times New Roman"/>
          <w:b/>
          <w:color w:val="auto"/>
          <w:sz w:val="28"/>
          <w:highlight w:val="none"/>
        </w:rPr>
        <w:br w:type="page"/>
      </w:r>
      <w:r>
        <w:rPr>
          <w:rFonts w:hint="eastAsia" w:ascii="宋体" w:hAnsi="宋体" w:eastAsia="宋体" w:cs="Times New Roman"/>
          <w:b/>
          <w:color w:val="auto"/>
          <w:sz w:val="28"/>
          <w:highlight w:val="none"/>
        </w:rPr>
        <w:t>三、具体技术规格</w:t>
      </w:r>
    </w:p>
    <w:p>
      <w:pPr>
        <w:rPr>
          <w:rFonts w:ascii="Times New Roman" w:hAnsi="Times New Roman" w:eastAsia="宋体" w:cs="Times New Roman"/>
          <w:color w:val="auto"/>
          <w:sz w:val="24"/>
          <w:highlight w:val="none"/>
        </w:rPr>
      </w:pPr>
    </w:p>
    <w:p>
      <w:pPr>
        <w:jc w:val="center"/>
        <w:rPr>
          <w:rFonts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第1包 超高效液相色谱三重串联四级杆质谱联用仪</w:t>
      </w:r>
    </w:p>
    <w:p>
      <w:pPr>
        <w:rPr>
          <w:rFonts w:ascii="Times New Roman" w:hAnsi="Times New Roman" w:eastAsia="宋体" w:cs="Times New Roman"/>
          <w:b/>
          <w:color w:val="auto"/>
          <w:sz w:val="24"/>
          <w:highlight w:val="none"/>
        </w:rPr>
      </w:pPr>
    </w:p>
    <w:p>
      <w:pPr>
        <w:rPr>
          <w:rFonts w:ascii="Times New Roman" w:hAnsi="Times New Roman" w:eastAsia="宋体" w:cs="Times New Roman"/>
          <w:b/>
          <w:color w:val="auto"/>
          <w:sz w:val="24"/>
          <w:highlight w:val="none"/>
        </w:rPr>
      </w:pPr>
    </w:p>
    <w:p>
      <w:pPr>
        <w:numPr>
          <w:ilvl w:val="0"/>
          <w:numId w:val="2"/>
        </w:numPr>
        <w:rPr>
          <w:rFonts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技术要求：</w:t>
      </w:r>
    </w:p>
    <w:p>
      <w:pPr>
        <w:rPr>
          <w:rFonts w:ascii="Times New Roman" w:hAnsi="Times New Roman" w:eastAsia="宋体" w:cs="Times New Roman"/>
          <w:b/>
          <w:color w:val="auto"/>
          <w:sz w:val="24"/>
          <w:highlight w:val="none"/>
        </w:rPr>
      </w:pPr>
    </w:p>
    <w:p>
      <w:pPr>
        <w:numPr>
          <w:ilvl w:val="0"/>
          <w:numId w:val="3"/>
        </w:numPr>
        <w:spacing w:line="360" w:lineRule="auto"/>
        <w:ind w:left="360" w:hanging="360"/>
        <w:rPr>
          <w:rFonts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工作条件：</w:t>
      </w:r>
    </w:p>
    <w:p>
      <w:pPr>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1.1</w:t>
      </w:r>
      <w:r>
        <w:rPr>
          <w:rFonts w:hint="eastAsia" w:ascii="Times New Roman" w:hAnsi="Times New Roman" w:eastAsia="宋体" w:cs="Times New Roman"/>
          <w:color w:val="auto"/>
          <w:sz w:val="24"/>
          <w:highlight w:val="none"/>
        </w:rPr>
        <w:tab/>
      </w:r>
      <w:r>
        <w:rPr>
          <w:rFonts w:hint="eastAsia" w:ascii="Times New Roman" w:hAnsi="Times New Roman" w:eastAsia="宋体" w:cs="Times New Roman"/>
          <w:color w:val="auto"/>
          <w:sz w:val="24"/>
          <w:highlight w:val="none"/>
        </w:rPr>
        <w:t>电源：220 V，50 Hz，16 A</w:t>
      </w:r>
    </w:p>
    <w:p>
      <w:pPr>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1.2</w:t>
      </w:r>
      <w:r>
        <w:rPr>
          <w:rFonts w:hint="eastAsia" w:ascii="Times New Roman" w:hAnsi="Times New Roman" w:eastAsia="宋体" w:cs="Times New Roman"/>
          <w:color w:val="auto"/>
          <w:sz w:val="24"/>
          <w:highlight w:val="none"/>
        </w:rPr>
        <w:tab/>
      </w:r>
      <w:r>
        <w:rPr>
          <w:rFonts w:hint="eastAsia" w:ascii="Times New Roman" w:hAnsi="Times New Roman" w:eastAsia="宋体" w:cs="Times New Roman"/>
          <w:color w:val="auto"/>
          <w:sz w:val="24"/>
          <w:highlight w:val="none"/>
        </w:rPr>
        <w:t>温度：操作环境20℃-35℃</w:t>
      </w:r>
    </w:p>
    <w:p>
      <w:pPr>
        <w:spacing w:line="360" w:lineRule="auto"/>
        <w:rPr>
          <w:rFonts w:ascii="Times New Roman" w:hAnsi="Times New Roman" w:eastAsia="宋体" w:cs="Times New Roman"/>
          <w:color w:val="auto"/>
          <w:position w:val="-14"/>
          <w:sz w:val="24"/>
          <w:highlight w:val="none"/>
        </w:rPr>
      </w:pPr>
      <w:r>
        <w:rPr>
          <w:rFonts w:hint="eastAsia" w:ascii="Times New Roman" w:hAnsi="Times New Roman" w:eastAsia="宋体" w:cs="Times New Roman"/>
          <w:color w:val="auto"/>
          <w:sz w:val="24"/>
          <w:highlight w:val="none"/>
        </w:rPr>
        <w:t>1.3</w:t>
      </w:r>
      <w:r>
        <w:rPr>
          <w:rFonts w:hint="eastAsia" w:ascii="Times New Roman" w:hAnsi="Times New Roman" w:eastAsia="宋体" w:cs="Times New Roman"/>
          <w:color w:val="auto"/>
          <w:sz w:val="24"/>
          <w:highlight w:val="none"/>
        </w:rPr>
        <w:tab/>
      </w:r>
      <w:r>
        <w:rPr>
          <w:rFonts w:hint="eastAsia" w:ascii="Times New Roman" w:hAnsi="Times New Roman" w:eastAsia="宋体" w:cs="Times New Roman"/>
          <w:color w:val="auto"/>
          <w:sz w:val="24"/>
          <w:highlight w:val="none"/>
        </w:rPr>
        <w:t>湿度：操作状态25-50%，非操作状态20%-80%</w:t>
      </w:r>
    </w:p>
    <w:p>
      <w:pPr>
        <w:spacing w:line="360" w:lineRule="auto"/>
        <w:ind w:left="435" w:firstLine="240"/>
        <w:rPr>
          <w:rFonts w:ascii="Times New Roman" w:hAnsi="Times New Roman" w:eastAsia="宋体" w:cs="Times New Roman"/>
          <w:color w:val="auto"/>
          <w:sz w:val="24"/>
          <w:highlight w:val="none"/>
        </w:rPr>
      </w:pPr>
    </w:p>
    <w:p>
      <w:pPr>
        <w:numPr>
          <w:ilvl w:val="0"/>
          <w:numId w:val="3"/>
        </w:numPr>
        <w:spacing w:line="360" w:lineRule="auto"/>
        <w:ind w:left="360" w:hanging="360"/>
        <w:rPr>
          <w:rFonts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设备用途：</w:t>
      </w:r>
    </w:p>
    <w:p>
      <w:pPr>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ab/>
      </w:r>
      <w:r>
        <w:rPr>
          <w:rFonts w:hint="eastAsia" w:ascii="Times New Roman" w:hAnsi="Times New Roman" w:eastAsia="宋体" w:cs="Times New Roman"/>
          <w:color w:val="auto"/>
          <w:sz w:val="24"/>
          <w:highlight w:val="none"/>
        </w:rPr>
        <w:t xml:space="preserve">超高效液相色谱三重串联四级杆质谱联用仪灵敏度高、选择性好，可对多组分进行同时定量，可满足对环境介质中分子量大、极性较大、难挥发的有机污染物的定性定量分析。       </w:t>
      </w:r>
    </w:p>
    <w:p>
      <w:pPr>
        <w:spacing w:line="360" w:lineRule="auto"/>
        <w:rPr>
          <w:rFonts w:ascii="Times New Roman" w:hAnsi="Times New Roman" w:eastAsia="宋体" w:cs="Times New Roman"/>
          <w:color w:val="auto"/>
          <w:sz w:val="24"/>
          <w:highlight w:val="none"/>
        </w:rPr>
      </w:pPr>
    </w:p>
    <w:p>
      <w:pPr>
        <w:numPr>
          <w:ilvl w:val="0"/>
          <w:numId w:val="3"/>
        </w:numPr>
        <w:spacing w:line="360" w:lineRule="auto"/>
        <w:ind w:left="360" w:hanging="360"/>
        <w:rPr>
          <w:rFonts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技术规格：</w:t>
      </w:r>
    </w:p>
    <w:p>
      <w:pPr>
        <w:spacing w:line="360" w:lineRule="auto"/>
        <w:ind w:firstLine="240" w:firstLineChars="10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3.1 在线固相萃取系统部分（含自动进样器，在线固相萃取柱）</w:t>
      </w:r>
    </w:p>
    <w:p>
      <w:pPr>
        <w:spacing w:line="360" w:lineRule="auto"/>
        <w:ind w:firstLine="240" w:firstLineChars="10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3.1.1 最大耐压：≥40 Mpa</w:t>
      </w:r>
    </w:p>
    <w:p>
      <w:pPr>
        <w:spacing w:line="360" w:lineRule="auto"/>
        <w:ind w:firstLine="240" w:firstLineChars="10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3.1.2 流速范围：0.001-2 mL/min</w:t>
      </w:r>
    </w:p>
    <w:p>
      <w:pPr>
        <w:spacing w:line="360" w:lineRule="auto"/>
        <w:ind w:firstLine="240" w:firstLineChars="10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3.1.3 进样体积：1 μL-5 mL</w:t>
      </w:r>
    </w:p>
    <w:p>
      <w:pPr>
        <w:spacing w:line="360" w:lineRule="auto"/>
        <w:ind w:firstLine="240" w:firstLineChars="10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3.2 超高效液相色谱部分（含自动进样器，柱温箱，高压输液泵，液相色谱柱，样品瓶）</w:t>
      </w:r>
    </w:p>
    <w:p>
      <w:pPr>
        <w:spacing w:line="360" w:lineRule="auto"/>
        <w:ind w:firstLine="240" w:firstLineChars="10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*3.2.1 自动进样器：大于400位</w:t>
      </w:r>
    </w:p>
    <w:p>
      <w:pPr>
        <w:spacing w:line="360" w:lineRule="auto"/>
        <w:ind w:firstLine="240" w:firstLineChars="10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*3.2.2 高压输液泵：压力范围0-18850 psi</w:t>
      </w:r>
    </w:p>
    <w:p>
      <w:pPr>
        <w:spacing w:line="360" w:lineRule="auto"/>
        <w:ind w:firstLine="240" w:firstLineChars="10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#3.2.3 柱温箱：具有升降温功能，控温范围为4℃-110℃，控温精度0.1℃</w:t>
      </w:r>
    </w:p>
    <w:p>
      <w:pPr>
        <w:spacing w:line="360" w:lineRule="auto"/>
        <w:ind w:firstLine="240" w:firstLineChars="10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3.2.4 流量范围：0.001 mL/min-5.0 mL/min，流量控制精度0.001 mL/min</w:t>
      </w:r>
    </w:p>
    <w:p>
      <w:pPr>
        <w:spacing w:line="360" w:lineRule="auto"/>
        <w:ind w:firstLine="240" w:firstLineChars="10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3.3 质谱部分（含三重串联四级杆质谱主机，UPS稳压电源，氮气发生器，机械泵，泵油，校正液，安装工具包）</w:t>
      </w:r>
    </w:p>
    <w:p>
      <w:pPr>
        <w:spacing w:line="360" w:lineRule="auto"/>
        <w:ind w:firstLine="240" w:firstLineChars="10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*3.3.1 离子源：包含独立的ESI源、独立的APCI源和独立的APPI源，不同离子源的更换时间≤1 min</w:t>
      </w:r>
    </w:p>
    <w:p>
      <w:pPr>
        <w:spacing w:line="360" w:lineRule="auto"/>
        <w:ind w:firstLine="240" w:firstLineChars="10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*3.3.2 质量数范围：m/z 5-2020</w:t>
      </w:r>
    </w:p>
    <w:p>
      <w:pPr>
        <w:spacing w:line="360" w:lineRule="auto"/>
        <w:ind w:firstLine="240" w:firstLineChars="10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#3.3.3 动态范围：＞1.0×10</w:t>
      </w:r>
      <w:r>
        <w:rPr>
          <w:rFonts w:hint="eastAsia" w:ascii="Times New Roman" w:hAnsi="Times New Roman" w:eastAsia="宋体" w:cs="Times New Roman"/>
          <w:color w:val="auto"/>
          <w:sz w:val="24"/>
          <w:highlight w:val="none"/>
          <w:vertAlign w:val="superscript"/>
        </w:rPr>
        <w:t>6</w:t>
      </w:r>
    </w:p>
    <w:p>
      <w:pPr>
        <w:spacing w:line="360" w:lineRule="auto"/>
        <w:ind w:firstLine="240" w:firstLineChars="10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3.3.4 扫描速率：≥12000 Da/s</w:t>
      </w:r>
    </w:p>
    <w:p>
      <w:pPr>
        <w:spacing w:line="360" w:lineRule="auto"/>
        <w:ind w:firstLine="240" w:firstLineChars="10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*3.3.5 仪器检测限：</w:t>
      </w:r>
    </w:p>
    <w:p>
      <w:pPr>
        <w:spacing w:line="360" w:lineRule="auto"/>
        <w:ind w:firstLine="240" w:firstLineChars="10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ESI+灵敏度：液质联用柱上进样10 fg利血平，离子对 m/z 609-&gt;195所测得IDL（仪器检测限）小于 4fg；液质联用柱上进样1 pg利血平，信噪比大于350,000:1；</w:t>
      </w:r>
    </w:p>
    <w:p>
      <w:pPr>
        <w:spacing w:line="360" w:lineRule="auto"/>
        <w:ind w:firstLine="240" w:firstLineChars="10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ESI-灵敏度：液质联用柱上进样10 fg氯霉素，离子对 m/z 321-&gt;152 所测得IDL（仪器检测限）小于4 fg；液质联用柱上进样1 pg氯霉素，信噪比大于350,000:1</w:t>
      </w:r>
    </w:p>
    <w:p>
      <w:pPr>
        <w:spacing w:line="360" w:lineRule="auto"/>
        <w:ind w:firstLine="240" w:firstLineChars="10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3.3.6 MRM模式驻留时间：1 ms</w:t>
      </w:r>
    </w:p>
    <w:p>
      <w:pPr>
        <w:spacing w:line="360" w:lineRule="auto"/>
        <w:ind w:firstLine="240" w:firstLineChars="10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3.3.7 正负离子模式切换时间≤15 ms</w:t>
      </w:r>
    </w:p>
    <w:p>
      <w:pPr>
        <w:spacing w:line="360" w:lineRule="auto"/>
        <w:ind w:firstLine="240" w:firstLineChars="10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3.3.8 真空系统：分子涡轮泵和大抽速的前级机械泵，分子涡轮泵抽速≥240 L/s</w:t>
      </w:r>
    </w:p>
    <w:p>
      <w:pPr>
        <w:spacing w:line="360" w:lineRule="auto"/>
        <w:ind w:firstLine="240" w:firstLineChars="1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#3.3.9</w:t>
      </w:r>
      <w:r>
        <w:rPr>
          <w:rFonts w:hint="eastAsia" w:ascii="Times New Roman" w:hAnsi="Times New Roman" w:eastAsia="宋体" w:cs="Times New Roman"/>
          <w:color w:val="auto"/>
          <w:sz w:val="24"/>
          <w:highlight w:val="none"/>
        </w:rPr>
        <w:t>四极杆质量分析器可加热控温至100℃（需提供软件截图）</w:t>
      </w:r>
    </w:p>
    <w:p>
      <w:pPr>
        <w:spacing w:line="360" w:lineRule="auto"/>
        <w:ind w:firstLine="240" w:firstLineChars="1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#3.3.10</w:t>
      </w:r>
      <w:r>
        <w:rPr>
          <w:rFonts w:hint="eastAsia" w:ascii="Times New Roman" w:hAnsi="Times New Roman" w:eastAsia="宋体" w:cs="Times New Roman"/>
          <w:color w:val="auto"/>
          <w:sz w:val="24"/>
          <w:highlight w:val="none"/>
        </w:rPr>
        <w:t>液相色谱(含在线固相萃取部分)和质谱需由同一厂商生产提供，且可由一套软件采集并分析数据</w:t>
      </w:r>
    </w:p>
    <w:p>
      <w:pPr>
        <w:spacing w:line="360" w:lineRule="auto"/>
        <w:ind w:firstLine="240" w:firstLineChars="10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3.4 数据处理系统</w:t>
      </w:r>
    </w:p>
    <w:p>
      <w:pPr>
        <w:spacing w:line="360" w:lineRule="auto"/>
        <w:ind w:firstLine="240" w:firstLineChars="10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3.4.1 工作站（i7，32 G内存，1 T固态硬盘）1台</w:t>
      </w:r>
    </w:p>
    <w:p>
      <w:pPr>
        <w:spacing w:line="360" w:lineRule="auto"/>
        <w:ind w:firstLine="240" w:firstLineChars="10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#3.4.2 软件：控制软件可安装1次，数据处理软件可安装至少5次</w:t>
      </w:r>
    </w:p>
    <w:p>
      <w:pPr>
        <w:spacing w:line="360" w:lineRule="auto"/>
        <w:ind w:firstLine="240" w:firstLineChars="10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3.4.3</w:t>
      </w:r>
      <w:r>
        <w:rPr>
          <w:rFonts w:hint="eastAsia" w:ascii="Times New Roman" w:hAnsi="Times New Roman" w:eastAsia="宋体" w:cs="Times New Roman"/>
          <w:color w:val="auto"/>
          <w:sz w:val="24"/>
          <w:highlight w:val="none"/>
        </w:rPr>
        <w:tab/>
      </w:r>
      <w:r>
        <w:rPr>
          <w:rFonts w:hint="eastAsia" w:ascii="Times New Roman" w:hAnsi="Times New Roman" w:eastAsia="宋体" w:cs="Times New Roman"/>
          <w:color w:val="auto"/>
          <w:sz w:val="24"/>
          <w:highlight w:val="none"/>
        </w:rPr>
        <w:t>数据库：提供水、土壤中全氟化合物、农药、兽药、抗生素、PPCP的方法数据库，包括前处理方法、在线固相萃取条件、液相色谱条件和质谱方法。提供至少包括全氟化合物、农药、兽药、抗生素、PPCP在内的液相色谱三重串联四级杆质谱化合物数据库。</w:t>
      </w:r>
    </w:p>
    <w:p>
      <w:pPr>
        <w:spacing w:line="360" w:lineRule="auto"/>
        <w:ind w:firstLine="480"/>
        <w:rPr>
          <w:rFonts w:ascii="Times New Roman" w:hAnsi="Times New Roman" w:eastAsia="宋体" w:cs="Times New Roman"/>
          <w:color w:val="auto"/>
          <w:sz w:val="24"/>
          <w:highlight w:val="none"/>
        </w:rPr>
      </w:pPr>
    </w:p>
    <w:p>
      <w:pPr>
        <w:spacing w:line="360" w:lineRule="auto"/>
        <w:rPr>
          <w:rFonts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4. 产品配置要求</w:t>
      </w:r>
    </w:p>
    <w:p>
      <w:pPr>
        <w:spacing w:line="360" w:lineRule="auto"/>
        <w:jc w:val="left"/>
        <w:rPr>
          <w:rFonts w:ascii="宋体" w:hAnsi="Times New Roman" w:eastAsia="宋体" w:cs="Times New Roman"/>
          <w:color w:val="auto"/>
          <w:sz w:val="24"/>
          <w:highlight w:val="none"/>
        </w:rPr>
      </w:pPr>
      <w:r>
        <w:rPr>
          <w:rFonts w:hint="eastAsia" w:ascii="Times New Roman" w:hAnsi="Times New Roman" w:eastAsia="宋体" w:cs="Times New Roman"/>
          <w:color w:val="auto"/>
          <w:sz w:val="24"/>
          <w:highlight w:val="none"/>
        </w:rPr>
        <w:t>超高效液相色谱三重串联四级杆质谱联用仪1套，包括在线固相萃取系统1台，超高效液相色谱仪1台，三重串联四级杆质谱仪1台</w:t>
      </w:r>
    </w:p>
    <w:p>
      <w:pPr>
        <w:spacing w:line="360" w:lineRule="auto"/>
        <w:rPr>
          <w:rFonts w:ascii="Times New Roman" w:hAnsi="Times New Roman" w:eastAsia="宋体" w:cs="Times New Roman"/>
          <w:b/>
          <w:color w:val="auto"/>
          <w:sz w:val="24"/>
          <w:highlight w:val="none"/>
        </w:rPr>
      </w:pPr>
    </w:p>
    <w:p>
      <w:pPr>
        <w:spacing w:line="360" w:lineRule="auto"/>
        <w:rPr>
          <w:rFonts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（二）质保及售后服务：</w:t>
      </w:r>
    </w:p>
    <w:p>
      <w:pPr>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1.</w:t>
      </w:r>
      <w:r>
        <w:rPr>
          <w:rFonts w:hint="eastAsia" w:ascii="Times New Roman" w:hAnsi="Times New Roman" w:eastAsia="宋体" w:cs="Times New Roman"/>
          <w:color w:val="auto"/>
          <w:sz w:val="24"/>
          <w:highlight w:val="none"/>
        </w:rPr>
        <w:tab/>
      </w:r>
      <w:r>
        <w:rPr>
          <w:rFonts w:hint="eastAsia" w:ascii="Times New Roman" w:hAnsi="Times New Roman" w:eastAsia="宋体" w:cs="Times New Roman"/>
          <w:color w:val="auto"/>
          <w:sz w:val="24"/>
          <w:highlight w:val="none"/>
        </w:rPr>
        <w:t>安装调试的要求</w:t>
      </w:r>
    </w:p>
    <w:p>
      <w:pPr>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1.1</w:t>
      </w:r>
      <w:r>
        <w:rPr>
          <w:rFonts w:hint="eastAsia" w:ascii="Times New Roman" w:hAnsi="Times New Roman" w:eastAsia="宋体" w:cs="Times New Roman"/>
          <w:color w:val="auto"/>
          <w:sz w:val="24"/>
          <w:highlight w:val="none"/>
        </w:rPr>
        <w:tab/>
      </w:r>
      <w:r>
        <w:rPr>
          <w:rFonts w:hint="eastAsia" w:ascii="Times New Roman" w:hAnsi="Times New Roman" w:eastAsia="宋体" w:cs="Times New Roman"/>
          <w:color w:val="auto"/>
          <w:sz w:val="24"/>
          <w:highlight w:val="none"/>
        </w:rPr>
        <w:t>仪器设备运抵安装现场后，在七个工作日内，工程师前往设备使用现场，免费安装调试设备。买方发现所提供的仪器品质和技术规范不符合合同要求，或有损坏时，买方有权要求卖方负责更换。卖方应承担相应责任并负责赔偿全部损失，并承担由此给买方带来延期使用等方面造成的损失。</w:t>
      </w:r>
    </w:p>
    <w:p>
      <w:pPr>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1.2</w:t>
      </w:r>
      <w:r>
        <w:rPr>
          <w:rFonts w:hint="eastAsia" w:ascii="Times New Roman" w:hAnsi="Times New Roman" w:eastAsia="宋体" w:cs="Times New Roman"/>
          <w:color w:val="auto"/>
          <w:sz w:val="24"/>
          <w:highlight w:val="none"/>
        </w:rPr>
        <w:tab/>
      </w:r>
      <w:r>
        <w:rPr>
          <w:rFonts w:hint="eastAsia" w:ascii="Times New Roman" w:hAnsi="Times New Roman" w:eastAsia="宋体" w:cs="Times New Roman"/>
          <w:color w:val="auto"/>
          <w:sz w:val="24"/>
          <w:highlight w:val="none"/>
        </w:rPr>
        <w:t>验收由采购人及相关人员依国家有关标准、合同及有关附件要求进行，验收完毕由采购人在验收报告上签名。</w:t>
      </w:r>
    </w:p>
    <w:p>
      <w:pPr>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2.</w:t>
      </w:r>
      <w:r>
        <w:rPr>
          <w:rFonts w:hint="eastAsia" w:ascii="Times New Roman" w:hAnsi="Times New Roman" w:eastAsia="宋体" w:cs="Times New Roman"/>
          <w:color w:val="auto"/>
          <w:sz w:val="24"/>
          <w:highlight w:val="none"/>
        </w:rPr>
        <w:tab/>
      </w:r>
      <w:r>
        <w:rPr>
          <w:rFonts w:hint="eastAsia" w:ascii="Times New Roman" w:hAnsi="Times New Roman" w:eastAsia="宋体" w:cs="Times New Roman"/>
          <w:color w:val="auto"/>
          <w:sz w:val="24"/>
          <w:highlight w:val="none"/>
        </w:rPr>
        <w:t>技术培训</w:t>
      </w:r>
    </w:p>
    <w:p>
      <w:pPr>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2.1</w:t>
      </w:r>
      <w:r>
        <w:rPr>
          <w:rFonts w:hint="eastAsia" w:ascii="Times New Roman" w:hAnsi="Times New Roman" w:eastAsia="宋体" w:cs="Times New Roman"/>
          <w:color w:val="auto"/>
          <w:sz w:val="24"/>
          <w:highlight w:val="none"/>
        </w:rPr>
        <w:tab/>
      </w:r>
      <w:r>
        <w:rPr>
          <w:rFonts w:hint="eastAsia" w:ascii="Times New Roman" w:hAnsi="Times New Roman" w:eastAsia="宋体" w:cs="Times New Roman"/>
          <w:color w:val="auto"/>
          <w:sz w:val="24"/>
          <w:highlight w:val="none"/>
        </w:rPr>
        <w:t>现场培训：在安装仪器时由专业工程师进行免费安装调试和现场培训。讲解仪器内部构造、仪器维护保养以及简单的故障排除方法，直至用户技术人员熟练使用仪器以及会应用仪器完成整个分析检测工作。</w:t>
      </w:r>
    </w:p>
    <w:p>
      <w:pPr>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2.2</w:t>
      </w:r>
      <w:r>
        <w:rPr>
          <w:rFonts w:hint="eastAsia" w:ascii="Times New Roman" w:hAnsi="Times New Roman" w:eastAsia="宋体" w:cs="Times New Roman"/>
          <w:color w:val="auto"/>
          <w:sz w:val="24"/>
          <w:highlight w:val="none"/>
        </w:rPr>
        <w:tab/>
      </w:r>
      <w:r>
        <w:rPr>
          <w:rFonts w:hint="eastAsia" w:ascii="Times New Roman" w:hAnsi="Times New Roman" w:eastAsia="宋体" w:cs="Times New Roman"/>
          <w:color w:val="auto"/>
          <w:sz w:val="24"/>
          <w:highlight w:val="none"/>
        </w:rPr>
        <w:t>现场回访培训：根据用户使用情况及需求，供应商安排专业应用工程师免费对用户的使用情况进行提高培训，帮助客户解决遇到的问题，协助客户进行项目开发，并进行技术提高和方法开发等高级培训。</w:t>
      </w:r>
    </w:p>
    <w:p>
      <w:pPr>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2.3</w:t>
      </w:r>
      <w:r>
        <w:rPr>
          <w:rFonts w:hint="eastAsia" w:ascii="Times New Roman" w:hAnsi="Times New Roman" w:eastAsia="宋体" w:cs="Times New Roman"/>
          <w:color w:val="auto"/>
          <w:sz w:val="24"/>
          <w:highlight w:val="none"/>
        </w:rPr>
        <w:tab/>
      </w:r>
      <w:r>
        <w:rPr>
          <w:rFonts w:hint="eastAsia" w:ascii="Times New Roman" w:hAnsi="Times New Roman" w:eastAsia="宋体" w:cs="Times New Roman"/>
          <w:color w:val="auto"/>
          <w:sz w:val="24"/>
          <w:highlight w:val="none"/>
        </w:rPr>
        <w:t>厂家培训中心培训：提供5个名额的学习班系统培训，包括仪器原理、操作、维护等。</w:t>
      </w:r>
    </w:p>
    <w:p>
      <w:pPr>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w:t>
      </w:r>
      <w:r>
        <w:rPr>
          <w:rFonts w:hint="eastAsia" w:ascii="Times New Roman" w:hAnsi="Times New Roman" w:eastAsia="宋体" w:cs="Times New Roman"/>
          <w:color w:val="auto"/>
          <w:sz w:val="24"/>
          <w:highlight w:val="none"/>
        </w:rPr>
        <w:tab/>
      </w:r>
      <w:r>
        <w:rPr>
          <w:rFonts w:hint="eastAsia" w:ascii="Times New Roman" w:hAnsi="Times New Roman" w:eastAsia="宋体" w:cs="Times New Roman"/>
          <w:color w:val="auto"/>
          <w:sz w:val="24"/>
          <w:highlight w:val="none"/>
        </w:rPr>
        <w:t>质保期</w:t>
      </w:r>
    </w:p>
    <w:p>
      <w:pPr>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提供至少两年的免费质保服务，自设备安装验收合格并经双方签字之日起开始计算。制造商在国内的技术服务中心（包括维修中心）应当提供所有的服务，包括备有零件及易耗品。</w:t>
      </w:r>
    </w:p>
    <w:p>
      <w:pPr>
        <w:numPr>
          <w:ilvl w:val="0"/>
          <w:numId w:val="3"/>
        </w:numPr>
        <w:spacing w:line="360" w:lineRule="auto"/>
        <w:ind w:left="360" w:hanging="36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售后服务</w:t>
      </w:r>
    </w:p>
    <w:p>
      <w:pPr>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4.1 供应商在中国境内有固定的办事处、维修部及零配件保存仓库。质保期内如设备出现故障，供方应在接到需方通知后的2小时内响应，24小时内确定故障原因和维修方法。如需要到现场维修，供方维修工程师应在48小时内（遇见不可抗拒的因素除外）到达现场，免费更换受损元件和提供免费服务，快速排除故障。</w:t>
      </w:r>
    </w:p>
    <w:p>
      <w:pPr>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质保期后，供方承诺将为需方提供长期维修服务，对于需方的任何投诉和要求，供方将在4小时内做出相应答复；当仪器出现故障时，供方工程师在接到需方故障通知后24小时内提出处理意见；供方在接到需方维修通知后72小时到达现场修复，维修费用由双方协商解决。</w:t>
      </w:r>
    </w:p>
    <w:p>
      <w:pPr>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4.2 后期更换配件及易耗品成本价提供。保障投标设备停产后10年的关键零部件（包括易耗品）供应。</w:t>
      </w:r>
    </w:p>
    <w:p>
      <w:pPr>
        <w:spacing w:line="360" w:lineRule="auto"/>
        <w:rPr>
          <w:rFonts w:ascii="Times New Roman" w:hAnsi="Times New Roman" w:eastAsia="宋体" w:cs="Times New Roman"/>
          <w:color w:val="auto"/>
          <w:sz w:val="24"/>
          <w:highlight w:val="none"/>
        </w:rPr>
      </w:pPr>
    </w:p>
    <w:p>
      <w:pPr>
        <w:spacing w:line="360" w:lineRule="auto"/>
        <w:rPr>
          <w:rFonts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（三） 订货数量：</w:t>
      </w:r>
    </w:p>
    <w:p>
      <w:pPr>
        <w:spacing w:line="360" w:lineRule="auto"/>
        <w:ind w:firstLine="240" w:firstLineChars="10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 1套</w:t>
      </w:r>
    </w:p>
    <w:p>
      <w:pPr>
        <w:spacing w:line="360" w:lineRule="auto"/>
        <w:rPr>
          <w:rFonts w:ascii="Times New Roman" w:hAnsi="Times New Roman" w:eastAsia="宋体" w:cs="Times New Roman"/>
          <w:color w:val="auto"/>
          <w:sz w:val="24"/>
          <w:highlight w:val="none"/>
        </w:rPr>
      </w:pPr>
    </w:p>
    <w:p>
      <w:pPr>
        <w:spacing w:line="360" w:lineRule="auto"/>
        <w:rPr>
          <w:rFonts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（四） 交货地：</w:t>
      </w:r>
    </w:p>
    <w:p>
      <w:pPr>
        <w:spacing w:line="360" w:lineRule="auto"/>
        <w:ind w:firstLine="24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 用户指定地点</w:t>
      </w:r>
    </w:p>
    <w:p>
      <w:pPr>
        <w:spacing w:line="360" w:lineRule="auto"/>
        <w:rPr>
          <w:rFonts w:ascii="Times New Roman" w:hAnsi="Times New Roman" w:eastAsia="宋体" w:cs="Times New Roman"/>
          <w:color w:val="auto"/>
          <w:sz w:val="24"/>
          <w:highlight w:val="none"/>
        </w:rPr>
      </w:pPr>
    </w:p>
    <w:p>
      <w:pPr>
        <w:spacing w:line="360" w:lineRule="auto"/>
        <w:rPr>
          <w:rFonts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（五）交货日期：</w:t>
      </w:r>
    </w:p>
    <w:p>
      <w:pPr>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   合同生效后6个月内                                           </w:t>
      </w:r>
    </w:p>
    <w:p>
      <w:pPr>
        <w:spacing w:line="360" w:lineRule="auto"/>
        <w:rPr>
          <w:rFonts w:ascii="Times New Roman" w:hAnsi="Times New Roman" w:eastAsia="宋体" w:cs="Times New Roman"/>
          <w:color w:val="auto"/>
          <w:sz w:val="24"/>
          <w:highlight w:val="none"/>
        </w:rPr>
      </w:pPr>
    </w:p>
    <w:p>
      <w:pPr>
        <w:spacing w:line="360" w:lineRule="auto"/>
        <w:rPr>
          <w:rFonts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（六）执行的相关标准</w:t>
      </w:r>
    </w:p>
    <w:p>
      <w:pPr>
        <w:spacing w:line="360" w:lineRule="auto"/>
        <w:rPr>
          <w:rFonts w:ascii="inherit" w:hAnsi="inherit" w:eastAsia="宋体" w:cs="宋体"/>
          <w:color w:val="auto"/>
          <w:kern w:val="0"/>
          <w:sz w:val="24"/>
          <w:highlight w:val="none"/>
        </w:rPr>
      </w:pPr>
      <w:r>
        <w:rPr>
          <w:rFonts w:hint="eastAsia" w:ascii="inherit" w:hAnsi="inherit" w:eastAsia="宋体" w:cs="宋体"/>
          <w:color w:val="auto"/>
          <w:kern w:val="0"/>
          <w:sz w:val="24"/>
          <w:highlight w:val="none"/>
        </w:rPr>
        <w:t>产品应满足相关国家标准及行业标准。</w:t>
      </w:r>
    </w:p>
    <w:p>
      <w:pPr>
        <w:spacing w:line="360" w:lineRule="auto"/>
        <w:rPr>
          <w:rFonts w:ascii="inherit" w:hAnsi="inherit" w:eastAsia="宋体" w:cs="宋体"/>
          <w:color w:val="auto"/>
          <w:kern w:val="0"/>
          <w:sz w:val="24"/>
          <w:highlight w:val="none"/>
        </w:rPr>
      </w:pPr>
    </w:p>
    <w:p>
      <w:pPr>
        <w:spacing w:line="360" w:lineRule="auto"/>
        <w:rPr>
          <w:rFonts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rPr>
        <w:t>（</w:t>
      </w:r>
      <w:r>
        <w:rPr>
          <w:rFonts w:hint="eastAsia" w:ascii="Times New Roman" w:hAnsi="Times New Roman" w:eastAsia="宋体" w:cs="Times New Roman"/>
          <w:b/>
          <w:bCs/>
          <w:color w:val="auto"/>
          <w:sz w:val="24"/>
          <w:highlight w:val="none"/>
        </w:rPr>
        <w:t>七</w:t>
      </w:r>
      <w:r>
        <w:rPr>
          <w:rFonts w:ascii="Times New Roman" w:hAnsi="Times New Roman" w:eastAsia="宋体" w:cs="Times New Roman"/>
          <w:b/>
          <w:bCs/>
          <w:color w:val="auto"/>
          <w:sz w:val="24"/>
          <w:highlight w:val="none"/>
        </w:rPr>
        <w:t>）</w:t>
      </w:r>
      <w:r>
        <w:rPr>
          <w:rFonts w:ascii="Times New Roman" w:hAnsi="Times New Roman" w:eastAsia="宋体" w:cs="Times New Roman"/>
          <w:b/>
          <w:bCs/>
          <w:color w:val="auto"/>
          <w:sz w:val="24"/>
          <w:highlight w:val="none"/>
        </w:rPr>
        <w:tab/>
      </w:r>
      <w:r>
        <w:rPr>
          <w:rFonts w:ascii="Times New Roman" w:hAnsi="Times New Roman" w:eastAsia="宋体" w:cs="Times New Roman"/>
          <w:b/>
          <w:bCs/>
          <w:color w:val="auto"/>
          <w:sz w:val="24"/>
          <w:highlight w:val="none"/>
        </w:rPr>
        <w:t>验收要求</w:t>
      </w:r>
    </w:p>
    <w:p>
      <w:pPr>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*1.</w:t>
      </w:r>
      <w:r>
        <w:rPr>
          <w:rFonts w:ascii="Times New Roman" w:hAnsi="Times New Roman" w:eastAsia="宋体" w:cs="Times New Roman"/>
          <w:color w:val="auto"/>
          <w:sz w:val="24"/>
          <w:highlight w:val="none"/>
        </w:rPr>
        <w:tab/>
      </w:r>
      <w:r>
        <w:rPr>
          <w:rFonts w:ascii="Times New Roman" w:hAnsi="Times New Roman" w:eastAsia="宋体" w:cs="Times New Roman"/>
          <w:color w:val="auto"/>
          <w:sz w:val="24"/>
          <w:highlight w:val="none"/>
        </w:rPr>
        <w:t>设备的配置、功能和技术指标必须满足招标文件要求，所有技术指标必须能够现场验收或提供第三方权威机构的证明材料，投</w:t>
      </w:r>
      <w:r>
        <w:rPr>
          <w:rFonts w:ascii="Times New Roman" w:hAnsi="Times New Roman" w:eastAsia="宋体" w:cs="Times New Roman"/>
          <w:b/>
          <w:bCs/>
          <w:color w:val="auto"/>
          <w:sz w:val="24"/>
          <w:highlight w:val="none"/>
        </w:rPr>
        <w:t>标商需在投标文件中提供完备的现场验收方案，</w:t>
      </w:r>
      <w:r>
        <w:rPr>
          <w:rFonts w:hint="eastAsia" w:ascii="Times New Roman" w:hAnsi="Times New Roman" w:eastAsia="宋体" w:cs="Times New Roman"/>
          <w:b/>
          <w:bCs/>
          <w:color w:val="auto"/>
          <w:sz w:val="24"/>
          <w:highlight w:val="none"/>
        </w:rPr>
        <w:t>未提交现场验收方案将作为废标处理</w:t>
      </w:r>
      <w:r>
        <w:rPr>
          <w:rFonts w:ascii="Times New Roman" w:hAnsi="Times New Roman" w:eastAsia="宋体" w:cs="Times New Roman"/>
          <w:color w:val="auto"/>
          <w:sz w:val="24"/>
          <w:highlight w:val="none"/>
        </w:rPr>
        <w:t>。</w:t>
      </w:r>
    </w:p>
    <w:p>
      <w:pPr>
        <w:widowControl/>
        <w:spacing w:line="360" w:lineRule="atLeast"/>
        <w:rPr>
          <w:rFonts w:ascii="宋体" w:hAnsi="宋体" w:eastAsia="宋体" w:cs="Times New Roman"/>
          <w:b/>
          <w:color w:val="auto"/>
          <w:sz w:val="30"/>
          <w:szCs w:val="30"/>
          <w:highlight w:val="none"/>
        </w:rPr>
      </w:pPr>
      <w:bookmarkStart w:id="0" w:name="_Hlk139638902"/>
      <w:r>
        <w:rPr>
          <w:rFonts w:ascii="Times New Roman" w:hAnsi="Times New Roman" w:eastAsia="宋体" w:cs="Times New Roman"/>
          <w:color w:val="auto"/>
          <w:sz w:val="24"/>
          <w:highlight w:val="none"/>
        </w:rPr>
        <w:t>#2.</w:t>
      </w:r>
      <w:r>
        <w:rPr>
          <w:rFonts w:ascii="Times New Roman" w:hAnsi="Times New Roman" w:eastAsia="宋体" w:cs="Times New Roman"/>
          <w:color w:val="auto"/>
          <w:sz w:val="24"/>
          <w:highlight w:val="none"/>
        </w:rPr>
        <w:tab/>
      </w:r>
      <w:bookmarkEnd w:id="0"/>
      <w:r>
        <w:rPr>
          <w:rFonts w:ascii="Times New Roman" w:hAnsi="Times New Roman" w:eastAsia="宋体" w:cs="Times New Roman"/>
          <w:color w:val="auto"/>
          <w:sz w:val="24"/>
          <w:highlight w:val="none"/>
        </w:rPr>
        <w:t>技术指标现场验收方案科学</w:t>
      </w:r>
      <w:r>
        <w:rPr>
          <w:rFonts w:hint="eastAsia" w:ascii="Times New Roman" w:hAnsi="Times New Roman" w:eastAsia="宋体" w:cs="Times New Roman"/>
          <w:color w:val="auto"/>
          <w:sz w:val="24"/>
          <w:highlight w:val="none"/>
        </w:rPr>
        <w:t>、</w:t>
      </w:r>
      <w:r>
        <w:rPr>
          <w:rFonts w:ascii="Times New Roman" w:hAnsi="Times New Roman" w:eastAsia="宋体" w:cs="Times New Roman"/>
          <w:color w:val="auto"/>
          <w:sz w:val="24"/>
          <w:highlight w:val="none"/>
        </w:rPr>
        <w:t>合理</w:t>
      </w:r>
      <w:r>
        <w:rPr>
          <w:rFonts w:hint="eastAsia" w:ascii="Times New Roman" w:hAnsi="Times New Roman" w:eastAsia="宋体" w:cs="Times New Roman"/>
          <w:color w:val="auto"/>
          <w:sz w:val="24"/>
          <w:highlight w:val="none"/>
        </w:rPr>
        <w:t>，具有</w:t>
      </w:r>
      <w:r>
        <w:rPr>
          <w:rFonts w:ascii="Times New Roman" w:hAnsi="Times New Roman" w:eastAsia="宋体" w:cs="Times New Roman"/>
          <w:color w:val="auto"/>
          <w:sz w:val="24"/>
          <w:highlight w:val="none"/>
        </w:rPr>
        <w:t>可行性。</w:t>
      </w:r>
      <w:r>
        <w:rPr>
          <w:rFonts w:hint="eastAsia" w:ascii="Times New Roman" w:hAnsi="Times New Roman" w:eastAsia="宋体" w:cs="Times New Roman"/>
          <w:color w:val="auto"/>
          <w:sz w:val="24"/>
          <w:highlight w:val="none"/>
        </w:rPr>
        <w:t>其中#号和*号指标项必须提供检测方法、所用设备、材料和试剂、验收流程、结果表述及是否达到要求的判断方法等。</w:t>
      </w:r>
    </w:p>
    <w:p>
      <w:bookmarkStart w:id="1" w:name="_GoBack"/>
      <w:bookmarkEnd w:id="1"/>
    </w:p>
    <w:sectPr>
      <w:footerReference r:id="rId5" w:type="first"/>
      <w:headerReference r:id="rId3" w:type="default"/>
      <w:footerReference r:id="rId4" w:type="default"/>
      <w:pgSz w:w="11906" w:h="16838"/>
      <w:pgMar w:top="1418" w:right="1418" w:bottom="1418" w:left="1418"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inherit">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tabs>
        <w:tab w:val="center" w:pos="4153"/>
        <w:tab w:val="right" w:pos="8306"/>
      </w:tabs>
      <w:snapToGrid w:val="0"/>
      <w:jc w:val="center"/>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PAGE   \* MERGEFORMAT</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zh-CN" w:eastAsia="zh-CN" w:bidi="ar-SA"/>
      </w:rPr>
      <w:t>24</w:t>
    </w:r>
    <w:r>
      <w:rPr>
        <w:rFonts w:ascii="Times New Roman" w:hAnsi="Times New Roman" w:eastAsia="宋体" w:cs="Times New Roman"/>
        <w:kern w:val="2"/>
        <w:sz w:val="18"/>
        <w:szCs w:val="18"/>
        <w:lang w:val="en-US" w:eastAsia="zh-CN" w:bidi="ar-SA"/>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tabs>
        <w:tab w:val="center" w:pos="4153"/>
        <w:tab w:val="right" w:pos="8306"/>
      </w:tabs>
      <w:snapToGrid w:val="0"/>
      <w:jc w:val="center"/>
      <w:rPr>
        <w:rFonts w:ascii="Times New Roman" w:hAnsi="Times New Roman" w:eastAsia="宋体" w:cs="Times New Roman"/>
        <w:kern w:val="2"/>
        <w:sz w:val="18"/>
        <w:szCs w:val="18"/>
        <w:lang w:val="en-US" w:eastAsia="zh-CN" w:bidi="ar-S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Bdr>
        <w:bottom w:val="single" w:color="auto" w:sz="6" w:space="1"/>
      </w:pBdr>
      <w:tabs>
        <w:tab w:val="center" w:pos="4153"/>
        <w:tab w:val="right" w:pos="8306"/>
      </w:tabs>
      <w:snapToGrid w:val="0"/>
      <w:jc w:val="both"/>
      <w:rPr>
        <w:rFonts w:ascii="Times New Roman" w:hAnsi="Times New Roman" w:eastAsia="宋体" w:cs="Times New Roman"/>
        <w:kern w:val="2"/>
        <w:sz w:val="18"/>
        <w:szCs w:val="18"/>
        <w:lang w:val="en-US" w:eastAsia="zh-CN" w:bidi="ar-SA"/>
      </w:rPr>
    </w:pPr>
    <w:r>
      <w:rPr>
        <w:rFonts w:hint="eastAsia" w:ascii="Times New Roman" w:hAnsi="Times New Roman" w:eastAsia="宋体" w:cs="Times New Roman"/>
        <w:i/>
        <w:kern w:val="2"/>
        <w:sz w:val="18"/>
        <w:szCs w:val="18"/>
        <w:lang w:val="en-US" w:eastAsia="zh-CN" w:bidi="ar-SA"/>
      </w:rPr>
      <w:t>东方国际招标有限责任公司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68F84946"/>
    <w:multiLevelType w:val="multilevel"/>
    <w:tmpl w:val="68F84946"/>
    <w:lvl w:ilvl="0" w:tentative="0">
      <w:start w:val="1"/>
      <w:numFmt w:val="decimal"/>
      <w:lvlText w:val="%1）"/>
      <w:lvlJc w:val="left"/>
      <w:pPr>
        <w:tabs>
          <w:tab w:val="left" w:pos="1896"/>
        </w:tabs>
        <w:ind w:left="1896" w:hanging="396"/>
      </w:pPr>
      <w:rPr>
        <w:rFonts w:hint="eastAsia" w:eastAsia="仿宋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3MTY3Njg1YTYzNTg5NmFiY2UwNjI5N2Q3MTcyY2MifQ=="/>
  </w:docVars>
  <w:rsids>
    <w:rsidRoot w:val="6677246E"/>
    <w:rsid w:val="667724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2023-09-13T05:55:00Z</dcterms:created>
  <dc:creator>sw wang</dc:creator>
  <cp:lastModifiedBy>sw wang</cp:lastModifiedBy>
  <dcterms:modified xsi:type="dcterms:W3CDTF">2023-09-13T05:56:01Z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4293AC50813E40BCA02694E338B8F6AA_11</vt:lpwstr>
  </property>
</Properties>
</file>