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0C71F5">
      <w:pPr>
        <w:pStyle w:val="15"/>
        <w:spacing w:line="360" w:lineRule="auto"/>
        <w:jc w:val="center"/>
        <w:rPr>
          <w:rFonts w:hint="eastAsia" w:hAnsi="宋体"/>
          <w:b/>
          <w:bCs w:val="0"/>
          <w:color w:val="auto"/>
          <w:sz w:val="56"/>
          <w:szCs w:val="56"/>
          <w:highlight w:val="none"/>
          <w:lang w:eastAsia="zh-CN"/>
        </w:rPr>
      </w:pPr>
      <w:bookmarkStart w:id="0" w:name="_Toc305963489"/>
    </w:p>
    <w:p w14:paraId="4873884A">
      <w:pPr>
        <w:spacing w:line="360" w:lineRule="auto"/>
        <w:jc w:val="center"/>
        <w:rPr>
          <w:color w:val="auto"/>
          <w:sz w:val="20"/>
          <w:szCs w:val="22"/>
          <w:highlight w:val="none"/>
        </w:rPr>
      </w:pPr>
      <w:r>
        <w:rPr>
          <w:rFonts w:hint="eastAsia" w:hAnsi="宋体"/>
          <w:b/>
          <w:bCs w:val="0"/>
          <w:color w:val="auto"/>
          <w:sz w:val="52"/>
          <w:szCs w:val="52"/>
          <w:highlight w:val="none"/>
          <w:lang w:eastAsia="zh-CN"/>
        </w:rPr>
        <w:t>玉溪一中拔尖创新人才培养项目之小初高贯通数学竞赛培训课程（二次）</w:t>
      </w:r>
    </w:p>
    <w:p w14:paraId="4FB8AEB5">
      <w:pPr>
        <w:pStyle w:val="15"/>
        <w:jc w:val="center"/>
        <w:rPr>
          <w:rFonts w:hAnsi="宋体"/>
          <w:bCs/>
          <w:color w:val="auto"/>
          <w:highlight w:val="none"/>
        </w:rPr>
      </w:pPr>
    </w:p>
    <w:p w14:paraId="38DD0787">
      <w:pPr>
        <w:rPr>
          <w:rFonts w:hAnsi="宋体"/>
          <w:bCs/>
          <w:color w:val="auto"/>
          <w:szCs w:val="21"/>
          <w:highlight w:val="none"/>
        </w:rPr>
      </w:pPr>
    </w:p>
    <w:p w14:paraId="4BCD2F22">
      <w:pPr>
        <w:pStyle w:val="34"/>
        <w:ind w:firstLine="420"/>
        <w:rPr>
          <w:rFonts w:hAnsi="宋体"/>
          <w:bCs/>
          <w:color w:val="auto"/>
          <w:szCs w:val="21"/>
          <w:highlight w:val="none"/>
        </w:rPr>
      </w:pPr>
    </w:p>
    <w:p w14:paraId="0D5273FA">
      <w:pPr>
        <w:pStyle w:val="34"/>
        <w:ind w:firstLine="420"/>
        <w:rPr>
          <w:rFonts w:hint="default" w:hAnsi="宋体" w:eastAsia="宋体"/>
          <w:bCs/>
          <w:color w:val="auto"/>
          <w:szCs w:val="21"/>
          <w:highlight w:val="none"/>
          <w:lang w:val="en-US" w:eastAsia="zh-CN"/>
        </w:rPr>
      </w:pPr>
      <w:r>
        <w:rPr>
          <w:rFonts w:hint="eastAsia" w:hAnsi="宋体"/>
          <w:bCs/>
          <w:color w:val="auto"/>
          <w:szCs w:val="21"/>
          <w:highlight w:val="none"/>
          <w:lang w:val="en-US" w:eastAsia="zh-CN"/>
        </w:rPr>
        <w:t xml:space="preserve">  </w:t>
      </w:r>
    </w:p>
    <w:p w14:paraId="2BA75962">
      <w:pPr>
        <w:rPr>
          <w:color w:val="auto"/>
          <w:highlight w:val="none"/>
        </w:rPr>
      </w:pPr>
    </w:p>
    <w:p w14:paraId="52F384E0">
      <w:pPr>
        <w:rPr>
          <w:color w:val="auto"/>
          <w:highlight w:val="none"/>
        </w:rPr>
      </w:pPr>
    </w:p>
    <w:p w14:paraId="4270AC6C">
      <w:pPr>
        <w:rPr>
          <w:color w:val="auto"/>
          <w:highlight w:val="none"/>
        </w:rPr>
      </w:pPr>
    </w:p>
    <w:p w14:paraId="39CF7D47">
      <w:pPr>
        <w:pStyle w:val="6"/>
        <w:rPr>
          <w:color w:val="auto"/>
          <w:highlight w:val="none"/>
        </w:rPr>
      </w:pPr>
    </w:p>
    <w:p w14:paraId="157D7174">
      <w:pPr>
        <w:rPr>
          <w:color w:val="auto"/>
          <w:highlight w:val="none"/>
        </w:rPr>
      </w:pPr>
    </w:p>
    <w:p w14:paraId="7EDCFEDC">
      <w:pPr>
        <w:pStyle w:val="15"/>
        <w:jc w:val="center"/>
        <w:rPr>
          <w:rFonts w:hint="eastAsia" w:hAnsi="宋体"/>
          <w:b/>
          <w:color w:val="auto"/>
          <w:sz w:val="72"/>
          <w:szCs w:val="72"/>
          <w:highlight w:val="none"/>
        </w:rPr>
      </w:pPr>
    </w:p>
    <w:p w14:paraId="643849EC">
      <w:pPr>
        <w:pStyle w:val="15"/>
        <w:jc w:val="center"/>
        <w:rPr>
          <w:rFonts w:hAnsi="宋体"/>
          <w:b/>
          <w:color w:val="auto"/>
          <w:sz w:val="72"/>
          <w:szCs w:val="72"/>
          <w:highlight w:val="none"/>
        </w:rPr>
      </w:pPr>
      <w:r>
        <w:rPr>
          <w:rFonts w:hint="eastAsia" w:hAnsi="宋体"/>
          <w:b/>
          <w:color w:val="auto"/>
          <w:sz w:val="72"/>
          <w:szCs w:val="72"/>
          <w:highlight w:val="none"/>
        </w:rPr>
        <w:t>招  标  文  件</w:t>
      </w:r>
    </w:p>
    <w:p w14:paraId="5A7565EB">
      <w:pPr>
        <w:rPr>
          <w:color w:val="auto"/>
          <w:highlight w:val="none"/>
        </w:rPr>
      </w:pPr>
    </w:p>
    <w:p w14:paraId="3185C0AF">
      <w:pPr>
        <w:pStyle w:val="15"/>
        <w:jc w:val="center"/>
        <w:outlineLvl w:val="9"/>
        <w:rPr>
          <w:rFonts w:hint="eastAsia" w:hAnsi="宋体" w:eastAsia="宋体"/>
          <w:b/>
          <w:color w:val="auto"/>
          <w:sz w:val="32"/>
          <w:szCs w:val="32"/>
          <w:highlight w:val="none"/>
          <w:lang w:eastAsia="zh-CN"/>
        </w:rPr>
      </w:pPr>
      <w:bookmarkStart w:id="1" w:name="_Toc2585"/>
      <w:r>
        <w:rPr>
          <w:rFonts w:hint="eastAsia" w:hAnsi="宋体"/>
          <w:b/>
          <w:color w:val="auto"/>
          <w:sz w:val="32"/>
          <w:szCs w:val="32"/>
          <w:highlight w:val="none"/>
        </w:rPr>
        <w:t>项目编号：</w:t>
      </w:r>
      <w:bookmarkEnd w:id="1"/>
      <w:r>
        <w:rPr>
          <w:rFonts w:hint="eastAsia" w:hAnsi="宋体"/>
          <w:b/>
          <w:color w:val="auto"/>
          <w:sz w:val="32"/>
          <w:szCs w:val="32"/>
          <w:highlight w:val="none"/>
          <w:lang w:eastAsia="zh-CN"/>
        </w:rPr>
        <w:t>YNJX-2025-05-20</w:t>
      </w:r>
    </w:p>
    <w:p w14:paraId="4FA6F695">
      <w:pPr>
        <w:pStyle w:val="10"/>
        <w:jc w:val="left"/>
        <w:rPr>
          <w:rFonts w:ascii="宋体"/>
          <w:color w:val="auto"/>
          <w:sz w:val="24"/>
          <w:szCs w:val="24"/>
          <w:highlight w:val="none"/>
        </w:rPr>
      </w:pPr>
    </w:p>
    <w:p w14:paraId="77B9674C">
      <w:pPr>
        <w:pStyle w:val="10"/>
        <w:jc w:val="left"/>
        <w:rPr>
          <w:rFonts w:ascii="宋体"/>
          <w:color w:val="auto"/>
          <w:sz w:val="24"/>
          <w:szCs w:val="24"/>
          <w:highlight w:val="none"/>
        </w:rPr>
      </w:pPr>
    </w:p>
    <w:p w14:paraId="60F23804">
      <w:pPr>
        <w:pStyle w:val="10"/>
        <w:jc w:val="left"/>
        <w:rPr>
          <w:rFonts w:ascii="宋体"/>
          <w:color w:val="auto"/>
          <w:sz w:val="24"/>
          <w:szCs w:val="24"/>
          <w:highlight w:val="none"/>
        </w:rPr>
      </w:pPr>
    </w:p>
    <w:p w14:paraId="0CB48F1F">
      <w:pPr>
        <w:pStyle w:val="10"/>
        <w:jc w:val="left"/>
        <w:rPr>
          <w:rFonts w:ascii="宋体"/>
          <w:color w:val="auto"/>
          <w:sz w:val="24"/>
          <w:szCs w:val="24"/>
          <w:highlight w:val="none"/>
        </w:rPr>
      </w:pPr>
    </w:p>
    <w:p w14:paraId="2B1411C0">
      <w:pPr>
        <w:pStyle w:val="10"/>
        <w:ind w:left="2240" w:hanging="2249" w:hangingChars="800"/>
        <w:jc w:val="left"/>
        <w:rPr>
          <w:rFonts w:ascii="宋体"/>
          <w:b/>
          <w:bCs/>
          <w:color w:val="auto"/>
          <w:sz w:val="28"/>
          <w:szCs w:val="24"/>
          <w:highlight w:val="none"/>
        </w:rPr>
      </w:pPr>
    </w:p>
    <w:p w14:paraId="5A232A7C">
      <w:pPr>
        <w:pStyle w:val="10"/>
        <w:ind w:left="2240" w:hanging="2249" w:hangingChars="800"/>
        <w:jc w:val="left"/>
        <w:rPr>
          <w:rFonts w:ascii="宋体"/>
          <w:b/>
          <w:bCs/>
          <w:color w:val="auto"/>
          <w:sz w:val="28"/>
          <w:szCs w:val="24"/>
          <w:highlight w:val="none"/>
        </w:rPr>
      </w:pPr>
    </w:p>
    <w:p w14:paraId="4481A07D">
      <w:pPr>
        <w:pStyle w:val="10"/>
        <w:spacing w:line="480" w:lineRule="auto"/>
        <w:jc w:val="left"/>
        <w:outlineLvl w:val="9"/>
        <w:rPr>
          <w:rFonts w:hint="eastAsia" w:ascii="宋体"/>
          <w:b/>
          <w:bCs/>
          <w:color w:val="auto"/>
          <w:sz w:val="32"/>
          <w:szCs w:val="32"/>
          <w:highlight w:val="none"/>
          <w:lang w:val="en-US" w:eastAsia="zh-CN"/>
        </w:rPr>
      </w:pPr>
      <w:bookmarkStart w:id="2" w:name="_Toc21005"/>
    </w:p>
    <w:p w14:paraId="36E7F353">
      <w:pPr>
        <w:pStyle w:val="10"/>
        <w:spacing w:line="480" w:lineRule="auto"/>
        <w:jc w:val="left"/>
        <w:outlineLvl w:val="9"/>
        <w:rPr>
          <w:rFonts w:hint="eastAsia" w:ascii="宋体"/>
          <w:b/>
          <w:bCs/>
          <w:color w:val="auto"/>
          <w:sz w:val="32"/>
          <w:szCs w:val="32"/>
          <w:highlight w:val="none"/>
          <w:lang w:val="en-US" w:eastAsia="zh-CN"/>
        </w:rPr>
      </w:pPr>
    </w:p>
    <w:p w14:paraId="2E5BDFD7">
      <w:pPr>
        <w:pStyle w:val="10"/>
        <w:spacing w:line="480" w:lineRule="auto"/>
        <w:ind w:firstLine="643" w:firstLineChars="200"/>
        <w:jc w:val="left"/>
        <w:outlineLvl w:val="9"/>
        <w:rPr>
          <w:rFonts w:ascii="宋体"/>
          <w:b/>
          <w:bCs/>
          <w:color w:val="auto"/>
          <w:sz w:val="32"/>
          <w:szCs w:val="32"/>
          <w:highlight w:val="none"/>
        </w:rPr>
      </w:pPr>
      <w:r>
        <w:rPr>
          <w:rFonts w:hint="eastAsia" w:ascii="宋体"/>
          <w:b/>
          <w:bCs/>
          <w:color w:val="auto"/>
          <w:sz w:val="32"/>
          <w:szCs w:val="32"/>
          <w:highlight w:val="none"/>
          <w:lang w:val="en-US" w:eastAsia="zh-CN"/>
        </w:rPr>
        <w:t>招</w:t>
      </w:r>
      <w:r>
        <w:rPr>
          <w:rFonts w:hint="eastAsia" w:ascii="宋体"/>
          <w:b/>
          <w:bCs/>
          <w:color w:val="auto"/>
          <w:sz w:val="32"/>
          <w:szCs w:val="32"/>
          <w:highlight w:val="none"/>
        </w:rPr>
        <w:t xml:space="preserve">   </w:t>
      </w:r>
      <w:r>
        <w:rPr>
          <w:rFonts w:hint="eastAsia" w:ascii="宋体"/>
          <w:b/>
          <w:bCs/>
          <w:color w:val="auto"/>
          <w:sz w:val="32"/>
          <w:szCs w:val="32"/>
          <w:highlight w:val="none"/>
          <w:lang w:val="en-US" w:eastAsia="zh-CN"/>
        </w:rPr>
        <w:t>标</w:t>
      </w:r>
      <w:r>
        <w:rPr>
          <w:rFonts w:hint="eastAsia" w:ascii="宋体"/>
          <w:b/>
          <w:bCs/>
          <w:color w:val="auto"/>
          <w:sz w:val="32"/>
          <w:szCs w:val="32"/>
          <w:highlight w:val="none"/>
        </w:rPr>
        <w:t xml:space="preserve">   人:</w:t>
      </w:r>
      <w:r>
        <w:rPr>
          <w:rFonts w:hint="eastAsia" w:ascii="宋体"/>
          <w:b/>
          <w:bCs/>
          <w:color w:val="auto"/>
          <w:sz w:val="32"/>
          <w:szCs w:val="32"/>
          <w:highlight w:val="none"/>
          <w:lang w:eastAsia="zh-CN"/>
        </w:rPr>
        <w:t>云南省玉溪第一中学</w:t>
      </w:r>
      <w:r>
        <w:rPr>
          <w:rFonts w:hint="eastAsia" w:ascii="宋体"/>
          <w:b/>
          <w:bCs/>
          <w:color w:val="auto"/>
          <w:sz w:val="32"/>
          <w:szCs w:val="32"/>
          <w:highlight w:val="none"/>
        </w:rPr>
        <w:t>（盖章)</w:t>
      </w:r>
      <w:bookmarkEnd w:id="2"/>
    </w:p>
    <w:p w14:paraId="49A4E537">
      <w:pPr>
        <w:pStyle w:val="10"/>
        <w:spacing w:line="480" w:lineRule="auto"/>
        <w:ind w:firstLine="643" w:firstLineChars="200"/>
        <w:jc w:val="left"/>
        <w:rPr>
          <w:rFonts w:ascii="宋体"/>
          <w:b/>
          <w:bCs/>
          <w:color w:val="auto"/>
          <w:sz w:val="32"/>
          <w:szCs w:val="32"/>
          <w:highlight w:val="none"/>
        </w:rPr>
      </w:pPr>
      <w:r>
        <w:rPr>
          <w:rFonts w:hint="eastAsia" w:ascii="宋体"/>
          <w:b/>
          <w:bCs/>
          <w:color w:val="auto"/>
          <w:sz w:val="32"/>
          <w:szCs w:val="32"/>
          <w:highlight w:val="none"/>
          <w:lang w:val="en-US" w:eastAsia="zh-CN"/>
        </w:rPr>
        <w:t>招标</w:t>
      </w:r>
      <w:r>
        <w:rPr>
          <w:rFonts w:hint="eastAsia" w:ascii="宋体"/>
          <w:b/>
          <w:bCs/>
          <w:color w:val="auto"/>
          <w:sz w:val="32"/>
          <w:szCs w:val="32"/>
          <w:highlight w:val="none"/>
        </w:rPr>
        <w:t>代理机构:</w:t>
      </w:r>
      <w:r>
        <w:rPr>
          <w:rFonts w:hint="eastAsia" w:ascii="宋体"/>
          <w:b/>
          <w:bCs/>
          <w:color w:val="auto"/>
          <w:sz w:val="32"/>
          <w:szCs w:val="32"/>
          <w:highlight w:val="none"/>
          <w:lang w:eastAsia="zh-CN"/>
        </w:rPr>
        <w:t>云南嘉鑫项目管理咨询有限公司</w:t>
      </w:r>
      <w:r>
        <w:rPr>
          <w:rFonts w:hint="eastAsia" w:ascii="宋体"/>
          <w:b/>
          <w:bCs/>
          <w:color w:val="auto"/>
          <w:sz w:val="32"/>
          <w:szCs w:val="32"/>
          <w:highlight w:val="none"/>
        </w:rPr>
        <w:t>(盖章)</w:t>
      </w:r>
    </w:p>
    <w:p w14:paraId="401F23D4">
      <w:pPr>
        <w:spacing w:line="480" w:lineRule="auto"/>
        <w:ind w:firstLine="643" w:firstLineChars="200"/>
        <w:jc w:val="left"/>
        <w:outlineLvl w:val="9"/>
        <w:rPr>
          <w:rFonts w:ascii="宋体" w:hAnsi="宋体" w:cs="宋体"/>
          <w:b/>
          <w:color w:val="auto"/>
          <w:sz w:val="52"/>
          <w:szCs w:val="44"/>
          <w:highlight w:val="none"/>
        </w:rPr>
      </w:pPr>
      <w:bookmarkStart w:id="3" w:name="_Toc22245"/>
      <w:r>
        <w:rPr>
          <w:rFonts w:hint="eastAsia" w:ascii="宋体"/>
          <w:b/>
          <w:bCs/>
          <w:color w:val="auto"/>
          <w:sz w:val="32"/>
          <w:szCs w:val="32"/>
          <w:highlight w:val="none"/>
        </w:rPr>
        <w:t>日        期:</w:t>
      </w:r>
      <w:bookmarkEnd w:id="0"/>
      <w:bookmarkEnd w:id="3"/>
      <w:bookmarkStart w:id="4" w:name="_Toc305963548"/>
      <w:bookmarkStart w:id="5" w:name="_Toc305963787"/>
      <w:bookmarkStart w:id="6" w:name="_Toc305963490"/>
      <w:r>
        <w:rPr>
          <w:rFonts w:hint="eastAsia" w:ascii="宋体"/>
          <w:b/>
          <w:bCs/>
          <w:color w:val="auto"/>
          <w:sz w:val="32"/>
          <w:szCs w:val="32"/>
          <w:highlight w:val="none"/>
          <w:lang w:eastAsia="zh-CN"/>
        </w:rPr>
        <w:t>2025年0</w:t>
      </w:r>
      <w:r>
        <w:rPr>
          <w:rFonts w:hint="eastAsia" w:ascii="宋体"/>
          <w:b/>
          <w:bCs/>
          <w:color w:val="auto"/>
          <w:sz w:val="32"/>
          <w:szCs w:val="32"/>
          <w:highlight w:val="none"/>
          <w:lang w:val="en-US" w:eastAsia="zh-CN"/>
        </w:rPr>
        <w:t>7</w:t>
      </w:r>
      <w:r>
        <w:rPr>
          <w:rFonts w:hint="eastAsia" w:ascii="宋体"/>
          <w:b/>
          <w:bCs/>
          <w:color w:val="auto"/>
          <w:sz w:val="32"/>
          <w:szCs w:val="32"/>
          <w:highlight w:val="none"/>
          <w:lang w:eastAsia="zh-CN"/>
        </w:rPr>
        <w:t>月</w:t>
      </w:r>
    </w:p>
    <w:p w14:paraId="54E56EF8">
      <w:pPr>
        <w:pStyle w:val="6"/>
        <w:ind w:firstLine="0"/>
        <w:rPr>
          <w:color w:val="auto"/>
          <w:highlight w:val="none"/>
        </w:rPr>
        <w:sectPr>
          <w:headerReference r:id="rId4" w:type="first"/>
          <w:footerReference r:id="rId6" w:type="first"/>
          <w:headerReference r:id="rId3" w:type="default"/>
          <w:footerReference r:id="rId5" w:type="default"/>
          <w:pgSz w:w="11906" w:h="16838"/>
          <w:pgMar w:top="1247" w:right="1247" w:bottom="1247" w:left="1247" w:header="907" w:footer="737" w:gutter="0"/>
          <w:pgBorders>
            <w:top w:val="none" w:sz="0" w:space="0"/>
            <w:left w:val="none" w:sz="0" w:space="0"/>
            <w:bottom w:val="none" w:sz="0" w:space="0"/>
            <w:right w:val="none" w:sz="0" w:space="0"/>
          </w:pgBorders>
          <w:pgNumType w:start="1"/>
          <w:cols w:space="720" w:num="1"/>
          <w:docGrid w:linePitch="286" w:charSpace="0"/>
        </w:sectPr>
      </w:pPr>
    </w:p>
    <w:p w14:paraId="58A34270">
      <w:pPr>
        <w:pStyle w:val="6"/>
        <w:rPr>
          <w:color w:val="auto"/>
          <w:highlight w:val="none"/>
        </w:rPr>
      </w:pPr>
    </w:p>
    <w:sdt>
      <w:sdtPr>
        <w:rPr>
          <w:rFonts w:ascii="宋体" w:hAnsi="宋体"/>
          <w:b/>
          <w:bCs/>
          <w:caps/>
          <w:color w:val="auto"/>
          <w:sz w:val="48"/>
          <w:szCs w:val="48"/>
          <w:highlight w:val="none"/>
        </w:rPr>
        <w:id w:val="147474407"/>
        <w15:color w:val="DBDBDB"/>
        <w:docPartObj>
          <w:docPartGallery w:val="Table of Contents"/>
          <w:docPartUnique/>
        </w:docPartObj>
      </w:sdtPr>
      <w:sdtEndPr>
        <w:rPr>
          <w:rFonts w:ascii="宋体" w:hAnsi="宋体" w:cs="宋体"/>
          <w:b/>
          <w:bCs/>
          <w:caps/>
          <w:color w:val="auto"/>
          <w:sz w:val="21"/>
          <w:szCs w:val="32"/>
          <w:highlight w:val="none"/>
        </w:rPr>
      </w:sdtEndPr>
      <w:sdtContent>
        <w:p w14:paraId="41942EDF">
          <w:pPr>
            <w:pStyle w:val="6"/>
            <w:rPr>
              <w:color w:val="auto"/>
              <w:highlight w:val="none"/>
            </w:rPr>
          </w:pPr>
          <w:bookmarkStart w:id="7" w:name="_Toc417632238"/>
          <w:bookmarkStart w:id="8" w:name="_Toc417632153"/>
        </w:p>
        <w:sdt>
          <w:sdtPr>
            <w:rPr>
              <w:rFonts w:ascii="宋体" w:hAnsi="宋体"/>
              <w:b/>
              <w:bCs/>
              <w:caps/>
              <w:color w:val="auto"/>
              <w:sz w:val="48"/>
              <w:szCs w:val="48"/>
              <w:highlight w:val="none"/>
            </w:rPr>
            <w:id w:val="147471522"/>
            <w15:color w:val="DBDBDB"/>
            <w:docPartObj>
              <w:docPartGallery w:val="Table of Contents"/>
              <w:docPartUnique/>
            </w:docPartObj>
          </w:sdtPr>
          <w:sdtEndPr>
            <w:rPr>
              <w:rFonts w:ascii="宋体" w:hAnsi="宋体" w:cs="宋体"/>
              <w:b/>
              <w:bCs/>
              <w:caps/>
              <w:color w:val="auto"/>
              <w:sz w:val="21"/>
              <w:szCs w:val="32"/>
              <w:highlight w:val="none"/>
            </w:rPr>
          </w:sdtEndPr>
          <w:sdtContent>
            <w:p w14:paraId="00B7263C">
              <w:pPr>
                <w:jc w:val="center"/>
                <w:rPr>
                  <w:b/>
                  <w:bCs/>
                  <w:color w:val="auto"/>
                  <w:sz w:val="48"/>
                  <w:szCs w:val="48"/>
                  <w:highlight w:val="none"/>
                </w:rPr>
              </w:pPr>
              <w:r>
                <w:rPr>
                  <w:rFonts w:ascii="宋体" w:hAnsi="宋体"/>
                  <w:b/>
                  <w:bCs/>
                  <w:color w:val="auto"/>
                  <w:sz w:val="48"/>
                  <w:szCs w:val="48"/>
                  <w:highlight w:val="none"/>
                </w:rPr>
                <w:t>目</w:t>
              </w:r>
              <w:r>
                <w:rPr>
                  <w:rFonts w:hint="eastAsia" w:ascii="宋体" w:hAnsi="宋体"/>
                  <w:b/>
                  <w:bCs/>
                  <w:color w:val="auto"/>
                  <w:sz w:val="48"/>
                  <w:szCs w:val="48"/>
                  <w:highlight w:val="none"/>
                </w:rPr>
                <w:t xml:space="preserve"> </w:t>
              </w:r>
              <w:r>
                <w:rPr>
                  <w:rFonts w:ascii="宋体" w:hAnsi="宋体"/>
                  <w:b/>
                  <w:bCs/>
                  <w:color w:val="auto"/>
                  <w:sz w:val="48"/>
                  <w:szCs w:val="48"/>
                  <w:highlight w:val="none"/>
                </w:rPr>
                <w:t>录</w:t>
              </w:r>
            </w:p>
            <w:p w14:paraId="022191C4">
              <w:pPr>
                <w:pStyle w:val="42"/>
                <w:tabs>
                  <w:tab w:val="right" w:leader="dot" w:pos="9412"/>
                </w:tabs>
                <w:ind w:left="420"/>
                <w:rPr>
                  <w:color w:val="auto"/>
                  <w:highlight w:val="none"/>
                </w:rPr>
              </w:pPr>
              <w:r>
                <w:rPr>
                  <w:rFonts w:ascii="宋体" w:hAnsi="宋体" w:cs="宋体"/>
                  <w:b/>
                  <w:color w:val="auto"/>
                  <w:sz w:val="32"/>
                  <w:szCs w:val="32"/>
                  <w:highlight w:val="none"/>
                </w:rPr>
                <w:fldChar w:fldCharType="begin"/>
              </w:r>
              <w:r>
                <w:rPr>
                  <w:rFonts w:ascii="宋体" w:hAnsi="宋体" w:cs="宋体"/>
                  <w:b/>
                  <w:color w:val="auto"/>
                  <w:sz w:val="32"/>
                  <w:szCs w:val="32"/>
                  <w:highlight w:val="none"/>
                </w:rPr>
                <w:instrText xml:space="preserve">TOC \o "1-2" \h \u </w:instrText>
              </w:r>
              <w:r>
                <w:rPr>
                  <w:rFonts w:ascii="宋体" w:hAnsi="宋体" w:cs="宋体"/>
                  <w:b/>
                  <w:color w:val="auto"/>
                  <w:sz w:val="32"/>
                  <w:szCs w:val="32"/>
                  <w:highlight w:val="none"/>
                </w:rPr>
                <w:fldChar w:fldCharType="separate"/>
              </w:r>
            </w:p>
            <w:p w14:paraId="59342FCA">
              <w:pPr>
                <w:pStyle w:val="41"/>
                <w:tabs>
                  <w:tab w:val="right" w:leader="dot" w:pos="9412"/>
                </w:tabs>
                <w:spacing w:line="360" w:lineRule="auto"/>
                <w:jc w:val="distribute"/>
                <w:rPr>
                  <w:rFonts w:ascii="宋体" w:hAnsi="宋体" w:cs="宋体"/>
                  <w:color w:val="auto"/>
                  <w:sz w:val="36"/>
                  <w:szCs w:val="36"/>
                  <w:highlight w:val="none"/>
                </w:rPr>
              </w:pPr>
              <w:r>
                <w:rPr>
                  <w:color w:val="auto"/>
                  <w:highlight w:val="none"/>
                </w:rPr>
                <w:fldChar w:fldCharType="begin"/>
              </w:r>
              <w:r>
                <w:rPr>
                  <w:color w:val="auto"/>
                  <w:highlight w:val="none"/>
                </w:rPr>
                <w:instrText xml:space="preserve"> HYPERLINK \l "_Toc3136" </w:instrText>
              </w:r>
              <w:r>
                <w:rPr>
                  <w:color w:val="auto"/>
                  <w:highlight w:val="none"/>
                </w:rPr>
                <w:fldChar w:fldCharType="separate"/>
              </w:r>
              <w:r>
                <w:rPr>
                  <w:rFonts w:hint="eastAsia" w:ascii="宋体" w:hAnsi="宋体" w:cs="宋体"/>
                  <w:b/>
                  <w:color w:val="auto"/>
                  <w:sz w:val="36"/>
                  <w:szCs w:val="36"/>
                  <w:highlight w:val="none"/>
                </w:rPr>
                <w:t>第一章 招标公告</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_Toc3136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3</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p>
            <w:p w14:paraId="6B24037B">
              <w:pPr>
                <w:pStyle w:val="41"/>
                <w:tabs>
                  <w:tab w:val="right" w:leader="dot" w:pos="9412"/>
                </w:tabs>
                <w:spacing w:line="360" w:lineRule="auto"/>
                <w:jc w:val="distribute"/>
                <w:rPr>
                  <w:rFonts w:ascii="宋体" w:hAnsi="宋体" w:cs="宋体"/>
                  <w:color w:val="auto"/>
                  <w:sz w:val="36"/>
                  <w:szCs w:val="36"/>
                  <w:highlight w:val="none"/>
                </w:rPr>
              </w:pPr>
              <w:r>
                <w:rPr>
                  <w:color w:val="auto"/>
                  <w:highlight w:val="none"/>
                </w:rPr>
                <w:fldChar w:fldCharType="begin"/>
              </w:r>
              <w:r>
                <w:rPr>
                  <w:color w:val="auto"/>
                  <w:highlight w:val="none"/>
                </w:rPr>
                <w:instrText xml:space="preserve"> HYPERLINK \l "_Toc29381" </w:instrText>
              </w:r>
              <w:r>
                <w:rPr>
                  <w:color w:val="auto"/>
                  <w:highlight w:val="none"/>
                </w:rPr>
                <w:fldChar w:fldCharType="separate"/>
              </w:r>
              <w:r>
                <w:rPr>
                  <w:rFonts w:hint="eastAsia" w:ascii="宋体" w:hAnsi="宋体" w:cs="宋体"/>
                  <w:b/>
                  <w:color w:val="auto"/>
                  <w:sz w:val="36"/>
                  <w:szCs w:val="36"/>
                  <w:highlight w:val="none"/>
                </w:rPr>
                <w:t>第二章 投标人须知</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_Toc29381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7</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p>
            <w:p w14:paraId="4608BFFC">
              <w:pPr>
                <w:pStyle w:val="41"/>
                <w:tabs>
                  <w:tab w:val="right" w:leader="dot" w:pos="9412"/>
                </w:tabs>
                <w:spacing w:line="360" w:lineRule="auto"/>
                <w:jc w:val="distribute"/>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"_Toc21868" </w:instrText>
              </w:r>
              <w:r>
                <w:rPr>
                  <w:color w:val="auto"/>
                  <w:highlight w:val="none"/>
                </w:rPr>
                <w:fldChar w:fldCharType="separate"/>
              </w:r>
              <w:r>
                <w:rPr>
                  <w:rFonts w:hint="eastAsia" w:ascii="宋体" w:hAnsi="宋体" w:cs="宋体"/>
                  <w:b/>
                  <w:color w:val="auto"/>
                  <w:sz w:val="36"/>
                  <w:szCs w:val="36"/>
                  <w:highlight w:val="none"/>
                </w:rPr>
                <w:t>第三章 拟签订的合同文本</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_Toc21868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23</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p>
            <w:p w14:paraId="73B08045">
              <w:pPr>
                <w:pStyle w:val="41"/>
                <w:tabs>
                  <w:tab w:val="right" w:leader="dot" w:pos="9412"/>
                </w:tabs>
                <w:spacing w:line="360" w:lineRule="auto"/>
                <w:jc w:val="distribute"/>
                <w:rPr>
                  <w:b/>
                  <w:color w:val="auto"/>
                  <w:highlight w:val="none"/>
                </w:rPr>
              </w:pPr>
              <w:r>
                <w:rPr>
                  <w:color w:val="auto"/>
                  <w:highlight w:val="none"/>
                </w:rPr>
                <w:fldChar w:fldCharType="begin"/>
              </w:r>
              <w:r>
                <w:rPr>
                  <w:color w:val="auto"/>
                  <w:highlight w:val="none"/>
                </w:rPr>
                <w:instrText xml:space="preserve"> HYPERLINK \l "_Toc26049" </w:instrText>
              </w:r>
              <w:r>
                <w:rPr>
                  <w:color w:val="auto"/>
                  <w:highlight w:val="none"/>
                </w:rPr>
                <w:fldChar w:fldCharType="separate"/>
              </w:r>
              <w:r>
                <w:rPr>
                  <w:rFonts w:hint="eastAsia" w:ascii="宋体" w:hAnsi="宋体" w:cs="宋体"/>
                  <w:b/>
                  <w:color w:val="auto"/>
                  <w:sz w:val="36"/>
                  <w:szCs w:val="36"/>
                  <w:highlight w:val="none"/>
                </w:rPr>
                <w:t>第四章 投标文件格式</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_Toc26049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30</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p>
            <w:p w14:paraId="76C6A062">
              <w:pPr>
                <w:pStyle w:val="42"/>
                <w:tabs>
                  <w:tab w:val="right" w:leader="dot" w:pos="9412"/>
                </w:tabs>
                <w:spacing w:line="360" w:lineRule="auto"/>
                <w:ind w:left="420" w:firstLine="600" w:firstLineChars="300"/>
                <w:jc w:val="distribute"/>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"_Toc414" </w:instrText>
              </w:r>
              <w:r>
                <w:rPr>
                  <w:color w:val="auto"/>
                  <w:highlight w:val="none"/>
                </w:rPr>
                <w:fldChar w:fldCharType="separate"/>
              </w:r>
              <w:r>
                <w:rPr>
                  <w:rFonts w:hint="eastAsia" w:ascii="宋体" w:hAnsi="宋体" w:cs="宋体"/>
                  <w:color w:val="auto"/>
                  <w:sz w:val="28"/>
                  <w:szCs w:val="28"/>
                  <w:highlight w:val="none"/>
                </w:rPr>
                <w:t>一、投标人资格审查部分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_Toc414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3880483">
              <w:pPr>
                <w:pStyle w:val="42"/>
                <w:tabs>
                  <w:tab w:val="right" w:leader="dot" w:pos="9412"/>
                </w:tabs>
                <w:spacing w:line="360" w:lineRule="auto"/>
                <w:ind w:left="420" w:firstLine="600" w:firstLineChars="300"/>
                <w:jc w:val="distribute"/>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"_Toc21257" </w:instrText>
              </w:r>
              <w:r>
                <w:rPr>
                  <w:color w:val="auto"/>
                  <w:highlight w:val="none"/>
                </w:rPr>
                <w:fldChar w:fldCharType="separate"/>
              </w:r>
              <w:r>
                <w:rPr>
                  <w:rFonts w:hint="eastAsia" w:ascii="宋体" w:hAnsi="宋体" w:cs="宋体"/>
                  <w:color w:val="auto"/>
                  <w:sz w:val="28"/>
                  <w:szCs w:val="28"/>
                  <w:highlight w:val="none"/>
                </w:rPr>
                <w:t>二、投标文件商务部分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_Toc21257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FFFDC89">
              <w:pPr>
                <w:pStyle w:val="42"/>
                <w:tabs>
                  <w:tab w:val="right" w:leader="dot" w:pos="9412"/>
                </w:tabs>
                <w:spacing w:line="360" w:lineRule="auto"/>
                <w:ind w:left="420" w:firstLine="600" w:firstLineChars="300"/>
                <w:jc w:val="distribute"/>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"_Toc1706" </w:instrText>
              </w:r>
              <w:r>
                <w:rPr>
                  <w:color w:val="auto"/>
                  <w:highlight w:val="none"/>
                </w:rPr>
                <w:fldChar w:fldCharType="separate"/>
              </w:r>
              <w:r>
                <w:rPr>
                  <w:rFonts w:hint="eastAsia" w:ascii="宋体" w:hAnsi="宋体" w:cs="宋体"/>
                  <w:bCs/>
                  <w:color w:val="auto"/>
                  <w:sz w:val="28"/>
                  <w:szCs w:val="28"/>
                  <w:highlight w:val="none"/>
                </w:rPr>
                <w:t>三、</w:t>
              </w:r>
              <w:r>
                <w:rPr>
                  <w:rFonts w:hint="eastAsia" w:ascii="宋体" w:hAnsi="宋体" w:cs="宋体"/>
                  <w:color w:val="auto"/>
                  <w:sz w:val="28"/>
                  <w:szCs w:val="28"/>
                  <w:highlight w:val="none"/>
                </w:rPr>
                <w:t>投标文件技术部分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_Toc1706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ABCDC0E">
              <w:pPr>
                <w:pStyle w:val="42"/>
                <w:tabs>
                  <w:tab w:val="right" w:leader="dot" w:pos="9412"/>
                </w:tabs>
                <w:spacing w:line="360" w:lineRule="auto"/>
                <w:ind w:left="420" w:firstLine="600" w:firstLineChars="300"/>
                <w:jc w:val="distribute"/>
                <w:rPr>
                  <w:color w:val="auto"/>
                  <w:highlight w:val="none"/>
                </w:rPr>
              </w:pPr>
              <w:r>
                <w:rPr>
                  <w:color w:val="auto"/>
                  <w:highlight w:val="none"/>
                </w:rPr>
                <w:fldChar w:fldCharType="begin"/>
              </w:r>
              <w:r>
                <w:rPr>
                  <w:color w:val="auto"/>
                  <w:highlight w:val="none"/>
                </w:rPr>
                <w:instrText xml:space="preserve"> HYPERLINK \l "_Toc14802" </w:instrText>
              </w:r>
              <w:r>
                <w:rPr>
                  <w:color w:val="auto"/>
                  <w:highlight w:val="none"/>
                </w:rPr>
                <w:fldChar w:fldCharType="separate"/>
              </w:r>
              <w:r>
                <w:rPr>
                  <w:rFonts w:hint="eastAsia" w:ascii="宋体" w:hAnsi="宋体" w:cs="宋体"/>
                  <w:color w:val="auto"/>
                  <w:sz w:val="28"/>
                  <w:szCs w:val="28"/>
                  <w:highlight w:val="none"/>
                </w:rPr>
                <w:t>四、其他相关证明资料</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_Toc14802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B63DCF3">
              <w:pPr>
                <w:pStyle w:val="41"/>
                <w:tabs>
                  <w:tab w:val="right" w:leader="dot" w:pos="9412"/>
                </w:tabs>
                <w:spacing w:line="360" w:lineRule="auto"/>
                <w:jc w:val="distribute"/>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"_Toc16422" </w:instrText>
              </w:r>
              <w:r>
                <w:rPr>
                  <w:color w:val="auto"/>
                  <w:highlight w:val="none"/>
                </w:rPr>
                <w:fldChar w:fldCharType="separate"/>
              </w:r>
              <w:r>
                <w:rPr>
                  <w:rFonts w:hint="eastAsia" w:ascii="宋体" w:hAnsi="宋体" w:cs="宋体"/>
                  <w:b/>
                  <w:color w:val="auto"/>
                  <w:sz w:val="36"/>
                  <w:szCs w:val="36"/>
                  <w:highlight w:val="none"/>
                </w:rPr>
                <w:t>第五章 资格审查</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_Toc16422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49</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p>
            <w:p w14:paraId="163255E9">
              <w:pPr>
                <w:pStyle w:val="41"/>
                <w:tabs>
                  <w:tab w:val="right" w:leader="dot" w:pos="9412"/>
                </w:tabs>
                <w:spacing w:line="360" w:lineRule="auto"/>
                <w:jc w:val="distribute"/>
                <w:rPr>
                  <w:rFonts w:ascii="宋体" w:hAnsi="宋体" w:cs="宋体"/>
                  <w:color w:val="auto"/>
                  <w:sz w:val="36"/>
                  <w:szCs w:val="36"/>
                  <w:highlight w:val="none"/>
                </w:rPr>
              </w:pPr>
              <w:r>
                <w:rPr>
                  <w:color w:val="auto"/>
                  <w:highlight w:val="none"/>
                </w:rPr>
                <w:fldChar w:fldCharType="begin"/>
              </w:r>
              <w:r>
                <w:rPr>
                  <w:color w:val="auto"/>
                  <w:highlight w:val="none"/>
                </w:rPr>
                <w:instrText xml:space="preserve"> HYPERLINK \l "_Toc25269" </w:instrText>
              </w:r>
              <w:r>
                <w:rPr>
                  <w:color w:val="auto"/>
                  <w:highlight w:val="none"/>
                </w:rPr>
                <w:fldChar w:fldCharType="separate"/>
              </w:r>
              <w:r>
                <w:rPr>
                  <w:rFonts w:hint="eastAsia" w:ascii="宋体" w:hAnsi="宋体" w:cs="宋体"/>
                  <w:b/>
                  <w:color w:val="auto"/>
                  <w:sz w:val="36"/>
                  <w:szCs w:val="36"/>
                  <w:highlight w:val="none"/>
                </w:rPr>
                <w:t>第六章 评标办法(综合评分法)</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_Toc25269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51</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p>
            <w:p w14:paraId="5754DAD0">
              <w:pPr>
                <w:pStyle w:val="41"/>
                <w:tabs>
                  <w:tab w:val="right" w:leader="dot" w:pos="9412"/>
                </w:tabs>
                <w:spacing w:line="360" w:lineRule="auto"/>
                <w:jc w:val="distribute"/>
                <w:rPr>
                  <w:b/>
                  <w:color w:val="auto"/>
                  <w:highlight w:val="none"/>
                </w:rPr>
              </w:pPr>
              <w:r>
                <w:rPr>
                  <w:color w:val="auto"/>
                  <w:highlight w:val="none"/>
                </w:rPr>
                <w:fldChar w:fldCharType="begin"/>
              </w:r>
              <w:r>
                <w:rPr>
                  <w:color w:val="auto"/>
                  <w:highlight w:val="none"/>
                </w:rPr>
                <w:instrText xml:space="preserve"> HYPERLINK \l "_Toc5394" </w:instrText>
              </w:r>
              <w:r>
                <w:rPr>
                  <w:color w:val="auto"/>
                  <w:highlight w:val="none"/>
                </w:rPr>
                <w:fldChar w:fldCharType="separate"/>
              </w:r>
              <w:r>
                <w:rPr>
                  <w:rFonts w:hint="eastAsia" w:ascii="宋体" w:hAnsi="宋体" w:cs="宋体"/>
                  <w:b/>
                  <w:color w:val="auto"/>
                  <w:sz w:val="36"/>
                  <w:szCs w:val="36"/>
                  <w:highlight w:val="none"/>
                </w:rPr>
                <w:t xml:space="preserve">第七章 </w:t>
              </w:r>
              <w:r>
                <w:rPr>
                  <w:rFonts w:hint="eastAsia" w:ascii="宋体" w:hAnsi="宋体" w:cs="宋体"/>
                  <w:b/>
                  <w:color w:val="auto"/>
                  <w:sz w:val="36"/>
                  <w:szCs w:val="36"/>
                  <w:highlight w:val="none"/>
                  <w:lang w:eastAsia="zh-CN"/>
                </w:rPr>
                <w:t>服务需求</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_Toc5394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60</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p>
            <w:p w14:paraId="2573156E">
              <w:pPr>
                <w:pStyle w:val="20"/>
                <w:tabs>
                  <w:tab w:val="right" w:leader="dot" w:pos="9736"/>
                </w:tabs>
                <w:rPr>
                  <w:rFonts w:ascii="宋体" w:hAnsi="宋体" w:cs="宋体"/>
                  <w:b/>
                  <w:color w:val="auto"/>
                  <w:sz w:val="32"/>
                  <w:szCs w:val="32"/>
                  <w:highlight w:val="none"/>
                </w:rPr>
              </w:pPr>
              <w:r>
                <w:rPr>
                  <w:rFonts w:ascii="宋体" w:hAnsi="宋体" w:cs="宋体"/>
                  <w:b/>
                  <w:color w:val="auto"/>
                  <w:szCs w:val="32"/>
                  <w:highlight w:val="none"/>
                </w:rPr>
                <w:fldChar w:fldCharType="end"/>
              </w:r>
            </w:p>
          </w:sdtContent>
        </w:sdt>
      </w:sdtContent>
    </w:sdt>
    <w:p w14:paraId="7176A0E7">
      <w:pPr>
        <w:ind w:left="397" w:leftChars="189"/>
        <w:jc w:val="center"/>
        <w:rPr>
          <w:b/>
          <w:color w:val="auto"/>
          <w:sz w:val="32"/>
          <w:highlight w:val="none"/>
        </w:rPr>
      </w:pPr>
    </w:p>
    <w:p w14:paraId="77521478">
      <w:pPr>
        <w:rPr>
          <w:color w:val="auto"/>
          <w:highlight w:val="none"/>
        </w:rPr>
      </w:pPr>
    </w:p>
    <w:p w14:paraId="2BE10891">
      <w:pPr>
        <w:rPr>
          <w:color w:val="auto"/>
          <w:highlight w:val="none"/>
        </w:rPr>
      </w:pPr>
    </w:p>
    <w:p w14:paraId="4DB69235">
      <w:pPr>
        <w:rPr>
          <w:color w:val="auto"/>
          <w:highlight w:val="none"/>
        </w:rPr>
      </w:pPr>
    </w:p>
    <w:p w14:paraId="3DF2D0B0">
      <w:pPr>
        <w:rPr>
          <w:color w:val="auto"/>
          <w:highlight w:val="none"/>
        </w:rPr>
      </w:pPr>
    </w:p>
    <w:p w14:paraId="3F345E02">
      <w:pPr>
        <w:rPr>
          <w:color w:val="auto"/>
          <w:highlight w:val="none"/>
        </w:rPr>
      </w:pPr>
    </w:p>
    <w:p w14:paraId="0E607AB3">
      <w:pPr>
        <w:rPr>
          <w:color w:val="auto"/>
          <w:highlight w:val="none"/>
        </w:rPr>
      </w:pPr>
    </w:p>
    <w:p w14:paraId="316DE47C">
      <w:pPr>
        <w:rPr>
          <w:color w:val="auto"/>
          <w:highlight w:val="none"/>
        </w:rPr>
      </w:pPr>
    </w:p>
    <w:p w14:paraId="19D10A15">
      <w:pPr>
        <w:rPr>
          <w:color w:val="auto"/>
          <w:highlight w:val="none"/>
        </w:rPr>
      </w:pPr>
    </w:p>
    <w:p w14:paraId="1A9A0BAA">
      <w:pPr>
        <w:tabs>
          <w:tab w:val="center" w:pos="4819"/>
        </w:tabs>
        <w:jc w:val="left"/>
        <w:rPr>
          <w:color w:val="auto"/>
          <w:highlight w:val="none"/>
        </w:rPr>
        <w:sectPr>
          <w:footerReference r:id="rId7" w:type="default"/>
          <w:pgSz w:w="11906" w:h="16838"/>
          <w:pgMar w:top="1247" w:right="1247" w:bottom="1247" w:left="1247" w:header="907" w:footer="737" w:gutter="0"/>
          <w:pgBorders>
            <w:top w:val="none" w:sz="0" w:space="0"/>
            <w:left w:val="none" w:sz="0" w:space="0"/>
            <w:bottom w:val="none" w:sz="0" w:space="0"/>
            <w:right w:val="none" w:sz="0" w:space="0"/>
          </w:pgBorders>
          <w:cols w:space="720" w:num="1"/>
          <w:docGrid w:linePitch="286" w:charSpace="0"/>
        </w:sectPr>
      </w:pPr>
      <w:r>
        <w:rPr>
          <w:rFonts w:hint="eastAsia"/>
          <w:color w:val="auto"/>
          <w:highlight w:val="none"/>
        </w:rPr>
        <w:tab/>
      </w:r>
    </w:p>
    <w:bookmarkEnd w:id="4"/>
    <w:bookmarkEnd w:id="5"/>
    <w:bookmarkEnd w:id="6"/>
    <w:bookmarkEnd w:id="7"/>
    <w:bookmarkEnd w:id="8"/>
    <w:p w14:paraId="413D84A3">
      <w:pPr>
        <w:pStyle w:val="2"/>
        <w:numPr>
          <w:ilvl w:val="0"/>
          <w:numId w:val="0"/>
        </w:numPr>
        <w:spacing w:line="360" w:lineRule="auto"/>
        <w:rPr>
          <w:color w:val="auto"/>
          <w:highlight w:val="none"/>
        </w:rPr>
      </w:pPr>
      <w:bookmarkStart w:id="9" w:name="_Toc8028"/>
      <w:bookmarkStart w:id="10" w:name="_Toc3136"/>
      <w:r>
        <w:rPr>
          <w:rFonts w:hint="eastAsia" w:ascii="宋体" w:hAnsi="宋体" w:eastAsia="宋体" w:cs="Times New Roman"/>
          <w:b/>
          <w:bCs/>
          <w:color w:val="auto"/>
          <w:kern w:val="2"/>
          <w:sz w:val="32"/>
          <w:szCs w:val="24"/>
          <w:highlight w:val="none"/>
          <w:lang w:val="en-US" w:eastAsia="zh-CN" w:bidi="ar-SA"/>
        </w:rPr>
        <w:t>第一章</w:t>
      </w:r>
      <w:r>
        <w:rPr>
          <w:rFonts w:hint="eastAsia"/>
          <w:color w:val="auto"/>
          <w:highlight w:val="none"/>
        </w:rPr>
        <w:t>招标公告</w:t>
      </w:r>
      <w:bookmarkEnd w:id="9"/>
      <w:bookmarkEnd w:id="10"/>
    </w:p>
    <w:p w14:paraId="401AC578">
      <w:pPr>
        <w:spacing w:line="360" w:lineRule="auto"/>
        <w:jc w:val="center"/>
        <w:rPr>
          <w:rFonts w:hint="eastAsia" w:cs="Times New Roman"/>
          <w:b/>
          <w:bCs/>
          <w:color w:val="auto"/>
          <w:sz w:val="28"/>
          <w:szCs w:val="36"/>
          <w:highlight w:val="none"/>
          <w:u w:val="none"/>
          <w:lang w:eastAsia="zh-CN"/>
        </w:rPr>
      </w:pPr>
      <w:r>
        <w:rPr>
          <w:rFonts w:hint="eastAsia" w:cs="Times New Roman"/>
          <w:b/>
          <w:bCs/>
          <w:color w:val="auto"/>
          <w:sz w:val="28"/>
          <w:szCs w:val="36"/>
          <w:highlight w:val="none"/>
          <w:u w:val="none"/>
          <w:lang w:eastAsia="zh-CN"/>
        </w:rPr>
        <w:t>玉溪一中拔尖创新人才培养项目之小初高贯通数学竞赛培训课程（二次）</w:t>
      </w:r>
    </w:p>
    <w:p w14:paraId="6273F736">
      <w:pPr>
        <w:spacing w:line="360" w:lineRule="auto"/>
        <w:jc w:val="center"/>
        <w:rPr>
          <w:rFonts w:hint="eastAsia" w:ascii="宋体" w:hAnsi="宋体" w:eastAsia="宋体" w:cs="Times New Roman"/>
          <w:b/>
          <w:bCs/>
          <w:color w:val="auto"/>
          <w:kern w:val="2"/>
          <w:sz w:val="32"/>
          <w:szCs w:val="24"/>
          <w:highlight w:val="none"/>
          <w:u w:val="none"/>
          <w:lang w:val="en-US" w:eastAsia="zh-CN" w:bidi="ar-SA"/>
        </w:rPr>
      </w:pPr>
      <w:r>
        <w:rPr>
          <w:rFonts w:hint="eastAsia" w:ascii="宋体" w:hAnsi="宋体" w:eastAsia="宋体" w:cs="Times New Roman"/>
          <w:b/>
          <w:bCs/>
          <w:color w:val="auto"/>
          <w:kern w:val="2"/>
          <w:sz w:val="32"/>
          <w:szCs w:val="24"/>
          <w:highlight w:val="none"/>
          <w:u w:val="none"/>
          <w:lang w:val="en-US" w:eastAsia="zh-CN" w:bidi="ar-SA"/>
        </w:rPr>
        <w:t>招标公告</w:t>
      </w:r>
    </w:p>
    <w:p w14:paraId="016966EC">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项目概况</w:t>
      </w:r>
    </w:p>
    <w:p w14:paraId="479325AE">
      <w:pPr>
        <w:pBdr>
          <w:top w:val="single" w:color="auto" w:sz="4" w:space="1"/>
          <w:left w:val="single" w:color="auto" w:sz="4" w:space="4"/>
          <w:bottom w:val="single" w:color="auto" w:sz="4" w:space="1"/>
          <w:right w:val="single" w:color="auto" w:sz="4" w:space="4"/>
        </w:pBdr>
        <w:spacing w:line="360" w:lineRule="auto"/>
        <w:ind w:firstLine="480" w:firstLineChars="200"/>
        <w:rPr>
          <w:color w:val="auto"/>
          <w:sz w:val="22"/>
          <w:szCs w:val="22"/>
          <w:highlight w:val="none"/>
          <w:u w:val="none"/>
        </w:rPr>
      </w:pPr>
      <w:r>
        <w:rPr>
          <w:rFonts w:hint="eastAsia" w:ascii="宋体" w:hAnsi="宋体" w:cs="宋体"/>
          <w:color w:val="auto"/>
          <w:sz w:val="24"/>
          <w:highlight w:val="none"/>
          <w:u w:val="none"/>
          <w:lang w:eastAsia="zh-CN"/>
        </w:rPr>
        <w:t>玉溪一中拔尖创新人才培养项目之小初高贯通数学竞赛培训课程（二次）</w:t>
      </w:r>
      <w:r>
        <w:rPr>
          <w:rFonts w:hint="eastAsia" w:ascii="宋体" w:hAnsi="宋体" w:cs="宋体"/>
          <w:color w:val="auto"/>
          <w:sz w:val="24"/>
          <w:highlight w:val="none"/>
          <w:u w:val="none"/>
        </w:rPr>
        <w:t>的潜在投标人应在</w:t>
      </w:r>
      <w:r>
        <w:rPr>
          <w:rFonts w:hint="eastAsia" w:ascii="宋体" w:hAnsi="宋体"/>
          <w:color w:val="auto"/>
          <w:kern w:val="0"/>
          <w:sz w:val="24"/>
          <w:szCs w:val="24"/>
          <w:highlight w:val="none"/>
          <w:u w:val="none"/>
        </w:rPr>
        <w:t>政采云平台（http：//www.zcygov.cn）</w:t>
      </w:r>
      <w:r>
        <w:rPr>
          <w:rFonts w:hint="eastAsia" w:ascii="宋体" w:hAnsi="宋体"/>
          <w:color w:val="auto"/>
          <w:sz w:val="24"/>
          <w:highlight w:val="none"/>
          <w:u w:val="none"/>
        </w:rPr>
        <w:t>，使用企业数字证书（CA）在政采云平台中获取招标文件及其它招标资料</w:t>
      </w:r>
      <w:r>
        <w:rPr>
          <w:rFonts w:hint="eastAsia" w:ascii="宋体" w:hAnsi="宋体" w:cs="宋体"/>
          <w:color w:val="auto"/>
          <w:sz w:val="24"/>
          <w:highlight w:val="none"/>
          <w:u w:val="none"/>
        </w:rPr>
        <w:t>，并于</w:t>
      </w:r>
      <w:r>
        <w:rPr>
          <w:rFonts w:hint="eastAsia" w:ascii="宋体" w:hAnsi="宋体" w:cs="宋体"/>
          <w:b w:val="0"/>
          <w:bCs w:val="0"/>
          <w:color w:val="auto"/>
          <w:sz w:val="24"/>
          <w:highlight w:val="none"/>
          <w:u w:val="none"/>
          <w:lang w:eastAsia="zh-CN"/>
        </w:rPr>
        <w:t>2025年07月2</w:t>
      </w:r>
      <w:r>
        <w:rPr>
          <w:rFonts w:hint="eastAsia" w:ascii="宋体" w:hAnsi="宋体" w:cs="宋体"/>
          <w:b w:val="0"/>
          <w:bCs w:val="0"/>
          <w:color w:val="auto"/>
          <w:sz w:val="24"/>
          <w:highlight w:val="none"/>
          <w:u w:val="none"/>
          <w:lang w:val="en-US" w:eastAsia="zh-CN"/>
        </w:rPr>
        <w:t>9</w:t>
      </w:r>
      <w:r>
        <w:rPr>
          <w:rFonts w:hint="eastAsia" w:ascii="宋体" w:hAnsi="宋体" w:cs="宋体"/>
          <w:b w:val="0"/>
          <w:bCs w:val="0"/>
          <w:color w:val="auto"/>
          <w:sz w:val="24"/>
          <w:highlight w:val="none"/>
          <w:u w:val="none"/>
          <w:lang w:eastAsia="zh-CN"/>
        </w:rPr>
        <w:t>日09点00分</w:t>
      </w:r>
      <w:r>
        <w:rPr>
          <w:rFonts w:hint="eastAsia" w:ascii="宋体" w:hAnsi="宋体" w:cs="宋体"/>
          <w:bCs/>
          <w:color w:val="auto"/>
          <w:sz w:val="24"/>
          <w:highlight w:val="none"/>
          <w:u w:val="none"/>
        </w:rPr>
        <w:t>（北京时间）前递交投标文件</w:t>
      </w:r>
      <w:r>
        <w:rPr>
          <w:rFonts w:hint="eastAsia" w:ascii="宋体" w:hAnsi="宋体" w:cs="宋体"/>
          <w:color w:val="auto"/>
          <w:sz w:val="24"/>
          <w:highlight w:val="none"/>
          <w:u w:val="none"/>
        </w:rPr>
        <w:t>。</w:t>
      </w:r>
    </w:p>
    <w:p w14:paraId="0D4D057D">
      <w:pPr>
        <w:pStyle w:val="3"/>
        <w:keepNext w:val="0"/>
        <w:spacing w:line="360" w:lineRule="auto"/>
        <w:rPr>
          <w:rFonts w:hAnsi="宋体" w:cs="宋体"/>
          <w:bCs/>
          <w:color w:val="auto"/>
          <w:highlight w:val="none"/>
          <w:u w:val="none"/>
        </w:rPr>
      </w:pPr>
      <w:bookmarkStart w:id="11" w:name="_Toc35393621"/>
      <w:bookmarkStart w:id="12" w:name="_Toc35393790"/>
      <w:bookmarkStart w:id="13" w:name="_Toc19808"/>
      <w:bookmarkStart w:id="14" w:name="_Toc28359079"/>
      <w:bookmarkStart w:id="15" w:name="_Toc21447"/>
      <w:bookmarkStart w:id="16" w:name="_Toc28359002"/>
      <w:bookmarkStart w:id="17" w:name="_Toc29583"/>
      <w:bookmarkStart w:id="18" w:name="_Hlk24379207"/>
      <w:r>
        <w:rPr>
          <w:rFonts w:hint="eastAsia" w:hAnsi="宋体" w:cs="宋体"/>
          <w:bCs/>
          <w:color w:val="auto"/>
          <w:highlight w:val="none"/>
          <w:u w:val="none"/>
        </w:rPr>
        <w:t>一、项目基本情况</w:t>
      </w:r>
      <w:bookmarkEnd w:id="11"/>
      <w:bookmarkEnd w:id="12"/>
      <w:bookmarkEnd w:id="13"/>
      <w:bookmarkEnd w:id="14"/>
      <w:bookmarkEnd w:id="15"/>
      <w:bookmarkEnd w:id="16"/>
      <w:bookmarkEnd w:id="17"/>
    </w:p>
    <w:p w14:paraId="0A9421C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highlight w:val="none"/>
          <w:u w:val="none"/>
          <w:lang w:val="en-US" w:eastAsia="zh-CN"/>
        </w:rPr>
      </w:pPr>
      <w:r>
        <w:rPr>
          <w:rFonts w:hint="eastAsia" w:ascii="宋体" w:hAnsi="宋体" w:cs="宋体"/>
          <w:color w:val="auto"/>
          <w:sz w:val="24"/>
          <w:highlight w:val="none"/>
          <w:u w:val="none"/>
          <w:lang w:val="en-US" w:eastAsia="zh-CN"/>
        </w:rPr>
        <w:t>1.</w:t>
      </w:r>
      <w:r>
        <w:rPr>
          <w:rFonts w:hint="eastAsia" w:ascii="宋体" w:hAnsi="宋体" w:cs="宋体"/>
          <w:color w:val="auto"/>
          <w:sz w:val="24"/>
          <w:highlight w:val="none"/>
          <w:u w:val="none"/>
        </w:rPr>
        <w:t>项目编号：</w:t>
      </w:r>
      <w:r>
        <w:rPr>
          <w:rFonts w:hint="eastAsia" w:ascii="宋体" w:hAnsi="宋体" w:cs="宋体"/>
          <w:color w:val="auto"/>
          <w:sz w:val="24"/>
          <w:highlight w:val="none"/>
          <w:u w:val="none"/>
          <w:lang w:eastAsia="zh-CN"/>
        </w:rPr>
        <w:t>YNJX-2025-05-20</w:t>
      </w:r>
    </w:p>
    <w:p w14:paraId="51A2507F">
      <w:pPr>
        <w:keepNext w:val="0"/>
        <w:keepLines w:val="0"/>
        <w:pageBreakBefore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auto"/>
          <w:sz w:val="24"/>
          <w:highlight w:val="none"/>
          <w:u w:val="none"/>
        </w:rPr>
      </w:pPr>
      <w:r>
        <w:rPr>
          <w:rFonts w:hint="eastAsia" w:ascii="宋体" w:hAnsi="宋体" w:cs="宋体"/>
          <w:color w:val="auto"/>
          <w:sz w:val="24"/>
          <w:highlight w:val="none"/>
          <w:u w:val="none"/>
          <w:lang w:val="en-US" w:eastAsia="zh-CN"/>
        </w:rPr>
        <w:t>2.</w:t>
      </w:r>
      <w:r>
        <w:rPr>
          <w:rFonts w:hint="eastAsia" w:ascii="宋体" w:hAnsi="宋体" w:eastAsia="宋体" w:cs="宋体"/>
          <w:color w:val="auto"/>
          <w:sz w:val="24"/>
          <w:highlight w:val="none"/>
          <w:u w:val="none"/>
        </w:rPr>
        <w:t>项目名称：</w:t>
      </w:r>
      <w:bookmarkEnd w:id="18"/>
      <w:r>
        <w:rPr>
          <w:rFonts w:hint="eastAsia" w:ascii="宋体" w:hAnsi="宋体" w:cs="宋体"/>
          <w:color w:val="auto"/>
          <w:sz w:val="24"/>
          <w:highlight w:val="none"/>
          <w:u w:val="none"/>
          <w:lang w:eastAsia="zh-CN"/>
        </w:rPr>
        <w:t>玉溪一中拔尖创新人才培养项目之小初高贯通数学竞赛培训课程（二次）</w:t>
      </w:r>
      <w:r>
        <w:rPr>
          <w:rFonts w:hint="eastAsia" w:ascii="宋体" w:hAnsi="宋体" w:cs="宋体"/>
          <w:color w:val="auto"/>
          <w:sz w:val="24"/>
          <w:highlight w:val="none"/>
          <w:u w:val="none"/>
          <w:lang w:val="en-US" w:eastAsia="zh-CN"/>
        </w:rPr>
        <w:t>3.项目预算</w:t>
      </w:r>
      <w:r>
        <w:rPr>
          <w:rFonts w:hint="eastAsia" w:ascii="宋体" w:hAnsi="宋体" w:eastAsia="宋体" w:cs="宋体"/>
          <w:color w:val="auto"/>
          <w:sz w:val="24"/>
          <w:highlight w:val="none"/>
          <w:u w:val="none"/>
        </w:rPr>
        <w:t>：￥</w:t>
      </w:r>
      <w:r>
        <w:rPr>
          <w:rFonts w:hint="eastAsia" w:ascii="宋体" w:hAnsi="宋体" w:cs="宋体"/>
          <w:color w:val="auto"/>
          <w:sz w:val="24"/>
          <w:highlight w:val="none"/>
          <w:u w:val="none"/>
          <w:lang w:val="en-US" w:eastAsia="zh-CN"/>
        </w:rPr>
        <w:t>2000000.00元</w:t>
      </w:r>
      <w:r>
        <w:rPr>
          <w:rFonts w:hint="eastAsia" w:ascii="宋体" w:hAnsi="宋体" w:eastAsia="宋体" w:cs="宋体"/>
          <w:color w:val="auto"/>
          <w:sz w:val="24"/>
          <w:highlight w:val="none"/>
          <w:u w:val="none"/>
        </w:rPr>
        <w:t>（大写：</w:t>
      </w:r>
      <w:r>
        <w:rPr>
          <w:rFonts w:hint="eastAsia" w:ascii="宋体" w:hAnsi="宋体" w:cs="宋体"/>
          <w:color w:val="auto"/>
          <w:sz w:val="24"/>
          <w:highlight w:val="none"/>
          <w:u w:val="none"/>
          <w:lang w:eastAsia="zh-CN"/>
        </w:rPr>
        <w:t>人民币</w:t>
      </w:r>
      <w:r>
        <w:rPr>
          <w:rFonts w:hint="eastAsia" w:ascii="宋体" w:hAnsi="宋体" w:cs="宋体"/>
          <w:color w:val="auto"/>
          <w:sz w:val="24"/>
          <w:highlight w:val="none"/>
          <w:u w:val="none"/>
          <w:lang w:val="en-US" w:eastAsia="zh-CN"/>
        </w:rPr>
        <w:t>贰佰万元整</w:t>
      </w:r>
      <w:r>
        <w:rPr>
          <w:rFonts w:hint="eastAsia" w:ascii="宋体" w:hAnsi="宋体" w:eastAsia="宋体" w:cs="宋体"/>
          <w:color w:val="auto"/>
          <w:sz w:val="24"/>
          <w:highlight w:val="none"/>
          <w:u w:val="none"/>
        </w:rPr>
        <w:t>）</w:t>
      </w:r>
    </w:p>
    <w:p w14:paraId="73322F0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u w:val="none"/>
          <w:lang w:eastAsia="zh-CN"/>
        </w:rPr>
      </w:pPr>
      <w:r>
        <w:rPr>
          <w:rFonts w:hint="eastAsia" w:ascii="宋体" w:hAnsi="宋体" w:cs="宋体"/>
          <w:color w:val="auto"/>
          <w:sz w:val="24"/>
          <w:highlight w:val="none"/>
          <w:u w:val="none"/>
          <w:lang w:val="en-US" w:eastAsia="zh-CN"/>
        </w:rPr>
        <w:t>4.服务</w:t>
      </w:r>
      <w:r>
        <w:rPr>
          <w:rFonts w:hint="eastAsia" w:ascii="宋体" w:hAnsi="宋体" w:eastAsia="宋体" w:cs="宋体"/>
          <w:color w:val="auto"/>
          <w:sz w:val="24"/>
          <w:highlight w:val="none"/>
          <w:u w:val="none"/>
          <w:lang w:eastAsia="zh-CN"/>
        </w:rPr>
        <w:t>需求：本项目为</w:t>
      </w:r>
      <w:r>
        <w:rPr>
          <w:rFonts w:hint="eastAsia" w:ascii="宋体" w:hAnsi="宋体" w:cs="宋体"/>
          <w:color w:val="auto"/>
          <w:sz w:val="24"/>
          <w:highlight w:val="none"/>
          <w:u w:val="none"/>
          <w:lang w:eastAsia="zh-CN"/>
        </w:rPr>
        <w:t>玉溪一中拔尖创新人才培养项目之小初高贯通数学竞赛培训课程，</w:t>
      </w:r>
      <w:r>
        <w:rPr>
          <w:rFonts w:hint="eastAsia" w:ascii="宋体" w:hAnsi="宋体" w:eastAsia="宋体" w:cs="宋体"/>
          <w:color w:val="auto"/>
          <w:sz w:val="24"/>
          <w:highlight w:val="none"/>
          <w:u w:val="none"/>
          <w:lang w:eastAsia="zh-CN"/>
        </w:rPr>
        <w:t>共设</w:t>
      </w:r>
      <w:r>
        <w:rPr>
          <w:rFonts w:hint="eastAsia" w:ascii="宋体" w:hAnsi="宋体" w:cs="宋体"/>
          <w:color w:val="auto"/>
          <w:sz w:val="24"/>
          <w:highlight w:val="none"/>
          <w:u w:val="none"/>
          <w:lang w:val="en-US" w:eastAsia="zh-CN"/>
        </w:rPr>
        <w:t>2</w:t>
      </w:r>
      <w:r>
        <w:rPr>
          <w:rFonts w:hint="eastAsia" w:ascii="宋体" w:hAnsi="宋体" w:eastAsia="宋体" w:cs="宋体"/>
          <w:color w:val="auto"/>
          <w:sz w:val="24"/>
          <w:highlight w:val="none"/>
          <w:u w:val="none"/>
          <w:lang w:eastAsia="zh-CN"/>
        </w:rPr>
        <w:t>个标段，具体内容如下：</w:t>
      </w:r>
    </w:p>
    <w:p w14:paraId="35199755">
      <w:pPr>
        <w:spacing w:line="360" w:lineRule="auto"/>
        <w:rPr>
          <w:rFonts w:hint="eastAsia"/>
          <w:color w:val="auto"/>
          <w:highlight w:val="none"/>
          <w:u w:val="none"/>
          <w:lang w:eastAsia="zh-CN"/>
        </w:rPr>
      </w:pPr>
    </w:p>
    <w:tbl>
      <w:tblPr>
        <w:tblStyle w:val="27"/>
        <w:tblW w:w="9004" w:type="dxa"/>
        <w:jc w:val="center"/>
        <w:tblLayout w:type="fixed"/>
        <w:tblCellMar>
          <w:top w:w="0" w:type="dxa"/>
          <w:left w:w="108" w:type="dxa"/>
          <w:bottom w:w="0" w:type="dxa"/>
          <w:right w:w="108" w:type="dxa"/>
        </w:tblCellMar>
      </w:tblPr>
      <w:tblGrid>
        <w:gridCol w:w="831"/>
        <w:gridCol w:w="1483"/>
        <w:gridCol w:w="2790"/>
        <w:gridCol w:w="1755"/>
        <w:gridCol w:w="2145"/>
      </w:tblGrid>
      <w:tr w14:paraId="5E1C91DC">
        <w:tblPrEx>
          <w:tblCellMar>
            <w:top w:w="0" w:type="dxa"/>
            <w:left w:w="108" w:type="dxa"/>
            <w:bottom w:w="0" w:type="dxa"/>
            <w:right w:w="108" w:type="dxa"/>
          </w:tblCellMar>
        </w:tblPrEx>
        <w:trPr>
          <w:trHeight w:val="7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083C5651">
            <w:pPr>
              <w:pStyle w:val="11"/>
              <w:spacing w:line="360" w:lineRule="auto"/>
              <w:jc w:val="center"/>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序号</w:t>
            </w:r>
          </w:p>
        </w:tc>
        <w:tc>
          <w:tcPr>
            <w:tcW w:w="1483" w:type="dxa"/>
            <w:tcBorders>
              <w:top w:val="single" w:color="000000" w:sz="4" w:space="0"/>
              <w:left w:val="single" w:color="000000" w:sz="4" w:space="0"/>
              <w:bottom w:val="single" w:color="000000" w:sz="4" w:space="0"/>
              <w:right w:val="single" w:color="000000" w:sz="4" w:space="0"/>
            </w:tcBorders>
            <w:vAlign w:val="center"/>
          </w:tcPr>
          <w:p w14:paraId="6B2B2D70">
            <w:pPr>
              <w:pStyle w:val="11"/>
              <w:spacing w:line="360" w:lineRule="auto"/>
              <w:jc w:val="center"/>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标段号</w:t>
            </w:r>
          </w:p>
        </w:tc>
        <w:tc>
          <w:tcPr>
            <w:tcW w:w="2790" w:type="dxa"/>
            <w:tcBorders>
              <w:top w:val="single" w:color="000000" w:sz="4" w:space="0"/>
              <w:left w:val="single" w:color="000000" w:sz="4" w:space="0"/>
              <w:bottom w:val="single" w:color="000000" w:sz="4" w:space="0"/>
              <w:right w:val="single" w:color="000000" w:sz="4" w:space="0"/>
            </w:tcBorders>
            <w:vAlign w:val="center"/>
          </w:tcPr>
          <w:p w14:paraId="3DF93035">
            <w:pPr>
              <w:pStyle w:val="11"/>
              <w:spacing w:line="360" w:lineRule="auto"/>
              <w:jc w:val="center"/>
              <w:rPr>
                <w:rFonts w:hint="default"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标段名称</w:t>
            </w:r>
          </w:p>
        </w:tc>
        <w:tc>
          <w:tcPr>
            <w:tcW w:w="1755" w:type="dxa"/>
            <w:tcBorders>
              <w:top w:val="single" w:color="000000" w:sz="4" w:space="0"/>
              <w:left w:val="single" w:color="000000" w:sz="4" w:space="0"/>
              <w:bottom w:val="single" w:color="000000" w:sz="4" w:space="0"/>
              <w:right w:val="single" w:color="auto" w:sz="4" w:space="0"/>
            </w:tcBorders>
            <w:vAlign w:val="center"/>
          </w:tcPr>
          <w:p w14:paraId="5CA4E62C">
            <w:pPr>
              <w:pStyle w:val="11"/>
              <w:spacing w:line="360" w:lineRule="auto"/>
              <w:jc w:val="center"/>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预算总价(元)</w:t>
            </w:r>
          </w:p>
        </w:tc>
        <w:tc>
          <w:tcPr>
            <w:tcW w:w="2145" w:type="dxa"/>
            <w:tcBorders>
              <w:top w:val="single" w:color="000000" w:sz="4" w:space="0"/>
              <w:left w:val="single" w:color="auto" w:sz="4" w:space="0"/>
              <w:bottom w:val="single" w:color="000000" w:sz="4" w:space="0"/>
              <w:right w:val="single" w:color="000000" w:sz="4" w:space="0"/>
            </w:tcBorders>
            <w:vAlign w:val="center"/>
          </w:tcPr>
          <w:p w14:paraId="764310CD">
            <w:pPr>
              <w:pStyle w:val="11"/>
              <w:spacing w:line="360" w:lineRule="auto"/>
              <w:jc w:val="center"/>
              <w:rPr>
                <w:rFonts w:hint="eastAsia" w:ascii="宋体" w:hAnsi="宋体" w:eastAsia="宋体" w:cs="宋体"/>
                <w:b/>
                <w:bCs/>
                <w:color w:val="auto"/>
                <w:sz w:val="24"/>
                <w:szCs w:val="24"/>
                <w:highlight w:val="none"/>
                <w:u w:val="none"/>
                <w:lang w:eastAsia="zh-CN"/>
              </w:rPr>
            </w:pPr>
            <w:r>
              <w:rPr>
                <w:rFonts w:hint="eastAsia" w:ascii="宋体" w:hAnsi="宋体" w:eastAsia="宋体" w:cs="宋体"/>
                <w:b/>
                <w:bCs/>
                <w:color w:val="auto"/>
                <w:sz w:val="24"/>
                <w:szCs w:val="24"/>
                <w:highlight w:val="none"/>
                <w:u w:val="none"/>
              </w:rPr>
              <w:t>最高限价(元)</w:t>
            </w:r>
          </w:p>
        </w:tc>
      </w:tr>
      <w:tr w14:paraId="5B66F18B">
        <w:tblPrEx>
          <w:tblCellMar>
            <w:top w:w="0" w:type="dxa"/>
            <w:left w:w="108" w:type="dxa"/>
            <w:bottom w:w="0" w:type="dxa"/>
            <w:right w:w="108" w:type="dxa"/>
          </w:tblCellMar>
        </w:tblPrEx>
        <w:trPr>
          <w:trHeight w:val="548"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14C508CB">
            <w:pPr>
              <w:pStyle w:val="11"/>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w:t>
            </w:r>
          </w:p>
        </w:tc>
        <w:tc>
          <w:tcPr>
            <w:tcW w:w="1483" w:type="dxa"/>
            <w:tcBorders>
              <w:top w:val="single" w:color="000000" w:sz="4" w:space="0"/>
              <w:left w:val="single" w:color="000000" w:sz="4" w:space="0"/>
              <w:bottom w:val="single" w:color="000000" w:sz="4" w:space="0"/>
              <w:right w:val="single" w:color="000000" w:sz="4" w:space="0"/>
            </w:tcBorders>
            <w:vAlign w:val="center"/>
          </w:tcPr>
          <w:p w14:paraId="73A6A971">
            <w:pPr>
              <w:pStyle w:val="11"/>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一标段</w:t>
            </w:r>
          </w:p>
        </w:tc>
        <w:tc>
          <w:tcPr>
            <w:tcW w:w="2790" w:type="dxa"/>
            <w:tcBorders>
              <w:top w:val="single" w:color="000000" w:sz="4" w:space="0"/>
              <w:left w:val="single" w:color="000000" w:sz="4" w:space="0"/>
              <w:bottom w:val="single" w:color="000000" w:sz="4" w:space="0"/>
              <w:right w:val="single" w:color="000000" w:sz="4" w:space="0"/>
            </w:tcBorders>
            <w:vAlign w:val="center"/>
          </w:tcPr>
          <w:p w14:paraId="1BBB10AA">
            <w:pPr>
              <w:adjustRightInd w:val="0"/>
              <w:snapToGrid w:val="0"/>
              <w:spacing w:line="360" w:lineRule="auto"/>
              <w:jc w:val="center"/>
              <w:rPr>
                <w:rFonts w:hint="default" w:ascii="宋体" w:hAnsi="宋体" w:eastAsia="宋体" w:cs="宋体"/>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高中数学培优课程</w:t>
            </w:r>
          </w:p>
        </w:tc>
        <w:tc>
          <w:tcPr>
            <w:tcW w:w="1755" w:type="dxa"/>
            <w:tcBorders>
              <w:top w:val="single" w:color="000000" w:sz="4" w:space="0"/>
              <w:left w:val="single" w:color="000000" w:sz="4" w:space="0"/>
              <w:bottom w:val="single" w:color="000000" w:sz="4" w:space="0"/>
              <w:right w:val="single" w:color="auto" w:sz="4" w:space="0"/>
            </w:tcBorders>
            <w:vAlign w:val="center"/>
          </w:tcPr>
          <w:p w14:paraId="32567D0C">
            <w:pPr>
              <w:pStyle w:val="11"/>
              <w:spacing w:line="360" w:lineRule="auto"/>
              <w:jc w:val="center"/>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500000.00</w:t>
            </w:r>
          </w:p>
        </w:tc>
        <w:tc>
          <w:tcPr>
            <w:tcW w:w="2145" w:type="dxa"/>
            <w:tcBorders>
              <w:top w:val="single" w:color="000000" w:sz="4" w:space="0"/>
              <w:left w:val="single" w:color="auto" w:sz="4" w:space="0"/>
              <w:bottom w:val="single" w:color="000000" w:sz="4" w:space="0"/>
              <w:right w:val="single" w:color="000000" w:sz="4" w:space="0"/>
            </w:tcBorders>
            <w:vAlign w:val="center"/>
          </w:tcPr>
          <w:p w14:paraId="182D97E7">
            <w:pPr>
              <w:pStyle w:val="11"/>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500000.00</w:t>
            </w:r>
          </w:p>
        </w:tc>
      </w:tr>
      <w:tr w14:paraId="3DAAE72E">
        <w:tblPrEx>
          <w:tblCellMar>
            <w:top w:w="0" w:type="dxa"/>
            <w:left w:w="108" w:type="dxa"/>
            <w:bottom w:w="0" w:type="dxa"/>
            <w:right w:w="108" w:type="dxa"/>
          </w:tblCellMar>
        </w:tblPrEx>
        <w:trPr>
          <w:trHeight w:val="858"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68B8A623">
            <w:pPr>
              <w:pStyle w:val="11"/>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w:t>
            </w:r>
          </w:p>
        </w:tc>
        <w:tc>
          <w:tcPr>
            <w:tcW w:w="1483" w:type="dxa"/>
            <w:tcBorders>
              <w:top w:val="single" w:color="000000" w:sz="4" w:space="0"/>
              <w:left w:val="single" w:color="000000" w:sz="4" w:space="0"/>
              <w:bottom w:val="single" w:color="000000" w:sz="4" w:space="0"/>
              <w:right w:val="single" w:color="000000" w:sz="4" w:space="0"/>
            </w:tcBorders>
            <w:vAlign w:val="center"/>
          </w:tcPr>
          <w:p w14:paraId="01F6103F">
            <w:pPr>
              <w:pStyle w:val="11"/>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二标段</w:t>
            </w:r>
          </w:p>
        </w:tc>
        <w:tc>
          <w:tcPr>
            <w:tcW w:w="2790" w:type="dxa"/>
            <w:tcBorders>
              <w:top w:val="single" w:color="000000" w:sz="4" w:space="0"/>
              <w:left w:val="single" w:color="000000" w:sz="4" w:space="0"/>
              <w:bottom w:val="single" w:color="000000" w:sz="4" w:space="0"/>
              <w:right w:val="single" w:color="000000" w:sz="4" w:space="0"/>
            </w:tcBorders>
            <w:vAlign w:val="center"/>
          </w:tcPr>
          <w:p w14:paraId="258576DC">
            <w:pPr>
              <w:adjustRightInd w:val="0"/>
              <w:snapToGrid w:val="0"/>
              <w:spacing w:line="360" w:lineRule="auto"/>
              <w:jc w:val="center"/>
              <w:rPr>
                <w:rFonts w:hint="default" w:ascii="宋体" w:hAnsi="宋体" w:eastAsia="宋体" w:cs="宋体"/>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小初高贯通数学竞赛培训课程</w:t>
            </w:r>
          </w:p>
        </w:tc>
        <w:tc>
          <w:tcPr>
            <w:tcW w:w="1755" w:type="dxa"/>
            <w:tcBorders>
              <w:top w:val="single" w:color="000000" w:sz="4" w:space="0"/>
              <w:left w:val="single" w:color="000000" w:sz="4" w:space="0"/>
              <w:bottom w:val="single" w:color="000000" w:sz="4" w:space="0"/>
              <w:right w:val="single" w:color="auto" w:sz="4" w:space="0"/>
            </w:tcBorders>
            <w:vAlign w:val="center"/>
          </w:tcPr>
          <w:p w14:paraId="4C1BB18C">
            <w:pPr>
              <w:pStyle w:val="11"/>
              <w:spacing w:line="360" w:lineRule="auto"/>
              <w:jc w:val="center"/>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1500000.00</w:t>
            </w:r>
          </w:p>
        </w:tc>
        <w:tc>
          <w:tcPr>
            <w:tcW w:w="2145" w:type="dxa"/>
            <w:tcBorders>
              <w:top w:val="single" w:color="000000" w:sz="4" w:space="0"/>
              <w:left w:val="single" w:color="auto" w:sz="4" w:space="0"/>
              <w:bottom w:val="single" w:color="000000" w:sz="4" w:space="0"/>
              <w:right w:val="single" w:color="000000" w:sz="4" w:space="0"/>
            </w:tcBorders>
            <w:vAlign w:val="center"/>
          </w:tcPr>
          <w:p w14:paraId="1F21DBB1">
            <w:pPr>
              <w:pStyle w:val="11"/>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1500000.00</w:t>
            </w:r>
          </w:p>
        </w:tc>
      </w:tr>
    </w:tbl>
    <w:p w14:paraId="04829E8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none"/>
          <w:lang w:val="en-US" w:eastAsia="zh-CN"/>
        </w:rPr>
      </w:pPr>
    </w:p>
    <w:p w14:paraId="5B3DB49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highlight w:val="none"/>
          <w:u w:val="none"/>
        </w:rPr>
      </w:pPr>
      <w:r>
        <w:rPr>
          <w:rFonts w:hint="eastAsia" w:ascii="宋体" w:hAnsi="宋体" w:eastAsia="宋体" w:cs="宋体"/>
          <w:color w:val="auto"/>
          <w:sz w:val="24"/>
          <w:highlight w:val="none"/>
          <w:u w:val="none"/>
          <w:lang w:val="en-US" w:eastAsia="zh-CN"/>
        </w:rPr>
        <w:t>★</w:t>
      </w:r>
      <w:r>
        <w:rPr>
          <w:rFonts w:hint="eastAsia" w:ascii="宋体" w:hAnsi="宋体" w:eastAsia="宋体" w:cs="宋体"/>
          <w:b/>
          <w:bCs/>
          <w:color w:val="auto"/>
          <w:sz w:val="24"/>
          <w:highlight w:val="none"/>
          <w:u w:val="none"/>
          <w:lang w:val="en-US" w:eastAsia="zh-CN"/>
        </w:rPr>
        <w:t>注</w:t>
      </w:r>
      <w:r>
        <w:rPr>
          <w:rFonts w:hint="eastAsia" w:ascii="宋体" w:hAnsi="宋体" w:eastAsia="宋体" w:cs="宋体"/>
          <w:color w:val="auto"/>
          <w:sz w:val="24"/>
          <w:highlight w:val="none"/>
          <w:u w:val="none"/>
          <w:lang w:val="en-US" w:eastAsia="zh-CN"/>
        </w:rPr>
        <w:t>：</w:t>
      </w:r>
      <w:r>
        <w:rPr>
          <w:rFonts w:hint="eastAsia" w:ascii="宋体" w:hAnsi="宋体" w:cs="宋体"/>
          <w:color w:val="auto"/>
          <w:sz w:val="24"/>
          <w:highlight w:val="none"/>
          <w:u w:val="none"/>
          <w:lang w:val="en-US" w:eastAsia="zh-CN"/>
        </w:rPr>
        <w:t>1、</w:t>
      </w:r>
      <w:r>
        <w:rPr>
          <w:rFonts w:hint="eastAsia" w:ascii="宋体" w:hAnsi="宋体" w:cs="宋体"/>
          <w:b/>
          <w:bCs/>
          <w:color w:val="auto"/>
          <w:kern w:val="0"/>
          <w:sz w:val="24"/>
          <w:highlight w:val="none"/>
          <w:u w:val="none"/>
          <w:lang w:val="en-US" w:eastAsia="zh-CN"/>
        </w:rPr>
        <w:t>本项目划分为2个标段。每个标段选取1家中标人，投标人可同时参加多个标段，且不限制同时中选多个标段，但投标人应分包制作、分别投递投标文件。</w:t>
      </w:r>
    </w:p>
    <w:p w14:paraId="083978C0">
      <w:pPr>
        <w:keepNext w:val="0"/>
        <w:keepLines w:val="0"/>
        <w:pageBreakBefore w:val="0"/>
        <w:numPr>
          <w:ilvl w:val="0"/>
          <w:numId w:val="1"/>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u w:val="none"/>
          <w:shd w:val="clear" w:color="auto" w:fill="auto"/>
        </w:rPr>
      </w:pPr>
      <w:r>
        <w:rPr>
          <w:rFonts w:hint="eastAsia" w:ascii="宋体" w:hAnsi="宋体" w:cs="宋体"/>
          <w:color w:val="auto"/>
          <w:sz w:val="24"/>
          <w:highlight w:val="none"/>
          <w:u w:val="none"/>
          <w:shd w:val="clear" w:color="auto" w:fill="auto"/>
        </w:rPr>
        <w:t>合同履行期限：</w:t>
      </w:r>
    </w:p>
    <w:p w14:paraId="32DD7B6C">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cs="Times New Roman"/>
          <w:color w:val="auto"/>
          <w:sz w:val="24"/>
          <w:highlight w:val="none"/>
          <w:u w:val="none"/>
          <w:lang w:val="en-US" w:eastAsia="zh-CN"/>
        </w:rPr>
      </w:pPr>
      <w:r>
        <w:rPr>
          <w:rFonts w:hint="eastAsia" w:ascii="宋体" w:hAnsi="宋体" w:cs="宋体"/>
          <w:color w:val="auto"/>
          <w:sz w:val="24"/>
          <w:highlight w:val="none"/>
          <w:u w:val="none"/>
          <w:shd w:val="clear" w:color="auto" w:fill="auto"/>
          <w:lang w:eastAsia="zh-CN"/>
        </w:rPr>
        <w:t>一标段：</w:t>
      </w:r>
      <w:r>
        <w:rPr>
          <w:rFonts w:hint="eastAsia" w:ascii="宋体" w:hAnsi="宋体" w:cs="宋体"/>
          <w:color w:val="auto"/>
          <w:sz w:val="24"/>
          <w:highlight w:val="none"/>
          <w:u w:val="none"/>
          <w:shd w:val="clear" w:color="auto" w:fill="auto"/>
          <w:lang w:val="en-US" w:eastAsia="zh-CN"/>
        </w:rPr>
        <w:t>两</w:t>
      </w:r>
      <w:r>
        <w:rPr>
          <w:rFonts w:hint="eastAsia" w:ascii="Times New Roman" w:hAnsi="Times New Roman" w:cs="Times New Roman"/>
          <w:color w:val="auto"/>
          <w:sz w:val="24"/>
          <w:highlight w:val="none"/>
          <w:u w:val="none"/>
          <w:lang w:val="en-US" w:eastAsia="zh-CN"/>
        </w:rPr>
        <w:t>年（</w:t>
      </w:r>
      <w:r>
        <w:rPr>
          <w:rFonts w:hint="eastAsia" w:cs="Times New Roman"/>
          <w:color w:val="auto"/>
          <w:sz w:val="24"/>
          <w:highlight w:val="none"/>
          <w:u w:val="none"/>
          <w:lang w:val="en-US" w:eastAsia="zh-CN"/>
        </w:rPr>
        <w:t>以合同约定为准</w:t>
      </w:r>
      <w:r>
        <w:rPr>
          <w:rFonts w:hint="eastAsia" w:ascii="Times New Roman" w:hAnsi="Times New Roman" w:cs="Times New Roman"/>
          <w:color w:val="auto"/>
          <w:sz w:val="24"/>
          <w:highlight w:val="none"/>
          <w:u w:val="none"/>
          <w:lang w:val="en-US" w:eastAsia="zh-CN"/>
        </w:rPr>
        <w:t>）</w:t>
      </w:r>
      <w:r>
        <w:rPr>
          <w:rFonts w:hint="eastAsia" w:ascii="Times New Roman" w:hAnsi="Times New Roman" w:cs="Times New Roman"/>
          <w:color w:val="auto"/>
          <w:sz w:val="24"/>
          <w:highlight w:val="none"/>
          <w:u w:val="none"/>
        </w:rPr>
        <w:t>或合同总金额执行完毕</w:t>
      </w:r>
      <w:r>
        <w:rPr>
          <w:rFonts w:hint="eastAsia" w:ascii="Times New Roman" w:hAnsi="Times New Roman" w:cs="Times New Roman"/>
          <w:color w:val="auto"/>
          <w:sz w:val="24"/>
          <w:highlight w:val="none"/>
          <w:u w:val="none"/>
          <w:lang w:val="en-US" w:eastAsia="zh-CN"/>
        </w:rPr>
        <w:t>。</w:t>
      </w:r>
    </w:p>
    <w:p w14:paraId="36CAAD99">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color w:val="auto"/>
          <w:u w:val="none"/>
          <w:lang w:val="en-US" w:eastAsia="zh-CN"/>
        </w:rPr>
      </w:pPr>
      <w:r>
        <w:rPr>
          <w:rFonts w:hint="eastAsia" w:ascii="Times New Roman" w:hAnsi="Times New Roman" w:cs="Times New Roman"/>
          <w:color w:val="auto"/>
          <w:sz w:val="24"/>
          <w:highlight w:val="none"/>
          <w:u w:val="none"/>
          <w:lang w:val="en-US" w:eastAsia="zh-CN"/>
        </w:rPr>
        <w:t>二标段：三年（以合同约定为准）或合同总金额执行完毕。</w:t>
      </w:r>
    </w:p>
    <w:p w14:paraId="419BDF4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u w:val="none"/>
          <w:shd w:val="clear" w:color="auto" w:fill="auto"/>
          <w:lang w:eastAsia="zh-CN"/>
        </w:rPr>
      </w:pPr>
      <w:r>
        <w:rPr>
          <w:rFonts w:hint="eastAsia" w:ascii="宋体" w:hAnsi="宋体" w:cs="宋体"/>
          <w:color w:val="auto"/>
          <w:sz w:val="24"/>
          <w:highlight w:val="none"/>
          <w:u w:val="none"/>
          <w:shd w:val="clear" w:color="auto" w:fill="auto"/>
          <w:lang w:val="en-US" w:eastAsia="zh-CN"/>
        </w:rPr>
        <w:t>6.</w:t>
      </w:r>
      <w:r>
        <w:rPr>
          <w:rFonts w:hint="eastAsia" w:ascii="宋体" w:hAnsi="宋体" w:cs="宋体"/>
          <w:color w:val="auto"/>
          <w:sz w:val="24"/>
          <w:highlight w:val="none"/>
          <w:u w:val="none"/>
          <w:shd w:val="clear" w:color="auto" w:fill="auto"/>
        </w:rPr>
        <w:t>质量要求：</w:t>
      </w:r>
      <w:r>
        <w:rPr>
          <w:rFonts w:hint="eastAsia" w:ascii="宋体" w:hAnsi="宋体" w:cs="宋体"/>
          <w:color w:val="auto"/>
          <w:kern w:val="0"/>
          <w:sz w:val="24"/>
          <w:highlight w:val="none"/>
          <w:u w:val="none"/>
          <w:lang w:val="en-US" w:eastAsia="zh-CN"/>
        </w:rPr>
        <w:t>符合国家现行行业质量标准、规范和要求，在相应学期内完成课程规定的教学任务，为其提供高质量服务。</w:t>
      </w:r>
    </w:p>
    <w:p w14:paraId="1256C39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u w:val="none"/>
          <w:lang w:val="en-US" w:eastAsia="zh-CN" w:bidi="ar"/>
        </w:rPr>
      </w:pPr>
      <w:r>
        <w:rPr>
          <w:rFonts w:hint="eastAsia" w:ascii="宋体" w:hAnsi="宋体" w:cs="宋体"/>
          <w:color w:val="auto"/>
          <w:kern w:val="0"/>
          <w:sz w:val="24"/>
          <w:szCs w:val="24"/>
          <w:highlight w:val="none"/>
          <w:u w:val="none"/>
          <w:lang w:val="en-US" w:eastAsia="zh-CN" w:bidi="ar"/>
        </w:rPr>
        <w:t>7.服务地点</w:t>
      </w:r>
      <w:r>
        <w:rPr>
          <w:rFonts w:hint="eastAsia" w:ascii="宋体" w:hAnsi="宋体" w:eastAsia="宋体" w:cs="宋体"/>
          <w:color w:val="auto"/>
          <w:kern w:val="0"/>
          <w:sz w:val="24"/>
          <w:szCs w:val="24"/>
          <w:highlight w:val="none"/>
          <w:u w:val="none"/>
          <w:lang w:val="en-US" w:eastAsia="zh-CN" w:bidi="ar"/>
        </w:rPr>
        <w:t>：</w:t>
      </w:r>
      <w:r>
        <w:rPr>
          <w:rFonts w:hint="eastAsia" w:ascii="宋体" w:hAnsi="宋体" w:cs="宋体"/>
          <w:color w:val="auto"/>
          <w:kern w:val="0"/>
          <w:sz w:val="24"/>
          <w:szCs w:val="24"/>
          <w:highlight w:val="none"/>
          <w:u w:val="none"/>
          <w:lang w:val="en-US" w:eastAsia="zh-CN" w:bidi="ar"/>
        </w:rPr>
        <w:t>云南省玉溪第一中学校内</w:t>
      </w:r>
      <w:r>
        <w:rPr>
          <w:rFonts w:hint="eastAsia" w:ascii="宋体" w:hAnsi="宋体" w:eastAsia="宋体" w:cs="宋体"/>
          <w:color w:val="auto"/>
          <w:kern w:val="0"/>
          <w:sz w:val="24"/>
          <w:szCs w:val="24"/>
          <w:highlight w:val="none"/>
          <w:u w:val="none"/>
          <w:lang w:val="en-US" w:eastAsia="zh-CN" w:bidi="ar"/>
        </w:rPr>
        <w:t>或</w:t>
      </w:r>
      <w:r>
        <w:rPr>
          <w:rFonts w:hint="eastAsia" w:ascii="宋体" w:hAnsi="宋体" w:cs="宋体"/>
          <w:color w:val="auto"/>
          <w:kern w:val="0"/>
          <w:sz w:val="24"/>
          <w:szCs w:val="24"/>
          <w:highlight w:val="none"/>
          <w:u w:val="none"/>
          <w:lang w:val="en-US" w:eastAsia="zh-CN" w:bidi="ar"/>
        </w:rPr>
        <w:t>招标人</w:t>
      </w:r>
      <w:r>
        <w:rPr>
          <w:rFonts w:hint="eastAsia" w:ascii="宋体" w:hAnsi="宋体" w:eastAsia="宋体" w:cs="宋体"/>
          <w:color w:val="auto"/>
          <w:kern w:val="0"/>
          <w:sz w:val="24"/>
          <w:szCs w:val="24"/>
          <w:highlight w:val="none"/>
          <w:u w:val="none"/>
          <w:lang w:val="en-US" w:eastAsia="zh-CN" w:bidi="ar"/>
        </w:rPr>
        <w:t>指定地点</w:t>
      </w:r>
      <w:r>
        <w:rPr>
          <w:rFonts w:hint="eastAsia" w:ascii="宋体" w:hAnsi="宋体" w:cs="宋体"/>
          <w:color w:val="auto"/>
          <w:kern w:val="0"/>
          <w:sz w:val="24"/>
          <w:szCs w:val="24"/>
          <w:highlight w:val="none"/>
          <w:u w:val="none"/>
          <w:lang w:val="en-US" w:eastAsia="zh-CN" w:bidi="ar"/>
        </w:rPr>
        <w:t>。</w:t>
      </w:r>
    </w:p>
    <w:p w14:paraId="136F1805">
      <w:pPr>
        <w:pStyle w:val="3"/>
        <w:keepNext w:val="0"/>
        <w:spacing w:line="360" w:lineRule="auto"/>
        <w:ind w:firstLine="480" w:firstLineChars="200"/>
        <w:rPr>
          <w:rFonts w:hint="eastAsia" w:ascii="宋体" w:hAnsi="宋体" w:cs="宋体"/>
          <w:b w:val="0"/>
          <w:bCs/>
          <w:color w:val="auto"/>
          <w:sz w:val="24"/>
          <w:highlight w:val="none"/>
          <w:u w:val="none"/>
        </w:rPr>
      </w:pPr>
      <w:r>
        <w:rPr>
          <w:rFonts w:hint="eastAsia" w:hAnsi="宋体" w:cs="宋体"/>
          <w:b w:val="0"/>
          <w:bCs/>
          <w:color w:val="auto"/>
          <w:sz w:val="24"/>
          <w:highlight w:val="none"/>
          <w:u w:val="none"/>
          <w:lang w:val="en-US" w:eastAsia="zh-CN"/>
        </w:rPr>
        <w:t>8.</w:t>
      </w:r>
      <w:r>
        <w:rPr>
          <w:rFonts w:hint="eastAsia" w:ascii="宋体" w:hAnsi="宋体" w:cs="宋体"/>
          <w:b w:val="0"/>
          <w:bCs/>
          <w:color w:val="auto"/>
          <w:sz w:val="24"/>
          <w:highlight w:val="none"/>
          <w:u w:val="none"/>
        </w:rPr>
        <w:t>本项目不接受联合体投标。</w:t>
      </w:r>
      <w:bookmarkStart w:id="19" w:name="_Toc35393791"/>
      <w:bookmarkStart w:id="20" w:name="_Toc35393622"/>
      <w:bookmarkStart w:id="21" w:name="_Toc27820"/>
      <w:bookmarkStart w:id="22" w:name="_Toc19372"/>
      <w:bookmarkStart w:id="23" w:name="_Toc9455"/>
      <w:bookmarkStart w:id="24" w:name="_Toc28359003"/>
      <w:bookmarkStart w:id="25" w:name="_Toc28359080"/>
    </w:p>
    <w:p w14:paraId="52BD68BC">
      <w:pPr>
        <w:pStyle w:val="3"/>
        <w:keepNext w:val="0"/>
        <w:spacing w:line="360" w:lineRule="auto"/>
        <w:rPr>
          <w:rFonts w:hAnsi="宋体" w:cs="宋体"/>
          <w:bCs/>
          <w:color w:val="auto"/>
          <w:highlight w:val="none"/>
          <w:u w:val="none"/>
        </w:rPr>
      </w:pPr>
      <w:r>
        <w:rPr>
          <w:rFonts w:hint="eastAsia" w:hAnsi="宋体" w:cs="宋体"/>
          <w:bCs/>
          <w:color w:val="auto"/>
          <w:highlight w:val="none"/>
          <w:u w:val="none"/>
        </w:rPr>
        <w:t>二、</w:t>
      </w:r>
      <w:r>
        <w:rPr>
          <w:rFonts w:hint="eastAsia" w:hAnsi="宋体" w:cs="宋体"/>
          <w:bCs/>
          <w:color w:val="auto"/>
          <w:highlight w:val="none"/>
          <w:u w:val="none"/>
          <w:lang w:eastAsia="zh-CN"/>
        </w:rPr>
        <w:t>投标人</w:t>
      </w:r>
      <w:r>
        <w:rPr>
          <w:rFonts w:hint="eastAsia" w:hAnsi="宋体" w:cs="宋体"/>
          <w:bCs/>
          <w:color w:val="auto"/>
          <w:highlight w:val="none"/>
          <w:u w:val="none"/>
        </w:rPr>
        <w:t>的资格要求：</w:t>
      </w:r>
    </w:p>
    <w:p w14:paraId="4B8D12AF">
      <w:pPr>
        <w:tabs>
          <w:tab w:val="left" w:pos="709"/>
        </w:tabs>
        <w:autoSpaceDE w:val="0"/>
        <w:autoSpaceDN w:val="0"/>
        <w:adjustRightInd w:val="0"/>
        <w:snapToGrid w:val="0"/>
        <w:spacing w:line="360" w:lineRule="auto"/>
        <w:ind w:firstLine="482" w:firstLineChars="200"/>
        <w:outlineLvl w:val="1"/>
        <w:rPr>
          <w:rFonts w:ascii="宋体" w:hAnsi="宋体" w:cs="宋体"/>
          <w:b/>
          <w:bCs/>
          <w:color w:val="auto"/>
          <w:kern w:val="0"/>
          <w:sz w:val="24"/>
          <w:highlight w:val="none"/>
          <w:u w:val="none"/>
        </w:rPr>
      </w:pPr>
      <w:bookmarkStart w:id="26" w:name="_Toc6510"/>
      <w:bookmarkStart w:id="27" w:name="_Toc32750"/>
      <w:bookmarkStart w:id="28" w:name="_Toc28699"/>
      <w:bookmarkStart w:id="29" w:name="_Toc35393792"/>
      <w:bookmarkStart w:id="30" w:name="_Toc35393623"/>
      <w:bookmarkStart w:id="31" w:name="_Toc26545"/>
      <w:bookmarkStart w:id="32" w:name="_Toc13616"/>
      <w:bookmarkStart w:id="33" w:name="_Toc28359004"/>
      <w:bookmarkStart w:id="34" w:name="_Toc28359081"/>
      <w:r>
        <w:rPr>
          <w:rFonts w:hint="eastAsia" w:ascii="宋体" w:hAnsi="宋体" w:cs="宋体"/>
          <w:b/>
          <w:bCs/>
          <w:color w:val="auto"/>
          <w:kern w:val="0"/>
          <w:sz w:val="24"/>
          <w:highlight w:val="none"/>
          <w:u w:val="none"/>
        </w:rPr>
        <w:t>1.符合《中华人民共和国政府采购法》第二十二条规定及《中华人民共和国政府采购法实施条例》第十七条的相关要求：</w:t>
      </w:r>
      <w:bookmarkEnd w:id="26"/>
      <w:bookmarkEnd w:id="27"/>
      <w:bookmarkEnd w:id="28"/>
    </w:p>
    <w:p w14:paraId="73405951">
      <w:pPr>
        <w:spacing w:line="360"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1.1</w:t>
      </w:r>
      <w:r>
        <w:rPr>
          <w:rFonts w:hint="eastAsia" w:ascii="宋体" w:hAnsi="宋体" w:cs="宋体"/>
          <w:color w:val="auto"/>
          <w:kern w:val="0"/>
          <w:sz w:val="24"/>
          <w:highlight w:val="none"/>
          <w:u w:val="none"/>
        </w:rPr>
        <w:t>具有独立承担民事责任的能力,</w:t>
      </w:r>
      <w:r>
        <w:rPr>
          <w:rFonts w:hint="eastAsia" w:ascii="宋体" w:hAnsi="宋体" w:cs="宋体"/>
          <w:color w:val="auto"/>
          <w:sz w:val="24"/>
          <w:highlight w:val="none"/>
          <w:u w:val="none"/>
        </w:rPr>
        <w:t>经国家工商行政管理部门登记注册的独立企业（事业）法人或其他组织，</w:t>
      </w:r>
      <w:r>
        <w:rPr>
          <w:rFonts w:hint="eastAsia" w:ascii="宋体" w:hAnsi="宋体" w:cs="宋体"/>
          <w:color w:val="auto"/>
          <w:kern w:val="0"/>
          <w:sz w:val="24"/>
          <w:highlight w:val="none"/>
          <w:u w:val="none"/>
        </w:rPr>
        <w:t>能合法提供采购内容及其相应的服务能力，具备有效的营业执照（事业单位法人证书）或其他主体资格证明文件</w:t>
      </w:r>
      <w:r>
        <w:rPr>
          <w:rFonts w:hint="eastAsia" w:ascii="宋体" w:hAnsi="宋体"/>
          <w:color w:val="auto"/>
          <w:sz w:val="24"/>
          <w:highlight w:val="none"/>
          <w:u w:val="none"/>
        </w:rPr>
        <w:t>；</w:t>
      </w:r>
    </w:p>
    <w:p w14:paraId="45C50BE9">
      <w:pPr>
        <w:spacing w:line="360"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1.2具有履行合同所必需的设备和专业技术能力（提供书面声明或相关证明材料）；</w:t>
      </w:r>
    </w:p>
    <w:p w14:paraId="03F9ACDF">
      <w:pPr>
        <w:spacing w:line="360"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1.3企业商业信誉良好，没有被处于被责令停产，财产被冻结、接管、破产状态，近三年在经营活动中没有重大违法记录（提供书面声明）；</w:t>
      </w:r>
    </w:p>
    <w:p w14:paraId="2110CC64">
      <w:pPr>
        <w:spacing w:line="360" w:lineRule="auto"/>
        <w:ind w:firstLine="480" w:firstLineChars="200"/>
        <w:rPr>
          <w:rFonts w:hint="eastAsia" w:ascii="仿宋" w:hAnsi="仿宋" w:eastAsia="仿宋" w:cs="仿宋"/>
          <w:bCs/>
          <w:color w:val="auto"/>
          <w:sz w:val="24"/>
          <w:highlight w:val="none"/>
          <w:u w:val="none"/>
        </w:rPr>
      </w:pPr>
      <w:r>
        <w:rPr>
          <w:rFonts w:hint="eastAsia" w:ascii="宋体" w:hAnsi="宋体" w:cs="宋体"/>
          <w:color w:val="auto"/>
          <w:sz w:val="24"/>
          <w:highlight w:val="none"/>
          <w:u w:val="none"/>
        </w:rPr>
        <w:t>1.4具有良好的商业信誉和健全的财务会计制度，</w:t>
      </w:r>
      <w:r>
        <w:rPr>
          <w:rFonts w:hint="eastAsia" w:ascii="宋体" w:hAnsi="宋体" w:cs="宋体"/>
          <w:color w:val="000000" w:themeColor="text1"/>
          <w:sz w:val="24"/>
          <w:highlight w:val="none"/>
          <w:lang w:eastAsia="zh-CN"/>
          <w14:textFill>
            <w14:solidFill>
              <w14:schemeClr w14:val="tx1"/>
            </w14:solidFill>
          </w14:textFill>
        </w:rPr>
        <w:t>提供2022年至今任意一年经审计的财务报告及相应的财务报表【含资产负债表、利润表（或损益表）、现金流量表】</w:t>
      </w:r>
      <w:r>
        <w:rPr>
          <w:rFonts w:hint="eastAsia" w:ascii="宋体" w:hAnsi="宋体" w:cs="宋体"/>
          <w:color w:val="auto"/>
          <w:sz w:val="24"/>
          <w:highlight w:val="none"/>
          <w:u w:val="none"/>
          <w:lang w:eastAsia="zh-CN"/>
        </w:rPr>
        <w:t>（</w:t>
      </w:r>
      <w:r>
        <w:rPr>
          <w:rFonts w:hint="eastAsia" w:ascii="宋体" w:hAnsi="宋体" w:cs="宋体"/>
          <w:color w:val="auto"/>
          <w:sz w:val="24"/>
          <w:highlight w:val="none"/>
          <w:u w:val="none"/>
        </w:rPr>
        <w:t>成立</w:t>
      </w:r>
      <w:r>
        <w:rPr>
          <w:rFonts w:hint="eastAsia" w:ascii="宋体" w:hAnsi="宋体" w:cs="宋体"/>
          <w:color w:val="auto"/>
          <w:sz w:val="24"/>
          <w:highlight w:val="none"/>
          <w:u w:val="none"/>
          <w:lang w:val="en-US" w:eastAsia="zh-CN"/>
        </w:rPr>
        <w:t>未</w:t>
      </w:r>
      <w:r>
        <w:rPr>
          <w:rFonts w:hint="eastAsia" w:ascii="宋体" w:hAnsi="宋体" w:cs="宋体"/>
          <w:color w:val="auto"/>
          <w:sz w:val="24"/>
          <w:highlight w:val="none"/>
          <w:u w:val="none"/>
        </w:rPr>
        <w:t>满1年的，提供自成立至今的财务报表</w:t>
      </w:r>
      <w:r>
        <w:rPr>
          <w:rFonts w:hint="eastAsia" w:ascii="宋体" w:hAnsi="宋体" w:cs="宋体"/>
          <w:color w:val="auto"/>
          <w:sz w:val="24"/>
          <w:highlight w:val="none"/>
          <w:u w:val="none"/>
          <w:lang w:eastAsia="zh-CN"/>
        </w:rPr>
        <w:t>【含资产负债表、利润表（或损益表）、现金流量表】）或提供自投标文件递交截止时间前</w:t>
      </w:r>
      <w:r>
        <w:rPr>
          <w:rFonts w:hint="eastAsia" w:ascii="宋体" w:hAnsi="宋体" w:cs="宋体"/>
          <w:color w:val="auto"/>
          <w:sz w:val="24"/>
          <w:highlight w:val="none"/>
          <w:u w:val="none"/>
          <w:lang w:val="en-US" w:eastAsia="zh-CN"/>
        </w:rPr>
        <w:t>3个月内基本开户银行出具的资信证明</w:t>
      </w:r>
      <w:r>
        <w:rPr>
          <w:rFonts w:hint="eastAsia" w:ascii="宋体" w:hAnsi="宋体" w:cs="宋体"/>
          <w:color w:val="auto"/>
          <w:sz w:val="24"/>
          <w:highlight w:val="none"/>
          <w:u w:val="none"/>
        </w:rPr>
        <w:t>；</w:t>
      </w:r>
    </w:p>
    <w:p w14:paraId="57D406A6">
      <w:pPr>
        <w:spacing w:line="360"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1.5有依法缴纳税收和社会保障资金的良好记录，提供202</w:t>
      </w:r>
      <w:r>
        <w:rPr>
          <w:rFonts w:hint="eastAsia" w:ascii="宋体" w:hAnsi="宋体" w:cs="宋体"/>
          <w:color w:val="auto"/>
          <w:sz w:val="24"/>
          <w:highlight w:val="none"/>
          <w:u w:val="none"/>
          <w:lang w:val="en-US" w:eastAsia="zh-CN"/>
        </w:rPr>
        <w:t>3</w:t>
      </w:r>
      <w:r>
        <w:rPr>
          <w:rFonts w:hint="eastAsia" w:ascii="宋体" w:hAnsi="宋体" w:cs="宋体"/>
          <w:color w:val="auto"/>
          <w:sz w:val="24"/>
          <w:highlight w:val="none"/>
          <w:u w:val="none"/>
        </w:rPr>
        <w:t>年至今任意</w:t>
      </w:r>
      <w:r>
        <w:rPr>
          <w:rFonts w:hint="eastAsia" w:ascii="宋体" w:hAnsi="宋体" w:cs="宋体"/>
          <w:color w:val="auto"/>
          <w:sz w:val="24"/>
          <w:highlight w:val="none"/>
          <w:u w:val="none"/>
          <w:lang w:val="en-US" w:eastAsia="zh-CN"/>
        </w:rPr>
        <w:t>1</w:t>
      </w:r>
      <w:r>
        <w:rPr>
          <w:rFonts w:hint="eastAsia" w:ascii="宋体" w:hAnsi="宋体" w:cs="宋体"/>
          <w:color w:val="auto"/>
          <w:sz w:val="24"/>
          <w:highlight w:val="none"/>
          <w:u w:val="none"/>
        </w:rPr>
        <w:t>个月依法缴纳税收和缴纳社会保障资金的证明（依法免税或不需要缴纳社会保障资金的投标人，提供相关证明材料或相关情况说明；新成立的公司提供成立以来的税收和社保资金缴纳凭证或相关情况说明）；</w:t>
      </w:r>
    </w:p>
    <w:p w14:paraId="078F2B81">
      <w:pPr>
        <w:spacing w:line="360" w:lineRule="auto"/>
        <w:ind w:firstLine="480" w:firstLineChars="200"/>
        <w:rPr>
          <w:rFonts w:hint="eastAsia" w:ascii="宋体" w:hAnsi="宋体" w:cs="宋体"/>
          <w:color w:val="auto"/>
          <w:sz w:val="24"/>
          <w:highlight w:val="none"/>
          <w:u w:val="none"/>
        </w:rPr>
      </w:pPr>
      <w:r>
        <w:rPr>
          <w:rFonts w:hint="eastAsia" w:ascii="宋体" w:hAnsi="宋体" w:cs="宋体"/>
          <w:color w:val="auto"/>
          <w:sz w:val="24"/>
          <w:highlight w:val="none"/>
          <w:u w:val="none"/>
        </w:rPr>
        <w:t>1.6</w:t>
      </w:r>
      <w:r>
        <w:rPr>
          <w:rFonts w:hint="eastAsia" w:ascii="宋体" w:hAnsi="宋体" w:cs="宋体"/>
          <w:color w:val="auto"/>
          <w:sz w:val="24"/>
          <w:highlight w:val="none"/>
          <w:u w:val="none"/>
          <w:lang w:val="en-US" w:eastAsia="zh-CN"/>
        </w:rPr>
        <w:t>投标人在投标截止时间前未被列入“信用中国”网站(www.creditchina.gov.cn)失信被执行人、重大税收违法失信主体及中国政府采购网 (www.ccgp.gov.cn)“政府采购严重违法失信行为信息记录”（供应商自行承诺）</w:t>
      </w:r>
      <w:r>
        <w:rPr>
          <w:rFonts w:hint="eastAsia" w:ascii="宋体" w:hAnsi="宋体" w:cs="宋体"/>
          <w:color w:val="auto"/>
          <w:sz w:val="24"/>
          <w:highlight w:val="none"/>
          <w:u w:val="none"/>
        </w:rPr>
        <w:t>。</w:t>
      </w:r>
    </w:p>
    <w:p w14:paraId="790BC17B">
      <w:pPr>
        <w:spacing w:line="360" w:lineRule="auto"/>
        <w:ind w:firstLine="482" w:firstLineChars="200"/>
        <w:rPr>
          <w:rFonts w:hint="eastAsia" w:ascii="宋体" w:hAnsi="宋体" w:eastAsia="宋体" w:cs="宋体"/>
          <w:color w:val="auto"/>
          <w:sz w:val="24"/>
          <w:highlight w:val="none"/>
          <w:u w:val="none"/>
          <w:lang w:val="en-US" w:eastAsia="zh-CN"/>
        </w:rPr>
      </w:pPr>
      <w:bookmarkStart w:id="35" w:name="_Toc22320"/>
      <w:bookmarkStart w:id="36" w:name="_Toc8341"/>
      <w:bookmarkStart w:id="37" w:name="_Toc21549"/>
      <w:bookmarkStart w:id="38" w:name="_Toc11901"/>
      <w:bookmarkStart w:id="39" w:name="_Toc3910"/>
      <w:r>
        <w:rPr>
          <w:rFonts w:hint="eastAsia" w:ascii="宋体" w:hAnsi="宋体" w:cs="宋体"/>
          <w:b/>
          <w:bCs w:val="0"/>
          <w:color w:val="auto"/>
          <w:kern w:val="0"/>
          <w:sz w:val="24"/>
          <w:highlight w:val="none"/>
          <w:u w:val="none"/>
          <w:lang w:val="en-US" w:eastAsia="zh-CN"/>
        </w:rPr>
        <w:t>2</w:t>
      </w:r>
      <w:r>
        <w:rPr>
          <w:rFonts w:hint="eastAsia" w:ascii="宋体" w:hAnsi="宋体" w:eastAsia="宋体" w:cs="宋体"/>
          <w:b/>
          <w:bCs w:val="0"/>
          <w:color w:val="auto"/>
          <w:kern w:val="0"/>
          <w:sz w:val="24"/>
          <w:highlight w:val="none"/>
          <w:u w:val="none"/>
        </w:rPr>
        <w:t>.本项目的特定资格要求：</w:t>
      </w:r>
      <w:bookmarkEnd w:id="35"/>
      <w:bookmarkEnd w:id="36"/>
      <w:bookmarkEnd w:id="37"/>
      <w:bookmarkEnd w:id="38"/>
      <w:bookmarkEnd w:id="39"/>
      <w:r>
        <w:rPr>
          <w:rFonts w:hint="eastAsia" w:ascii="宋体" w:hAnsi="宋体" w:cs="宋体"/>
          <w:b/>
          <w:bCs w:val="0"/>
          <w:color w:val="auto"/>
          <w:kern w:val="0"/>
          <w:sz w:val="24"/>
          <w:highlight w:val="none"/>
          <w:u w:val="none"/>
          <w:lang w:val="en-US" w:eastAsia="zh-CN"/>
        </w:rPr>
        <w:t>无。</w:t>
      </w:r>
    </w:p>
    <w:p w14:paraId="364F45CC">
      <w:pPr>
        <w:tabs>
          <w:tab w:val="left" w:pos="709"/>
        </w:tabs>
        <w:autoSpaceDE w:val="0"/>
        <w:autoSpaceDN w:val="0"/>
        <w:adjustRightInd w:val="0"/>
        <w:snapToGrid w:val="0"/>
        <w:spacing w:line="360" w:lineRule="auto"/>
        <w:ind w:firstLine="482" w:firstLineChars="200"/>
        <w:rPr>
          <w:rFonts w:hint="default" w:ascii="宋体" w:hAnsi="宋体" w:eastAsia="宋体" w:cs="宋体"/>
          <w:b/>
          <w:bCs/>
          <w:color w:val="auto"/>
          <w:kern w:val="0"/>
          <w:sz w:val="24"/>
          <w:highlight w:val="none"/>
          <w:u w:val="none"/>
          <w:lang w:val="en-US" w:eastAsia="zh-CN"/>
        </w:rPr>
      </w:pPr>
      <w:r>
        <w:rPr>
          <w:rFonts w:hint="eastAsia" w:ascii="宋体" w:hAnsi="宋体" w:cs="宋体"/>
          <w:b/>
          <w:bCs/>
          <w:color w:val="auto"/>
          <w:kern w:val="0"/>
          <w:sz w:val="24"/>
          <w:highlight w:val="none"/>
          <w:u w:val="none"/>
          <w:lang w:val="en-US" w:eastAsia="zh-CN"/>
        </w:rPr>
        <w:t>3</w:t>
      </w:r>
      <w:r>
        <w:rPr>
          <w:rFonts w:hint="eastAsia" w:ascii="宋体" w:hAnsi="宋体" w:cs="宋体"/>
          <w:b/>
          <w:bCs/>
          <w:color w:val="auto"/>
          <w:kern w:val="0"/>
          <w:sz w:val="24"/>
          <w:highlight w:val="none"/>
          <w:u w:val="none"/>
        </w:rPr>
        <w:t>.落实政府采购政策需满足的资格要求：</w:t>
      </w:r>
      <w:bookmarkStart w:id="40" w:name="_Toc19446"/>
      <w:r>
        <w:rPr>
          <w:rFonts w:hint="eastAsia" w:ascii="宋体" w:hAnsi="宋体" w:cs="宋体"/>
          <w:b/>
          <w:bCs/>
          <w:color w:val="auto"/>
          <w:kern w:val="0"/>
          <w:sz w:val="24"/>
          <w:highlight w:val="none"/>
          <w:u w:val="none"/>
          <w:lang w:val="en-US" w:eastAsia="zh-CN"/>
        </w:rPr>
        <w:t>本项目专门面向中小企业，须提供《中小企业声明函》。</w:t>
      </w:r>
    </w:p>
    <w:p w14:paraId="3656A5E5">
      <w:pPr>
        <w:tabs>
          <w:tab w:val="left" w:pos="709"/>
        </w:tabs>
        <w:autoSpaceDE w:val="0"/>
        <w:autoSpaceDN w:val="0"/>
        <w:adjustRightInd w:val="0"/>
        <w:snapToGrid w:val="0"/>
        <w:spacing w:line="360" w:lineRule="auto"/>
        <w:outlineLvl w:val="1"/>
        <w:rPr>
          <w:rFonts w:hAnsi="宋体" w:cs="宋体"/>
          <w:b/>
          <w:bCs w:val="0"/>
          <w:color w:val="auto"/>
          <w:sz w:val="24"/>
          <w:szCs w:val="32"/>
          <w:highlight w:val="none"/>
          <w:u w:val="none"/>
        </w:rPr>
      </w:pPr>
      <w:r>
        <w:rPr>
          <w:rFonts w:hint="eastAsia" w:hAnsi="宋体" w:cs="宋体"/>
          <w:b/>
          <w:bCs w:val="0"/>
          <w:color w:val="auto"/>
          <w:sz w:val="24"/>
          <w:szCs w:val="32"/>
          <w:highlight w:val="none"/>
          <w:u w:val="none"/>
        </w:rPr>
        <w:t>三、获取招标文件</w:t>
      </w:r>
      <w:bookmarkEnd w:id="29"/>
      <w:bookmarkEnd w:id="30"/>
      <w:bookmarkEnd w:id="31"/>
      <w:bookmarkEnd w:id="32"/>
      <w:bookmarkEnd w:id="33"/>
      <w:bookmarkEnd w:id="34"/>
      <w:bookmarkEnd w:id="40"/>
    </w:p>
    <w:p w14:paraId="101F1764">
      <w:pPr>
        <w:wordWrap w:val="0"/>
        <w:spacing w:line="360" w:lineRule="auto"/>
        <w:ind w:firstLine="480" w:firstLineChars="200"/>
        <w:jc w:val="left"/>
        <w:rPr>
          <w:rFonts w:ascii="宋体" w:hAnsi="宋体"/>
          <w:color w:val="auto"/>
          <w:sz w:val="24"/>
          <w:highlight w:val="none"/>
          <w:u w:val="none"/>
        </w:rPr>
      </w:pPr>
      <w:r>
        <w:rPr>
          <w:rFonts w:hint="eastAsia" w:ascii="宋体" w:hAnsi="宋体"/>
          <w:color w:val="auto"/>
          <w:sz w:val="24"/>
          <w:highlight w:val="none"/>
          <w:u w:val="none"/>
          <w:lang w:val="en-US" w:eastAsia="zh-CN"/>
        </w:rPr>
        <w:t>1.</w:t>
      </w:r>
      <w:r>
        <w:rPr>
          <w:rFonts w:hint="eastAsia" w:ascii="宋体" w:hAnsi="宋体"/>
          <w:color w:val="auto"/>
          <w:sz w:val="24"/>
          <w:highlight w:val="none"/>
          <w:u w:val="none"/>
        </w:rPr>
        <w:t>时间：</w:t>
      </w:r>
      <w:r>
        <w:rPr>
          <w:rFonts w:hint="eastAsia" w:ascii="宋体" w:hAnsi="宋体"/>
          <w:b w:val="0"/>
          <w:bCs w:val="0"/>
          <w:color w:val="auto"/>
          <w:sz w:val="24"/>
          <w:highlight w:val="none"/>
          <w:u w:val="none"/>
          <w:lang w:eastAsia="zh-CN"/>
        </w:rPr>
        <w:t>2025年</w:t>
      </w:r>
      <w:r>
        <w:rPr>
          <w:rFonts w:hint="eastAsia" w:ascii="宋体" w:hAnsi="宋体"/>
          <w:b w:val="0"/>
          <w:bCs w:val="0"/>
          <w:color w:val="auto"/>
          <w:sz w:val="24"/>
          <w:highlight w:val="none"/>
          <w:u w:val="none"/>
          <w:lang w:val="en-US" w:eastAsia="zh-CN"/>
        </w:rPr>
        <w:t>07</w:t>
      </w:r>
      <w:r>
        <w:rPr>
          <w:rFonts w:hint="eastAsia" w:ascii="宋体" w:hAnsi="宋体"/>
          <w:b w:val="0"/>
          <w:bCs w:val="0"/>
          <w:color w:val="auto"/>
          <w:kern w:val="0"/>
          <w:sz w:val="24"/>
          <w:highlight w:val="none"/>
          <w:u w:val="none"/>
        </w:rPr>
        <w:t>月</w:t>
      </w:r>
      <w:r>
        <w:rPr>
          <w:rFonts w:hint="eastAsia" w:ascii="宋体" w:hAnsi="宋体"/>
          <w:b w:val="0"/>
          <w:bCs w:val="0"/>
          <w:color w:val="auto"/>
          <w:kern w:val="0"/>
          <w:sz w:val="24"/>
          <w:highlight w:val="none"/>
          <w:u w:val="none"/>
          <w:lang w:val="en-US" w:eastAsia="zh-CN"/>
        </w:rPr>
        <w:t>10</w:t>
      </w:r>
      <w:r>
        <w:rPr>
          <w:rFonts w:hint="eastAsia" w:ascii="宋体" w:hAnsi="宋体"/>
          <w:b w:val="0"/>
          <w:bCs w:val="0"/>
          <w:color w:val="auto"/>
          <w:kern w:val="0"/>
          <w:sz w:val="24"/>
          <w:highlight w:val="none"/>
          <w:u w:val="none"/>
        </w:rPr>
        <w:t>日</w:t>
      </w:r>
      <w:r>
        <w:rPr>
          <w:rFonts w:hint="eastAsia" w:ascii="宋体" w:hAnsi="宋体"/>
          <w:color w:val="auto"/>
          <w:sz w:val="24"/>
          <w:highlight w:val="none"/>
          <w:u w:val="none"/>
        </w:rPr>
        <w:t>至</w:t>
      </w:r>
      <w:r>
        <w:rPr>
          <w:rFonts w:hint="eastAsia" w:ascii="宋体" w:hAnsi="宋体"/>
          <w:color w:val="auto"/>
          <w:sz w:val="24"/>
          <w:highlight w:val="none"/>
          <w:u w:val="none"/>
          <w:lang w:eastAsia="zh-CN"/>
        </w:rPr>
        <w:t>2025年</w:t>
      </w:r>
      <w:r>
        <w:rPr>
          <w:rFonts w:hint="eastAsia" w:ascii="宋体" w:hAnsi="宋体"/>
          <w:color w:val="auto"/>
          <w:kern w:val="0"/>
          <w:sz w:val="24"/>
          <w:highlight w:val="none"/>
          <w:u w:val="none"/>
          <w:lang w:val="en-US" w:eastAsia="zh-CN"/>
        </w:rPr>
        <w:t>07</w:t>
      </w:r>
      <w:r>
        <w:rPr>
          <w:rFonts w:hint="eastAsia" w:ascii="宋体" w:hAnsi="宋体"/>
          <w:color w:val="auto"/>
          <w:kern w:val="0"/>
          <w:sz w:val="24"/>
          <w:highlight w:val="none"/>
          <w:u w:val="none"/>
        </w:rPr>
        <w:t>月</w:t>
      </w:r>
      <w:r>
        <w:rPr>
          <w:rFonts w:hint="eastAsia" w:ascii="宋体" w:hAnsi="宋体"/>
          <w:color w:val="auto"/>
          <w:kern w:val="0"/>
          <w:sz w:val="24"/>
          <w:highlight w:val="none"/>
          <w:u w:val="none"/>
          <w:lang w:val="en-US" w:eastAsia="zh-CN"/>
        </w:rPr>
        <w:t>17</w:t>
      </w:r>
      <w:r>
        <w:rPr>
          <w:rFonts w:hint="eastAsia" w:ascii="宋体" w:hAnsi="宋体"/>
          <w:color w:val="auto"/>
          <w:kern w:val="0"/>
          <w:sz w:val="24"/>
          <w:highlight w:val="none"/>
          <w:u w:val="none"/>
        </w:rPr>
        <w:t>日23时59分</w:t>
      </w:r>
      <w:r>
        <w:rPr>
          <w:rFonts w:hint="eastAsia" w:ascii="宋体" w:hAnsi="宋体"/>
          <w:color w:val="auto"/>
          <w:sz w:val="24"/>
          <w:highlight w:val="none"/>
          <w:u w:val="none"/>
        </w:rPr>
        <w:t>；</w:t>
      </w:r>
    </w:p>
    <w:p w14:paraId="585C8BED">
      <w:pPr>
        <w:wordWrap w:val="0"/>
        <w:spacing w:line="360" w:lineRule="auto"/>
        <w:ind w:firstLine="480" w:firstLineChars="200"/>
        <w:jc w:val="left"/>
        <w:rPr>
          <w:rFonts w:hint="eastAsia" w:ascii="宋体" w:hAnsi="宋体" w:eastAsia="宋体"/>
          <w:color w:val="auto"/>
          <w:sz w:val="24"/>
          <w:highlight w:val="none"/>
          <w:u w:val="none"/>
          <w:lang w:val="en-US" w:eastAsia="zh-CN"/>
        </w:rPr>
      </w:pPr>
      <w:bookmarkStart w:id="41" w:name="_Toc19564"/>
      <w:bookmarkStart w:id="42" w:name="_Toc23764"/>
      <w:bookmarkStart w:id="43" w:name="_Toc28359082"/>
      <w:bookmarkStart w:id="44" w:name="_Toc35393793"/>
      <w:bookmarkStart w:id="45" w:name="_Toc35393624"/>
      <w:bookmarkStart w:id="46" w:name="_Toc27418"/>
      <w:bookmarkStart w:id="47" w:name="_Toc28359005"/>
      <w:r>
        <w:rPr>
          <w:rFonts w:hint="eastAsia" w:ascii="宋体" w:hAnsi="宋体"/>
          <w:color w:val="auto"/>
          <w:sz w:val="24"/>
          <w:highlight w:val="none"/>
          <w:u w:val="none"/>
          <w:lang w:val="en-US" w:eastAsia="zh-CN"/>
        </w:rPr>
        <w:t>2.地点：</w:t>
      </w:r>
      <w:r>
        <w:rPr>
          <w:rFonts w:hint="eastAsia" w:ascii="宋体" w:hAnsi="宋体"/>
          <w:color w:val="auto"/>
          <w:kern w:val="0"/>
          <w:sz w:val="24"/>
          <w:szCs w:val="24"/>
          <w:highlight w:val="none"/>
          <w:u w:val="none"/>
        </w:rPr>
        <w:t>政采云平台（http：//www.zcygov.cn）；</w:t>
      </w:r>
    </w:p>
    <w:p w14:paraId="25B1E25A">
      <w:pPr>
        <w:keepLines w:val="0"/>
        <w:pageBreakBefore w:val="0"/>
        <w:kinsoku/>
        <w:overflowPunct/>
        <w:topLinePunct w:val="0"/>
        <w:bidi w:val="0"/>
        <w:spacing w:line="360" w:lineRule="auto"/>
        <w:ind w:firstLine="480" w:firstLineChars="200"/>
        <w:jc w:val="left"/>
        <w:rPr>
          <w:rFonts w:hint="eastAsia" w:ascii="宋体" w:hAnsi="宋体" w:eastAsia="宋体" w:cs="宋体"/>
          <w:color w:val="auto"/>
          <w:sz w:val="24"/>
          <w:highlight w:val="none"/>
          <w:u w:val="none"/>
          <w:lang w:val="en-US" w:eastAsia="zh-CN"/>
        </w:rPr>
      </w:pPr>
      <w:r>
        <w:rPr>
          <w:rFonts w:hint="eastAsia" w:ascii="宋体" w:hAnsi="宋体"/>
          <w:color w:val="auto"/>
          <w:sz w:val="24"/>
          <w:highlight w:val="none"/>
          <w:u w:val="none"/>
          <w:lang w:val="en-US" w:eastAsia="zh-CN"/>
        </w:rPr>
        <w:t>3.方式：</w:t>
      </w:r>
      <w:r>
        <w:rPr>
          <w:rFonts w:hint="eastAsia" w:ascii="宋体" w:hAnsi="宋体" w:eastAsia="宋体" w:cs="宋体"/>
          <w:color w:val="auto"/>
          <w:sz w:val="24"/>
          <w:highlight w:val="none"/>
          <w:u w:val="none"/>
          <w:lang w:val="en-US" w:eastAsia="zh-CN"/>
        </w:rPr>
        <w:t>（一）凡有意参加投标者，须注册政采云平台账号并登录办理数字证书（CA），若投标人未办理数字证书（CA）的，可选择办理云南壹证通CA。CA申领链接：</w:t>
      </w:r>
      <w:r>
        <w:rPr>
          <w:rFonts w:hint="eastAsia" w:ascii="宋体" w:hAnsi="宋体" w:eastAsia="宋体" w:cs="宋体"/>
          <w:color w:val="auto"/>
          <w:sz w:val="24"/>
          <w:highlight w:val="none"/>
          <w:u w:val="none"/>
          <w:lang w:val="en-US" w:eastAsia="zh-CN"/>
        </w:rPr>
        <w:fldChar w:fldCharType="begin"/>
      </w:r>
      <w:r>
        <w:rPr>
          <w:rFonts w:hint="eastAsia" w:ascii="宋体" w:hAnsi="宋体" w:eastAsia="宋体" w:cs="宋体"/>
          <w:color w:val="auto"/>
          <w:sz w:val="24"/>
          <w:highlight w:val="none"/>
          <w:u w:val="none"/>
          <w:lang w:val="en-US" w:eastAsia="zh-CN"/>
        </w:rPr>
        <w:instrText xml:space="preserve"> HYPERLINK "http://yzt.ynsmartcert.cn/cms/yztynjx27.html" </w:instrText>
      </w:r>
      <w:r>
        <w:rPr>
          <w:rFonts w:hint="eastAsia" w:ascii="宋体" w:hAnsi="宋体" w:eastAsia="宋体" w:cs="宋体"/>
          <w:color w:val="auto"/>
          <w:sz w:val="24"/>
          <w:highlight w:val="none"/>
          <w:u w:val="none"/>
          <w:lang w:val="en-US" w:eastAsia="zh-CN"/>
        </w:rPr>
        <w:fldChar w:fldCharType="separate"/>
      </w:r>
      <w:r>
        <w:rPr>
          <w:rFonts w:hint="eastAsia" w:ascii="宋体" w:hAnsi="宋体" w:eastAsia="宋体" w:cs="宋体"/>
          <w:color w:val="auto"/>
          <w:sz w:val="24"/>
          <w:highlight w:val="none"/>
          <w:u w:val="none"/>
          <w:lang w:val="en-US" w:eastAsia="zh-CN"/>
        </w:rPr>
        <w:t>http://yzt.ynsmartcert.cn/cms/yztynjx27.html</w:t>
      </w:r>
      <w:r>
        <w:rPr>
          <w:rFonts w:hint="eastAsia" w:ascii="宋体" w:hAnsi="宋体" w:eastAsia="宋体" w:cs="宋体"/>
          <w:color w:val="auto"/>
          <w:sz w:val="24"/>
          <w:highlight w:val="none"/>
          <w:u w:val="none"/>
          <w:lang w:val="en-US" w:eastAsia="zh-CN"/>
        </w:rPr>
        <w:fldChar w:fldCharType="end"/>
      </w:r>
      <w:r>
        <w:rPr>
          <w:rFonts w:hint="eastAsia" w:ascii="宋体" w:hAnsi="宋体" w:eastAsia="宋体" w:cs="宋体"/>
          <w:color w:val="auto"/>
          <w:sz w:val="24"/>
          <w:highlight w:val="none"/>
          <w:u w:val="none"/>
          <w:lang w:val="en-US" w:eastAsia="zh-CN"/>
        </w:rPr>
        <w:t>云南壹证通CA 可支持线上、线下两种办理方式，并提供7*24小时全天候客户服务支持，客服热线400-004-0628。（紧急CA办理电话：19988166369）政府采购云平台支持多家CA服务商，投标人可自行选择办理。</w:t>
      </w:r>
    </w:p>
    <w:p w14:paraId="6CBBEFCB">
      <w:pPr>
        <w:keepLines w:val="0"/>
        <w:pageBreakBefore w:val="0"/>
        <w:numPr>
          <w:ilvl w:val="0"/>
          <w:numId w:val="2"/>
        </w:numPr>
        <w:kinsoku/>
        <w:overflowPunct/>
        <w:topLinePunct w:val="0"/>
        <w:bidi w:val="0"/>
        <w:spacing w:line="360" w:lineRule="auto"/>
        <w:ind w:firstLine="480" w:firstLineChars="200"/>
        <w:jc w:val="left"/>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数字证书（CA）申领完成之后进入政府采购云平台，企业账号与数字证书（CA）进行绑定，凭企业数字证书（CA）免费下载招标文件。</w:t>
      </w:r>
    </w:p>
    <w:p w14:paraId="740DA518">
      <w:pPr>
        <w:keepLines w:val="0"/>
        <w:pageBreakBefore w:val="0"/>
        <w:numPr>
          <w:ilvl w:val="0"/>
          <w:numId w:val="2"/>
        </w:numPr>
        <w:kinsoku/>
        <w:overflowPunct/>
        <w:topLinePunct w:val="0"/>
        <w:bidi w:val="0"/>
        <w:spacing w:line="360" w:lineRule="auto"/>
        <w:ind w:firstLine="480" w:firstLineChars="200"/>
        <w:jc w:val="left"/>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按上述要求获取文件的投标人视为已合法获取本项目招标文件，具备本项目的投标资格。</w:t>
      </w:r>
    </w:p>
    <w:p w14:paraId="3B1854D3">
      <w:pPr>
        <w:keepLines w:val="0"/>
        <w:pageBreakBefore w:val="0"/>
        <w:numPr>
          <w:ilvl w:val="0"/>
          <w:numId w:val="2"/>
        </w:numPr>
        <w:kinsoku/>
        <w:overflowPunct/>
        <w:topLinePunct w:val="0"/>
        <w:bidi w:val="0"/>
        <w:spacing w:line="360" w:lineRule="auto"/>
        <w:ind w:firstLine="480" w:firstLineChars="200"/>
        <w:jc w:val="left"/>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如有问题可拨打政采云客户服务热线95763进行咨询，数字证书（CA）问题可咨询24小时技术支持热线400-004-0628（紧急办理可拨：19988166369）</w:t>
      </w:r>
    </w:p>
    <w:p w14:paraId="7C5D0C95">
      <w:pPr>
        <w:spacing w:line="360" w:lineRule="auto"/>
        <w:ind w:firstLine="480" w:firstLineChars="200"/>
        <w:jc w:val="left"/>
        <w:rPr>
          <w:rFonts w:ascii="宋体" w:hAnsi="宋体"/>
          <w:color w:val="auto"/>
          <w:sz w:val="24"/>
          <w:highlight w:val="none"/>
          <w:u w:val="none"/>
        </w:rPr>
      </w:pPr>
      <w:r>
        <w:rPr>
          <w:rFonts w:hint="eastAsia" w:ascii="宋体" w:hAnsi="宋体" w:eastAsia="宋体" w:cs="宋体"/>
          <w:color w:val="auto"/>
          <w:sz w:val="24"/>
          <w:highlight w:val="none"/>
          <w:u w:val="none"/>
          <w:lang w:val="en-US" w:eastAsia="zh-CN"/>
        </w:rPr>
        <w:t>注：云南省外</w:t>
      </w:r>
      <w:r>
        <w:rPr>
          <w:rFonts w:hint="eastAsia" w:ascii="宋体" w:hAnsi="宋体" w:cs="宋体"/>
          <w:color w:val="auto"/>
          <w:sz w:val="24"/>
          <w:highlight w:val="none"/>
          <w:u w:val="none"/>
          <w:lang w:val="en-US" w:eastAsia="zh-CN"/>
        </w:rPr>
        <w:t>投标人</w:t>
      </w:r>
      <w:r>
        <w:rPr>
          <w:rFonts w:hint="eastAsia" w:ascii="宋体" w:hAnsi="宋体" w:eastAsia="宋体" w:cs="宋体"/>
          <w:color w:val="auto"/>
          <w:sz w:val="24"/>
          <w:highlight w:val="none"/>
          <w:u w:val="none"/>
          <w:lang w:val="en-US" w:eastAsia="zh-CN"/>
        </w:rPr>
        <w:t>在政采云平台办理的其他CA可直接使用，无需重复办理。</w:t>
      </w:r>
      <w:r>
        <w:rPr>
          <w:rFonts w:hint="eastAsia" w:ascii="宋体" w:hAnsi="宋体"/>
          <w:color w:val="auto"/>
          <w:sz w:val="24"/>
          <w:highlight w:val="none"/>
          <w:u w:val="none"/>
        </w:rPr>
        <w:t xml:space="preserve"> </w:t>
      </w:r>
    </w:p>
    <w:bookmarkEnd w:id="41"/>
    <w:bookmarkEnd w:id="42"/>
    <w:bookmarkEnd w:id="43"/>
    <w:bookmarkEnd w:id="44"/>
    <w:bookmarkEnd w:id="45"/>
    <w:bookmarkEnd w:id="46"/>
    <w:bookmarkEnd w:id="47"/>
    <w:p w14:paraId="0E9A1549">
      <w:pPr>
        <w:tabs>
          <w:tab w:val="left" w:pos="709"/>
        </w:tabs>
        <w:autoSpaceDE w:val="0"/>
        <w:autoSpaceDN w:val="0"/>
        <w:adjustRightInd w:val="0"/>
        <w:snapToGrid w:val="0"/>
        <w:spacing w:line="360" w:lineRule="auto"/>
        <w:outlineLvl w:val="1"/>
        <w:rPr>
          <w:rFonts w:hint="eastAsia" w:ascii="Times New Roman" w:hAnsi="宋体" w:eastAsia="宋体" w:cs="宋体"/>
          <w:b/>
          <w:bCs w:val="0"/>
          <w:color w:val="auto"/>
          <w:sz w:val="24"/>
          <w:szCs w:val="32"/>
          <w:highlight w:val="none"/>
          <w:u w:val="none"/>
          <w:lang w:eastAsia="zh-CN"/>
        </w:rPr>
      </w:pPr>
      <w:bookmarkStart w:id="48" w:name="_Toc22424"/>
      <w:bookmarkStart w:id="49" w:name="_Toc4837"/>
      <w:bookmarkStart w:id="50" w:name="_Toc28359007"/>
      <w:bookmarkStart w:id="51" w:name="_Toc14346"/>
      <w:bookmarkStart w:id="52" w:name="_Toc35393794"/>
      <w:bookmarkStart w:id="53" w:name="_Toc7237"/>
      <w:bookmarkStart w:id="54" w:name="_Toc9603"/>
      <w:bookmarkStart w:id="55" w:name="_Toc35393625"/>
      <w:bookmarkStart w:id="56" w:name="_Toc28359084"/>
      <w:r>
        <w:rPr>
          <w:rFonts w:hint="eastAsia" w:ascii="Times New Roman" w:hAnsi="宋体" w:eastAsia="宋体" w:cs="宋体"/>
          <w:b/>
          <w:bCs w:val="0"/>
          <w:color w:val="auto"/>
          <w:sz w:val="24"/>
          <w:szCs w:val="32"/>
          <w:highlight w:val="none"/>
          <w:u w:val="none"/>
        </w:rPr>
        <w:t>四、</w:t>
      </w:r>
      <w:bookmarkEnd w:id="48"/>
      <w:bookmarkEnd w:id="49"/>
      <w:r>
        <w:rPr>
          <w:rFonts w:hint="eastAsia" w:ascii="Times New Roman" w:hAnsi="宋体" w:eastAsia="宋体" w:cs="宋体"/>
          <w:b/>
          <w:bCs w:val="0"/>
          <w:color w:val="auto"/>
          <w:sz w:val="24"/>
          <w:szCs w:val="32"/>
          <w:highlight w:val="none"/>
          <w:u w:val="none"/>
          <w:lang w:eastAsia="zh-CN"/>
        </w:rPr>
        <w:t>投标文件提交</w:t>
      </w:r>
    </w:p>
    <w:p w14:paraId="1776CBD8">
      <w:pPr>
        <w:keepLines w:val="0"/>
        <w:pageBreakBefore w:val="0"/>
        <w:kinsoku/>
        <w:overflowPunct/>
        <w:topLinePunct w:val="0"/>
        <w:bidi w:val="0"/>
        <w:spacing w:line="360" w:lineRule="auto"/>
        <w:ind w:firstLine="360" w:firstLineChars="150"/>
        <w:rPr>
          <w:rFonts w:hint="eastAsia" w:ascii="宋体" w:hAnsi="宋体" w:eastAsia="宋体"/>
          <w:bCs/>
          <w:color w:val="auto"/>
          <w:sz w:val="24"/>
          <w:szCs w:val="24"/>
          <w:highlight w:val="none"/>
          <w:u w:val="none"/>
          <w:lang w:eastAsia="zh-CN"/>
        </w:rPr>
      </w:pPr>
      <w:r>
        <w:rPr>
          <w:rFonts w:hint="eastAsia" w:ascii="宋体" w:hAnsi="宋体"/>
          <w:color w:val="auto"/>
          <w:kern w:val="0"/>
          <w:sz w:val="24"/>
          <w:szCs w:val="24"/>
          <w:highlight w:val="none"/>
          <w:u w:val="none"/>
        </w:rPr>
        <w:t>1.</w:t>
      </w:r>
      <w:r>
        <w:rPr>
          <w:rFonts w:hint="eastAsia" w:ascii="宋体" w:hAnsi="宋体"/>
          <w:color w:val="auto"/>
          <w:kern w:val="0"/>
          <w:sz w:val="24"/>
          <w:szCs w:val="24"/>
          <w:highlight w:val="none"/>
          <w:u w:val="none"/>
          <w:lang w:eastAsia="zh-CN"/>
        </w:rPr>
        <w:t>投标</w:t>
      </w:r>
      <w:r>
        <w:rPr>
          <w:rFonts w:hint="eastAsia" w:ascii="宋体" w:hAnsi="宋体"/>
          <w:color w:val="auto"/>
          <w:kern w:val="0"/>
          <w:sz w:val="24"/>
          <w:szCs w:val="24"/>
          <w:highlight w:val="none"/>
          <w:u w:val="none"/>
        </w:rPr>
        <w:t>文件递交时间：2025年07月</w:t>
      </w:r>
      <w:r>
        <w:rPr>
          <w:rFonts w:hint="eastAsia" w:ascii="宋体" w:hAnsi="宋体"/>
          <w:color w:val="auto"/>
          <w:kern w:val="0"/>
          <w:sz w:val="24"/>
          <w:szCs w:val="24"/>
          <w:highlight w:val="none"/>
          <w:u w:val="none"/>
          <w:lang w:val="en-US" w:eastAsia="zh-CN"/>
        </w:rPr>
        <w:t>31</w:t>
      </w:r>
      <w:r>
        <w:rPr>
          <w:rFonts w:hint="eastAsia" w:ascii="宋体" w:hAnsi="宋体"/>
          <w:color w:val="auto"/>
          <w:kern w:val="0"/>
          <w:sz w:val="24"/>
          <w:szCs w:val="24"/>
          <w:highlight w:val="none"/>
          <w:u w:val="none"/>
        </w:rPr>
        <w:t>日</w:t>
      </w:r>
      <w:r>
        <w:rPr>
          <w:rFonts w:hint="eastAsia" w:ascii="宋体" w:hAnsi="宋体"/>
          <w:color w:val="auto"/>
          <w:kern w:val="0"/>
          <w:sz w:val="24"/>
          <w:szCs w:val="24"/>
          <w:highlight w:val="none"/>
          <w:u w:val="none"/>
          <w:lang w:eastAsia="zh-CN"/>
        </w:rPr>
        <w:t>09点00分</w:t>
      </w:r>
      <w:r>
        <w:rPr>
          <w:rFonts w:hint="eastAsia" w:ascii="宋体" w:hAnsi="宋体"/>
          <w:color w:val="auto"/>
          <w:kern w:val="0"/>
          <w:sz w:val="24"/>
          <w:szCs w:val="24"/>
          <w:highlight w:val="none"/>
          <w:u w:val="none"/>
        </w:rPr>
        <w:t>（北京时间，下同）</w:t>
      </w:r>
      <w:r>
        <w:rPr>
          <w:rFonts w:hint="eastAsia" w:ascii="宋体" w:hAnsi="宋体"/>
          <w:color w:val="auto"/>
          <w:kern w:val="0"/>
          <w:sz w:val="24"/>
          <w:szCs w:val="24"/>
          <w:highlight w:val="none"/>
          <w:u w:val="none"/>
          <w:lang w:eastAsia="zh-CN"/>
        </w:rPr>
        <w:t>；</w:t>
      </w:r>
    </w:p>
    <w:p w14:paraId="3037BBB4">
      <w:pPr>
        <w:keepLines w:val="0"/>
        <w:pageBreakBefore w:val="0"/>
        <w:kinsoku/>
        <w:overflowPunct/>
        <w:topLinePunct w:val="0"/>
        <w:bidi w:val="0"/>
        <w:spacing w:line="360" w:lineRule="auto"/>
        <w:ind w:firstLine="360" w:firstLineChars="150"/>
        <w:rPr>
          <w:rFonts w:hint="eastAsia" w:ascii="宋体" w:hAnsi="宋体"/>
          <w:bCs/>
          <w:color w:val="auto"/>
          <w:sz w:val="24"/>
          <w:szCs w:val="24"/>
          <w:highlight w:val="none"/>
          <w:u w:val="none"/>
        </w:rPr>
      </w:pPr>
      <w:r>
        <w:rPr>
          <w:rFonts w:hint="eastAsia" w:ascii="宋体" w:hAnsi="宋体"/>
          <w:color w:val="auto"/>
          <w:kern w:val="0"/>
          <w:sz w:val="24"/>
          <w:szCs w:val="24"/>
          <w:highlight w:val="none"/>
          <w:u w:val="none"/>
        </w:rPr>
        <w:t>2.地点：政采云平台（http：//www.zcygov.cn）。</w:t>
      </w:r>
    </w:p>
    <w:p w14:paraId="73F45877">
      <w:pPr>
        <w:tabs>
          <w:tab w:val="left" w:pos="709"/>
        </w:tabs>
        <w:autoSpaceDE w:val="0"/>
        <w:autoSpaceDN w:val="0"/>
        <w:adjustRightInd w:val="0"/>
        <w:snapToGrid w:val="0"/>
        <w:spacing w:line="360" w:lineRule="auto"/>
        <w:outlineLvl w:val="1"/>
        <w:rPr>
          <w:rFonts w:hint="eastAsia" w:ascii="Times New Roman" w:hAnsi="宋体" w:eastAsia="宋体" w:cs="宋体"/>
          <w:b/>
          <w:bCs w:val="0"/>
          <w:color w:val="auto"/>
          <w:sz w:val="24"/>
          <w:szCs w:val="32"/>
          <w:highlight w:val="none"/>
          <w:u w:val="none"/>
          <w:lang w:eastAsia="zh-CN"/>
        </w:rPr>
      </w:pPr>
      <w:r>
        <w:rPr>
          <w:rFonts w:hint="eastAsia" w:ascii="Times New Roman" w:hAnsi="宋体" w:eastAsia="宋体" w:cs="宋体"/>
          <w:b/>
          <w:bCs w:val="0"/>
          <w:color w:val="auto"/>
          <w:sz w:val="24"/>
          <w:szCs w:val="32"/>
          <w:highlight w:val="none"/>
          <w:u w:val="none"/>
          <w:lang w:val="en-US" w:eastAsia="zh-CN"/>
        </w:rPr>
        <w:t>五</w:t>
      </w:r>
      <w:r>
        <w:rPr>
          <w:rFonts w:hint="eastAsia" w:ascii="Times New Roman" w:hAnsi="宋体" w:eastAsia="宋体" w:cs="宋体"/>
          <w:b/>
          <w:bCs w:val="0"/>
          <w:color w:val="auto"/>
          <w:sz w:val="24"/>
          <w:szCs w:val="32"/>
          <w:highlight w:val="none"/>
          <w:u w:val="none"/>
          <w:lang w:eastAsia="zh-CN"/>
        </w:rPr>
        <w:t>、开启</w:t>
      </w:r>
    </w:p>
    <w:p w14:paraId="2377100D">
      <w:pPr>
        <w:keepLines w:val="0"/>
        <w:pageBreakBefore w:val="0"/>
        <w:kinsoku/>
        <w:overflowPunct/>
        <w:topLinePunct w:val="0"/>
        <w:bidi w:val="0"/>
        <w:spacing w:line="360" w:lineRule="auto"/>
        <w:ind w:firstLine="360" w:firstLineChars="150"/>
        <w:rPr>
          <w:rFonts w:hint="eastAsia" w:ascii="宋体" w:hAnsi="宋体" w:eastAsia="宋体"/>
          <w:bCs/>
          <w:color w:val="auto"/>
          <w:sz w:val="24"/>
          <w:szCs w:val="24"/>
          <w:highlight w:val="none"/>
          <w:u w:val="none"/>
          <w:lang w:eastAsia="zh-CN"/>
        </w:rPr>
      </w:pPr>
      <w:r>
        <w:rPr>
          <w:rFonts w:hint="eastAsia" w:ascii="宋体" w:hAnsi="宋体"/>
          <w:bCs/>
          <w:color w:val="auto"/>
          <w:sz w:val="24"/>
          <w:szCs w:val="24"/>
          <w:highlight w:val="none"/>
          <w:u w:val="none"/>
        </w:rPr>
        <w:t>1.时间：2025年07月</w:t>
      </w:r>
      <w:r>
        <w:rPr>
          <w:rFonts w:hint="eastAsia" w:ascii="宋体" w:hAnsi="宋体"/>
          <w:bCs/>
          <w:color w:val="auto"/>
          <w:sz w:val="24"/>
          <w:szCs w:val="24"/>
          <w:highlight w:val="none"/>
          <w:u w:val="none"/>
          <w:lang w:val="en-US" w:eastAsia="zh-CN"/>
        </w:rPr>
        <w:t>31</w:t>
      </w:r>
      <w:r>
        <w:rPr>
          <w:rFonts w:hint="eastAsia" w:ascii="宋体" w:hAnsi="宋体"/>
          <w:bCs/>
          <w:color w:val="auto"/>
          <w:sz w:val="24"/>
          <w:szCs w:val="24"/>
          <w:highlight w:val="none"/>
          <w:u w:val="none"/>
        </w:rPr>
        <w:t>日</w:t>
      </w:r>
      <w:r>
        <w:rPr>
          <w:rFonts w:hint="eastAsia" w:ascii="宋体" w:hAnsi="宋体"/>
          <w:bCs/>
          <w:color w:val="auto"/>
          <w:sz w:val="24"/>
          <w:szCs w:val="24"/>
          <w:highlight w:val="none"/>
          <w:u w:val="none"/>
          <w:lang w:eastAsia="zh-CN"/>
        </w:rPr>
        <w:t>09点00分；</w:t>
      </w:r>
    </w:p>
    <w:p w14:paraId="48FDF2F1">
      <w:pPr>
        <w:keepLines w:val="0"/>
        <w:pageBreakBefore w:val="0"/>
        <w:kinsoku/>
        <w:overflowPunct/>
        <w:topLinePunct w:val="0"/>
        <w:bidi w:val="0"/>
        <w:spacing w:line="360" w:lineRule="auto"/>
        <w:ind w:firstLine="360" w:firstLineChars="150"/>
        <w:rPr>
          <w:rFonts w:hint="eastAsia" w:ascii="宋体" w:hAnsi="宋体"/>
          <w:bCs/>
          <w:color w:val="auto"/>
          <w:sz w:val="24"/>
          <w:szCs w:val="24"/>
          <w:highlight w:val="none"/>
          <w:u w:val="none"/>
        </w:rPr>
      </w:pPr>
      <w:r>
        <w:rPr>
          <w:rFonts w:hint="eastAsia" w:ascii="宋体" w:hAnsi="宋体"/>
          <w:color w:val="auto"/>
          <w:kern w:val="0"/>
          <w:sz w:val="24"/>
          <w:szCs w:val="24"/>
          <w:highlight w:val="none"/>
          <w:u w:val="none"/>
        </w:rPr>
        <w:t>2.地点：云南</w:t>
      </w:r>
      <w:r>
        <w:rPr>
          <w:rFonts w:hint="eastAsia" w:ascii="宋体" w:hAnsi="宋体"/>
          <w:color w:val="auto"/>
          <w:kern w:val="0"/>
          <w:sz w:val="24"/>
          <w:szCs w:val="24"/>
          <w:highlight w:val="none"/>
          <w:u w:val="none"/>
          <w:lang w:eastAsia="zh-CN"/>
        </w:rPr>
        <w:t>嘉鑫</w:t>
      </w:r>
      <w:r>
        <w:rPr>
          <w:rFonts w:hint="eastAsia" w:ascii="宋体" w:hAnsi="宋体"/>
          <w:color w:val="auto"/>
          <w:kern w:val="0"/>
          <w:sz w:val="24"/>
          <w:szCs w:val="24"/>
          <w:highlight w:val="none"/>
          <w:u w:val="none"/>
        </w:rPr>
        <w:t>项目管理咨询有限公司</w:t>
      </w:r>
      <w:r>
        <w:rPr>
          <w:rFonts w:hint="eastAsia" w:ascii="宋体" w:hAnsi="宋体"/>
          <w:color w:val="auto"/>
          <w:kern w:val="0"/>
          <w:sz w:val="24"/>
          <w:szCs w:val="24"/>
          <w:highlight w:val="none"/>
          <w:u w:val="none"/>
          <w:lang w:val="en-US" w:eastAsia="zh-CN"/>
        </w:rPr>
        <w:t>会议室</w:t>
      </w:r>
      <w:r>
        <w:rPr>
          <w:rFonts w:hint="eastAsia" w:ascii="宋体" w:hAnsi="宋体"/>
          <w:color w:val="auto"/>
          <w:kern w:val="0"/>
          <w:sz w:val="24"/>
          <w:szCs w:val="24"/>
          <w:highlight w:val="none"/>
          <w:u w:val="none"/>
        </w:rPr>
        <w:t>。</w:t>
      </w:r>
    </w:p>
    <w:bookmarkEnd w:id="50"/>
    <w:bookmarkEnd w:id="51"/>
    <w:bookmarkEnd w:id="52"/>
    <w:bookmarkEnd w:id="53"/>
    <w:bookmarkEnd w:id="54"/>
    <w:bookmarkEnd w:id="55"/>
    <w:bookmarkEnd w:id="56"/>
    <w:p w14:paraId="5FB45C26">
      <w:pPr>
        <w:keepNext/>
        <w:keepLines w:val="0"/>
        <w:pageBreakBefore w:val="0"/>
        <w:tabs>
          <w:tab w:val="left" w:pos="1021"/>
        </w:tabs>
        <w:kinsoku/>
        <w:overflowPunct/>
        <w:topLinePunct w:val="0"/>
        <w:bidi w:val="0"/>
        <w:adjustRightInd w:val="0"/>
        <w:spacing w:after="0" w:line="360" w:lineRule="auto"/>
        <w:jc w:val="left"/>
        <w:textAlignment w:val="baseline"/>
        <w:outlineLvl w:val="1"/>
        <w:rPr>
          <w:rFonts w:hint="default" w:ascii="宋体" w:hAnsi="宋体" w:eastAsia="宋体" w:cs="Times New Roman"/>
          <w:b/>
          <w:color w:val="auto"/>
          <w:kern w:val="0"/>
          <w:sz w:val="24"/>
          <w:szCs w:val="18"/>
          <w:highlight w:val="none"/>
          <w:u w:val="none"/>
          <w:lang w:val="en-US" w:eastAsia="zh-CN"/>
        </w:rPr>
      </w:pPr>
      <w:r>
        <w:rPr>
          <w:rFonts w:hint="eastAsia" w:ascii="宋体" w:hAnsi="宋体" w:eastAsia="宋体" w:cs="Times New Roman"/>
          <w:b/>
          <w:color w:val="auto"/>
          <w:kern w:val="0"/>
          <w:sz w:val="24"/>
          <w:szCs w:val="18"/>
          <w:highlight w:val="none"/>
          <w:u w:val="none"/>
          <w:lang w:eastAsia="zh-CN"/>
        </w:rPr>
        <w:t>六、发布公告的媒体</w:t>
      </w:r>
      <w:r>
        <w:rPr>
          <w:rFonts w:hint="eastAsia" w:ascii="宋体" w:hAnsi="宋体" w:eastAsia="宋体" w:cs="Times New Roman"/>
          <w:b/>
          <w:color w:val="auto"/>
          <w:kern w:val="0"/>
          <w:sz w:val="24"/>
          <w:szCs w:val="18"/>
          <w:highlight w:val="none"/>
          <w:u w:val="none"/>
          <w:lang w:val="en-US" w:eastAsia="zh-CN"/>
        </w:rPr>
        <w:t>及公告期限</w:t>
      </w:r>
    </w:p>
    <w:p w14:paraId="44147EB0">
      <w:pPr>
        <w:keepLines w:val="0"/>
        <w:pageBreakBefore w:val="0"/>
        <w:kinsoku/>
        <w:overflowPunct/>
        <w:topLinePunct w:val="0"/>
        <w:bidi w:val="0"/>
        <w:adjustRightInd w:val="0"/>
        <w:snapToGrid w:val="0"/>
        <w:spacing w:after="0" w:line="360" w:lineRule="auto"/>
        <w:ind w:firstLine="480" w:firstLineChars="200"/>
        <w:jc w:val="left"/>
        <w:rPr>
          <w:rFonts w:ascii="宋体" w:hAnsi="宋体"/>
          <w:color w:val="auto"/>
          <w:sz w:val="24"/>
          <w:highlight w:val="none"/>
          <w:u w:val="none"/>
        </w:rPr>
      </w:pPr>
      <w:bookmarkStart w:id="57" w:name="_Toc495408512"/>
      <w:bookmarkStart w:id="58" w:name="_Toc495332373"/>
      <w:bookmarkStart w:id="59" w:name="_Toc424739979"/>
      <w:r>
        <w:rPr>
          <w:rFonts w:hint="eastAsia" w:ascii="宋体" w:hAnsi="宋体"/>
          <w:color w:val="auto"/>
          <w:sz w:val="24"/>
          <w:highlight w:val="none"/>
          <w:u w:val="none"/>
        </w:rPr>
        <w:t>1</w:t>
      </w:r>
      <w:r>
        <w:rPr>
          <w:rFonts w:hint="eastAsia" w:ascii="宋体" w:hAnsi="宋体"/>
          <w:color w:val="auto"/>
          <w:sz w:val="24"/>
          <w:highlight w:val="none"/>
          <w:u w:val="none"/>
          <w:lang w:eastAsia="zh-CN"/>
        </w:rPr>
        <w:t>.</w:t>
      </w:r>
      <w:r>
        <w:rPr>
          <w:rFonts w:hint="eastAsia" w:ascii="宋体" w:hAnsi="宋体"/>
          <w:color w:val="auto"/>
          <w:sz w:val="24"/>
          <w:highlight w:val="none"/>
          <w:u w:val="none"/>
        </w:rPr>
        <w:t>本公告</w:t>
      </w:r>
      <w:r>
        <w:rPr>
          <w:rFonts w:hint="eastAsia" w:ascii="宋体" w:hAnsi="宋体"/>
          <w:color w:val="auto"/>
          <w:sz w:val="24"/>
          <w:highlight w:val="none"/>
          <w:u w:val="none"/>
          <w:lang w:eastAsia="zh-CN"/>
        </w:rPr>
        <w:t>同时在</w:t>
      </w:r>
      <w:r>
        <w:rPr>
          <w:rFonts w:hint="eastAsia" w:ascii="宋体" w:hAnsi="宋体" w:cs="宋体"/>
          <w:color w:val="auto"/>
          <w:kern w:val="0"/>
          <w:sz w:val="24"/>
          <w:highlight w:val="none"/>
          <w:u w:val="none"/>
        </w:rPr>
        <w:t>云南省政府采购网（http://www.yngp.com/）</w:t>
      </w:r>
      <w:r>
        <w:rPr>
          <w:rFonts w:hint="eastAsia" w:ascii="宋体" w:hAnsi="宋体" w:cs="宋体"/>
          <w:color w:val="auto"/>
          <w:kern w:val="0"/>
          <w:sz w:val="24"/>
          <w:highlight w:val="none"/>
          <w:u w:val="none"/>
          <w:lang w:eastAsia="zh-CN"/>
        </w:rPr>
        <w:t>、</w:t>
      </w:r>
      <w:r>
        <w:rPr>
          <w:rFonts w:hint="eastAsia" w:ascii="宋体" w:hAnsi="宋体"/>
          <w:color w:val="auto"/>
          <w:kern w:val="0"/>
          <w:sz w:val="24"/>
          <w:szCs w:val="24"/>
          <w:highlight w:val="none"/>
          <w:u w:val="none"/>
        </w:rPr>
        <w:t>政采云平台（http：//www.zcygov.cn）</w:t>
      </w:r>
      <w:r>
        <w:rPr>
          <w:rFonts w:ascii="宋体" w:hAnsi="宋体"/>
          <w:color w:val="auto"/>
          <w:sz w:val="24"/>
          <w:highlight w:val="none"/>
          <w:u w:val="none"/>
        </w:rPr>
        <w:t>上发布，</w:t>
      </w:r>
      <w:r>
        <w:rPr>
          <w:rFonts w:hint="eastAsia" w:ascii="宋体" w:hAnsi="宋体"/>
          <w:color w:val="auto"/>
          <w:sz w:val="24"/>
          <w:highlight w:val="none"/>
          <w:u w:val="none"/>
        </w:rPr>
        <w:t>招标</w:t>
      </w:r>
      <w:r>
        <w:rPr>
          <w:rFonts w:ascii="宋体" w:hAnsi="宋体"/>
          <w:color w:val="auto"/>
          <w:sz w:val="24"/>
          <w:highlight w:val="none"/>
          <w:u w:val="none"/>
        </w:rPr>
        <w:t>人及招标代理机构对其他网站或媒体转载的公告及公告内容不承担任何责任。</w:t>
      </w:r>
    </w:p>
    <w:p w14:paraId="25E62358">
      <w:pPr>
        <w:keepLines w:val="0"/>
        <w:pageBreakBefore w:val="0"/>
        <w:widowControl/>
        <w:kinsoku/>
        <w:wordWrap w:val="0"/>
        <w:overflowPunct/>
        <w:topLinePunct w:val="0"/>
        <w:bidi w:val="0"/>
        <w:spacing w:after="0" w:line="360" w:lineRule="auto"/>
        <w:ind w:firstLine="480" w:firstLineChars="200"/>
        <w:jc w:val="left"/>
        <w:rPr>
          <w:rFonts w:ascii="宋体" w:hAnsi="宋体" w:cs="宋体"/>
          <w:color w:val="auto"/>
          <w:kern w:val="0"/>
          <w:sz w:val="24"/>
          <w:highlight w:val="none"/>
          <w:u w:val="none"/>
        </w:rPr>
      </w:pPr>
      <w:r>
        <w:rPr>
          <w:rFonts w:ascii="宋体" w:hAnsi="宋体"/>
          <w:color w:val="auto"/>
          <w:sz w:val="24"/>
          <w:highlight w:val="none"/>
          <w:u w:val="none"/>
        </w:rPr>
        <w:t>2</w:t>
      </w:r>
      <w:r>
        <w:rPr>
          <w:rFonts w:hint="eastAsia" w:ascii="宋体" w:hAnsi="宋体"/>
          <w:color w:val="auto"/>
          <w:sz w:val="24"/>
          <w:highlight w:val="none"/>
          <w:u w:val="none"/>
          <w:lang w:eastAsia="zh-CN"/>
        </w:rPr>
        <w:t>.</w:t>
      </w:r>
      <w:r>
        <w:rPr>
          <w:rFonts w:hint="eastAsia" w:ascii="宋体" w:hAnsi="宋体"/>
          <w:color w:val="auto"/>
          <w:sz w:val="24"/>
          <w:highlight w:val="none"/>
          <w:u w:val="none"/>
          <w:lang w:val="en-US" w:eastAsia="zh-CN"/>
        </w:rPr>
        <w:t>公告期限：</w:t>
      </w:r>
      <w:r>
        <w:rPr>
          <w:rFonts w:hint="eastAsia" w:ascii="宋体" w:hAnsi="宋体"/>
          <w:color w:val="auto"/>
          <w:sz w:val="24"/>
          <w:highlight w:val="none"/>
          <w:u w:val="none"/>
        </w:rPr>
        <w:t>自本公告发布之日起5个工作日</w:t>
      </w:r>
      <w:r>
        <w:rPr>
          <w:rFonts w:ascii="宋体" w:hAnsi="宋体"/>
          <w:color w:val="auto"/>
          <w:sz w:val="24"/>
          <w:highlight w:val="none"/>
          <w:u w:val="none"/>
        </w:rPr>
        <w:t>。</w:t>
      </w:r>
      <w:bookmarkEnd w:id="57"/>
      <w:bookmarkEnd w:id="58"/>
      <w:bookmarkEnd w:id="59"/>
    </w:p>
    <w:p w14:paraId="6E65CA4D">
      <w:pPr>
        <w:keepNext/>
        <w:keepLines w:val="0"/>
        <w:pageBreakBefore w:val="0"/>
        <w:tabs>
          <w:tab w:val="left" w:pos="1021"/>
        </w:tabs>
        <w:kinsoku/>
        <w:overflowPunct/>
        <w:topLinePunct w:val="0"/>
        <w:bidi w:val="0"/>
        <w:adjustRightInd w:val="0"/>
        <w:spacing w:after="0" w:line="360" w:lineRule="auto"/>
        <w:jc w:val="left"/>
        <w:textAlignment w:val="baseline"/>
        <w:outlineLvl w:val="1"/>
        <w:rPr>
          <w:rFonts w:hint="default" w:ascii="宋体" w:hAnsi="宋体" w:eastAsia="宋体" w:cs="Times New Roman"/>
          <w:b/>
          <w:color w:val="auto"/>
          <w:kern w:val="0"/>
          <w:sz w:val="24"/>
          <w:szCs w:val="18"/>
          <w:highlight w:val="none"/>
          <w:u w:val="none"/>
          <w:lang w:val="en-US" w:eastAsia="zh-CN"/>
        </w:rPr>
      </w:pPr>
      <w:bookmarkStart w:id="60" w:name="_Toc29687"/>
      <w:bookmarkStart w:id="61" w:name="_Toc15589"/>
      <w:bookmarkStart w:id="62" w:name="_Toc12975"/>
      <w:bookmarkStart w:id="63" w:name="_Toc35393626"/>
      <w:bookmarkStart w:id="64" w:name="_Toc35393795"/>
      <w:r>
        <w:rPr>
          <w:rFonts w:hint="eastAsia" w:ascii="宋体" w:hAnsi="宋体" w:eastAsia="宋体" w:cs="Times New Roman"/>
          <w:b/>
          <w:color w:val="auto"/>
          <w:kern w:val="0"/>
          <w:sz w:val="24"/>
          <w:szCs w:val="18"/>
          <w:highlight w:val="none"/>
          <w:u w:val="none"/>
          <w:lang w:val="en-US" w:eastAsia="zh-CN"/>
        </w:rPr>
        <w:t>七、</w:t>
      </w:r>
      <w:bookmarkEnd w:id="60"/>
      <w:bookmarkEnd w:id="61"/>
      <w:bookmarkEnd w:id="62"/>
      <w:bookmarkEnd w:id="63"/>
      <w:bookmarkEnd w:id="64"/>
      <w:r>
        <w:rPr>
          <w:rFonts w:hint="eastAsia" w:ascii="宋体" w:hAnsi="宋体" w:eastAsia="宋体" w:cs="Times New Roman"/>
          <w:b/>
          <w:color w:val="auto"/>
          <w:kern w:val="0"/>
          <w:sz w:val="24"/>
          <w:szCs w:val="18"/>
          <w:highlight w:val="none"/>
          <w:u w:val="none"/>
          <w:lang w:val="en-US" w:eastAsia="zh-CN"/>
        </w:rPr>
        <w:t>其他补充事宜</w:t>
      </w:r>
    </w:p>
    <w:p w14:paraId="6324C80E">
      <w:pPr>
        <w:keepLines w:val="0"/>
        <w:pageBreakBefore w:val="0"/>
        <w:widowControl/>
        <w:kinsoku/>
        <w:wordWrap w:val="0"/>
        <w:overflowPunct/>
        <w:topLinePunct w:val="0"/>
        <w:bidi w:val="0"/>
        <w:spacing w:after="0" w:line="360" w:lineRule="auto"/>
        <w:ind w:firstLine="480" w:firstLineChars="200"/>
        <w:jc w:val="left"/>
        <w:rPr>
          <w:rFonts w:hint="default" w:ascii="宋体" w:hAnsi="宋体" w:cs="Times New Roman"/>
          <w:b/>
          <w:color w:val="auto"/>
          <w:kern w:val="0"/>
          <w:sz w:val="28"/>
          <w:szCs w:val="20"/>
          <w:highlight w:val="none"/>
          <w:u w:val="none"/>
          <w:lang w:val="en-US" w:eastAsia="zh-CN"/>
        </w:rPr>
      </w:pPr>
      <w:bookmarkStart w:id="65" w:name="_Toc21270"/>
      <w:bookmarkStart w:id="66" w:name="_Toc28359008"/>
      <w:bookmarkStart w:id="67" w:name="_Toc7990"/>
      <w:bookmarkStart w:id="68" w:name="_Toc35393627"/>
      <w:bookmarkStart w:id="69" w:name="_Toc27496"/>
      <w:bookmarkStart w:id="70" w:name="_Toc28359085"/>
      <w:bookmarkStart w:id="71" w:name="_Toc35393796"/>
      <w:r>
        <w:rPr>
          <w:rFonts w:hint="eastAsia" w:ascii="宋体" w:hAnsi="宋体" w:cs="Times New Roman"/>
          <w:color w:val="auto"/>
          <w:sz w:val="24"/>
          <w:highlight w:val="none"/>
          <w:u w:val="none"/>
          <w:lang w:val="en-US" w:eastAsia="zh-CN"/>
        </w:rPr>
        <w:t>无</w:t>
      </w:r>
    </w:p>
    <w:p w14:paraId="47F86194">
      <w:pPr>
        <w:keepNext/>
        <w:keepLines w:val="0"/>
        <w:pageBreakBefore w:val="0"/>
        <w:tabs>
          <w:tab w:val="left" w:pos="1021"/>
        </w:tabs>
        <w:kinsoku/>
        <w:overflowPunct/>
        <w:topLinePunct w:val="0"/>
        <w:bidi w:val="0"/>
        <w:adjustRightInd w:val="0"/>
        <w:spacing w:after="0" w:line="360" w:lineRule="auto"/>
        <w:jc w:val="left"/>
        <w:textAlignment w:val="baseline"/>
        <w:outlineLvl w:val="1"/>
        <w:rPr>
          <w:rFonts w:hint="default" w:ascii="宋体" w:hAnsi="宋体" w:eastAsia="宋体" w:cs="Times New Roman"/>
          <w:b/>
          <w:color w:val="auto"/>
          <w:kern w:val="0"/>
          <w:sz w:val="24"/>
          <w:szCs w:val="18"/>
          <w:highlight w:val="none"/>
          <w:u w:val="none"/>
          <w:lang w:val="en-US" w:eastAsia="zh-CN"/>
        </w:rPr>
      </w:pPr>
      <w:r>
        <w:rPr>
          <w:rFonts w:hint="eastAsia" w:ascii="宋体" w:hAnsi="宋体" w:eastAsia="宋体" w:cs="Times New Roman"/>
          <w:b/>
          <w:color w:val="auto"/>
          <w:kern w:val="0"/>
          <w:sz w:val="24"/>
          <w:szCs w:val="18"/>
          <w:highlight w:val="none"/>
          <w:u w:val="none"/>
          <w:lang w:val="en-US" w:eastAsia="zh-CN"/>
        </w:rPr>
        <w:t>八、对本次招标提出询问，请按以下方式联系</w:t>
      </w:r>
      <w:bookmarkEnd w:id="65"/>
      <w:bookmarkEnd w:id="66"/>
      <w:bookmarkEnd w:id="67"/>
      <w:bookmarkEnd w:id="68"/>
      <w:bookmarkEnd w:id="69"/>
      <w:bookmarkEnd w:id="70"/>
      <w:bookmarkEnd w:id="71"/>
    </w:p>
    <w:p w14:paraId="509385CA">
      <w:pPr>
        <w:spacing w:line="360" w:lineRule="auto"/>
        <w:ind w:firstLine="480" w:firstLineChars="200"/>
        <w:jc w:val="left"/>
        <w:rPr>
          <w:rFonts w:hint="eastAsia" w:ascii="宋体" w:hAnsi="宋体"/>
          <w:bCs/>
          <w:color w:val="auto"/>
          <w:kern w:val="0"/>
          <w:sz w:val="24"/>
          <w:szCs w:val="24"/>
          <w:highlight w:val="none"/>
          <w:u w:val="none"/>
          <w:lang w:val="en-US" w:eastAsia="zh-CN"/>
        </w:rPr>
      </w:pPr>
      <w:r>
        <w:rPr>
          <w:rFonts w:hint="eastAsia" w:ascii="宋体" w:hAnsi="宋体"/>
          <w:bCs/>
          <w:color w:val="auto"/>
          <w:kern w:val="0"/>
          <w:sz w:val="24"/>
          <w:szCs w:val="24"/>
          <w:highlight w:val="none"/>
          <w:u w:val="none"/>
        </w:rPr>
        <w:t>1.招标人信息</w:t>
      </w:r>
    </w:p>
    <w:p w14:paraId="7B8E40BF">
      <w:pPr>
        <w:spacing w:line="360" w:lineRule="auto"/>
        <w:ind w:firstLine="480" w:firstLineChars="200"/>
        <w:jc w:val="left"/>
        <w:rPr>
          <w:rFonts w:hint="eastAsia" w:ascii="宋体" w:hAnsi="宋体"/>
          <w:bCs/>
          <w:color w:val="auto"/>
          <w:kern w:val="0"/>
          <w:sz w:val="24"/>
          <w:szCs w:val="24"/>
          <w:highlight w:val="none"/>
          <w:u w:val="none"/>
          <w:lang w:eastAsia="zh-CN"/>
        </w:rPr>
      </w:pPr>
      <w:r>
        <w:rPr>
          <w:rFonts w:hint="eastAsia" w:ascii="宋体" w:hAnsi="宋体"/>
          <w:bCs/>
          <w:color w:val="auto"/>
          <w:kern w:val="0"/>
          <w:sz w:val="24"/>
          <w:szCs w:val="24"/>
          <w:highlight w:val="none"/>
          <w:u w:val="none"/>
        </w:rPr>
        <w:t>名    称：</w:t>
      </w:r>
      <w:r>
        <w:rPr>
          <w:rFonts w:hint="eastAsia" w:ascii="宋体" w:hAnsi="宋体"/>
          <w:bCs/>
          <w:color w:val="auto"/>
          <w:kern w:val="0"/>
          <w:sz w:val="24"/>
          <w:szCs w:val="24"/>
          <w:highlight w:val="none"/>
          <w:u w:val="none"/>
          <w:lang w:eastAsia="zh-CN"/>
        </w:rPr>
        <w:t>云南省玉溪第一中学</w:t>
      </w:r>
    </w:p>
    <w:p w14:paraId="4F447EBC">
      <w:pPr>
        <w:spacing w:line="360" w:lineRule="auto"/>
        <w:ind w:firstLine="480" w:firstLineChars="200"/>
        <w:jc w:val="left"/>
        <w:rPr>
          <w:rFonts w:hint="eastAsia" w:ascii="宋体" w:hAnsi="宋体"/>
          <w:bCs/>
          <w:color w:val="auto"/>
          <w:kern w:val="0"/>
          <w:sz w:val="24"/>
          <w:szCs w:val="24"/>
          <w:highlight w:val="none"/>
          <w:u w:val="none"/>
          <w:lang w:val="en-US" w:eastAsia="zh-CN"/>
        </w:rPr>
      </w:pPr>
      <w:r>
        <w:rPr>
          <w:rFonts w:hint="eastAsia" w:ascii="宋体" w:hAnsi="宋体"/>
          <w:bCs/>
          <w:color w:val="auto"/>
          <w:kern w:val="0"/>
          <w:sz w:val="24"/>
          <w:szCs w:val="24"/>
          <w:highlight w:val="none"/>
          <w:u w:val="none"/>
        </w:rPr>
        <w:t>地    址：玉溪市红塔区太极路21号</w:t>
      </w:r>
    </w:p>
    <w:p w14:paraId="2937508A">
      <w:pPr>
        <w:spacing w:line="360" w:lineRule="auto"/>
        <w:ind w:firstLine="480" w:firstLineChars="200"/>
        <w:jc w:val="left"/>
        <w:rPr>
          <w:rFonts w:hint="default" w:ascii="宋体" w:hAnsi="宋体"/>
          <w:bCs/>
          <w:color w:val="auto"/>
          <w:kern w:val="0"/>
          <w:sz w:val="24"/>
          <w:szCs w:val="24"/>
          <w:highlight w:val="none"/>
          <w:u w:val="none"/>
          <w:lang w:val="en-US" w:eastAsia="zh-CN"/>
        </w:rPr>
      </w:pPr>
      <w:r>
        <w:rPr>
          <w:rFonts w:hint="eastAsia" w:ascii="宋体" w:hAnsi="宋体"/>
          <w:bCs/>
          <w:color w:val="auto"/>
          <w:kern w:val="0"/>
          <w:sz w:val="24"/>
          <w:szCs w:val="24"/>
          <w:highlight w:val="none"/>
          <w:u w:val="none"/>
        </w:rPr>
        <w:t>联系方式：</w:t>
      </w:r>
      <w:r>
        <w:rPr>
          <w:rFonts w:hint="eastAsia" w:ascii="宋体" w:hAnsi="宋体"/>
          <w:bCs/>
          <w:color w:val="auto"/>
          <w:kern w:val="0"/>
          <w:sz w:val="24"/>
          <w:szCs w:val="24"/>
          <w:highlight w:val="none"/>
          <w:u w:val="none"/>
          <w:lang w:val="en-US" w:eastAsia="zh-CN"/>
        </w:rPr>
        <w:t>段老师/18987710519</w:t>
      </w:r>
    </w:p>
    <w:p w14:paraId="30893415">
      <w:pPr>
        <w:spacing w:line="360" w:lineRule="auto"/>
        <w:ind w:firstLine="480" w:firstLineChars="200"/>
        <w:jc w:val="left"/>
        <w:rPr>
          <w:rFonts w:hint="eastAsia" w:ascii="宋体" w:hAnsi="宋体"/>
          <w:bCs/>
          <w:color w:val="auto"/>
          <w:kern w:val="0"/>
          <w:sz w:val="24"/>
          <w:szCs w:val="24"/>
          <w:highlight w:val="none"/>
          <w:u w:val="none"/>
          <w:lang w:val="en-US" w:eastAsia="zh-CN"/>
        </w:rPr>
      </w:pPr>
      <w:r>
        <w:rPr>
          <w:rFonts w:hint="eastAsia" w:ascii="宋体" w:hAnsi="宋体"/>
          <w:bCs/>
          <w:color w:val="auto"/>
          <w:kern w:val="0"/>
          <w:sz w:val="24"/>
          <w:szCs w:val="24"/>
          <w:highlight w:val="none"/>
          <w:u w:val="none"/>
          <w:lang w:val="en-US" w:eastAsia="zh-CN"/>
        </w:rPr>
        <w:t>2.招标代理机构信息</w:t>
      </w:r>
    </w:p>
    <w:p w14:paraId="060DE2FB">
      <w:pPr>
        <w:spacing w:line="360" w:lineRule="auto"/>
        <w:ind w:firstLine="480" w:firstLineChars="200"/>
        <w:jc w:val="left"/>
        <w:rPr>
          <w:rFonts w:hint="eastAsia" w:ascii="宋体" w:hAnsi="宋体"/>
          <w:bCs/>
          <w:color w:val="auto"/>
          <w:kern w:val="0"/>
          <w:sz w:val="24"/>
          <w:szCs w:val="24"/>
          <w:highlight w:val="none"/>
          <w:u w:val="none"/>
        </w:rPr>
      </w:pPr>
      <w:r>
        <w:rPr>
          <w:rFonts w:hint="eastAsia" w:ascii="宋体" w:hAnsi="宋体"/>
          <w:bCs/>
          <w:color w:val="auto"/>
          <w:kern w:val="0"/>
          <w:sz w:val="24"/>
          <w:szCs w:val="24"/>
          <w:highlight w:val="none"/>
          <w:u w:val="none"/>
        </w:rPr>
        <w:t>名    称：</w:t>
      </w:r>
      <w:r>
        <w:rPr>
          <w:rFonts w:hint="eastAsia" w:ascii="宋体" w:hAnsi="宋体"/>
          <w:bCs/>
          <w:color w:val="auto"/>
          <w:kern w:val="0"/>
          <w:sz w:val="24"/>
          <w:szCs w:val="24"/>
          <w:highlight w:val="none"/>
          <w:u w:val="none"/>
          <w:lang w:eastAsia="zh-CN"/>
        </w:rPr>
        <w:t>云南嘉鑫项目管理咨询有限公司</w:t>
      </w:r>
    </w:p>
    <w:p w14:paraId="359D211C">
      <w:pPr>
        <w:spacing w:line="360" w:lineRule="auto"/>
        <w:ind w:firstLine="480" w:firstLineChars="200"/>
        <w:jc w:val="left"/>
        <w:rPr>
          <w:rFonts w:hint="eastAsia" w:ascii="宋体" w:hAnsi="宋体"/>
          <w:bCs/>
          <w:color w:val="auto"/>
          <w:kern w:val="0"/>
          <w:sz w:val="24"/>
          <w:szCs w:val="24"/>
          <w:highlight w:val="none"/>
          <w:u w:val="none"/>
        </w:rPr>
      </w:pPr>
      <w:r>
        <w:rPr>
          <w:rFonts w:hint="eastAsia" w:ascii="宋体" w:hAnsi="宋体"/>
          <w:bCs/>
          <w:color w:val="auto"/>
          <w:kern w:val="0"/>
          <w:sz w:val="24"/>
          <w:szCs w:val="24"/>
          <w:highlight w:val="none"/>
          <w:u w:val="none"/>
        </w:rPr>
        <w:t>地    址：玉溪市红塔区凤凰路131号AD11文化创意园5幢</w:t>
      </w:r>
    </w:p>
    <w:p w14:paraId="70808194">
      <w:pPr>
        <w:spacing w:line="360" w:lineRule="auto"/>
        <w:ind w:firstLine="480" w:firstLineChars="200"/>
        <w:jc w:val="left"/>
        <w:rPr>
          <w:rFonts w:hint="default" w:ascii="宋体" w:hAnsi="宋体"/>
          <w:bCs/>
          <w:color w:val="auto"/>
          <w:kern w:val="0"/>
          <w:sz w:val="24"/>
          <w:szCs w:val="24"/>
          <w:highlight w:val="none"/>
          <w:u w:val="none"/>
          <w:lang w:val="en-US" w:eastAsia="zh-CN"/>
        </w:rPr>
      </w:pPr>
      <w:r>
        <w:rPr>
          <w:rFonts w:hint="eastAsia" w:ascii="宋体" w:hAnsi="宋体"/>
          <w:bCs/>
          <w:color w:val="auto"/>
          <w:kern w:val="0"/>
          <w:sz w:val="24"/>
          <w:szCs w:val="24"/>
          <w:highlight w:val="none"/>
          <w:u w:val="none"/>
        </w:rPr>
        <w:t>联系方式：</w:t>
      </w:r>
      <w:r>
        <w:rPr>
          <w:rFonts w:hint="eastAsia" w:ascii="宋体" w:hAnsi="宋体"/>
          <w:bCs/>
          <w:color w:val="auto"/>
          <w:kern w:val="0"/>
          <w:sz w:val="24"/>
          <w:szCs w:val="24"/>
          <w:highlight w:val="none"/>
          <w:u w:val="none"/>
          <w:lang w:val="en-US" w:eastAsia="zh-CN"/>
        </w:rPr>
        <w:t>19948779574/0877-2085166</w:t>
      </w:r>
    </w:p>
    <w:p w14:paraId="1BF9EDF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3.项目联系方式</w:t>
      </w:r>
    </w:p>
    <w:p w14:paraId="132600D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项目联系人：</w:t>
      </w:r>
      <w:r>
        <w:rPr>
          <w:rFonts w:hint="eastAsia" w:ascii="宋体" w:hAnsi="宋体" w:cs="宋体"/>
          <w:color w:val="auto"/>
          <w:sz w:val="24"/>
          <w:szCs w:val="24"/>
          <w:highlight w:val="none"/>
          <w:u w:val="none"/>
          <w:lang w:val="en-US" w:eastAsia="zh-CN"/>
        </w:rPr>
        <w:t>李</w:t>
      </w:r>
      <w:r>
        <w:rPr>
          <w:rFonts w:hint="eastAsia" w:ascii="宋体" w:hAnsi="宋体" w:eastAsia="宋体" w:cs="宋体"/>
          <w:color w:val="auto"/>
          <w:sz w:val="24"/>
          <w:szCs w:val="24"/>
          <w:highlight w:val="none"/>
          <w:u w:val="none"/>
          <w:lang w:val="en-US" w:eastAsia="zh-CN"/>
        </w:rPr>
        <w:t>师</w:t>
      </w:r>
    </w:p>
    <w:p w14:paraId="3A27F99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邮</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箱：371214373@qq.com</w:t>
      </w:r>
    </w:p>
    <w:p w14:paraId="1DFAC651">
      <w:pPr>
        <w:pStyle w:val="34"/>
        <w:spacing w:line="360" w:lineRule="auto"/>
        <w:ind w:firstLine="480"/>
        <w:rPr>
          <w:rFonts w:hAnsi="宋体" w:cs="宋体"/>
          <w:color w:val="auto"/>
          <w:sz w:val="24"/>
          <w:szCs w:val="24"/>
          <w:highlight w:val="none"/>
          <w:u w:val="none"/>
        </w:rPr>
      </w:pPr>
      <w:r>
        <w:rPr>
          <w:rFonts w:hint="eastAsia" w:ascii="宋体" w:hAnsi="宋体" w:cs="宋体"/>
          <w:color w:val="auto"/>
          <w:sz w:val="24"/>
          <w:szCs w:val="24"/>
          <w:highlight w:val="none"/>
          <w:u w:val="none"/>
        </w:rPr>
        <w:t>日</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期：</w:t>
      </w:r>
      <w:r>
        <w:rPr>
          <w:rFonts w:hint="eastAsia" w:ascii="宋体" w:hAnsi="宋体" w:cs="宋体"/>
          <w:color w:val="auto"/>
          <w:sz w:val="24"/>
          <w:szCs w:val="24"/>
          <w:highlight w:val="none"/>
          <w:u w:val="none"/>
          <w:lang w:eastAsia="zh-CN"/>
        </w:rPr>
        <w:t>2025年</w:t>
      </w:r>
      <w:r>
        <w:rPr>
          <w:rFonts w:hint="eastAsia" w:ascii="宋体" w:hAnsi="宋体" w:cs="宋体"/>
          <w:color w:val="auto"/>
          <w:sz w:val="24"/>
          <w:szCs w:val="24"/>
          <w:highlight w:val="none"/>
          <w:u w:val="none"/>
          <w:lang w:val="en-US" w:eastAsia="zh-CN"/>
        </w:rPr>
        <w:t>07</w:t>
      </w:r>
      <w:r>
        <w:rPr>
          <w:rFonts w:hint="eastAsia" w:ascii="宋体" w:hAnsi="宋体" w:cs="宋体"/>
          <w:color w:val="auto"/>
          <w:sz w:val="24"/>
          <w:szCs w:val="24"/>
          <w:highlight w:val="none"/>
          <w:u w:val="none"/>
          <w:lang w:eastAsia="zh-CN"/>
        </w:rPr>
        <w:t>月</w:t>
      </w:r>
      <w:r>
        <w:rPr>
          <w:rFonts w:hint="eastAsia" w:ascii="宋体" w:hAnsi="宋体" w:cs="宋体"/>
          <w:color w:val="auto"/>
          <w:sz w:val="24"/>
          <w:szCs w:val="24"/>
          <w:highlight w:val="none"/>
          <w:u w:val="none"/>
          <w:lang w:val="en-US" w:eastAsia="zh-CN"/>
        </w:rPr>
        <w:t>10</w:t>
      </w:r>
      <w:r>
        <w:rPr>
          <w:rFonts w:hint="eastAsia" w:ascii="宋体" w:hAnsi="宋体" w:cs="宋体"/>
          <w:color w:val="auto"/>
          <w:sz w:val="24"/>
          <w:szCs w:val="24"/>
          <w:highlight w:val="none"/>
          <w:u w:val="none"/>
        </w:rPr>
        <w:t>日</w:t>
      </w:r>
    </w:p>
    <w:p w14:paraId="564A8216">
      <w:pPr>
        <w:pStyle w:val="7"/>
        <w:rPr>
          <w:rFonts w:hAnsi="宋体" w:cs="宋体"/>
          <w:color w:val="auto"/>
          <w:sz w:val="24"/>
          <w:szCs w:val="24"/>
          <w:highlight w:val="none"/>
          <w:u w:val="single"/>
        </w:rPr>
      </w:pPr>
    </w:p>
    <w:p w14:paraId="3385736C">
      <w:pPr>
        <w:pStyle w:val="7"/>
        <w:rPr>
          <w:rFonts w:hAnsi="宋体" w:cs="宋体"/>
          <w:color w:val="auto"/>
          <w:sz w:val="24"/>
          <w:szCs w:val="24"/>
          <w:highlight w:val="none"/>
          <w:u w:val="single"/>
        </w:rPr>
      </w:pPr>
    </w:p>
    <w:bookmarkEnd w:id="19"/>
    <w:bookmarkEnd w:id="20"/>
    <w:bookmarkEnd w:id="21"/>
    <w:bookmarkEnd w:id="22"/>
    <w:bookmarkEnd w:id="23"/>
    <w:bookmarkEnd w:id="24"/>
    <w:bookmarkEnd w:id="25"/>
    <w:p w14:paraId="46CEE504">
      <w:pPr>
        <w:rPr>
          <w:rFonts w:hint="eastAsia"/>
          <w:b/>
          <w:bCs/>
          <w:color w:val="auto"/>
          <w:sz w:val="32"/>
          <w:szCs w:val="40"/>
          <w:highlight w:val="none"/>
        </w:rPr>
      </w:pPr>
      <w:bookmarkStart w:id="72" w:name="_Toc30756"/>
      <w:bookmarkStart w:id="73" w:name="_Toc31035"/>
      <w:bookmarkStart w:id="74" w:name="_Toc25807"/>
      <w:bookmarkStart w:id="75" w:name="_Toc29381"/>
      <w:bookmarkStart w:id="76" w:name="_Toc21772"/>
      <w:r>
        <w:rPr>
          <w:rFonts w:hint="eastAsia"/>
          <w:b/>
          <w:bCs/>
          <w:color w:val="auto"/>
          <w:sz w:val="32"/>
          <w:szCs w:val="40"/>
          <w:highlight w:val="none"/>
        </w:rPr>
        <w:br w:type="page"/>
      </w:r>
    </w:p>
    <w:p w14:paraId="6C117D0E">
      <w:pPr>
        <w:jc w:val="center"/>
        <w:outlineLvl w:val="0"/>
        <w:rPr>
          <w:b/>
          <w:bCs/>
          <w:color w:val="auto"/>
          <w:sz w:val="32"/>
          <w:szCs w:val="40"/>
          <w:highlight w:val="none"/>
        </w:rPr>
      </w:pPr>
      <w:r>
        <w:rPr>
          <w:rFonts w:hint="eastAsia"/>
          <w:b/>
          <w:bCs/>
          <w:color w:val="auto"/>
          <w:sz w:val="32"/>
          <w:szCs w:val="40"/>
          <w:highlight w:val="none"/>
        </w:rPr>
        <w:t>第二章投标人须知</w:t>
      </w:r>
      <w:bookmarkEnd w:id="72"/>
      <w:bookmarkEnd w:id="73"/>
      <w:bookmarkEnd w:id="74"/>
      <w:bookmarkEnd w:id="75"/>
      <w:bookmarkEnd w:id="76"/>
    </w:p>
    <w:p w14:paraId="0C17CA0C">
      <w:pPr>
        <w:pStyle w:val="3"/>
        <w:spacing w:line="460" w:lineRule="exact"/>
        <w:ind w:firstLine="241" w:firstLineChars="100"/>
        <w:jc w:val="center"/>
        <w:rPr>
          <w:color w:val="auto"/>
          <w:highlight w:val="none"/>
        </w:rPr>
      </w:pPr>
      <w:bookmarkStart w:id="77" w:name="_Toc27857"/>
      <w:bookmarkStart w:id="78" w:name="_Toc288145182"/>
      <w:bookmarkStart w:id="79" w:name="_Toc28296"/>
      <w:bookmarkStart w:id="80" w:name="_Toc21162"/>
      <w:r>
        <w:rPr>
          <w:color w:val="auto"/>
          <w:highlight w:val="none"/>
        </w:rPr>
        <w:t>投标人须知前附表</w:t>
      </w:r>
      <w:bookmarkEnd w:id="77"/>
      <w:bookmarkEnd w:id="78"/>
      <w:bookmarkEnd w:id="79"/>
      <w:bookmarkEnd w:id="80"/>
    </w:p>
    <w:tbl>
      <w:tblPr>
        <w:tblStyle w:val="27"/>
        <w:tblW w:w="9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863"/>
        <w:gridCol w:w="6634"/>
      </w:tblGrid>
      <w:tr w14:paraId="2909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blHeader/>
          <w:jc w:val="center"/>
        </w:trPr>
        <w:tc>
          <w:tcPr>
            <w:tcW w:w="1009" w:type="dxa"/>
            <w:noWrap/>
            <w:vAlign w:val="center"/>
          </w:tcPr>
          <w:p w14:paraId="69EB27D4">
            <w:pPr>
              <w:pStyle w:val="15"/>
              <w:keepNext w:val="0"/>
              <w:keepLines w:val="0"/>
              <w:pageBreakBefore w:val="0"/>
              <w:kinsoku/>
              <w:wordWrap/>
              <w:overflowPunct/>
              <w:topLinePunct w:val="0"/>
              <w:bidi w:val="0"/>
              <w:spacing w:line="360" w:lineRule="auto"/>
              <w:jc w:val="center"/>
              <w:rPr>
                <w:rFonts w:hAnsi="宋体"/>
                <w:b/>
                <w:color w:val="auto"/>
                <w:sz w:val="24"/>
                <w:szCs w:val="24"/>
                <w:highlight w:val="none"/>
              </w:rPr>
            </w:pPr>
            <w:r>
              <w:rPr>
                <w:rFonts w:hAnsi="宋体"/>
                <w:b/>
                <w:color w:val="auto"/>
                <w:sz w:val="24"/>
                <w:szCs w:val="24"/>
                <w:highlight w:val="none"/>
              </w:rPr>
              <w:t>条款号</w:t>
            </w:r>
          </w:p>
        </w:tc>
        <w:tc>
          <w:tcPr>
            <w:tcW w:w="1863" w:type="dxa"/>
            <w:noWrap/>
            <w:vAlign w:val="center"/>
          </w:tcPr>
          <w:p w14:paraId="65ED499B">
            <w:pPr>
              <w:pStyle w:val="15"/>
              <w:keepNext w:val="0"/>
              <w:keepLines w:val="0"/>
              <w:pageBreakBefore w:val="0"/>
              <w:kinsoku/>
              <w:wordWrap/>
              <w:overflowPunct/>
              <w:topLinePunct w:val="0"/>
              <w:bidi w:val="0"/>
              <w:spacing w:line="360" w:lineRule="auto"/>
              <w:jc w:val="center"/>
              <w:rPr>
                <w:rFonts w:hAnsi="宋体"/>
                <w:b/>
                <w:color w:val="auto"/>
                <w:sz w:val="24"/>
                <w:szCs w:val="24"/>
                <w:highlight w:val="none"/>
              </w:rPr>
            </w:pPr>
            <w:r>
              <w:rPr>
                <w:rFonts w:hAnsi="宋体"/>
                <w:b/>
                <w:color w:val="auto"/>
                <w:sz w:val="24"/>
                <w:szCs w:val="24"/>
                <w:highlight w:val="none"/>
              </w:rPr>
              <w:t>条 款 名 称</w:t>
            </w:r>
          </w:p>
        </w:tc>
        <w:tc>
          <w:tcPr>
            <w:tcW w:w="6634" w:type="dxa"/>
            <w:noWrap/>
            <w:vAlign w:val="center"/>
          </w:tcPr>
          <w:p w14:paraId="1DC4F46C">
            <w:pPr>
              <w:pStyle w:val="15"/>
              <w:keepNext w:val="0"/>
              <w:keepLines w:val="0"/>
              <w:pageBreakBefore w:val="0"/>
              <w:kinsoku/>
              <w:wordWrap/>
              <w:overflowPunct/>
              <w:topLinePunct w:val="0"/>
              <w:bidi w:val="0"/>
              <w:spacing w:line="360" w:lineRule="auto"/>
              <w:jc w:val="center"/>
              <w:rPr>
                <w:rFonts w:hAnsi="宋体"/>
                <w:b/>
                <w:color w:val="auto"/>
                <w:sz w:val="24"/>
                <w:szCs w:val="24"/>
                <w:highlight w:val="none"/>
              </w:rPr>
            </w:pPr>
            <w:r>
              <w:rPr>
                <w:rFonts w:hAnsi="宋体"/>
                <w:b/>
                <w:color w:val="auto"/>
                <w:sz w:val="24"/>
                <w:szCs w:val="24"/>
                <w:highlight w:val="none"/>
              </w:rPr>
              <w:t>编 列 内 容</w:t>
            </w:r>
          </w:p>
        </w:tc>
      </w:tr>
      <w:tr w14:paraId="0354C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09" w:type="dxa"/>
            <w:noWrap/>
            <w:vAlign w:val="center"/>
          </w:tcPr>
          <w:p w14:paraId="78EA3835">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1</w:t>
            </w:r>
          </w:p>
        </w:tc>
        <w:tc>
          <w:tcPr>
            <w:tcW w:w="1863" w:type="dxa"/>
            <w:noWrap/>
            <w:vAlign w:val="center"/>
          </w:tcPr>
          <w:p w14:paraId="1E848D8C">
            <w:pPr>
              <w:pStyle w:val="15"/>
              <w:keepNext w:val="0"/>
              <w:keepLines w:val="0"/>
              <w:pageBreakBefore w:val="0"/>
              <w:kinsoku/>
              <w:wordWrap/>
              <w:overflowPunct/>
              <w:topLinePunct w:val="0"/>
              <w:bidi w:val="0"/>
              <w:spacing w:line="360" w:lineRule="auto"/>
              <w:jc w:val="center"/>
              <w:rPr>
                <w:rFonts w:hAnsi="宋体"/>
                <w:color w:val="auto"/>
                <w:sz w:val="24"/>
                <w:szCs w:val="24"/>
                <w:highlight w:val="none"/>
                <w:u w:val="single"/>
              </w:rPr>
            </w:pPr>
            <w:r>
              <w:rPr>
                <w:rFonts w:hint="eastAsia" w:hAnsi="宋体"/>
                <w:bCs/>
                <w:color w:val="auto"/>
                <w:sz w:val="24"/>
                <w:szCs w:val="24"/>
                <w:highlight w:val="none"/>
              </w:rPr>
              <w:t>招标人</w:t>
            </w:r>
          </w:p>
        </w:tc>
        <w:tc>
          <w:tcPr>
            <w:tcW w:w="6634" w:type="dxa"/>
            <w:noWrap/>
            <w:vAlign w:val="center"/>
          </w:tcPr>
          <w:p w14:paraId="05B9EBD7">
            <w:pPr>
              <w:keepNext w:val="0"/>
              <w:keepLines w:val="0"/>
              <w:pageBreakBefore w:val="0"/>
              <w:kinsoku/>
              <w:wordWrap/>
              <w:overflowPunct/>
              <w:topLinePunct w:val="0"/>
              <w:bidi w:val="0"/>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 称：</w:t>
            </w:r>
            <w:r>
              <w:rPr>
                <w:rFonts w:hint="eastAsia" w:ascii="宋体" w:hAnsi="宋体" w:cs="宋体"/>
                <w:color w:val="auto"/>
                <w:sz w:val="24"/>
                <w:highlight w:val="none"/>
                <w:lang w:eastAsia="zh-CN"/>
              </w:rPr>
              <w:t>云南省玉溪第一中学</w:t>
            </w:r>
          </w:p>
          <w:p w14:paraId="0044E31B">
            <w:pPr>
              <w:keepNext w:val="0"/>
              <w:keepLines w:val="0"/>
              <w:pageBreakBefore w:val="0"/>
              <w:kinsoku/>
              <w:wordWrap/>
              <w:overflowPunct/>
              <w:topLinePunct w:val="0"/>
              <w:bidi w:val="0"/>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址：</w:t>
            </w:r>
            <w:r>
              <w:rPr>
                <w:rFonts w:hint="eastAsia" w:ascii="宋体" w:hAnsi="宋体" w:cs="宋体"/>
                <w:color w:val="auto"/>
                <w:sz w:val="24"/>
                <w:highlight w:val="none"/>
                <w:lang w:eastAsia="zh-CN"/>
              </w:rPr>
              <w:t>玉溪市红塔区太极路21号</w:t>
            </w:r>
          </w:p>
          <w:p w14:paraId="615FA979">
            <w:pPr>
              <w:keepNext w:val="0"/>
              <w:keepLines w:val="0"/>
              <w:pageBreakBefore w:val="0"/>
              <w:kinsoku/>
              <w:wordWrap/>
              <w:overflowPunct/>
              <w:topLinePunct w:val="0"/>
              <w:bidi w:val="0"/>
              <w:spacing w:line="360" w:lineRule="auto"/>
              <w:jc w:val="left"/>
              <w:rPr>
                <w:rFonts w:hAnsi="宋体"/>
                <w:color w:val="auto"/>
                <w:sz w:val="24"/>
                <w:highlight w:val="none"/>
              </w:rPr>
            </w:pPr>
            <w:r>
              <w:rPr>
                <w:rFonts w:hint="eastAsia" w:ascii="宋体" w:hAnsi="宋体" w:cs="宋体"/>
                <w:color w:val="auto"/>
                <w:sz w:val="24"/>
                <w:highlight w:val="none"/>
              </w:rPr>
              <w:t>联系方式：</w:t>
            </w:r>
            <w:r>
              <w:rPr>
                <w:rFonts w:hint="eastAsia" w:ascii="宋体" w:hAnsi="宋体"/>
                <w:bCs/>
                <w:color w:val="auto"/>
                <w:kern w:val="0"/>
                <w:sz w:val="24"/>
                <w:szCs w:val="24"/>
                <w:highlight w:val="none"/>
                <w:lang w:val="en-US" w:eastAsia="zh-CN"/>
              </w:rPr>
              <w:t>段老师/18987710519</w:t>
            </w:r>
          </w:p>
        </w:tc>
      </w:tr>
      <w:tr w14:paraId="74964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09" w:type="dxa"/>
            <w:noWrap/>
            <w:vAlign w:val="center"/>
          </w:tcPr>
          <w:p w14:paraId="5212C6B2">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2</w:t>
            </w:r>
          </w:p>
        </w:tc>
        <w:tc>
          <w:tcPr>
            <w:tcW w:w="1863" w:type="dxa"/>
            <w:noWrap/>
            <w:vAlign w:val="center"/>
          </w:tcPr>
          <w:p w14:paraId="089F8270">
            <w:pPr>
              <w:pStyle w:val="15"/>
              <w:keepNext w:val="0"/>
              <w:keepLines w:val="0"/>
              <w:pageBreakBefore w:val="0"/>
              <w:kinsoku/>
              <w:wordWrap/>
              <w:overflowPunct/>
              <w:topLinePunct w:val="0"/>
              <w:bidi w:val="0"/>
              <w:spacing w:line="360" w:lineRule="auto"/>
              <w:jc w:val="center"/>
              <w:rPr>
                <w:rFonts w:hAnsi="宋体"/>
                <w:bCs/>
                <w:color w:val="auto"/>
                <w:sz w:val="24"/>
                <w:szCs w:val="24"/>
                <w:highlight w:val="none"/>
              </w:rPr>
            </w:pPr>
            <w:r>
              <w:rPr>
                <w:rFonts w:hint="eastAsia" w:hAnsi="宋体"/>
                <w:bCs/>
                <w:color w:val="auto"/>
                <w:sz w:val="24"/>
                <w:szCs w:val="24"/>
                <w:highlight w:val="none"/>
              </w:rPr>
              <w:t>招标代理机构</w:t>
            </w:r>
          </w:p>
        </w:tc>
        <w:tc>
          <w:tcPr>
            <w:tcW w:w="6634" w:type="dxa"/>
            <w:noWrap/>
            <w:vAlign w:val="center"/>
          </w:tcPr>
          <w:p w14:paraId="669A397D">
            <w:pPr>
              <w:keepNext w:val="0"/>
              <w:keepLines w:val="0"/>
              <w:pageBreakBefore w:val="0"/>
              <w:kinsoku/>
              <w:wordWrap/>
              <w:overflowPunct/>
              <w:topLinePunct w:val="0"/>
              <w:bidi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 称：</w:t>
            </w:r>
            <w:r>
              <w:rPr>
                <w:rFonts w:hint="eastAsia" w:ascii="宋体" w:hAnsi="宋体" w:cs="宋体"/>
                <w:color w:val="auto"/>
                <w:sz w:val="24"/>
                <w:highlight w:val="none"/>
                <w:lang w:eastAsia="zh-CN"/>
              </w:rPr>
              <w:t>云南嘉鑫项目管理咨询有限公司</w:t>
            </w:r>
          </w:p>
          <w:p w14:paraId="6522E687">
            <w:pPr>
              <w:keepNext w:val="0"/>
              <w:keepLines w:val="0"/>
              <w:pageBreakBefore w:val="0"/>
              <w:kinsoku/>
              <w:wordWrap/>
              <w:overflowPunct/>
              <w:topLinePunct w:val="0"/>
              <w:bidi w:val="0"/>
              <w:spacing w:line="360" w:lineRule="auto"/>
              <w:rPr>
                <w:rFonts w:ascii="宋体" w:hAnsi="宋体" w:cs="宋体"/>
                <w:color w:val="auto"/>
                <w:sz w:val="24"/>
                <w:highlight w:val="none"/>
              </w:rPr>
            </w:pPr>
            <w:r>
              <w:rPr>
                <w:rFonts w:hint="eastAsia" w:ascii="宋体" w:hAnsi="宋体" w:cs="宋体"/>
                <w:color w:val="auto"/>
                <w:sz w:val="24"/>
                <w:highlight w:val="none"/>
              </w:rPr>
              <w:t>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址：</w:t>
            </w:r>
            <w:r>
              <w:rPr>
                <w:rFonts w:hint="eastAsia" w:ascii="宋体" w:hAnsi="宋体"/>
                <w:color w:val="auto"/>
                <w:sz w:val="24"/>
                <w:highlight w:val="none"/>
              </w:rPr>
              <w:t>玉溪市红塔区凤凰路131号AD11文化创意园5幢</w:t>
            </w:r>
          </w:p>
          <w:p w14:paraId="3182285A">
            <w:pPr>
              <w:pStyle w:val="15"/>
              <w:keepNext w:val="0"/>
              <w:keepLines w:val="0"/>
              <w:pageBreakBefore w:val="0"/>
              <w:kinsoku/>
              <w:wordWrap/>
              <w:overflowPunct/>
              <w:topLinePunct w:val="0"/>
              <w:bidi w:val="0"/>
              <w:spacing w:line="360" w:lineRule="auto"/>
              <w:rPr>
                <w:rFonts w:hAnsi="宋体"/>
                <w:color w:val="auto"/>
                <w:sz w:val="24"/>
                <w:szCs w:val="24"/>
                <w:highlight w:val="none"/>
              </w:rPr>
            </w:pPr>
            <w:r>
              <w:rPr>
                <w:rFonts w:hint="eastAsia" w:hAnsi="宋体" w:cs="宋体"/>
                <w:color w:val="auto"/>
                <w:sz w:val="24"/>
                <w:highlight w:val="none"/>
              </w:rPr>
              <w:t>联系人：</w:t>
            </w:r>
            <w:r>
              <w:rPr>
                <w:rFonts w:hint="eastAsia" w:hAnsi="宋体" w:cs="宋体"/>
                <w:color w:val="auto"/>
                <w:sz w:val="24"/>
                <w:highlight w:val="none"/>
                <w:lang w:eastAsia="zh-CN"/>
              </w:rPr>
              <w:t>李师</w:t>
            </w:r>
            <w:r>
              <w:rPr>
                <w:rFonts w:hint="eastAsia" w:hAnsi="宋体" w:cs="宋体"/>
                <w:color w:val="auto"/>
                <w:sz w:val="24"/>
                <w:highlight w:val="none"/>
              </w:rPr>
              <w:t xml:space="preserve">      联系方式：</w:t>
            </w:r>
            <w:r>
              <w:rPr>
                <w:rFonts w:hint="eastAsia" w:hAnsi="宋体" w:cs="宋体"/>
                <w:color w:val="auto"/>
                <w:sz w:val="24"/>
                <w:highlight w:val="none"/>
                <w:lang w:val="en-US" w:eastAsia="zh-CN"/>
              </w:rPr>
              <w:t>19948779574/0877-2085166</w:t>
            </w:r>
          </w:p>
        </w:tc>
      </w:tr>
      <w:tr w14:paraId="29323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09" w:type="dxa"/>
            <w:noWrap/>
            <w:vAlign w:val="center"/>
          </w:tcPr>
          <w:p w14:paraId="3F0E032E">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3</w:t>
            </w:r>
          </w:p>
        </w:tc>
        <w:tc>
          <w:tcPr>
            <w:tcW w:w="1863" w:type="dxa"/>
            <w:noWrap/>
            <w:vAlign w:val="center"/>
          </w:tcPr>
          <w:p w14:paraId="6240E305">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项目编号及</w:t>
            </w:r>
          </w:p>
          <w:p w14:paraId="26C1F104">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项目名称</w:t>
            </w:r>
          </w:p>
        </w:tc>
        <w:tc>
          <w:tcPr>
            <w:tcW w:w="6634" w:type="dxa"/>
            <w:noWrap/>
            <w:vAlign w:val="center"/>
          </w:tcPr>
          <w:p w14:paraId="6A664DA8">
            <w:pPr>
              <w:pStyle w:val="15"/>
              <w:keepNext w:val="0"/>
              <w:keepLines w:val="0"/>
              <w:pageBreakBefore w:val="0"/>
              <w:kinsoku/>
              <w:wordWrap/>
              <w:overflowPunct/>
              <w:topLinePunct w:val="0"/>
              <w:bidi w:val="0"/>
              <w:spacing w:line="360" w:lineRule="auto"/>
              <w:ind w:left="1200" w:hanging="1200" w:hangingChars="500"/>
              <w:rPr>
                <w:rFonts w:hint="eastAsia" w:hAnsi="宋体" w:eastAsia="宋体"/>
                <w:color w:val="auto"/>
                <w:sz w:val="24"/>
                <w:highlight w:val="none"/>
                <w:lang w:eastAsia="zh-CN"/>
              </w:rPr>
            </w:pPr>
            <w:r>
              <w:rPr>
                <w:rFonts w:hint="eastAsia" w:hAnsi="宋体"/>
                <w:color w:val="auto"/>
                <w:sz w:val="24"/>
                <w:highlight w:val="none"/>
              </w:rPr>
              <w:t>项目</w:t>
            </w:r>
            <w:r>
              <w:rPr>
                <w:rFonts w:hAnsi="宋体"/>
                <w:color w:val="auto"/>
                <w:sz w:val="24"/>
                <w:highlight w:val="none"/>
              </w:rPr>
              <w:t>编号：</w:t>
            </w:r>
            <w:r>
              <w:rPr>
                <w:rFonts w:hint="eastAsia" w:hAnsi="宋体"/>
                <w:color w:val="auto"/>
                <w:sz w:val="24"/>
                <w:highlight w:val="none"/>
                <w:lang w:eastAsia="zh-CN"/>
              </w:rPr>
              <w:t>YNJX-2025-05-20</w:t>
            </w:r>
          </w:p>
          <w:p w14:paraId="106310C4">
            <w:pPr>
              <w:pStyle w:val="15"/>
              <w:keepNext w:val="0"/>
              <w:keepLines w:val="0"/>
              <w:pageBreakBefore w:val="0"/>
              <w:kinsoku/>
              <w:wordWrap/>
              <w:overflowPunct/>
              <w:topLinePunct w:val="0"/>
              <w:bidi w:val="0"/>
              <w:spacing w:line="360" w:lineRule="auto"/>
              <w:ind w:left="1200" w:hanging="1200" w:hangingChars="500"/>
              <w:jc w:val="left"/>
              <w:rPr>
                <w:rFonts w:hint="eastAsia" w:hAnsi="宋体" w:eastAsia="宋体"/>
                <w:color w:val="auto"/>
                <w:sz w:val="24"/>
                <w:szCs w:val="24"/>
                <w:highlight w:val="none"/>
                <w:lang w:eastAsia="zh-CN"/>
              </w:rPr>
            </w:pPr>
            <w:r>
              <w:rPr>
                <w:rFonts w:hint="eastAsia" w:hAnsi="宋体"/>
                <w:color w:val="auto"/>
                <w:sz w:val="24"/>
                <w:highlight w:val="none"/>
              </w:rPr>
              <w:t>项目名称：</w:t>
            </w:r>
            <w:r>
              <w:rPr>
                <w:rFonts w:hint="eastAsia" w:hAnsi="宋体"/>
                <w:color w:val="auto"/>
                <w:sz w:val="24"/>
                <w:highlight w:val="none"/>
                <w:lang w:eastAsia="zh-CN"/>
              </w:rPr>
              <w:t>玉溪一中拔尖创新人才培养项目之小初高贯通数学竞赛培训课程（二次）</w:t>
            </w:r>
          </w:p>
        </w:tc>
      </w:tr>
      <w:tr w14:paraId="08A13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09" w:type="dxa"/>
            <w:noWrap/>
            <w:vAlign w:val="center"/>
          </w:tcPr>
          <w:p w14:paraId="09F979F8">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4</w:t>
            </w:r>
          </w:p>
        </w:tc>
        <w:tc>
          <w:tcPr>
            <w:tcW w:w="1863" w:type="dxa"/>
            <w:noWrap/>
            <w:vAlign w:val="center"/>
          </w:tcPr>
          <w:p w14:paraId="7C89A040">
            <w:pPr>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ascii="宋体" w:hAnsi="宋体"/>
                <w:color w:val="auto"/>
                <w:sz w:val="24"/>
                <w:highlight w:val="none"/>
                <w:lang w:eastAsia="zh-CN"/>
              </w:rPr>
              <w:t>资金来源及</w:t>
            </w:r>
            <w:r>
              <w:rPr>
                <w:rFonts w:ascii="宋体" w:hAnsi="宋体"/>
                <w:color w:val="auto"/>
                <w:sz w:val="24"/>
                <w:highlight w:val="none"/>
              </w:rPr>
              <w:t>资金落实情况</w:t>
            </w:r>
          </w:p>
        </w:tc>
        <w:tc>
          <w:tcPr>
            <w:tcW w:w="6634" w:type="dxa"/>
            <w:noWrap/>
            <w:vAlign w:val="center"/>
          </w:tcPr>
          <w:p w14:paraId="447516F9">
            <w:pPr>
              <w:keepNext w:val="0"/>
              <w:keepLines w:val="0"/>
              <w:pageBreakBefore w:val="0"/>
              <w:kinsoku/>
              <w:wordWrap/>
              <w:overflowPunct/>
              <w:topLinePunct w:val="0"/>
              <w:bidi w:val="0"/>
              <w:spacing w:line="360" w:lineRule="auto"/>
              <w:jc w:val="left"/>
              <w:rPr>
                <w:rFonts w:hint="eastAsia" w:ascii="宋体" w:hAnsi="宋体" w:eastAsia="宋体"/>
                <w:color w:val="auto"/>
                <w:sz w:val="24"/>
                <w:highlight w:val="none"/>
                <w:lang w:eastAsia="zh-CN"/>
              </w:rPr>
            </w:pPr>
            <w:r>
              <w:rPr>
                <w:rFonts w:hint="eastAsia" w:ascii="宋体" w:hAnsi="宋体"/>
                <w:color w:val="auto"/>
                <w:sz w:val="24"/>
                <w:highlight w:val="none"/>
                <w:lang w:eastAsia="zh-CN"/>
              </w:rPr>
              <w:t>资金来源：</w:t>
            </w:r>
            <w:r>
              <w:rPr>
                <w:rFonts w:hint="eastAsia" w:ascii="宋体" w:hAnsi="宋体"/>
                <w:color w:val="auto"/>
                <w:sz w:val="24"/>
                <w:highlight w:val="none"/>
              </w:rPr>
              <w:t>财政资金</w:t>
            </w:r>
            <w:r>
              <w:rPr>
                <w:rFonts w:hint="eastAsia" w:ascii="宋体" w:hAnsi="宋体"/>
                <w:color w:val="auto"/>
                <w:sz w:val="24"/>
                <w:highlight w:val="none"/>
                <w:lang w:eastAsia="zh-CN"/>
              </w:rPr>
              <w:t>。</w:t>
            </w:r>
          </w:p>
          <w:p w14:paraId="76A2D0FE">
            <w:pPr>
              <w:keepNext w:val="0"/>
              <w:keepLines w:val="0"/>
              <w:pageBreakBefore w:val="0"/>
              <w:kinsoku/>
              <w:wordWrap/>
              <w:overflowPunct/>
              <w:topLinePunct w:val="0"/>
              <w:bidi w:val="0"/>
              <w:spacing w:line="360" w:lineRule="auto"/>
              <w:jc w:val="left"/>
              <w:rPr>
                <w:rFonts w:hAnsi="宋体"/>
                <w:color w:val="auto"/>
                <w:sz w:val="24"/>
                <w:highlight w:val="none"/>
              </w:rPr>
            </w:pPr>
            <w:r>
              <w:rPr>
                <w:rFonts w:ascii="宋体" w:hAnsi="宋体"/>
                <w:color w:val="auto"/>
                <w:sz w:val="24"/>
                <w:highlight w:val="none"/>
              </w:rPr>
              <w:t>资金落实情况</w:t>
            </w:r>
            <w:r>
              <w:rPr>
                <w:rFonts w:hint="eastAsia" w:ascii="宋体" w:hAnsi="宋体"/>
                <w:color w:val="auto"/>
                <w:sz w:val="24"/>
                <w:highlight w:val="none"/>
                <w:lang w:eastAsia="zh-CN"/>
              </w:rPr>
              <w:t>：</w:t>
            </w:r>
            <w:r>
              <w:rPr>
                <w:rFonts w:ascii="宋体" w:hAnsi="宋体"/>
                <w:color w:val="auto"/>
                <w:sz w:val="24"/>
                <w:highlight w:val="none"/>
              </w:rPr>
              <w:t>已落实。</w:t>
            </w:r>
          </w:p>
        </w:tc>
      </w:tr>
      <w:tr w14:paraId="729AE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09" w:type="dxa"/>
            <w:noWrap/>
            <w:vAlign w:val="center"/>
          </w:tcPr>
          <w:p w14:paraId="751775B5">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5</w:t>
            </w:r>
          </w:p>
        </w:tc>
        <w:tc>
          <w:tcPr>
            <w:tcW w:w="1863" w:type="dxa"/>
            <w:noWrap/>
            <w:vAlign w:val="center"/>
          </w:tcPr>
          <w:p w14:paraId="72081FC5">
            <w:pPr>
              <w:keepNext w:val="0"/>
              <w:keepLines w:val="0"/>
              <w:pageBreakBefore w:val="0"/>
              <w:kinsoku/>
              <w:wordWrap/>
              <w:overflowPunct/>
              <w:topLinePunct w:val="0"/>
              <w:bidi w:val="0"/>
              <w:spacing w:line="360" w:lineRule="auto"/>
              <w:jc w:val="center"/>
              <w:rPr>
                <w:rFonts w:hint="eastAsia" w:ascii="宋体" w:hAnsi="宋体" w:eastAsia="宋体"/>
                <w:color w:val="auto"/>
                <w:sz w:val="24"/>
                <w:highlight w:val="none"/>
                <w:lang w:eastAsia="zh-CN"/>
              </w:rPr>
            </w:pPr>
            <w:r>
              <w:rPr>
                <w:rFonts w:hint="eastAsia" w:hAnsi="宋体"/>
                <w:b/>
                <w:bCs/>
                <w:color w:val="auto"/>
                <w:sz w:val="24"/>
                <w:highlight w:val="none"/>
                <w:lang w:eastAsia="zh-CN"/>
              </w:rPr>
              <w:t>预算金额</w:t>
            </w:r>
          </w:p>
        </w:tc>
        <w:tc>
          <w:tcPr>
            <w:tcW w:w="6634" w:type="dxa"/>
            <w:noWrap/>
            <w:vAlign w:val="center"/>
          </w:tcPr>
          <w:p w14:paraId="629254D4">
            <w:pPr>
              <w:keepNext w:val="0"/>
              <w:keepLines w:val="0"/>
              <w:pageBreakBefore w:val="0"/>
              <w:kinsoku/>
              <w:wordWrap/>
              <w:overflowPunct/>
              <w:topLinePunct w:val="0"/>
              <w:bidi w:val="0"/>
              <w:spacing w:line="360" w:lineRule="auto"/>
              <w:jc w:val="left"/>
              <w:rPr>
                <w:rFonts w:ascii="宋体" w:hAnsi="宋体"/>
                <w:color w:val="auto"/>
                <w:sz w:val="24"/>
                <w:highlight w:val="none"/>
              </w:rPr>
            </w:pPr>
            <w:r>
              <w:rPr>
                <w:rFonts w:hint="eastAsia" w:ascii="宋体" w:hAnsi="宋体" w:eastAsia="宋体"/>
                <w:color w:val="auto"/>
                <w:sz w:val="24"/>
                <w:highlight w:val="none"/>
                <w:lang w:eastAsia="zh-CN"/>
              </w:rPr>
              <w:t>详见招标文件第一章“招标公告”</w:t>
            </w:r>
          </w:p>
        </w:tc>
      </w:tr>
      <w:tr w14:paraId="79F0C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0" w:hRule="atLeast"/>
          <w:jc w:val="center"/>
        </w:trPr>
        <w:tc>
          <w:tcPr>
            <w:tcW w:w="1009" w:type="dxa"/>
            <w:noWrap/>
            <w:vAlign w:val="center"/>
          </w:tcPr>
          <w:p w14:paraId="2223F624">
            <w:pPr>
              <w:pStyle w:val="15"/>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Ansi="宋体"/>
                <w:color w:val="auto"/>
                <w:sz w:val="24"/>
                <w:szCs w:val="24"/>
                <w:highlight w:val="none"/>
              </w:rPr>
            </w:pPr>
            <w:r>
              <w:rPr>
                <w:rFonts w:hint="eastAsia" w:hAnsi="宋体"/>
                <w:color w:val="auto"/>
                <w:sz w:val="24"/>
                <w:szCs w:val="24"/>
                <w:highlight w:val="none"/>
              </w:rPr>
              <w:t>6</w:t>
            </w:r>
          </w:p>
        </w:tc>
        <w:tc>
          <w:tcPr>
            <w:tcW w:w="1863" w:type="dxa"/>
            <w:noWrap/>
            <w:vAlign w:val="center"/>
          </w:tcPr>
          <w:p w14:paraId="59A78436">
            <w:pPr>
              <w:pStyle w:val="15"/>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Ansi="宋体"/>
                <w:b/>
                <w:bCs/>
                <w:color w:val="auto"/>
                <w:sz w:val="24"/>
                <w:szCs w:val="24"/>
                <w:highlight w:val="none"/>
              </w:rPr>
            </w:pPr>
            <w:r>
              <w:rPr>
                <w:rFonts w:hint="eastAsia" w:hAnsi="宋体"/>
                <w:b/>
                <w:bCs/>
                <w:color w:val="auto"/>
                <w:sz w:val="24"/>
                <w:szCs w:val="24"/>
                <w:highlight w:val="none"/>
                <w:lang w:val="en-US" w:eastAsia="zh-CN"/>
              </w:rPr>
              <w:t>★</w:t>
            </w:r>
            <w:r>
              <w:rPr>
                <w:rFonts w:hint="eastAsia" w:hAnsi="宋体"/>
                <w:b/>
                <w:bCs/>
                <w:color w:val="auto"/>
                <w:sz w:val="24"/>
                <w:szCs w:val="24"/>
                <w:highlight w:val="none"/>
              </w:rPr>
              <w:t>报价方式</w:t>
            </w:r>
          </w:p>
        </w:tc>
        <w:tc>
          <w:tcPr>
            <w:tcW w:w="6634" w:type="dxa"/>
            <w:noWrap/>
            <w:vAlign w:val="center"/>
          </w:tcPr>
          <w:p w14:paraId="09D290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本项目</w:t>
            </w:r>
            <w:r>
              <w:rPr>
                <w:rFonts w:hint="eastAsia" w:ascii="宋体" w:hAnsi="宋体" w:cs="宋体"/>
                <w:b/>
                <w:bCs/>
                <w:color w:val="auto"/>
                <w:sz w:val="24"/>
                <w:szCs w:val="24"/>
                <w:highlight w:val="none"/>
                <w:lang w:val="en-US" w:eastAsia="zh-CN"/>
              </w:rPr>
              <w:t>每标段</w:t>
            </w:r>
            <w:r>
              <w:rPr>
                <w:rFonts w:hint="eastAsia" w:ascii="宋体" w:hAnsi="宋体" w:eastAsia="宋体" w:cs="宋体"/>
                <w:b/>
                <w:bCs/>
                <w:color w:val="auto"/>
                <w:sz w:val="24"/>
                <w:szCs w:val="24"/>
                <w:highlight w:val="none"/>
              </w:rPr>
              <w:t>采用总价包干形式进行报价</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eastAsia="zh-CN"/>
              </w:rPr>
              <w:t>应结合自身情况和项目实际情况，考虑风险因素自主报价。报价应符合国内行情并能保证完成履行合同所需的一切工作，包括但不限于服务成本价格（含利润）、</w:t>
            </w:r>
            <w:r>
              <w:rPr>
                <w:rFonts w:hint="eastAsia" w:ascii="宋体" w:hAnsi="宋体" w:cs="宋体"/>
                <w:b/>
                <w:bCs/>
                <w:color w:val="auto"/>
                <w:sz w:val="24"/>
                <w:szCs w:val="24"/>
                <w:highlight w:val="none"/>
                <w:lang w:val="en-US" w:eastAsia="zh-CN"/>
              </w:rPr>
              <w:t>人工、交通、</w:t>
            </w:r>
            <w:r>
              <w:rPr>
                <w:rFonts w:hint="eastAsia" w:ascii="宋体" w:hAnsi="宋体" w:eastAsia="宋体" w:cs="宋体"/>
                <w:b/>
                <w:bCs/>
                <w:color w:val="auto"/>
                <w:sz w:val="24"/>
                <w:szCs w:val="24"/>
                <w:highlight w:val="none"/>
                <w:lang w:eastAsia="zh-CN"/>
              </w:rPr>
              <w:t>保险、税收、培训、售后服务等完成项目所需的全部费用，并充分考虑可能发生的各种风险。合同履行过程中，</w:t>
            </w:r>
            <w:r>
              <w:rPr>
                <w:rFonts w:hint="eastAsia" w:ascii="宋体" w:hAnsi="宋体" w:eastAsia="宋体" w:cs="宋体"/>
                <w:b/>
                <w:bCs/>
                <w:color w:val="auto"/>
                <w:sz w:val="24"/>
                <w:szCs w:val="24"/>
                <w:highlight w:val="none"/>
                <w:lang w:val="en-US" w:eastAsia="zh-CN"/>
              </w:rPr>
              <w:t>所报价格不随国家政策或法规、标准及市场因素的变化而进行调整</w:t>
            </w:r>
            <w:r>
              <w:rPr>
                <w:rFonts w:hint="eastAsia" w:ascii="宋体" w:hAnsi="宋体" w:cs="宋体"/>
                <w:b/>
                <w:bCs/>
                <w:color w:val="auto"/>
                <w:sz w:val="24"/>
                <w:szCs w:val="24"/>
                <w:highlight w:val="none"/>
                <w:lang w:val="en-US" w:eastAsia="zh-CN"/>
              </w:rPr>
              <w:t>。</w:t>
            </w:r>
          </w:p>
          <w:p w14:paraId="2ABC97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投标人不得哄抬报价，也不应低于成本价报价。评标委员会认为投标人的投标报价明显不合理或者低于成本，将要求其在规定的期限内提供书面文件予以解释说明，并提交相关证明材料；投标人不能证明其报价合理性的，评标委员会将认定投标人投标文件无效。</w:t>
            </w:r>
          </w:p>
        </w:tc>
      </w:tr>
      <w:tr w14:paraId="2F79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009" w:type="dxa"/>
            <w:noWrap/>
            <w:vAlign w:val="center"/>
          </w:tcPr>
          <w:p w14:paraId="022D7996">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7</w:t>
            </w:r>
          </w:p>
        </w:tc>
        <w:tc>
          <w:tcPr>
            <w:tcW w:w="1863" w:type="dxa"/>
            <w:noWrap/>
            <w:vAlign w:val="center"/>
          </w:tcPr>
          <w:p w14:paraId="023D8FCB">
            <w:pPr>
              <w:pStyle w:val="15"/>
              <w:keepNext w:val="0"/>
              <w:keepLines w:val="0"/>
              <w:pageBreakBefore w:val="0"/>
              <w:kinsoku/>
              <w:wordWrap/>
              <w:overflowPunct/>
              <w:topLinePunct w:val="0"/>
              <w:bidi w:val="0"/>
              <w:spacing w:line="360" w:lineRule="auto"/>
              <w:jc w:val="center"/>
              <w:rPr>
                <w:rFonts w:hint="eastAsia" w:hAnsi="宋体" w:eastAsia="宋体"/>
                <w:color w:val="auto"/>
                <w:sz w:val="24"/>
                <w:szCs w:val="24"/>
                <w:highlight w:val="none"/>
                <w:lang w:eastAsia="zh-CN"/>
              </w:rPr>
            </w:pPr>
            <w:r>
              <w:rPr>
                <w:rFonts w:hint="eastAsia" w:hAnsi="宋体"/>
                <w:color w:val="auto"/>
                <w:sz w:val="24"/>
                <w:szCs w:val="24"/>
                <w:highlight w:val="none"/>
                <w:lang w:eastAsia="zh-CN"/>
              </w:rPr>
              <w:t>服务需求</w:t>
            </w:r>
          </w:p>
        </w:tc>
        <w:tc>
          <w:tcPr>
            <w:tcW w:w="6634" w:type="dxa"/>
            <w:noWrap/>
            <w:vAlign w:val="center"/>
          </w:tcPr>
          <w:p w14:paraId="57D7D6FA">
            <w:pPr>
              <w:keepNext w:val="0"/>
              <w:keepLines w:val="0"/>
              <w:pageBreakBefore w:val="0"/>
              <w:kinsoku/>
              <w:wordWrap/>
              <w:overflowPunct/>
              <w:topLinePunct w:val="0"/>
              <w:bidi w:val="0"/>
              <w:spacing w:line="360" w:lineRule="auto"/>
              <w:rPr>
                <w:rFonts w:hAnsi="宋体" w:cs="宋体"/>
                <w:bCs/>
                <w:color w:val="auto"/>
                <w:sz w:val="24"/>
                <w:highlight w:val="none"/>
              </w:rPr>
            </w:pPr>
            <w:r>
              <w:rPr>
                <w:rFonts w:hint="eastAsia" w:ascii="宋体" w:hAnsi="宋体" w:eastAsia="宋体" w:cs="宋体"/>
                <w:color w:val="auto"/>
                <w:sz w:val="24"/>
                <w:highlight w:val="none"/>
                <w:lang w:eastAsia="zh-CN"/>
              </w:rPr>
              <w:t>详见本招标文件第一章“招标公告”、第</w:t>
            </w:r>
            <w:r>
              <w:rPr>
                <w:rFonts w:hint="eastAsia" w:ascii="宋体" w:hAnsi="宋体" w:eastAsia="宋体" w:cs="宋体"/>
                <w:color w:val="auto"/>
                <w:sz w:val="24"/>
                <w:highlight w:val="none"/>
                <w:lang w:val="en-US" w:eastAsia="zh-CN"/>
              </w:rPr>
              <w:t>七</w:t>
            </w:r>
            <w:r>
              <w:rPr>
                <w:rFonts w:hint="eastAsia" w:ascii="宋体" w:hAnsi="宋体" w:eastAsia="宋体" w:cs="宋体"/>
                <w:color w:val="auto"/>
                <w:sz w:val="24"/>
                <w:highlight w:val="none"/>
                <w:lang w:eastAsia="zh-CN"/>
              </w:rPr>
              <w:t>章“</w:t>
            </w:r>
            <w:r>
              <w:rPr>
                <w:rFonts w:hint="eastAsia" w:ascii="宋体" w:hAnsi="宋体" w:cs="宋体"/>
                <w:color w:val="auto"/>
                <w:sz w:val="24"/>
                <w:highlight w:val="none"/>
                <w:lang w:eastAsia="zh-CN"/>
              </w:rPr>
              <w:t>服务需求</w:t>
            </w:r>
            <w:r>
              <w:rPr>
                <w:rFonts w:hint="eastAsia" w:ascii="宋体" w:hAnsi="宋体" w:eastAsia="宋体" w:cs="宋体"/>
                <w:color w:val="auto"/>
                <w:sz w:val="24"/>
                <w:highlight w:val="none"/>
                <w:lang w:eastAsia="zh-CN"/>
              </w:rPr>
              <w:t>”。</w:t>
            </w:r>
          </w:p>
        </w:tc>
      </w:tr>
      <w:tr w14:paraId="60C65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31E77D16">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8</w:t>
            </w:r>
          </w:p>
        </w:tc>
        <w:tc>
          <w:tcPr>
            <w:tcW w:w="1863" w:type="dxa"/>
            <w:noWrap/>
            <w:vAlign w:val="center"/>
          </w:tcPr>
          <w:p w14:paraId="40EFA150">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合同履行期限及</w:t>
            </w:r>
            <w:r>
              <w:rPr>
                <w:rFonts w:hint="eastAsia" w:hAnsi="宋体"/>
                <w:color w:val="auto"/>
                <w:sz w:val="24"/>
                <w:szCs w:val="24"/>
                <w:highlight w:val="none"/>
                <w:lang w:eastAsia="zh-CN"/>
              </w:rPr>
              <w:t>服务地点</w:t>
            </w:r>
          </w:p>
        </w:tc>
        <w:tc>
          <w:tcPr>
            <w:tcW w:w="6634" w:type="dxa"/>
            <w:noWrap/>
            <w:vAlign w:val="center"/>
          </w:tcPr>
          <w:p w14:paraId="2ED4A1C7">
            <w:pPr>
              <w:keepNext w:val="0"/>
              <w:keepLines w:val="0"/>
              <w:pageBreakBefore w:val="0"/>
              <w:kinsoku/>
              <w:wordWrap/>
              <w:overflowPunct/>
              <w:topLinePunct w:val="0"/>
              <w:bidi w:val="0"/>
              <w:spacing w:line="360" w:lineRule="auto"/>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合同履行期限：</w:t>
            </w:r>
          </w:p>
          <w:p w14:paraId="0705B8A7">
            <w:pPr>
              <w:keepNext w:val="0"/>
              <w:keepLines w:val="0"/>
              <w:pageBreakBefore w:val="0"/>
              <w:kinsoku/>
              <w:wordWrap/>
              <w:overflowPunct/>
              <w:topLinePunct w:val="0"/>
              <w:bidi w:val="0"/>
              <w:spacing w:line="360" w:lineRule="auto"/>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一标段：两年（以合同约定为准）或合同总金额执行完毕。</w:t>
            </w:r>
          </w:p>
          <w:p w14:paraId="189C58A4">
            <w:pPr>
              <w:keepNext w:val="0"/>
              <w:keepLines w:val="0"/>
              <w:pageBreakBefore w:val="0"/>
              <w:kinsoku/>
              <w:wordWrap/>
              <w:overflowPunct/>
              <w:topLinePunct w:val="0"/>
              <w:bidi w:val="0"/>
              <w:spacing w:line="360" w:lineRule="auto"/>
              <w:rPr>
                <w:rFonts w:hint="eastAsia" w:ascii="宋体" w:hAnsi="宋体" w:eastAsia="宋体" w:cs="宋体"/>
                <w:color w:val="auto"/>
                <w:sz w:val="24"/>
                <w:highlight w:val="none"/>
                <w:lang w:val="en-US" w:eastAsia="zh-CN"/>
              </w:rPr>
            </w:pPr>
            <w:r>
              <w:rPr>
                <w:rFonts w:hint="eastAsia" w:ascii="Times New Roman" w:hAnsi="Times New Roman" w:cs="Times New Roman"/>
                <w:color w:val="auto"/>
                <w:sz w:val="24"/>
                <w:highlight w:val="none"/>
                <w:lang w:val="en-US" w:eastAsia="zh-CN"/>
              </w:rPr>
              <w:t>二标段：三年（以合同约定为准）或合同总金额执行完毕。</w:t>
            </w:r>
          </w:p>
          <w:p w14:paraId="3E8F80C3">
            <w:pPr>
              <w:pStyle w:val="34"/>
              <w:keepNext w:val="0"/>
              <w:keepLines w:val="0"/>
              <w:pageBreakBefore w:val="0"/>
              <w:kinsoku/>
              <w:wordWrap/>
              <w:overflowPunct/>
              <w:topLinePunct w:val="0"/>
              <w:bidi w:val="0"/>
              <w:spacing w:line="360" w:lineRule="auto"/>
              <w:ind w:firstLine="0" w:firstLineChars="0"/>
              <w:rPr>
                <w:color w:val="auto"/>
                <w:highlight w:val="none"/>
              </w:rPr>
            </w:pPr>
            <w:r>
              <w:rPr>
                <w:rFonts w:hint="eastAsia" w:ascii="宋体" w:hAnsi="宋体" w:cs="宋体"/>
                <w:color w:val="auto"/>
                <w:sz w:val="24"/>
                <w:szCs w:val="24"/>
                <w:highlight w:val="none"/>
                <w:lang w:eastAsia="zh-CN"/>
              </w:rPr>
              <w:t>服务</w:t>
            </w:r>
            <w:r>
              <w:rPr>
                <w:rFonts w:hint="eastAsia" w:ascii="宋体" w:hAnsi="宋体" w:cs="宋体"/>
                <w:color w:val="auto"/>
                <w:sz w:val="24"/>
                <w:szCs w:val="24"/>
                <w:highlight w:val="none"/>
              </w:rPr>
              <w:t>地点：</w:t>
            </w:r>
            <w:r>
              <w:rPr>
                <w:rFonts w:hint="eastAsia" w:ascii="宋体" w:hAnsi="宋体" w:cs="宋体"/>
                <w:color w:val="auto"/>
                <w:kern w:val="0"/>
                <w:sz w:val="24"/>
                <w:szCs w:val="24"/>
                <w:highlight w:val="none"/>
                <w:lang w:val="en-US" w:eastAsia="zh-CN" w:bidi="ar"/>
              </w:rPr>
              <w:t>云南省玉溪第一中学校内</w:t>
            </w:r>
            <w:r>
              <w:rPr>
                <w:rFonts w:hint="eastAsia" w:ascii="宋体" w:hAnsi="宋体" w:eastAsia="宋体" w:cs="宋体"/>
                <w:color w:val="auto"/>
                <w:kern w:val="0"/>
                <w:sz w:val="24"/>
                <w:szCs w:val="24"/>
                <w:highlight w:val="none"/>
                <w:lang w:val="en-US" w:eastAsia="zh-CN" w:bidi="ar"/>
              </w:rPr>
              <w:t>或招标人指定地点</w:t>
            </w:r>
            <w:r>
              <w:rPr>
                <w:rFonts w:hint="eastAsia" w:ascii="宋体" w:hAnsi="宋体" w:cs="宋体"/>
                <w:color w:val="auto"/>
                <w:sz w:val="24"/>
                <w:szCs w:val="24"/>
                <w:highlight w:val="none"/>
              </w:rPr>
              <w:t>。</w:t>
            </w:r>
          </w:p>
        </w:tc>
      </w:tr>
      <w:tr w14:paraId="41D31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1A0A3BC5">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9</w:t>
            </w:r>
          </w:p>
        </w:tc>
        <w:tc>
          <w:tcPr>
            <w:tcW w:w="1863" w:type="dxa"/>
            <w:noWrap/>
            <w:vAlign w:val="center"/>
          </w:tcPr>
          <w:p w14:paraId="7EC173F8">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质量要求</w:t>
            </w:r>
          </w:p>
        </w:tc>
        <w:tc>
          <w:tcPr>
            <w:tcW w:w="6634" w:type="dxa"/>
            <w:noWrap/>
            <w:vAlign w:val="center"/>
          </w:tcPr>
          <w:p w14:paraId="411B3BB3">
            <w:pPr>
              <w:pStyle w:val="15"/>
              <w:keepNext w:val="0"/>
              <w:keepLines w:val="0"/>
              <w:pageBreakBefore w:val="0"/>
              <w:kinsoku/>
              <w:wordWrap/>
              <w:overflowPunct/>
              <w:topLinePunct w:val="0"/>
              <w:bidi w:val="0"/>
              <w:spacing w:line="360" w:lineRule="auto"/>
              <w:jc w:val="left"/>
              <w:rPr>
                <w:rFonts w:hAnsi="宋体" w:cs="宋体"/>
                <w:bCs/>
                <w:color w:val="auto"/>
                <w:sz w:val="24"/>
                <w:szCs w:val="24"/>
                <w:highlight w:val="none"/>
              </w:rPr>
            </w:pPr>
            <w:r>
              <w:rPr>
                <w:rFonts w:hint="eastAsia" w:ascii="宋体" w:hAnsi="宋体" w:cs="宋体"/>
                <w:color w:val="auto"/>
                <w:kern w:val="0"/>
                <w:sz w:val="24"/>
                <w:highlight w:val="none"/>
                <w:lang w:val="en-US" w:eastAsia="zh-CN"/>
              </w:rPr>
              <w:t>符合国家现行行业质量标准、规范和要求，在相应学期内完成课程规定的教学任务，为其提供高质量服务。</w:t>
            </w:r>
          </w:p>
        </w:tc>
      </w:tr>
      <w:tr w14:paraId="7036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185CCE37">
            <w:pPr>
              <w:pStyle w:val="17"/>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ascii="宋体" w:hAnsi="宋体"/>
                <w:color w:val="auto"/>
                <w:sz w:val="24"/>
                <w:szCs w:val="24"/>
                <w:highlight w:val="none"/>
              </w:rPr>
              <w:t>10</w:t>
            </w:r>
          </w:p>
        </w:tc>
        <w:tc>
          <w:tcPr>
            <w:tcW w:w="1863" w:type="dxa"/>
            <w:noWrap/>
            <w:vAlign w:val="center"/>
          </w:tcPr>
          <w:p w14:paraId="51BFF64A">
            <w:pPr>
              <w:pStyle w:val="15"/>
              <w:keepNext w:val="0"/>
              <w:keepLines w:val="0"/>
              <w:pageBreakBefore w:val="0"/>
              <w:kinsoku/>
              <w:wordWrap/>
              <w:overflowPunct/>
              <w:topLinePunct w:val="0"/>
              <w:bidi w:val="0"/>
              <w:spacing w:line="360" w:lineRule="auto"/>
              <w:jc w:val="center"/>
              <w:rPr>
                <w:rFonts w:hAnsi="宋体"/>
                <w:b/>
                <w:bCs/>
                <w:color w:val="auto"/>
                <w:sz w:val="24"/>
                <w:szCs w:val="24"/>
                <w:highlight w:val="none"/>
              </w:rPr>
            </w:pPr>
            <w:r>
              <w:rPr>
                <w:rFonts w:hint="eastAsia" w:hAnsi="宋体"/>
                <w:color w:val="auto"/>
                <w:sz w:val="24"/>
                <w:szCs w:val="24"/>
                <w:highlight w:val="none"/>
              </w:rPr>
              <w:t>投标人资格要求</w:t>
            </w:r>
          </w:p>
        </w:tc>
        <w:tc>
          <w:tcPr>
            <w:tcW w:w="6634" w:type="dxa"/>
            <w:noWrap/>
            <w:vAlign w:val="center"/>
          </w:tcPr>
          <w:p w14:paraId="63E8A0A4">
            <w:pPr>
              <w:keepNext w:val="0"/>
              <w:keepLines w:val="0"/>
              <w:pageBreakBefore w:val="0"/>
              <w:kinsoku/>
              <w:wordWrap/>
              <w:overflowPunct/>
              <w:topLinePunct w:val="0"/>
              <w:bidi w:val="0"/>
              <w:spacing w:line="360" w:lineRule="auto"/>
              <w:rPr>
                <w:rFonts w:hAnsi="宋体" w:cs="宋体"/>
                <w:b/>
                <w:bCs/>
                <w:color w:val="auto"/>
                <w:sz w:val="24"/>
                <w:highlight w:val="none"/>
              </w:rPr>
            </w:pPr>
            <w:r>
              <w:rPr>
                <w:rFonts w:hint="eastAsia" w:ascii="宋体" w:hAnsi="宋体"/>
                <w:color w:val="auto"/>
                <w:sz w:val="24"/>
                <w:highlight w:val="none"/>
              </w:rPr>
              <w:t>详见“招标公告”。</w:t>
            </w:r>
          </w:p>
        </w:tc>
      </w:tr>
      <w:tr w14:paraId="027AA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79769F77">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11</w:t>
            </w:r>
          </w:p>
        </w:tc>
        <w:tc>
          <w:tcPr>
            <w:tcW w:w="1863" w:type="dxa"/>
            <w:noWrap/>
            <w:vAlign w:val="center"/>
          </w:tcPr>
          <w:p w14:paraId="33D7CDD0">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联合体投标</w:t>
            </w:r>
          </w:p>
        </w:tc>
        <w:tc>
          <w:tcPr>
            <w:tcW w:w="6634" w:type="dxa"/>
            <w:noWrap/>
            <w:vAlign w:val="center"/>
          </w:tcPr>
          <w:p w14:paraId="411DB6F5">
            <w:pPr>
              <w:pStyle w:val="15"/>
              <w:keepNext w:val="0"/>
              <w:keepLines w:val="0"/>
              <w:pageBreakBefore w:val="0"/>
              <w:kinsoku/>
              <w:wordWrap/>
              <w:overflowPunct/>
              <w:topLinePunct w:val="0"/>
              <w:bidi w:val="0"/>
              <w:spacing w:line="360" w:lineRule="auto"/>
              <w:rPr>
                <w:rFonts w:hAnsi="宋体"/>
                <w:color w:val="auto"/>
                <w:highlight w:val="none"/>
              </w:rPr>
            </w:pPr>
            <w:r>
              <w:rPr>
                <w:rFonts w:hint="eastAsia" w:hAnsi="宋体"/>
                <w:color w:val="auto"/>
                <w:sz w:val="24"/>
                <w:szCs w:val="24"/>
                <w:highlight w:val="none"/>
              </w:rPr>
              <w:t>不接受。</w:t>
            </w:r>
          </w:p>
        </w:tc>
      </w:tr>
      <w:tr w14:paraId="49EA1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51F7D147">
            <w:pPr>
              <w:pStyle w:val="17"/>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ascii="宋体" w:hAnsi="宋体"/>
                <w:color w:val="auto"/>
                <w:sz w:val="24"/>
                <w:szCs w:val="24"/>
                <w:highlight w:val="none"/>
              </w:rPr>
              <w:t>12</w:t>
            </w:r>
          </w:p>
        </w:tc>
        <w:tc>
          <w:tcPr>
            <w:tcW w:w="1863" w:type="dxa"/>
            <w:noWrap/>
            <w:vAlign w:val="center"/>
          </w:tcPr>
          <w:p w14:paraId="061DE673">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现场考察</w:t>
            </w:r>
          </w:p>
        </w:tc>
        <w:tc>
          <w:tcPr>
            <w:tcW w:w="6634" w:type="dxa"/>
            <w:noWrap/>
            <w:vAlign w:val="center"/>
          </w:tcPr>
          <w:p w14:paraId="0429DEFB">
            <w:pPr>
              <w:keepNext w:val="0"/>
              <w:keepLines w:val="0"/>
              <w:pageBreakBefore w:val="0"/>
              <w:kinsoku/>
              <w:wordWrap/>
              <w:overflowPunct/>
              <w:topLinePunct w:val="0"/>
              <w:bidi w:val="0"/>
              <w:spacing w:line="360" w:lineRule="auto"/>
              <w:rPr>
                <w:rFonts w:hAnsi="宋体"/>
                <w:b/>
                <w:color w:val="auto"/>
                <w:sz w:val="24"/>
                <w:highlight w:val="none"/>
              </w:rPr>
            </w:pPr>
            <w:r>
              <w:rPr>
                <w:rFonts w:hint="eastAsia" w:ascii="宋体" w:hAnsi="宋体"/>
                <w:color w:val="auto"/>
                <w:sz w:val="24"/>
                <w:highlight w:val="none"/>
              </w:rPr>
              <w:t>不组织。</w:t>
            </w:r>
          </w:p>
        </w:tc>
      </w:tr>
      <w:tr w14:paraId="0D5A4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2436AFF7">
            <w:pPr>
              <w:pStyle w:val="17"/>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ascii="宋体" w:hAnsi="宋体"/>
                <w:color w:val="auto"/>
                <w:sz w:val="24"/>
                <w:szCs w:val="24"/>
                <w:highlight w:val="none"/>
              </w:rPr>
              <w:t>13</w:t>
            </w:r>
          </w:p>
        </w:tc>
        <w:tc>
          <w:tcPr>
            <w:tcW w:w="1863" w:type="dxa"/>
            <w:noWrap/>
            <w:vAlign w:val="center"/>
          </w:tcPr>
          <w:p w14:paraId="50A896E1">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开标前答疑会</w:t>
            </w:r>
          </w:p>
        </w:tc>
        <w:tc>
          <w:tcPr>
            <w:tcW w:w="6634" w:type="dxa"/>
            <w:noWrap/>
            <w:vAlign w:val="center"/>
          </w:tcPr>
          <w:p w14:paraId="6344F0D1">
            <w:pPr>
              <w:keepNext w:val="0"/>
              <w:keepLines w:val="0"/>
              <w:pageBreakBefore w:val="0"/>
              <w:kinsoku/>
              <w:wordWrap/>
              <w:overflowPunct/>
              <w:topLinePunct w:val="0"/>
              <w:bidi w:val="0"/>
              <w:spacing w:line="360" w:lineRule="auto"/>
              <w:rPr>
                <w:rFonts w:hAnsi="宋体"/>
                <w:color w:val="auto"/>
                <w:sz w:val="24"/>
                <w:highlight w:val="none"/>
              </w:rPr>
            </w:pPr>
            <w:r>
              <w:rPr>
                <w:rFonts w:hint="eastAsia" w:ascii="宋体" w:hAnsi="宋体"/>
                <w:color w:val="auto"/>
                <w:sz w:val="24"/>
                <w:highlight w:val="none"/>
              </w:rPr>
              <w:t>不召开。</w:t>
            </w:r>
          </w:p>
        </w:tc>
      </w:tr>
      <w:tr w14:paraId="6CA00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1009" w:type="dxa"/>
            <w:noWrap/>
            <w:vAlign w:val="center"/>
          </w:tcPr>
          <w:p w14:paraId="6DACC1F4">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14</w:t>
            </w:r>
          </w:p>
        </w:tc>
        <w:tc>
          <w:tcPr>
            <w:tcW w:w="1863" w:type="dxa"/>
            <w:noWrap/>
            <w:vAlign w:val="center"/>
          </w:tcPr>
          <w:p w14:paraId="13C98B8A">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投标人要求澄清招标文件</w:t>
            </w:r>
          </w:p>
        </w:tc>
        <w:tc>
          <w:tcPr>
            <w:tcW w:w="6634" w:type="dxa"/>
            <w:noWrap/>
            <w:vAlign w:val="center"/>
          </w:tcPr>
          <w:p w14:paraId="75803E8B">
            <w:pPr>
              <w:keepNext w:val="0"/>
              <w:keepLines w:val="0"/>
              <w:pageBreakBefore w:val="0"/>
              <w:kinsoku/>
              <w:wordWrap/>
              <w:overflowPunct/>
              <w:topLinePunct w:val="0"/>
              <w:bidi w:val="0"/>
              <w:spacing w:line="360" w:lineRule="auto"/>
              <w:rPr>
                <w:rFonts w:ascii="宋体" w:hAnsi="宋体"/>
                <w:color w:val="auto"/>
                <w:sz w:val="24"/>
                <w:highlight w:val="none"/>
              </w:rPr>
            </w:pPr>
            <w:r>
              <w:rPr>
                <w:rFonts w:hint="eastAsia" w:ascii="宋体" w:hAnsi="宋体" w:cs="宋体"/>
                <w:color w:val="auto"/>
                <w:sz w:val="24"/>
                <w:highlight w:val="none"/>
              </w:rPr>
              <w:t>开标前10天，所有获取了招标文件的潜在投标人凭企业数字证书（</w:t>
            </w:r>
            <w:r>
              <w:rPr>
                <w:rFonts w:hint="eastAsia" w:ascii="宋体" w:hAnsi="宋体" w:cs="宋体"/>
                <w:color w:val="auto"/>
                <w:sz w:val="24"/>
                <w:highlight w:val="none"/>
                <w:lang w:val="en-US" w:eastAsia="zh-CN"/>
              </w:rPr>
              <w:t>CA</w:t>
            </w:r>
            <w:r>
              <w:rPr>
                <w:rFonts w:hint="eastAsia" w:ascii="宋体" w:hAnsi="宋体" w:cs="宋体"/>
                <w:color w:val="auto"/>
                <w:sz w:val="24"/>
                <w:highlight w:val="none"/>
              </w:rPr>
              <w:t>）登录</w:t>
            </w:r>
            <w:r>
              <w:rPr>
                <w:rFonts w:hint="eastAsia" w:ascii="宋体" w:hAnsi="宋体" w:cs="宋体"/>
                <w:color w:val="auto"/>
                <w:sz w:val="24"/>
                <w:highlight w:val="none"/>
                <w:u w:val="single"/>
              </w:rPr>
              <w:t>政采云平台（http：//www.zcygov.cn）</w:t>
            </w:r>
            <w:r>
              <w:rPr>
                <w:rFonts w:hint="eastAsia" w:ascii="宋体" w:hAnsi="宋体" w:cs="宋体"/>
                <w:color w:val="auto"/>
                <w:sz w:val="24"/>
                <w:highlight w:val="none"/>
              </w:rPr>
              <w:t>，通过网络在线方式进行提问</w:t>
            </w:r>
            <w:r>
              <w:rPr>
                <w:rFonts w:hint="eastAsia" w:ascii="宋体" w:hAnsi="宋体" w:cs="宋体"/>
                <w:color w:val="auto"/>
                <w:sz w:val="24"/>
                <w:highlight w:val="none"/>
                <w:lang w:eastAsia="zh-CN"/>
              </w:rPr>
              <w:t>。</w:t>
            </w:r>
          </w:p>
        </w:tc>
      </w:tr>
      <w:tr w14:paraId="07C5C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jc w:val="center"/>
        </w:trPr>
        <w:tc>
          <w:tcPr>
            <w:tcW w:w="1009" w:type="dxa"/>
            <w:noWrap/>
            <w:vAlign w:val="center"/>
          </w:tcPr>
          <w:p w14:paraId="3F30009C">
            <w:pPr>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ascii="宋体" w:hAnsi="宋体"/>
                <w:color w:val="auto"/>
                <w:sz w:val="24"/>
                <w:highlight w:val="none"/>
              </w:rPr>
              <w:t>15</w:t>
            </w:r>
          </w:p>
        </w:tc>
        <w:tc>
          <w:tcPr>
            <w:tcW w:w="1863" w:type="dxa"/>
            <w:noWrap/>
            <w:vAlign w:val="center"/>
          </w:tcPr>
          <w:p w14:paraId="797D5A37">
            <w:pPr>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ascii="宋体" w:hAnsi="宋体" w:cs="宋体"/>
                <w:color w:val="auto"/>
                <w:sz w:val="24"/>
                <w:highlight w:val="none"/>
              </w:rPr>
              <w:t>投标人确认收到招标文件澄清的时间</w:t>
            </w:r>
          </w:p>
        </w:tc>
        <w:tc>
          <w:tcPr>
            <w:tcW w:w="6634" w:type="dxa"/>
            <w:noWrap/>
            <w:vAlign w:val="center"/>
          </w:tcPr>
          <w:p w14:paraId="73E29C25">
            <w:pPr>
              <w:keepNext w:val="0"/>
              <w:keepLines w:val="0"/>
              <w:pageBreakBefore w:val="0"/>
              <w:kinsoku/>
              <w:wordWrap/>
              <w:overflowPunct/>
              <w:topLinePunct w:val="0"/>
              <w:bidi w:val="0"/>
              <w:spacing w:line="360" w:lineRule="auto"/>
              <w:jc w:val="left"/>
              <w:rPr>
                <w:rFonts w:ascii="宋体" w:hAnsi="宋体"/>
                <w:color w:val="auto"/>
                <w:sz w:val="24"/>
                <w:highlight w:val="none"/>
              </w:rPr>
            </w:pPr>
            <w:r>
              <w:rPr>
                <w:rFonts w:hint="eastAsia" w:ascii="宋体" w:hAnsi="宋体" w:cs="宋体"/>
                <w:color w:val="auto"/>
                <w:sz w:val="24"/>
                <w:highlight w:val="none"/>
              </w:rPr>
              <w:t>在收到相应澄清文件后 24 小时内，投标人自行登录</w:t>
            </w:r>
            <w:r>
              <w:rPr>
                <w:rFonts w:hint="eastAsia" w:ascii="宋体" w:hAnsi="宋体" w:cs="宋体"/>
                <w:color w:val="auto"/>
                <w:sz w:val="24"/>
                <w:highlight w:val="none"/>
                <w:u w:val="single"/>
              </w:rPr>
              <w:t>政采云平台（http：//www.zcygov.cn）</w:t>
            </w:r>
            <w:r>
              <w:rPr>
                <w:rFonts w:hint="eastAsia" w:ascii="宋体" w:hAnsi="宋体" w:cs="宋体"/>
                <w:color w:val="auto"/>
                <w:sz w:val="24"/>
                <w:highlight w:val="none"/>
              </w:rPr>
              <w:t>获取澄清，无须回复确认已收到该澄清。</w:t>
            </w:r>
          </w:p>
        </w:tc>
      </w:tr>
      <w:tr w14:paraId="13584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38666639">
            <w:pPr>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ascii="宋体" w:hAnsi="宋体" w:cs="宋体"/>
                <w:color w:val="auto"/>
                <w:sz w:val="24"/>
                <w:highlight w:val="none"/>
              </w:rPr>
              <w:t>16</w:t>
            </w:r>
          </w:p>
        </w:tc>
        <w:tc>
          <w:tcPr>
            <w:tcW w:w="1863" w:type="dxa"/>
            <w:noWrap/>
            <w:vAlign w:val="center"/>
          </w:tcPr>
          <w:p w14:paraId="4F8A9474">
            <w:pPr>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ascii="宋体" w:hAnsi="宋体"/>
                <w:color w:val="auto"/>
                <w:sz w:val="24"/>
                <w:highlight w:val="none"/>
              </w:rPr>
              <w:t>招标文件的修改时间</w:t>
            </w:r>
          </w:p>
        </w:tc>
        <w:tc>
          <w:tcPr>
            <w:tcW w:w="6634" w:type="dxa"/>
            <w:noWrap/>
            <w:vAlign w:val="center"/>
          </w:tcPr>
          <w:p w14:paraId="4ECBEE13">
            <w:pPr>
              <w:keepNext w:val="0"/>
              <w:keepLines w:val="0"/>
              <w:pageBreakBefore w:val="0"/>
              <w:kinsoku/>
              <w:wordWrap/>
              <w:overflowPunct/>
              <w:topLinePunct w:val="0"/>
              <w:bidi w:val="0"/>
              <w:spacing w:line="360" w:lineRule="auto"/>
              <w:jc w:val="left"/>
              <w:rPr>
                <w:rFonts w:hAnsi="宋体"/>
                <w:color w:val="auto"/>
                <w:sz w:val="24"/>
                <w:highlight w:val="none"/>
              </w:rPr>
            </w:pPr>
            <w:r>
              <w:rPr>
                <w:rFonts w:hint="eastAsia" w:ascii="宋体" w:hAnsi="宋体"/>
                <w:color w:val="auto"/>
                <w:sz w:val="24"/>
                <w:highlight w:val="none"/>
              </w:rPr>
              <w:t>投标截止时间前15日，</w:t>
            </w:r>
            <w:r>
              <w:rPr>
                <w:rFonts w:hint="eastAsia" w:ascii="宋体"/>
                <w:color w:val="auto"/>
                <w:sz w:val="24"/>
                <w:highlight w:val="none"/>
                <w:lang w:eastAsia="zh-CN"/>
              </w:rPr>
              <w:t>招标人确定</w:t>
            </w:r>
            <w:r>
              <w:rPr>
                <w:rFonts w:hint="eastAsia" w:ascii="宋体"/>
                <w:color w:val="auto"/>
                <w:sz w:val="24"/>
                <w:highlight w:val="none"/>
              </w:rPr>
              <w:t>需要变更招标文件内容的，</w:t>
            </w:r>
            <w:r>
              <w:rPr>
                <w:rFonts w:hint="eastAsia" w:ascii="宋体"/>
                <w:color w:val="auto"/>
                <w:sz w:val="24"/>
                <w:highlight w:val="none"/>
                <w:lang w:eastAsia="zh-CN"/>
              </w:rPr>
              <w:t>招标人</w:t>
            </w:r>
            <w:r>
              <w:rPr>
                <w:rFonts w:hint="eastAsia" w:ascii="宋体"/>
                <w:color w:val="auto"/>
                <w:sz w:val="24"/>
                <w:highlight w:val="none"/>
              </w:rPr>
              <w:t>可主动或在解答投标人提出的澄清问题时对招标文件进行修改。</w:t>
            </w:r>
            <w:r>
              <w:rPr>
                <w:rFonts w:hint="eastAsia" w:ascii="宋体"/>
                <w:color w:val="auto"/>
                <w:sz w:val="24"/>
                <w:highlight w:val="none"/>
                <w:lang w:eastAsia="zh-CN"/>
              </w:rPr>
              <w:t>招标人</w:t>
            </w:r>
            <w:r>
              <w:rPr>
                <w:rFonts w:hint="eastAsia" w:ascii="宋体"/>
                <w:color w:val="auto"/>
                <w:sz w:val="24"/>
                <w:highlight w:val="none"/>
              </w:rPr>
              <w:t>无论对评标办法、评审项目等重要评审内容作何种变更，会重新制作电子招标文件，同时发布补遗文件进行说明以保证各投标人都能重新下载最新的电子招标文件用于编制电子投标文件。招标文件的修改将在“</w:t>
            </w:r>
            <w:r>
              <w:rPr>
                <w:rFonts w:hint="eastAsia" w:ascii="宋体" w:hAnsi="宋体"/>
                <w:color w:val="auto"/>
                <w:kern w:val="0"/>
                <w:sz w:val="24"/>
                <w:szCs w:val="24"/>
                <w:highlight w:val="none"/>
              </w:rPr>
              <w:t>政采云平台（http：//www.zcygov.cn）</w:t>
            </w:r>
            <w:r>
              <w:rPr>
                <w:rFonts w:hint="eastAsia" w:ascii="宋体"/>
                <w:color w:val="auto"/>
                <w:sz w:val="24"/>
                <w:highlight w:val="none"/>
              </w:rPr>
              <w:t>”发布。</w:t>
            </w:r>
          </w:p>
        </w:tc>
      </w:tr>
      <w:tr w14:paraId="564F9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03B1759B">
            <w:pPr>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ascii="宋体" w:hAnsi="宋体"/>
                <w:color w:val="auto"/>
                <w:sz w:val="24"/>
                <w:highlight w:val="none"/>
              </w:rPr>
              <w:t>17</w:t>
            </w:r>
          </w:p>
        </w:tc>
        <w:tc>
          <w:tcPr>
            <w:tcW w:w="1863" w:type="dxa"/>
            <w:noWrap/>
            <w:vAlign w:val="center"/>
          </w:tcPr>
          <w:p w14:paraId="58837BDE">
            <w:pPr>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ascii="宋体" w:hAnsi="宋体" w:cs="宋体"/>
                <w:color w:val="auto"/>
                <w:sz w:val="24"/>
                <w:highlight w:val="none"/>
              </w:rPr>
              <w:t>投标人确认收到招标文件修改的时间</w:t>
            </w:r>
          </w:p>
        </w:tc>
        <w:tc>
          <w:tcPr>
            <w:tcW w:w="6634" w:type="dxa"/>
            <w:noWrap/>
            <w:vAlign w:val="center"/>
          </w:tcPr>
          <w:p w14:paraId="6994B27F">
            <w:pPr>
              <w:keepNext w:val="0"/>
              <w:keepLines w:val="0"/>
              <w:pageBreakBefore w:val="0"/>
              <w:kinsoku/>
              <w:wordWrap/>
              <w:overflowPunct/>
              <w:topLinePunct w:val="0"/>
              <w:bidi w:val="0"/>
              <w:spacing w:line="360" w:lineRule="auto"/>
              <w:jc w:val="left"/>
              <w:rPr>
                <w:rFonts w:hAnsi="宋体"/>
                <w:color w:val="auto"/>
                <w:sz w:val="24"/>
                <w:highlight w:val="none"/>
              </w:rPr>
            </w:pPr>
            <w:r>
              <w:rPr>
                <w:rFonts w:hint="eastAsia" w:ascii="宋体" w:hAnsi="宋体" w:cs="宋体"/>
                <w:color w:val="auto"/>
                <w:sz w:val="24"/>
                <w:highlight w:val="none"/>
              </w:rPr>
              <w:t>在收到相应修改文件后 24 小时内，投标人自行登录</w:t>
            </w:r>
            <w:r>
              <w:rPr>
                <w:rFonts w:hint="eastAsia" w:ascii="宋体" w:hAnsi="宋体"/>
                <w:color w:val="auto"/>
                <w:kern w:val="0"/>
                <w:sz w:val="24"/>
                <w:szCs w:val="24"/>
                <w:highlight w:val="none"/>
                <w:u w:val="single"/>
              </w:rPr>
              <w:t>政采云平台（http：//www.zcygov.cn）</w:t>
            </w:r>
            <w:r>
              <w:rPr>
                <w:rFonts w:hint="eastAsia" w:ascii="宋体" w:hAnsi="宋体" w:cs="宋体"/>
                <w:color w:val="auto"/>
                <w:sz w:val="24"/>
                <w:highlight w:val="none"/>
              </w:rPr>
              <w:t>收取修改内容，无须回复确认已收到该修改。</w:t>
            </w:r>
          </w:p>
        </w:tc>
      </w:tr>
      <w:tr w14:paraId="04BFC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4B4001C8">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18</w:t>
            </w:r>
          </w:p>
        </w:tc>
        <w:tc>
          <w:tcPr>
            <w:tcW w:w="1863" w:type="dxa"/>
            <w:noWrap/>
            <w:vAlign w:val="center"/>
          </w:tcPr>
          <w:p w14:paraId="7D3C4841">
            <w:pPr>
              <w:keepNext w:val="0"/>
              <w:keepLines w:val="0"/>
              <w:pageBreakBefore w:val="0"/>
              <w:kinsoku/>
              <w:wordWrap/>
              <w:overflowPunct/>
              <w:topLinePunct w:val="0"/>
              <w:bidi w:val="0"/>
              <w:spacing w:line="360" w:lineRule="auto"/>
              <w:jc w:val="center"/>
              <w:rPr>
                <w:rFonts w:ascii="宋体" w:hAnsi="宋体" w:cs="宋体"/>
                <w:color w:val="auto"/>
                <w:sz w:val="24"/>
                <w:highlight w:val="none"/>
              </w:rPr>
            </w:pPr>
            <w:r>
              <w:rPr>
                <w:rFonts w:ascii="宋体" w:hAnsi="宋体"/>
                <w:color w:val="auto"/>
                <w:sz w:val="24"/>
                <w:highlight w:val="none"/>
              </w:rPr>
              <w:t>构成招标文件的其他文件</w:t>
            </w:r>
          </w:p>
        </w:tc>
        <w:tc>
          <w:tcPr>
            <w:tcW w:w="6634" w:type="dxa"/>
            <w:noWrap/>
            <w:vAlign w:val="center"/>
          </w:tcPr>
          <w:p w14:paraId="51A555AC">
            <w:pPr>
              <w:keepNext w:val="0"/>
              <w:keepLines w:val="0"/>
              <w:pageBreakBefore w:val="0"/>
              <w:kinsoku/>
              <w:wordWrap/>
              <w:overflowPunct/>
              <w:topLinePunct w:val="0"/>
              <w:bidi w:val="0"/>
              <w:spacing w:line="360" w:lineRule="auto"/>
              <w:jc w:val="left"/>
              <w:rPr>
                <w:rFonts w:ascii="宋体" w:hAnsi="宋体" w:cs="宋体"/>
                <w:color w:val="auto"/>
                <w:sz w:val="24"/>
                <w:highlight w:val="none"/>
              </w:rPr>
            </w:pPr>
            <w:r>
              <w:rPr>
                <w:rFonts w:ascii="宋体" w:hAnsi="宋体"/>
                <w:color w:val="auto"/>
                <w:sz w:val="24"/>
                <w:highlight w:val="none"/>
              </w:rPr>
              <w:t>招标文件的澄清、修改书及有关补充通知为招标文件的有效组成部分。</w:t>
            </w:r>
          </w:p>
        </w:tc>
      </w:tr>
      <w:tr w14:paraId="47B19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09" w:type="dxa"/>
            <w:noWrap/>
            <w:vAlign w:val="center"/>
          </w:tcPr>
          <w:p w14:paraId="5724061C">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19</w:t>
            </w:r>
          </w:p>
        </w:tc>
        <w:tc>
          <w:tcPr>
            <w:tcW w:w="1863" w:type="dxa"/>
            <w:noWrap/>
            <w:vAlign w:val="center"/>
          </w:tcPr>
          <w:p w14:paraId="28AFABE0">
            <w:pPr>
              <w:pStyle w:val="15"/>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hAnsi="宋体"/>
                <w:color w:val="auto"/>
                <w:sz w:val="24"/>
                <w:szCs w:val="24"/>
                <w:highlight w:val="none"/>
              </w:rPr>
              <w:t>投标有效期</w:t>
            </w:r>
          </w:p>
        </w:tc>
        <w:tc>
          <w:tcPr>
            <w:tcW w:w="6634" w:type="dxa"/>
            <w:noWrap/>
            <w:vAlign w:val="center"/>
          </w:tcPr>
          <w:p w14:paraId="5B285D8C">
            <w:pPr>
              <w:pStyle w:val="15"/>
              <w:keepNext w:val="0"/>
              <w:keepLines w:val="0"/>
              <w:pageBreakBefore w:val="0"/>
              <w:kinsoku/>
              <w:wordWrap/>
              <w:overflowPunct/>
              <w:topLinePunct w:val="0"/>
              <w:bidi w:val="0"/>
              <w:spacing w:line="360" w:lineRule="auto"/>
              <w:rPr>
                <w:rFonts w:hAnsi="宋体"/>
                <w:color w:val="auto"/>
                <w:sz w:val="24"/>
                <w:highlight w:val="none"/>
              </w:rPr>
            </w:pPr>
            <w:r>
              <w:rPr>
                <w:rFonts w:hint="eastAsia" w:hAnsi="宋体"/>
                <w:color w:val="auto"/>
                <w:sz w:val="24"/>
                <w:szCs w:val="24"/>
                <w:highlight w:val="none"/>
              </w:rPr>
              <w:t>投标截止日期后</w:t>
            </w:r>
            <w:r>
              <w:rPr>
                <w:rFonts w:hint="eastAsia" w:hAnsi="宋体"/>
                <w:color w:val="auto"/>
                <w:sz w:val="24"/>
                <w:szCs w:val="24"/>
                <w:highlight w:val="none"/>
                <w:u w:val="single"/>
              </w:rPr>
              <w:t>90</w:t>
            </w:r>
            <w:r>
              <w:rPr>
                <w:rFonts w:hint="eastAsia" w:hAnsi="宋体"/>
                <w:color w:val="auto"/>
                <w:sz w:val="24"/>
                <w:szCs w:val="24"/>
                <w:highlight w:val="none"/>
              </w:rPr>
              <w:t>日历天。</w:t>
            </w:r>
          </w:p>
        </w:tc>
      </w:tr>
      <w:tr w14:paraId="3A1F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694C9654">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20</w:t>
            </w:r>
          </w:p>
        </w:tc>
        <w:tc>
          <w:tcPr>
            <w:tcW w:w="1863" w:type="dxa"/>
            <w:noWrap/>
            <w:vAlign w:val="center"/>
          </w:tcPr>
          <w:p w14:paraId="2612FDAD">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pacing w:val="-8"/>
                <w:sz w:val="24"/>
                <w:szCs w:val="24"/>
                <w:highlight w:val="none"/>
              </w:rPr>
              <w:t>投标保证金</w:t>
            </w:r>
          </w:p>
        </w:tc>
        <w:tc>
          <w:tcPr>
            <w:tcW w:w="6634" w:type="dxa"/>
            <w:noWrap/>
            <w:vAlign w:val="center"/>
          </w:tcPr>
          <w:p w14:paraId="621E31B3">
            <w:pPr>
              <w:keepLines w:val="0"/>
              <w:pageBreakBefore w:val="0"/>
              <w:kinsoku/>
              <w:wordWrap w:val="0"/>
              <w:overflowPunct/>
              <w:topLinePunct w:val="0"/>
              <w:bidi w:val="0"/>
              <w:spacing w:after="0" w:line="520" w:lineRule="exact"/>
              <w:jc w:val="left"/>
              <w:rPr>
                <w:rFonts w:ascii="宋体" w:hAnsi="宋体" w:cs="宋体"/>
                <w:b/>
                <w:bCs/>
                <w:color w:val="auto"/>
                <w:sz w:val="24"/>
                <w:highlight w:val="none"/>
              </w:rPr>
            </w:pPr>
            <w:r>
              <w:rPr>
                <w:rFonts w:hint="eastAsia" w:ascii="宋体" w:hAnsi="宋体" w:cs="宋体"/>
                <w:b/>
                <w:bCs/>
                <w:color w:val="auto"/>
                <w:sz w:val="24"/>
                <w:highlight w:val="none"/>
              </w:rPr>
              <w:t>一、保证金账户信息</w:t>
            </w:r>
          </w:p>
          <w:p w14:paraId="4E6D709A">
            <w:pPr>
              <w:keepLines w:val="0"/>
              <w:pageBreakBefore w:val="0"/>
              <w:kinsoku/>
              <w:wordWrap w:val="0"/>
              <w:overflowPunct/>
              <w:topLinePunct w:val="0"/>
              <w:bidi w:val="0"/>
              <w:spacing w:after="0" w:line="52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开户行：</w:t>
            </w:r>
            <w:r>
              <w:rPr>
                <w:rFonts w:hint="eastAsia" w:ascii="宋体" w:hAnsi="宋体"/>
                <w:color w:val="auto"/>
                <w:sz w:val="24"/>
                <w:highlight w:val="none"/>
              </w:rPr>
              <w:t>中国工商银行股份有限公司玉溪红塔山支行</w:t>
            </w:r>
          </w:p>
          <w:p w14:paraId="7457543D">
            <w:pPr>
              <w:keepLines w:val="0"/>
              <w:pageBreakBefore w:val="0"/>
              <w:kinsoku/>
              <w:wordWrap w:val="0"/>
              <w:overflowPunct/>
              <w:topLinePunct w:val="0"/>
              <w:bidi w:val="0"/>
              <w:spacing w:after="0" w:line="52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户名：</w:t>
            </w:r>
            <w:r>
              <w:rPr>
                <w:rFonts w:hint="eastAsia" w:ascii="宋体" w:hAnsi="宋体"/>
                <w:color w:val="auto"/>
                <w:sz w:val="24"/>
                <w:highlight w:val="none"/>
              </w:rPr>
              <w:t>云南嘉鑫项目管理咨询有限公司</w:t>
            </w:r>
          </w:p>
          <w:p w14:paraId="34B062B5">
            <w:pPr>
              <w:keepLines w:val="0"/>
              <w:pageBreakBefore w:val="0"/>
              <w:kinsoku/>
              <w:wordWrap w:val="0"/>
              <w:overflowPunct/>
              <w:topLinePunct w:val="0"/>
              <w:bidi w:val="0"/>
              <w:spacing w:after="0" w:line="520" w:lineRule="exact"/>
              <w:ind w:firstLine="480" w:firstLineChars="200"/>
              <w:jc w:val="left"/>
              <w:rPr>
                <w:rFonts w:hint="eastAsia" w:ascii="宋体" w:hAnsi="宋体" w:cs="Times New Roman"/>
                <w:color w:val="auto"/>
                <w:sz w:val="24"/>
                <w:highlight w:val="none"/>
                <w:lang w:eastAsia="zh-CN"/>
              </w:rPr>
            </w:pPr>
            <w:r>
              <w:rPr>
                <w:rFonts w:hint="eastAsia" w:ascii="宋体" w:hAnsi="宋体" w:cs="宋体"/>
                <w:color w:val="auto"/>
                <w:sz w:val="24"/>
                <w:highlight w:val="none"/>
              </w:rPr>
              <w:t>项目名称：</w:t>
            </w:r>
            <w:r>
              <w:rPr>
                <w:rFonts w:hint="eastAsia" w:ascii="宋体" w:hAnsi="宋体" w:cs="Times New Roman"/>
                <w:color w:val="auto"/>
                <w:sz w:val="24"/>
                <w:highlight w:val="none"/>
                <w:lang w:eastAsia="zh-CN"/>
              </w:rPr>
              <w:t>玉溪一中拔尖创新人才培养项目之小初高贯通数学竞赛培训课程（二次）</w:t>
            </w:r>
          </w:p>
          <w:p w14:paraId="505D9DAB">
            <w:pPr>
              <w:keepLines w:val="0"/>
              <w:pageBreakBefore w:val="0"/>
              <w:kinsoku/>
              <w:wordWrap w:val="0"/>
              <w:overflowPunct/>
              <w:topLinePunct w:val="0"/>
              <w:bidi w:val="0"/>
              <w:spacing w:after="0" w:line="52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保证金账号：</w:t>
            </w:r>
            <w:r>
              <w:rPr>
                <w:rFonts w:hint="eastAsia" w:ascii="宋体" w:hAnsi="宋体"/>
                <w:color w:val="auto"/>
                <w:sz w:val="24"/>
                <w:highlight w:val="none"/>
              </w:rPr>
              <w:t>2517026009200053290</w:t>
            </w:r>
          </w:p>
          <w:p w14:paraId="1F4BA88A">
            <w:pPr>
              <w:keepLines w:val="0"/>
              <w:pageBreakBefore w:val="0"/>
              <w:kinsoku/>
              <w:wordWrap w:val="0"/>
              <w:overflowPunct/>
              <w:topLinePunct w:val="0"/>
              <w:bidi w:val="0"/>
              <w:spacing w:after="0" w:line="520" w:lineRule="exact"/>
              <w:ind w:left="479" w:leftChars="228" w:firstLine="0" w:firstLineChars="0"/>
              <w:jc w:val="left"/>
              <w:rPr>
                <w:rFonts w:hint="eastAsia" w:ascii="宋体" w:hAnsi="宋体" w:cs="宋体"/>
                <w:color w:val="auto"/>
                <w:sz w:val="24"/>
                <w:highlight w:val="none"/>
              </w:rPr>
            </w:pPr>
            <w:r>
              <w:rPr>
                <w:rFonts w:hint="eastAsia" w:ascii="宋体" w:hAnsi="宋体" w:cs="宋体"/>
                <w:color w:val="auto"/>
                <w:sz w:val="24"/>
                <w:highlight w:val="none"/>
              </w:rPr>
              <w:t>保证金的金额：</w:t>
            </w:r>
          </w:p>
          <w:p w14:paraId="5A618B13">
            <w:pPr>
              <w:keepLines w:val="0"/>
              <w:pageBreakBefore w:val="0"/>
              <w:kinsoku/>
              <w:wordWrap w:val="0"/>
              <w:overflowPunct/>
              <w:topLinePunct w:val="0"/>
              <w:bidi w:val="0"/>
              <w:spacing w:after="0" w:line="520" w:lineRule="exact"/>
              <w:ind w:left="479" w:leftChars="228" w:firstLine="0" w:firstLineChars="0"/>
              <w:jc w:val="left"/>
              <w:rPr>
                <w:rFonts w:hint="eastAsia" w:ascii="宋体" w:hAnsi="宋体"/>
                <w:color w:val="auto"/>
                <w:sz w:val="24"/>
                <w:highlight w:val="none"/>
                <w:lang w:eastAsia="zh-CN"/>
              </w:rPr>
            </w:pPr>
            <w:r>
              <w:rPr>
                <w:rFonts w:hint="eastAsia" w:ascii="宋体" w:hAnsi="宋体" w:cs="宋体"/>
                <w:color w:val="auto"/>
                <w:sz w:val="24"/>
                <w:highlight w:val="none"/>
                <w:lang w:val="en-US" w:eastAsia="zh-CN"/>
              </w:rPr>
              <w:t>一标段：</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5000.00</w:t>
            </w:r>
            <w:r>
              <w:rPr>
                <w:rFonts w:hint="eastAsia" w:ascii="宋体" w:hAnsi="宋体"/>
                <w:color w:val="auto"/>
                <w:sz w:val="24"/>
                <w:highlight w:val="none"/>
              </w:rPr>
              <w:t>元（大写：</w:t>
            </w:r>
            <w:r>
              <w:rPr>
                <w:rFonts w:hint="eastAsia" w:ascii="宋体" w:hAnsi="宋体"/>
                <w:color w:val="auto"/>
                <w:sz w:val="24"/>
                <w:highlight w:val="none"/>
                <w:lang w:val="en-US" w:eastAsia="zh-CN"/>
              </w:rPr>
              <w:t>人民币伍仟元整</w:t>
            </w:r>
            <w:r>
              <w:rPr>
                <w:rFonts w:hint="eastAsia" w:ascii="宋体" w:hAnsi="宋体"/>
                <w:color w:val="auto"/>
                <w:sz w:val="24"/>
                <w:highlight w:val="none"/>
              </w:rPr>
              <w:t>）</w:t>
            </w:r>
            <w:r>
              <w:rPr>
                <w:rFonts w:hint="eastAsia" w:ascii="宋体" w:hAnsi="宋体"/>
                <w:color w:val="auto"/>
                <w:sz w:val="24"/>
                <w:highlight w:val="none"/>
                <w:lang w:eastAsia="zh-CN"/>
              </w:rPr>
              <w:t>。</w:t>
            </w:r>
          </w:p>
          <w:p w14:paraId="17991A81">
            <w:pPr>
              <w:keepLines w:val="0"/>
              <w:pageBreakBefore w:val="0"/>
              <w:kinsoku/>
              <w:wordWrap w:val="0"/>
              <w:overflowPunct/>
              <w:topLinePunct w:val="0"/>
              <w:bidi w:val="0"/>
              <w:spacing w:after="0" w:line="520" w:lineRule="exact"/>
              <w:ind w:left="479" w:leftChars="228" w:firstLine="0" w:firstLineChars="0"/>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二标段：</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15000</w:t>
            </w:r>
            <w:r>
              <w:rPr>
                <w:rFonts w:hint="eastAsia" w:ascii="宋体" w:hAnsi="宋体"/>
                <w:color w:val="auto"/>
                <w:sz w:val="24"/>
                <w:highlight w:val="none"/>
              </w:rPr>
              <w:t>.00元（大写：</w:t>
            </w:r>
            <w:r>
              <w:rPr>
                <w:rFonts w:hint="eastAsia" w:ascii="宋体" w:hAnsi="宋体"/>
                <w:color w:val="auto"/>
                <w:sz w:val="24"/>
                <w:highlight w:val="none"/>
                <w:lang w:val="en-US" w:eastAsia="zh-CN"/>
              </w:rPr>
              <w:t>人民币壹万伍仟元整</w:t>
            </w:r>
            <w:r>
              <w:rPr>
                <w:rFonts w:hint="eastAsia" w:ascii="宋体" w:hAnsi="宋体"/>
                <w:color w:val="auto"/>
                <w:sz w:val="24"/>
                <w:highlight w:val="none"/>
              </w:rPr>
              <w:t>）</w:t>
            </w:r>
            <w:r>
              <w:rPr>
                <w:rFonts w:hint="eastAsia" w:ascii="宋体" w:hAnsi="宋体"/>
                <w:color w:val="auto"/>
                <w:sz w:val="24"/>
                <w:highlight w:val="none"/>
                <w:lang w:eastAsia="zh-CN"/>
              </w:rPr>
              <w:t>。</w:t>
            </w:r>
          </w:p>
          <w:p w14:paraId="44F0CB0A">
            <w:pPr>
              <w:keepLines w:val="0"/>
              <w:pageBreakBefore w:val="0"/>
              <w:kinsoku/>
              <w:wordWrap w:val="0"/>
              <w:overflowPunct/>
              <w:topLinePunct w:val="0"/>
              <w:bidi w:val="0"/>
              <w:spacing w:after="0" w:line="5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根据《国家发展改革委等部门关于完善招标投标交易担保制度进一步降低招标投标交易成本的通知》（发改法规〔2023〕27号）和《云南省发展和改革委员会等部门关于鼓励减免政府投资项目投标保证金的通知》（云发改交易管理〔2023〕397号），本项目已按照相关规定保证金已减免50%以上。</w:t>
            </w:r>
          </w:p>
          <w:p w14:paraId="1F0B06C7">
            <w:pPr>
              <w:keepLines w:val="0"/>
              <w:pageBreakBefore w:val="0"/>
              <w:kinsoku/>
              <w:wordWrap w:val="0"/>
              <w:overflowPunct/>
              <w:topLinePunct w:val="0"/>
              <w:bidi w:val="0"/>
              <w:spacing w:after="0" w:line="520" w:lineRule="exact"/>
              <w:jc w:val="left"/>
              <w:rPr>
                <w:rFonts w:ascii="宋体" w:hAnsi="宋体" w:cs="宋体"/>
                <w:color w:val="auto"/>
                <w:sz w:val="24"/>
                <w:highlight w:val="none"/>
              </w:rPr>
            </w:pPr>
            <w:r>
              <w:rPr>
                <w:rFonts w:hint="eastAsia" w:ascii="宋体" w:hAnsi="宋体" w:cs="宋体"/>
                <w:color w:val="auto"/>
                <w:sz w:val="24"/>
                <w:highlight w:val="none"/>
              </w:rPr>
              <w:t>（保证金必须一次性足额转入，不可多转、少转、多笔转入）。</w:t>
            </w:r>
          </w:p>
          <w:p w14:paraId="5616EB52">
            <w:pPr>
              <w:keepLines w:val="0"/>
              <w:pageBreakBefore w:val="0"/>
              <w:numPr>
                <w:ilvl w:val="0"/>
                <w:numId w:val="3"/>
              </w:numPr>
              <w:kinsoku/>
              <w:wordWrap w:val="0"/>
              <w:overflowPunct/>
              <w:topLinePunct w:val="0"/>
              <w:bidi w:val="0"/>
              <w:spacing w:after="0" w:line="520" w:lineRule="exact"/>
              <w:jc w:val="lef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保证金缴纳方式</w:t>
            </w:r>
          </w:p>
          <w:p w14:paraId="6C31EB3E">
            <w:pPr>
              <w:keepLines w:val="0"/>
              <w:pageBreakBefore w:val="0"/>
              <w:numPr>
                <w:ilvl w:val="0"/>
                <w:numId w:val="0"/>
              </w:numPr>
              <w:kinsoku/>
              <w:wordWrap w:val="0"/>
              <w:overflowPunct/>
              <w:topLinePunct w:val="0"/>
              <w:bidi w:val="0"/>
              <w:spacing w:after="0" w:line="5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宋体"/>
                <w:color w:val="auto"/>
                <w:kern w:val="0"/>
                <w:sz w:val="24"/>
                <w:highlight w:val="none"/>
                <w:lang w:val="en-US" w:eastAsia="zh-CN"/>
              </w:rPr>
              <w:t>电汇、网银、支票、汇票、本票、保函、银行转账、保证保险等非现金形式</w:t>
            </w:r>
            <w:r>
              <w:rPr>
                <w:rFonts w:hint="eastAsia" w:ascii="宋体" w:hAnsi="宋体" w:eastAsia="宋体" w:cs="Times New Roman"/>
                <w:color w:val="auto"/>
                <w:sz w:val="24"/>
                <w:highlight w:val="none"/>
              </w:rPr>
              <w:t>。</w:t>
            </w:r>
          </w:p>
          <w:p w14:paraId="2B7948D2">
            <w:pPr>
              <w:keepLines w:val="0"/>
              <w:pageBreakBefore w:val="0"/>
              <w:kinsoku/>
              <w:wordWrap w:val="0"/>
              <w:overflowPunct/>
              <w:topLinePunct w:val="0"/>
              <w:bidi w:val="0"/>
              <w:spacing w:after="0" w:line="460" w:lineRule="exact"/>
              <w:rPr>
                <w:rFonts w:ascii="宋体" w:hAnsi="宋体" w:cs="宋体"/>
                <w:b/>
                <w:bCs/>
                <w:color w:val="auto"/>
                <w:sz w:val="24"/>
                <w:highlight w:val="none"/>
              </w:rPr>
            </w:pPr>
            <w:r>
              <w:rPr>
                <w:rFonts w:hint="eastAsia" w:ascii="宋体" w:hAnsi="宋体" w:cs="宋体"/>
                <w:b/>
                <w:bCs/>
                <w:color w:val="auto"/>
                <w:sz w:val="24"/>
                <w:highlight w:val="none"/>
              </w:rPr>
              <w:t>三、保证金提交的程序</w:t>
            </w:r>
          </w:p>
          <w:p w14:paraId="472CB8FB">
            <w:pPr>
              <w:keepLines w:val="0"/>
              <w:pageBreakBefore w:val="0"/>
              <w:kinsoku/>
              <w:wordWrap w:val="0"/>
              <w:overflowPunct/>
              <w:topLinePunct w:val="0"/>
              <w:bidi w:val="0"/>
              <w:spacing w:after="0" w:line="460" w:lineRule="exact"/>
              <w:ind w:left="0" w:firstLine="480" w:firstLineChars="200"/>
              <w:rPr>
                <w:rFonts w:ascii="宋体" w:hAnsi="宋体" w:cs="宋体"/>
                <w:color w:val="auto"/>
                <w:sz w:val="24"/>
                <w:highlight w:val="none"/>
              </w:rPr>
            </w:pPr>
            <w:r>
              <w:rPr>
                <w:rFonts w:hint="eastAsia" w:ascii="宋体" w:hAnsi="宋体" w:cs="宋体"/>
                <w:color w:val="auto"/>
                <w:sz w:val="24"/>
                <w:highlight w:val="none"/>
              </w:rPr>
              <w:t>（一）采用银行转账方式提交的：</w:t>
            </w:r>
          </w:p>
          <w:p w14:paraId="70E03112">
            <w:pPr>
              <w:keepLines w:val="0"/>
              <w:pageBreakBefore w:val="0"/>
              <w:kinsoku/>
              <w:wordWrap w:val="0"/>
              <w:overflowPunct/>
              <w:topLinePunct w:val="0"/>
              <w:bidi w:val="0"/>
              <w:spacing w:after="0" w:line="460" w:lineRule="exact"/>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保证金递交截止时间：</w:t>
            </w:r>
            <w:r>
              <w:rPr>
                <w:rFonts w:hint="eastAsia" w:ascii="宋体" w:hAnsi="宋体" w:cs="宋体"/>
                <w:color w:val="auto"/>
                <w:sz w:val="24"/>
                <w:highlight w:val="none"/>
                <w:lang w:eastAsia="zh-CN"/>
              </w:rPr>
              <w:t>2025年07月</w:t>
            </w:r>
            <w:r>
              <w:rPr>
                <w:rFonts w:hint="eastAsia" w:ascii="宋体" w:hAnsi="宋体" w:cs="宋体"/>
                <w:color w:val="auto"/>
                <w:sz w:val="24"/>
                <w:highlight w:val="none"/>
                <w:lang w:val="en-US" w:eastAsia="zh-CN"/>
              </w:rPr>
              <w:t>31</w:t>
            </w:r>
            <w:r>
              <w:rPr>
                <w:rFonts w:hint="eastAsia" w:ascii="宋体" w:hAnsi="宋体" w:cs="宋体"/>
                <w:color w:val="auto"/>
                <w:sz w:val="24"/>
                <w:highlight w:val="none"/>
                <w:lang w:eastAsia="zh-CN"/>
              </w:rPr>
              <w:t>日</w:t>
            </w:r>
            <w:r>
              <w:rPr>
                <w:rFonts w:hint="eastAsia" w:ascii="宋体" w:hAnsi="宋体" w:cs="宋体"/>
                <w:color w:val="auto"/>
                <w:sz w:val="24"/>
                <w:highlight w:val="none"/>
              </w:rPr>
              <w:t>09点00分</w:t>
            </w:r>
            <w:r>
              <w:rPr>
                <w:rFonts w:hint="eastAsia" w:hAnsi="宋体"/>
                <w:b w:val="0"/>
                <w:bCs/>
                <w:color w:val="auto"/>
                <w:sz w:val="24"/>
                <w:szCs w:val="24"/>
                <w:highlight w:val="none"/>
              </w:rPr>
              <w:t>（北京时间）</w:t>
            </w:r>
            <w:r>
              <w:rPr>
                <w:rFonts w:hint="eastAsia" w:ascii="宋体" w:hAnsi="宋体" w:cs="宋体"/>
                <w:color w:val="auto"/>
                <w:sz w:val="24"/>
                <w:highlight w:val="none"/>
              </w:rPr>
              <w:t>前到达保证金</w:t>
            </w:r>
            <w:r>
              <w:rPr>
                <w:rFonts w:hint="eastAsia" w:ascii="宋体" w:hAnsi="宋体" w:cs="宋体"/>
                <w:color w:val="auto"/>
                <w:sz w:val="24"/>
                <w:highlight w:val="none"/>
                <w:lang w:eastAsia="zh-CN"/>
              </w:rPr>
              <w:t>专用账户</w:t>
            </w:r>
            <w:r>
              <w:rPr>
                <w:rFonts w:hint="eastAsia" w:ascii="宋体" w:hAnsi="宋体" w:cs="宋体"/>
                <w:color w:val="auto"/>
                <w:sz w:val="24"/>
                <w:highlight w:val="none"/>
              </w:rPr>
              <w:t>（请务必提前办理！）</w:t>
            </w:r>
          </w:p>
          <w:p w14:paraId="2C9075C1">
            <w:pPr>
              <w:keepLines w:val="0"/>
              <w:pageBreakBefore w:val="0"/>
              <w:kinsoku/>
              <w:wordWrap w:val="0"/>
              <w:overflowPunct/>
              <w:topLinePunct w:val="0"/>
              <w:bidi w:val="0"/>
              <w:spacing w:after="0" w:line="460" w:lineRule="exact"/>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投标人向招标文件中载明的保证金专户转入保证金，投标（交易）保证金应以投标人必须从基本账户转入保证金专户。投标保证金到账时间以保证金专用账户实际到账时间为准</w:t>
            </w:r>
            <w:r>
              <w:rPr>
                <w:rFonts w:hint="eastAsia" w:ascii="宋体" w:hAnsi="宋体" w:cs="宋体"/>
                <w:color w:val="auto"/>
                <w:sz w:val="24"/>
                <w:highlight w:val="none"/>
                <w:lang w:eastAsia="zh-CN"/>
              </w:rPr>
              <w:t>。</w:t>
            </w:r>
            <w:r>
              <w:rPr>
                <w:rFonts w:hint="eastAsia" w:ascii="宋体" w:hAnsi="宋体" w:cs="宋体"/>
                <w:color w:val="auto"/>
                <w:sz w:val="24"/>
                <w:highlight w:val="none"/>
              </w:rPr>
              <w:t>保证金缴纳</w:t>
            </w:r>
            <w:r>
              <w:rPr>
                <w:rFonts w:hint="eastAsia" w:ascii="宋体" w:hAnsi="宋体" w:cs="宋体"/>
                <w:color w:val="auto"/>
                <w:sz w:val="24"/>
                <w:highlight w:val="none"/>
                <w:lang w:val="en-US" w:eastAsia="zh-CN"/>
              </w:rPr>
              <w:t>凭证</w:t>
            </w:r>
            <w:r>
              <w:rPr>
                <w:rFonts w:hint="eastAsia" w:ascii="宋体" w:hAnsi="宋体" w:cs="宋体"/>
                <w:color w:val="auto"/>
                <w:sz w:val="24"/>
                <w:highlight w:val="none"/>
              </w:rPr>
              <w:t>需</w:t>
            </w:r>
            <w:r>
              <w:rPr>
                <w:rFonts w:hint="eastAsia" w:ascii="宋体" w:hAnsi="宋体" w:cs="宋体"/>
                <w:color w:val="auto"/>
                <w:sz w:val="24"/>
                <w:highlight w:val="none"/>
                <w:lang w:val="en-US" w:eastAsia="zh-CN"/>
              </w:rPr>
              <w:t>附在投标文件内</w:t>
            </w:r>
            <w:r>
              <w:rPr>
                <w:rFonts w:hint="eastAsia" w:ascii="宋体" w:hAnsi="宋体" w:cs="宋体"/>
                <w:color w:val="auto"/>
                <w:sz w:val="24"/>
                <w:highlight w:val="none"/>
              </w:rPr>
              <w:t>。</w:t>
            </w:r>
          </w:p>
          <w:p w14:paraId="649DF4C2">
            <w:pPr>
              <w:keepLines w:val="0"/>
              <w:pageBreakBefore w:val="0"/>
              <w:kinsoku/>
              <w:wordWrap w:val="0"/>
              <w:overflowPunct/>
              <w:topLinePunct w:val="0"/>
              <w:bidi w:val="0"/>
              <w:spacing w:after="0" w:line="460" w:lineRule="exact"/>
              <w:ind w:left="0" w:firstLine="480" w:firstLineChars="200"/>
              <w:rPr>
                <w:rFonts w:hint="eastAsia" w:ascii="宋体" w:hAnsi="宋体" w:cs="宋体"/>
                <w:color w:val="auto"/>
                <w:sz w:val="24"/>
                <w:highlight w:val="none"/>
              </w:rPr>
            </w:pPr>
            <w:r>
              <w:rPr>
                <w:rFonts w:hint="eastAsia" w:ascii="宋体" w:hAnsi="宋体" w:cs="宋体"/>
                <w:color w:val="auto"/>
                <w:sz w:val="24"/>
                <w:highlight w:val="none"/>
              </w:rPr>
              <w:t>（二）采用银行保函方式提交的：</w:t>
            </w:r>
          </w:p>
          <w:p w14:paraId="57971C25">
            <w:pPr>
              <w:keepLines w:val="0"/>
              <w:pageBreakBefore w:val="0"/>
              <w:kinsoku/>
              <w:wordWrap w:val="0"/>
              <w:overflowPunct/>
              <w:topLinePunct w:val="0"/>
              <w:bidi w:val="0"/>
              <w:spacing w:after="0" w:line="460" w:lineRule="exact"/>
              <w:ind w:left="0" w:firstLine="480" w:firstLineChars="200"/>
              <w:rPr>
                <w:rFonts w:hint="eastAsia" w:ascii="宋体" w:hAnsi="宋体" w:eastAsia="宋体" w:cs="宋体"/>
                <w:color w:val="auto"/>
                <w:sz w:val="24"/>
                <w:highlight w:val="none"/>
              </w:rPr>
            </w:pPr>
            <w:r>
              <w:rPr>
                <w:rFonts w:hint="eastAsia" w:ascii="宋体" w:hAnsi="宋体" w:cs="仿宋_GB2312"/>
                <w:color w:val="auto"/>
                <w:sz w:val="24"/>
                <w:highlight w:val="none"/>
              </w:rPr>
              <w:t>保函申请人必须是</w:t>
            </w:r>
            <w:r>
              <w:rPr>
                <w:rFonts w:hint="eastAsia" w:ascii="宋体" w:hAnsi="宋体" w:cs="仿宋_GB2312"/>
                <w:color w:val="auto"/>
                <w:sz w:val="24"/>
                <w:highlight w:val="none"/>
                <w:lang w:eastAsia="zh-CN"/>
              </w:rPr>
              <w:t>投标人</w:t>
            </w:r>
            <w:r>
              <w:rPr>
                <w:rFonts w:hint="eastAsia" w:ascii="宋体" w:hAnsi="宋体" w:cs="仿宋_GB2312"/>
                <w:color w:val="auto"/>
                <w:sz w:val="24"/>
                <w:highlight w:val="none"/>
              </w:rPr>
              <w:t>，受益人必须是</w:t>
            </w:r>
            <w:r>
              <w:rPr>
                <w:rFonts w:hint="eastAsia" w:ascii="宋体" w:hAnsi="宋体" w:cs="仿宋_GB2312"/>
                <w:color w:val="auto"/>
                <w:sz w:val="24"/>
                <w:highlight w:val="none"/>
                <w:lang w:eastAsia="zh-CN"/>
              </w:rPr>
              <w:t>采购人</w:t>
            </w:r>
            <w:r>
              <w:rPr>
                <w:rFonts w:hint="eastAsia" w:ascii="宋体" w:hAnsi="宋体" w:cs="仿宋_GB2312"/>
                <w:color w:val="auto"/>
                <w:sz w:val="24"/>
                <w:highlight w:val="none"/>
              </w:rPr>
              <w:t>，保证人必须是</w:t>
            </w:r>
            <w:r>
              <w:rPr>
                <w:rFonts w:hint="eastAsia" w:ascii="宋体" w:hAnsi="宋体" w:cs="仿宋_GB2312"/>
                <w:color w:val="auto"/>
                <w:sz w:val="24"/>
                <w:highlight w:val="none"/>
                <w:lang w:eastAsia="zh-CN"/>
              </w:rPr>
              <w:t>投标人</w:t>
            </w:r>
            <w:r>
              <w:rPr>
                <w:rFonts w:hint="eastAsia" w:ascii="宋体" w:hAnsi="宋体" w:cs="仿宋_GB2312"/>
                <w:color w:val="auto"/>
                <w:sz w:val="24"/>
                <w:highlight w:val="none"/>
              </w:rPr>
              <w:t>基本账号的开户银行；保函必须正确填写受益人和申请人的全称，并与</w:t>
            </w:r>
            <w:r>
              <w:rPr>
                <w:rFonts w:hint="eastAsia" w:ascii="宋体" w:hAnsi="宋体" w:cs="仿宋_GB2312"/>
                <w:color w:val="auto"/>
                <w:sz w:val="24"/>
                <w:highlight w:val="none"/>
                <w:lang w:val="en-US" w:eastAsia="zh-CN"/>
              </w:rPr>
              <w:t>招标</w:t>
            </w:r>
            <w:r>
              <w:rPr>
                <w:rFonts w:hint="eastAsia" w:ascii="宋体" w:hAnsi="宋体" w:cs="仿宋_GB2312"/>
                <w:color w:val="auto"/>
                <w:sz w:val="24"/>
                <w:highlight w:val="none"/>
              </w:rPr>
              <w:t>文件规定的名称相一致，以免造成</w:t>
            </w:r>
            <w:r>
              <w:rPr>
                <w:rFonts w:hint="eastAsia" w:ascii="宋体" w:hAnsi="宋体" w:cs="仿宋_GB2312"/>
                <w:color w:val="auto"/>
                <w:sz w:val="24"/>
                <w:highlight w:val="none"/>
                <w:lang w:val="en-US" w:eastAsia="zh-CN"/>
              </w:rPr>
              <w:t>投标</w:t>
            </w:r>
            <w:r>
              <w:rPr>
                <w:rFonts w:hint="eastAsia" w:ascii="宋体" w:hAnsi="宋体" w:cs="仿宋_GB2312"/>
                <w:color w:val="auto"/>
                <w:sz w:val="24"/>
                <w:highlight w:val="none"/>
              </w:rPr>
              <w:t>文件无效。</w:t>
            </w:r>
            <w:r>
              <w:rPr>
                <w:rFonts w:hint="eastAsia" w:asciiTheme="minorEastAsia" w:hAnsiTheme="minorEastAsia" w:eastAsiaTheme="minorEastAsia" w:cstheme="minorEastAsia"/>
                <w:color w:val="auto"/>
                <w:sz w:val="24"/>
                <w:highlight w:val="none"/>
              </w:rPr>
              <w:t>采用银行保函形式的须在</w:t>
            </w:r>
            <w:r>
              <w:rPr>
                <w:rFonts w:hint="eastAsia" w:asciiTheme="minorEastAsia" w:hAnsiTheme="minorEastAsia" w:eastAsiaTheme="minorEastAsia" w:cstheme="minorEastAsia"/>
                <w:color w:val="auto"/>
                <w:sz w:val="24"/>
                <w:highlight w:val="none"/>
                <w:lang w:eastAsia="zh-CN"/>
              </w:rPr>
              <w:t>投标文件中</w:t>
            </w:r>
            <w:r>
              <w:rPr>
                <w:rFonts w:hint="eastAsia" w:asciiTheme="minorEastAsia" w:hAnsiTheme="minorEastAsia" w:eastAsiaTheme="minorEastAsia" w:cstheme="minorEastAsia"/>
                <w:color w:val="auto"/>
                <w:sz w:val="24"/>
                <w:highlight w:val="none"/>
              </w:rPr>
              <w:t>提供银行保函</w:t>
            </w:r>
            <w:r>
              <w:rPr>
                <w:rFonts w:hint="eastAsia" w:asciiTheme="minorEastAsia" w:hAnsiTheme="minorEastAsia" w:eastAsiaTheme="minorEastAsia" w:cstheme="minorEastAsia"/>
                <w:color w:val="auto"/>
                <w:sz w:val="24"/>
                <w:highlight w:val="none"/>
                <w:lang w:eastAsia="zh-CN"/>
              </w:rPr>
              <w:t>的证明材料</w:t>
            </w:r>
            <w:r>
              <w:rPr>
                <w:rFonts w:hint="eastAsia" w:asciiTheme="minorEastAsia" w:hAnsiTheme="minorEastAsia" w:eastAsiaTheme="minorEastAsia" w:cstheme="minorEastAsia"/>
                <w:color w:val="auto"/>
                <w:sz w:val="24"/>
                <w:highlight w:val="none"/>
              </w:rPr>
              <w:t>。</w:t>
            </w:r>
          </w:p>
          <w:p w14:paraId="602416AA">
            <w:pPr>
              <w:keepLines w:val="0"/>
              <w:pageBreakBefore w:val="0"/>
              <w:numPr>
                <w:ilvl w:val="0"/>
                <w:numId w:val="4"/>
              </w:numPr>
              <w:kinsoku/>
              <w:overflowPunct/>
              <w:topLinePunct w:val="0"/>
              <w:bidi w:val="0"/>
              <w:spacing w:after="0" w:line="460" w:lineRule="exact"/>
              <w:ind w:left="0"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保证保险：</w:t>
            </w:r>
          </w:p>
          <w:p w14:paraId="5722C6C0">
            <w:pPr>
              <w:keepLines w:val="0"/>
              <w:pageBreakBefore w:val="0"/>
              <w:numPr>
                <w:ilvl w:val="0"/>
                <w:numId w:val="0"/>
              </w:numPr>
              <w:kinsoku/>
              <w:overflowPunct/>
              <w:topLinePunct w:val="0"/>
              <w:bidi w:val="0"/>
              <w:spacing w:after="0" w:line="460" w:lineRule="exact"/>
              <w:ind w:firstLine="480" w:firstLineChars="200"/>
              <w:rPr>
                <w:rFonts w:hint="eastAsia" w:asciiTheme="minorEastAsia" w:hAnsiTheme="minorEastAsia" w:eastAsiaTheme="minorEastAsia" w:cstheme="minorEastAsia"/>
                <w:color w:val="auto"/>
                <w:sz w:val="24"/>
                <w:highlight w:val="none"/>
              </w:rPr>
            </w:pPr>
            <w:r>
              <w:rPr>
                <w:rFonts w:hint="eastAsia" w:ascii="宋体" w:hAnsi="宋体" w:cs="仿宋_GB2312"/>
                <w:b w:val="0"/>
                <w:bCs w:val="0"/>
                <w:color w:val="auto"/>
                <w:sz w:val="24"/>
                <w:highlight w:val="none"/>
                <w:lang w:eastAsia="zh-CN"/>
              </w:rPr>
              <w:t>投标人</w:t>
            </w:r>
            <w:r>
              <w:rPr>
                <w:rFonts w:hint="eastAsia" w:ascii="宋体" w:hAnsi="宋体" w:cs="仿宋_GB2312"/>
                <w:b w:val="0"/>
                <w:bCs w:val="0"/>
                <w:color w:val="auto"/>
                <w:sz w:val="24"/>
                <w:highlight w:val="none"/>
              </w:rPr>
              <w:t>为投保人，</w:t>
            </w:r>
            <w:r>
              <w:rPr>
                <w:rFonts w:hint="eastAsia" w:ascii="宋体" w:hAnsi="宋体" w:cs="仿宋_GB2312"/>
                <w:b w:val="0"/>
                <w:bCs w:val="0"/>
                <w:color w:val="auto"/>
                <w:sz w:val="24"/>
                <w:highlight w:val="none"/>
                <w:lang w:eastAsia="zh-CN"/>
              </w:rPr>
              <w:t>采购人</w:t>
            </w:r>
            <w:r>
              <w:rPr>
                <w:rFonts w:hint="eastAsia" w:ascii="宋体" w:hAnsi="宋体" w:cs="仿宋_GB2312"/>
                <w:b w:val="0"/>
                <w:bCs w:val="0"/>
                <w:color w:val="auto"/>
                <w:sz w:val="24"/>
                <w:highlight w:val="none"/>
              </w:rPr>
              <w:t>为被保险人，当</w:t>
            </w:r>
            <w:r>
              <w:rPr>
                <w:rFonts w:hint="eastAsia" w:ascii="宋体" w:hAnsi="宋体" w:cs="仿宋_GB2312"/>
                <w:b w:val="0"/>
                <w:bCs w:val="0"/>
                <w:color w:val="auto"/>
                <w:sz w:val="24"/>
                <w:highlight w:val="none"/>
                <w:lang w:eastAsia="zh-CN"/>
              </w:rPr>
              <w:t>投标人</w:t>
            </w:r>
            <w:r>
              <w:rPr>
                <w:rFonts w:hint="eastAsia" w:ascii="宋体" w:hAnsi="宋体" w:cs="仿宋_GB2312"/>
                <w:b w:val="0"/>
                <w:bCs w:val="0"/>
                <w:color w:val="auto"/>
                <w:sz w:val="24"/>
                <w:highlight w:val="none"/>
              </w:rPr>
              <w:t>未能按照</w:t>
            </w:r>
            <w:r>
              <w:rPr>
                <w:rFonts w:hint="eastAsia" w:ascii="宋体" w:hAnsi="宋体" w:cs="仿宋_GB2312"/>
                <w:b w:val="0"/>
                <w:bCs w:val="0"/>
                <w:color w:val="auto"/>
                <w:sz w:val="24"/>
                <w:highlight w:val="none"/>
                <w:lang w:val="en-US" w:eastAsia="zh-CN"/>
              </w:rPr>
              <w:t>投标</w:t>
            </w:r>
            <w:r>
              <w:rPr>
                <w:rFonts w:hint="eastAsia" w:ascii="宋体" w:hAnsi="宋体" w:cs="仿宋_GB2312"/>
                <w:b w:val="0"/>
                <w:bCs w:val="0"/>
                <w:color w:val="auto"/>
                <w:sz w:val="24"/>
                <w:highlight w:val="none"/>
              </w:rPr>
              <w:t>文件及</w:t>
            </w:r>
            <w:r>
              <w:rPr>
                <w:rFonts w:hint="eastAsia" w:ascii="宋体" w:hAnsi="宋体" w:cs="仿宋_GB2312"/>
                <w:b w:val="0"/>
                <w:bCs w:val="0"/>
                <w:color w:val="auto"/>
                <w:sz w:val="24"/>
                <w:highlight w:val="none"/>
                <w:lang w:val="en-US" w:eastAsia="zh-CN"/>
              </w:rPr>
              <w:t>招标</w:t>
            </w:r>
            <w:r>
              <w:rPr>
                <w:rFonts w:hint="eastAsia" w:ascii="宋体" w:hAnsi="宋体" w:cs="仿宋_GB2312"/>
                <w:b w:val="0"/>
                <w:bCs w:val="0"/>
                <w:color w:val="auto"/>
                <w:sz w:val="24"/>
                <w:highlight w:val="none"/>
              </w:rPr>
              <w:t>文件要求履行义务而导致</w:t>
            </w:r>
            <w:r>
              <w:rPr>
                <w:rFonts w:hint="eastAsia" w:ascii="宋体" w:hAnsi="宋体" w:cs="仿宋_GB2312"/>
                <w:b w:val="0"/>
                <w:bCs w:val="0"/>
                <w:color w:val="auto"/>
                <w:sz w:val="24"/>
                <w:highlight w:val="none"/>
                <w:lang w:eastAsia="zh-CN"/>
              </w:rPr>
              <w:t>采购人受到损失</w:t>
            </w:r>
            <w:r>
              <w:rPr>
                <w:rFonts w:hint="eastAsia" w:ascii="宋体" w:hAnsi="宋体" w:cs="仿宋_GB2312"/>
                <w:b w:val="0"/>
                <w:bCs w:val="0"/>
                <w:color w:val="auto"/>
                <w:sz w:val="24"/>
                <w:highlight w:val="none"/>
              </w:rPr>
              <w:t>时，由保险公司对</w:t>
            </w:r>
            <w:r>
              <w:rPr>
                <w:rFonts w:hint="eastAsia" w:ascii="宋体" w:hAnsi="宋体" w:cs="仿宋_GB2312"/>
                <w:b w:val="0"/>
                <w:bCs w:val="0"/>
                <w:color w:val="auto"/>
                <w:sz w:val="24"/>
                <w:highlight w:val="none"/>
                <w:lang w:eastAsia="zh-CN"/>
              </w:rPr>
              <w:t>采购人</w:t>
            </w:r>
            <w:r>
              <w:rPr>
                <w:rFonts w:hint="eastAsia" w:ascii="宋体" w:hAnsi="宋体" w:cs="仿宋_GB2312"/>
                <w:b w:val="0"/>
                <w:bCs w:val="0"/>
                <w:color w:val="auto"/>
                <w:sz w:val="24"/>
                <w:highlight w:val="none"/>
              </w:rPr>
              <w:t>的损失承担代偿责任。</w:t>
            </w:r>
            <w:r>
              <w:rPr>
                <w:rFonts w:hint="eastAsia" w:asciiTheme="minorEastAsia" w:hAnsiTheme="minorEastAsia" w:eastAsiaTheme="minorEastAsia" w:cstheme="minorEastAsia"/>
                <w:color w:val="auto"/>
                <w:sz w:val="24"/>
                <w:highlight w:val="none"/>
              </w:rPr>
              <w:t>且须在</w:t>
            </w:r>
            <w:r>
              <w:rPr>
                <w:rFonts w:hint="eastAsia" w:asciiTheme="minorEastAsia" w:hAnsiTheme="minorEastAsia" w:eastAsiaTheme="minorEastAsia" w:cstheme="minorEastAsia"/>
                <w:color w:val="auto"/>
                <w:sz w:val="24"/>
                <w:highlight w:val="none"/>
                <w:lang w:eastAsia="zh-CN"/>
              </w:rPr>
              <w:t>投标文件中</w:t>
            </w:r>
            <w:r>
              <w:rPr>
                <w:rFonts w:hint="eastAsia" w:asciiTheme="minorEastAsia" w:hAnsiTheme="minorEastAsia" w:eastAsiaTheme="minorEastAsia" w:cstheme="minorEastAsia"/>
                <w:color w:val="auto"/>
                <w:sz w:val="24"/>
                <w:highlight w:val="none"/>
              </w:rPr>
              <w:t>提供保险保函</w:t>
            </w:r>
            <w:r>
              <w:rPr>
                <w:rFonts w:hint="eastAsia" w:asciiTheme="minorEastAsia" w:hAnsiTheme="minorEastAsia" w:eastAsiaTheme="minorEastAsia" w:cstheme="minorEastAsia"/>
                <w:color w:val="auto"/>
                <w:sz w:val="24"/>
                <w:highlight w:val="none"/>
                <w:lang w:eastAsia="zh-CN"/>
              </w:rPr>
              <w:t>的证明材料</w:t>
            </w:r>
            <w:r>
              <w:rPr>
                <w:rFonts w:hint="eastAsia" w:asciiTheme="minorEastAsia" w:hAnsiTheme="minorEastAsia" w:eastAsiaTheme="minorEastAsia" w:cstheme="minorEastAsia"/>
                <w:color w:val="auto"/>
                <w:sz w:val="24"/>
                <w:highlight w:val="none"/>
              </w:rPr>
              <w:t>。</w:t>
            </w:r>
          </w:p>
          <w:p w14:paraId="166E78F5">
            <w:pPr>
              <w:keepLines w:val="0"/>
              <w:pageBreakBefore w:val="0"/>
              <w:numPr>
                <w:ilvl w:val="0"/>
                <w:numId w:val="0"/>
              </w:numPr>
              <w:kinsoku/>
              <w:overflowPunct/>
              <w:topLinePunct w:val="0"/>
              <w:bidi w:val="0"/>
              <w:spacing w:after="0" w:line="460" w:lineRule="exact"/>
              <w:ind w:firstLine="482" w:firstLineChars="200"/>
              <w:rPr>
                <w:rFonts w:hint="eastAsia" w:eastAsiaTheme="minorEastAsia"/>
                <w:b/>
                <w:bCs/>
                <w:color w:val="auto"/>
                <w:highlight w:val="none"/>
                <w:lang w:val="en-US" w:eastAsia="zh-CN"/>
              </w:rPr>
            </w:pPr>
            <w:r>
              <w:rPr>
                <w:rFonts w:hint="eastAsia" w:ascii="宋体" w:hAnsi="宋体" w:eastAsia="宋体" w:cs="仿宋_GB2312"/>
                <w:b/>
                <w:bCs/>
                <w:color w:val="auto"/>
                <w:sz w:val="24"/>
                <w:highlight w:val="none"/>
                <w:lang w:val="en-US" w:eastAsia="zh-CN"/>
              </w:rPr>
              <w:t>注：</w:t>
            </w:r>
            <w:r>
              <w:rPr>
                <w:rFonts w:hint="eastAsia" w:ascii="宋体" w:hAnsi="宋体" w:eastAsia="宋体" w:cs="仿宋_GB2312"/>
                <w:b/>
                <w:bCs/>
                <w:color w:val="auto"/>
                <w:sz w:val="24"/>
                <w:highlight w:val="none"/>
                <w:lang w:eastAsia="zh-CN"/>
              </w:rPr>
              <w:t>投标保证金作为其投标文件的一部分，未按要求提交投标保证金的投标人，将视为不响应招标文件</w:t>
            </w:r>
            <w:r>
              <w:rPr>
                <w:rFonts w:hint="eastAsia" w:ascii="宋体" w:hAnsi="宋体" w:eastAsia="宋体" w:cs="仿宋_GB2312"/>
                <w:b/>
                <w:bCs/>
                <w:color w:val="auto"/>
                <w:sz w:val="24"/>
                <w:highlight w:val="none"/>
                <w:lang w:val="en-US" w:eastAsia="zh-CN"/>
              </w:rPr>
              <w:t>要求</w:t>
            </w:r>
            <w:r>
              <w:rPr>
                <w:rFonts w:hint="eastAsia" w:ascii="宋体" w:hAnsi="宋体" w:eastAsia="宋体" w:cs="仿宋_GB2312"/>
                <w:b/>
                <w:bCs/>
                <w:color w:val="auto"/>
                <w:sz w:val="24"/>
                <w:highlight w:val="none"/>
                <w:lang w:eastAsia="zh-CN"/>
              </w:rPr>
              <w:t>。</w:t>
            </w:r>
          </w:p>
          <w:p w14:paraId="230CAC25">
            <w:pPr>
              <w:keepLines w:val="0"/>
              <w:pageBreakBefore w:val="0"/>
              <w:kinsoku/>
              <w:wordWrap w:val="0"/>
              <w:overflowPunct/>
              <w:topLinePunct w:val="0"/>
              <w:bidi w:val="0"/>
              <w:spacing w:after="0"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四、投标保证金受理联系方式</w:t>
            </w:r>
          </w:p>
          <w:p w14:paraId="2BB80D17">
            <w:pPr>
              <w:spacing w:line="480" w:lineRule="atLeast"/>
              <w:ind w:left="105" w:leftChars="50" w:firstLine="240" w:firstLineChars="1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联系人：</w:t>
            </w:r>
            <w:r>
              <w:rPr>
                <w:rFonts w:hint="eastAsia" w:ascii="宋体" w:hAnsi="宋体" w:cs="宋体"/>
                <w:color w:val="auto"/>
                <w:sz w:val="24"/>
                <w:highlight w:val="none"/>
                <w:lang w:val="en-US" w:eastAsia="zh-CN"/>
              </w:rPr>
              <w:t>李师；</w:t>
            </w:r>
          </w:p>
          <w:p w14:paraId="4DB425A9">
            <w:pPr>
              <w:spacing w:line="480" w:lineRule="atLeast"/>
              <w:ind w:left="105" w:leftChars="50" w:firstLine="240" w:firstLineChars="1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w:t>
            </w:r>
            <w:r>
              <w:rPr>
                <w:rFonts w:hint="eastAsia" w:ascii="宋体" w:hAnsi="宋体" w:cs="宋体"/>
                <w:color w:val="auto"/>
                <w:sz w:val="24"/>
                <w:highlight w:val="none"/>
                <w:lang w:val="en-US" w:eastAsia="zh-CN"/>
              </w:rPr>
              <w:t>19948779574/0877-2085166；</w:t>
            </w:r>
          </w:p>
          <w:p w14:paraId="639ED389">
            <w:pPr>
              <w:keepLines w:val="0"/>
              <w:pageBreakBefore w:val="0"/>
              <w:kinsoku/>
              <w:wordWrap/>
              <w:overflowPunct/>
              <w:topLinePunct w:val="0"/>
              <w:bidi w:val="0"/>
              <w:spacing w:line="480" w:lineRule="exact"/>
              <w:ind w:left="105" w:leftChars="50" w:firstLine="240" w:firstLineChars="100"/>
              <w:jc w:val="left"/>
              <w:rPr>
                <w:rFonts w:hint="eastAsia" w:ascii="宋体" w:hAnsi="宋体" w:eastAsia="宋体" w:cs="宋体"/>
                <w:b w:val="0"/>
                <w:bCs w:val="0"/>
                <w:color w:val="auto"/>
                <w:sz w:val="24"/>
                <w:highlight w:val="none"/>
              </w:rPr>
            </w:pPr>
            <w:r>
              <w:rPr>
                <w:rFonts w:hint="eastAsia" w:ascii="宋体" w:hAnsi="宋体" w:cs="宋体"/>
                <w:color w:val="auto"/>
                <w:sz w:val="24"/>
                <w:szCs w:val="32"/>
                <w:highlight w:val="none"/>
              </w:rPr>
              <w:t>时间：法定工作日上午8：</w:t>
            </w:r>
            <w:r>
              <w:rPr>
                <w:rFonts w:hint="eastAsia" w:ascii="宋体" w:hAnsi="宋体" w:cs="宋体"/>
                <w:color w:val="auto"/>
                <w:sz w:val="24"/>
                <w:szCs w:val="32"/>
                <w:highlight w:val="none"/>
                <w:lang w:val="en-US" w:eastAsia="zh-CN"/>
              </w:rPr>
              <w:t>3</w:t>
            </w:r>
            <w:r>
              <w:rPr>
                <w:rFonts w:hint="eastAsia" w:ascii="宋体" w:hAnsi="宋体" w:cs="宋体"/>
                <w:color w:val="auto"/>
                <w:sz w:val="24"/>
                <w:szCs w:val="32"/>
                <w:highlight w:val="none"/>
              </w:rPr>
              <w:t>0-</w:t>
            </w:r>
            <w:r>
              <w:rPr>
                <w:rFonts w:hint="eastAsia" w:ascii="宋体" w:hAnsi="宋体" w:cs="宋体"/>
                <w:color w:val="auto"/>
                <w:sz w:val="24"/>
                <w:szCs w:val="32"/>
                <w:highlight w:val="none"/>
                <w:lang w:val="en-US" w:eastAsia="zh-CN"/>
              </w:rPr>
              <w:t>11</w:t>
            </w:r>
            <w:r>
              <w:rPr>
                <w:rFonts w:hint="eastAsia" w:ascii="宋体" w:hAnsi="宋体" w:cs="宋体"/>
                <w:color w:val="auto"/>
                <w:sz w:val="24"/>
                <w:szCs w:val="32"/>
                <w:highlight w:val="none"/>
              </w:rPr>
              <w:t>：</w:t>
            </w:r>
            <w:r>
              <w:rPr>
                <w:rFonts w:hint="eastAsia" w:ascii="宋体" w:hAnsi="宋体" w:cs="宋体"/>
                <w:color w:val="auto"/>
                <w:sz w:val="24"/>
                <w:szCs w:val="32"/>
                <w:highlight w:val="none"/>
                <w:lang w:val="en-US" w:eastAsia="zh-CN"/>
              </w:rPr>
              <w:t>30</w:t>
            </w:r>
            <w:r>
              <w:rPr>
                <w:rFonts w:hint="eastAsia" w:ascii="宋体" w:hAnsi="宋体" w:cs="宋体"/>
                <w:color w:val="auto"/>
                <w:sz w:val="24"/>
                <w:szCs w:val="32"/>
                <w:highlight w:val="none"/>
              </w:rPr>
              <w:t>下午14：</w:t>
            </w:r>
            <w:r>
              <w:rPr>
                <w:rFonts w:hint="eastAsia" w:ascii="宋体" w:hAnsi="宋体" w:cs="宋体"/>
                <w:color w:val="auto"/>
                <w:sz w:val="24"/>
                <w:szCs w:val="32"/>
                <w:highlight w:val="none"/>
                <w:lang w:val="en-US" w:eastAsia="zh-CN"/>
              </w:rPr>
              <w:t>00</w:t>
            </w:r>
            <w:r>
              <w:rPr>
                <w:rFonts w:hint="eastAsia" w:ascii="宋体" w:hAnsi="宋体" w:cs="宋体"/>
                <w:color w:val="auto"/>
                <w:sz w:val="24"/>
                <w:szCs w:val="32"/>
                <w:highlight w:val="none"/>
              </w:rPr>
              <w:t>-1</w:t>
            </w:r>
            <w:r>
              <w:rPr>
                <w:rFonts w:hint="eastAsia" w:ascii="宋体" w:hAnsi="宋体" w:cs="宋体"/>
                <w:color w:val="auto"/>
                <w:sz w:val="24"/>
                <w:szCs w:val="32"/>
                <w:highlight w:val="none"/>
                <w:lang w:val="en-US" w:eastAsia="zh-CN"/>
              </w:rPr>
              <w:t>7</w:t>
            </w:r>
            <w:r>
              <w:rPr>
                <w:rFonts w:hint="eastAsia" w:ascii="宋体" w:hAnsi="宋体" w:cs="宋体"/>
                <w:color w:val="auto"/>
                <w:sz w:val="24"/>
                <w:szCs w:val="32"/>
                <w:highlight w:val="none"/>
              </w:rPr>
              <w:t>：</w:t>
            </w:r>
            <w:r>
              <w:rPr>
                <w:rFonts w:hint="eastAsia" w:ascii="宋体" w:hAnsi="宋体" w:cs="宋体"/>
                <w:color w:val="auto"/>
                <w:sz w:val="24"/>
                <w:szCs w:val="32"/>
                <w:highlight w:val="none"/>
                <w:lang w:val="en-US" w:eastAsia="zh-CN"/>
              </w:rPr>
              <w:t>30</w:t>
            </w:r>
            <w:r>
              <w:rPr>
                <w:rFonts w:hint="eastAsia" w:ascii="宋体" w:hAnsi="宋体" w:cs="宋体"/>
                <w:color w:val="auto"/>
                <w:sz w:val="24"/>
                <w:szCs w:val="32"/>
                <w:highlight w:val="none"/>
                <w:lang w:eastAsia="zh-CN"/>
              </w:rPr>
              <w:t>。</w:t>
            </w:r>
          </w:p>
          <w:p w14:paraId="14797AAC">
            <w:pPr>
              <w:keepLines w:val="0"/>
              <w:pageBreakBefore w:val="0"/>
              <w:kinsoku/>
              <w:wordWrap/>
              <w:overflowPunct/>
              <w:topLinePunct w:val="0"/>
              <w:bidi w:val="0"/>
              <w:spacing w:line="480" w:lineRule="exact"/>
              <w:jc w:val="left"/>
              <w:rPr>
                <w:rFonts w:hint="eastAsia" w:ascii="宋体" w:hAnsi="宋体" w:eastAsia="宋体" w:cs="宋体"/>
                <w:b/>
                <w:bCs/>
                <w:color w:val="auto"/>
                <w:sz w:val="24"/>
                <w:szCs w:val="32"/>
                <w:highlight w:val="none"/>
              </w:rPr>
            </w:pP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AUTOTEXT  input480 \* MERGEFORMAT </w:instrText>
            </w:r>
            <w:r>
              <w:rPr>
                <w:rFonts w:hint="eastAsia" w:ascii="宋体" w:hAnsi="宋体" w:eastAsia="宋体" w:cs="宋体"/>
                <w:color w:val="auto"/>
                <w:sz w:val="24"/>
                <w:szCs w:val="32"/>
                <w:highlight w:val="none"/>
              </w:rPr>
              <w:fldChar w:fldCharType="separate"/>
            </w:r>
            <w:r>
              <w:rPr>
                <w:rFonts w:hint="eastAsia" w:ascii="宋体" w:hAnsi="宋体" w:eastAsia="宋体" w:cs="宋体"/>
                <w:b/>
                <w:bCs/>
                <w:color w:val="auto"/>
                <w:sz w:val="24"/>
                <w:szCs w:val="32"/>
                <w:highlight w:val="none"/>
              </w:rPr>
              <w:t>五、退还方式及需提交的资料</w:t>
            </w:r>
          </w:p>
          <w:p w14:paraId="1554049A">
            <w:pPr>
              <w:keepLines w:val="0"/>
              <w:pageBreakBefore w:val="0"/>
              <w:kinsoku/>
              <w:wordWrap/>
              <w:overflowPunct/>
              <w:topLinePunct w:val="0"/>
              <w:bidi w:val="0"/>
              <w:spacing w:line="480" w:lineRule="exact"/>
              <w:ind w:firstLine="480" w:firstLineChars="200"/>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1、未中标人：</w:t>
            </w:r>
          </w:p>
          <w:p w14:paraId="3D9B1AA0">
            <w:pPr>
              <w:keepLines w:val="0"/>
              <w:pageBreakBefore w:val="0"/>
              <w:kinsoku/>
              <w:wordWrap/>
              <w:overflowPunct/>
              <w:topLinePunct w:val="0"/>
              <w:bidi w:val="0"/>
              <w:spacing w:line="480" w:lineRule="exact"/>
              <w:ind w:firstLine="480" w:firstLineChars="200"/>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未中标投标人的投标保证金在中标结果公示期满后5个工作日（节假日顺延）退还。</w:t>
            </w:r>
          </w:p>
          <w:p w14:paraId="7E7B0847">
            <w:pPr>
              <w:keepLines w:val="0"/>
              <w:pageBreakBefore w:val="0"/>
              <w:kinsoku/>
              <w:wordWrap/>
              <w:overflowPunct/>
              <w:topLinePunct w:val="0"/>
              <w:bidi w:val="0"/>
              <w:spacing w:line="480" w:lineRule="exact"/>
              <w:ind w:left="105" w:leftChars="50" w:firstLine="240" w:firstLineChars="100"/>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2、中标人：</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AUTOTEXT  input480 \* MERGEFORMAT </w:instrText>
            </w:r>
            <w:r>
              <w:rPr>
                <w:rFonts w:hint="eastAsia" w:ascii="宋体" w:hAnsi="宋体" w:eastAsia="宋体" w:cs="宋体"/>
                <w:color w:val="auto"/>
                <w:sz w:val="24"/>
                <w:szCs w:val="32"/>
                <w:highlight w:val="none"/>
              </w:rPr>
              <w:fldChar w:fldCharType="separate"/>
            </w:r>
          </w:p>
          <w:p w14:paraId="6D90CB84">
            <w:pPr>
              <w:keepNext w:val="0"/>
              <w:keepLines w:val="0"/>
              <w:pageBreakBefore w:val="0"/>
              <w:kinsoku/>
              <w:wordWrap/>
              <w:overflowPunct/>
              <w:topLinePunct w:val="0"/>
              <w:bidi w:val="0"/>
              <w:spacing w:line="360" w:lineRule="auto"/>
              <w:ind w:firstLine="480" w:firstLineChars="200"/>
              <w:rPr>
                <w:rFonts w:hAnsi="宋体"/>
                <w:color w:val="auto"/>
                <w:sz w:val="24"/>
                <w:highlight w:val="none"/>
              </w:rPr>
            </w:pPr>
            <w:r>
              <w:rPr>
                <w:rFonts w:hint="eastAsia" w:ascii="宋体" w:hAnsi="宋体" w:eastAsia="宋体" w:cs="宋体"/>
                <w:color w:val="auto"/>
                <w:sz w:val="24"/>
                <w:szCs w:val="32"/>
                <w:highlight w:val="none"/>
              </w:rPr>
              <w:t>中标人的投标保证金在签订合同后5个工作日（节假日顺延）退还。</w:t>
            </w:r>
            <w:r>
              <w:rPr>
                <w:rFonts w:hint="eastAsia" w:ascii="宋体" w:hAnsi="宋体" w:eastAsia="宋体" w:cs="宋体"/>
                <w:color w:val="auto"/>
                <w:sz w:val="24"/>
                <w:szCs w:val="32"/>
                <w:highlight w:val="none"/>
              </w:rPr>
              <w:fldChar w:fldCharType="end"/>
            </w:r>
          </w:p>
        </w:tc>
      </w:tr>
      <w:tr w14:paraId="08F37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45C4F947">
            <w:pPr>
              <w:keepNext w:val="0"/>
              <w:keepLines w:val="0"/>
              <w:pageBreakBefore w:val="0"/>
              <w:kinsoku/>
              <w:wordWrap/>
              <w:overflowPunct/>
              <w:topLinePunct w:val="0"/>
              <w:autoSpaceDE w:val="0"/>
              <w:autoSpaceDN w:val="0"/>
              <w:bidi w:val="0"/>
              <w:spacing w:line="360" w:lineRule="auto"/>
              <w:jc w:val="center"/>
              <w:rPr>
                <w:rFonts w:hAnsi="宋体"/>
                <w:color w:val="auto"/>
                <w:sz w:val="24"/>
                <w:highlight w:val="none"/>
              </w:rPr>
            </w:pPr>
            <w:r>
              <w:rPr>
                <w:rFonts w:hint="eastAsia" w:ascii="宋体" w:hAnsi="宋体" w:cs="仿宋_GB2312"/>
                <w:b/>
                <w:bCs/>
                <w:color w:val="auto"/>
                <w:sz w:val="24"/>
                <w:highlight w:val="none"/>
              </w:rPr>
              <w:t>21</w:t>
            </w:r>
          </w:p>
        </w:tc>
        <w:tc>
          <w:tcPr>
            <w:tcW w:w="1863" w:type="dxa"/>
            <w:noWrap/>
            <w:vAlign w:val="center"/>
          </w:tcPr>
          <w:p w14:paraId="68263634">
            <w:pPr>
              <w:keepNext w:val="0"/>
              <w:keepLines w:val="0"/>
              <w:pageBreakBefore w:val="0"/>
              <w:kinsoku/>
              <w:wordWrap/>
              <w:overflowPunct/>
              <w:topLinePunct w:val="0"/>
              <w:autoSpaceDE w:val="0"/>
              <w:autoSpaceDN w:val="0"/>
              <w:bidi w:val="0"/>
              <w:snapToGrid w:val="0"/>
              <w:spacing w:line="360" w:lineRule="auto"/>
              <w:jc w:val="center"/>
              <w:textAlignment w:val="bottom"/>
              <w:rPr>
                <w:rFonts w:hAnsi="宋体"/>
                <w:color w:val="auto"/>
                <w:spacing w:val="-8"/>
                <w:sz w:val="24"/>
                <w:highlight w:val="none"/>
              </w:rPr>
            </w:pPr>
            <w:r>
              <w:rPr>
                <w:rFonts w:hint="eastAsia" w:ascii="宋体" w:hAnsi="宋体"/>
                <w:color w:val="auto"/>
                <w:sz w:val="24"/>
                <w:highlight w:val="none"/>
              </w:rPr>
              <w:t>投标文件的编制要求</w:t>
            </w:r>
          </w:p>
        </w:tc>
        <w:tc>
          <w:tcPr>
            <w:tcW w:w="6634" w:type="dxa"/>
            <w:noWrap/>
            <w:vAlign w:val="center"/>
          </w:tcPr>
          <w:p w14:paraId="7A0ED74B">
            <w:pPr>
              <w:keepNext w:val="0"/>
              <w:keepLines w:val="0"/>
              <w:pageBreakBefore w:val="0"/>
              <w:kinsoku/>
              <w:wordWrap/>
              <w:overflowPunct/>
              <w:topLinePunct w:val="0"/>
              <w:bidi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投标文件：资格证明部分、商务部分、技术部分、其他资料组成，投标文件应编制目录。</w:t>
            </w:r>
          </w:p>
          <w:p w14:paraId="7352FFA4">
            <w:pPr>
              <w:keepNext w:val="0"/>
              <w:keepLines w:val="0"/>
              <w:pageBreakBefore w:val="0"/>
              <w:kinsoku/>
              <w:wordWrap/>
              <w:overflowPunct/>
              <w:topLinePunct w:val="0"/>
              <w:bidi w:val="0"/>
              <w:spacing w:line="360" w:lineRule="auto"/>
              <w:ind w:firstLine="480" w:firstLineChars="200"/>
              <w:jc w:val="left"/>
              <w:rPr>
                <w:rFonts w:ascii="宋体" w:hAnsi="宋体" w:cs="宋体"/>
                <w:color w:val="auto"/>
                <w:sz w:val="24"/>
                <w:highlight w:val="none"/>
              </w:rPr>
            </w:pPr>
            <w:r>
              <w:rPr>
                <w:rFonts w:hint="eastAsia" w:ascii="宋体" w:hAnsi="宋体" w:eastAsia="宋体" w:cs="宋体"/>
                <w:color w:val="auto"/>
                <w:sz w:val="24"/>
                <w:highlight w:val="none"/>
              </w:rPr>
              <w:t>投标文件按“政采云</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val="en-US" w:eastAsia="zh-CN"/>
              </w:rPr>
              <w:t>进行编制</w:t>
            </w:r>
            <w:r>
              <w:rPr>
                <w:rFonts w:hint="eastAsia" w:ascii="宋体" w:hAnsi="宋体" w:eastAsia="宋体" w:cs="宋体"/>
                <w:color w:val="auto"/>
                <w:sz w:val="24"/>
                <w:highlight w:val="none"/>
              </w:rPr>
              <w:t>。</w:t>
            </w:r>
          </w:p>
        </w:tc>
      </w:tr>
      <w:tr w14:paraId="769F2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7A079BB0">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18</w:t>
            </w:r>
          </w:p>
        </w:tc>
        <w:tc>
          <w:tcPr>
            <w:tcW w:w="1863" w:type="dxa"/>
            <w:noWrap/>
            <w:vAlign w:val="center"/>
          </w:tcPr>
          <w:p w14:paraId="7E5DAFCE">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投标截止时间</w:t>
            </w:r>
          </w:p>
        </w:tc>
        <w:tc>
          <w:tcPr>
            <w:tcW w:w="6634" w:type="dxa"/>
            <w:noWrap/>
            <w:vAlign w:val="center"/>
          </w:tcPr>
          <w:p w14:paraId="05BA354B">
            <w:pPr>
              <w:pStyle w:val="15"/>
              <w:keepNext w:val="0"/>
              <w:keepLines w:val="0"/>
              <w:pageBreakBefore w:val="0"/>
              <w:kinsoku/>
              <w:wordWrap/>
              <w:overflowPunct/>
              <w:topLinePunct w:val="0"/>
              <w:bidi w:val="0"/>
              <w:spacing w:line="360" w:lineRule="auto"/>
              <w:ind w:firstLine="241" w:firstLineChars="100"/>
              <w:jc w:val="left"/>
              <w:rPr>
                <w:color w:val="auto"/>
                <w:highlight w:val="none"/>
              </w:rPr>
            </w:pPr>
            <w:r>
              <w:rPr>
                <w:rFonts w:hint="eastAsia" w:hAnsi="宋体" w:cs="宋体"/>
                <w:b/>
                <w:bCs/>
                <w:color w:val="auto"/>
                <w:sz w:val="24"/>
                <w:highlight w:val="none"/>
                <w:u w:val="single"/>
                <w:lang w:eastAsia="zh-CN"/>
              </w:rPr>
              <w:t>2025年07月</w:t>
            </w:r>
            <w:r>
              <w:rPr>
                <w:rFonts w:hint="eastAsia" w:hAnsi="宋体" w:cs="宋体"/>
                <w:b/>
                <w:bCs/>
                <w:color w:val="auto"/>
                <w:sz w:val="24"/>
                <w:highlight w:val="none"/>
                <w:u w:val="single"/>
                <w:lang w:val="en-US" w:eastAsia="zh-CN"/>
              </w:rPr>
              <w:t>31</w:t>
            </w:r>
            <w:r>
              <w:rPr>
                <w:rFonts w:hint="eastAsia" w:hAnsi="宋体" w:cs="宋体"/>
                <w:b/>
                <w:bCs/>
                <w:color w:val="auto"/>
                <w:sz w:val="24"/>
                <w:highlight w:val="none"/>
                <w:u w:val="single"/>
                <w:lang w:eastAsia="zh-CN"/>
              </w:rPr>
              <w:t>日09点00分</w:t>
            </w:r>
            <w:r>
              <w:rPr>
                <w:rFonts w:hint="eastAsia" w:hAnsi="宋体"/>
                <w:b/>
                <w:color w:val="auto"/>
                <w:sz w:val="24"/>
                <w:szCs w:val="24"/>
                <w:highlight w:val="none"/>
              </w:rPr>
              <w:t>（北京时间）</w:t>
            </w:r>
          </w:p>
        </w:tc>
      </w:tr>
      <w:tr w14:paraId="799F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7049DECF">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19</w:t>
            </w:r>
          </w:p>
        </w:tc>
        <w:tc>
          <w:tcPr>
            <w:tcW w:w="1863" w:type="dxa"/>
            <w:noWrap/>
            <w:vAlign w:val="center"/>
          </w:tcPr>
          <w:p w14:paraId="07A570EA">
            <w:pPr>
              <w:pStyle w:val="15"/>
              <w:keepNext w:val="0"/>
              <w:keepLines w:val="0"/>
              <w:pageBreakBefore w:val="0"/>
              <w:kinsoku/>
              <w:wordWrap/>
              <w:overflowPunct/>
              <w:topLinePunct w:val="0"/>
              <w:bidi w:val="0"/>
              <w:spacing w:line="360" w:lineRule="auto"/>
              <w:jc w:val="center"/>
              <w:rPr>
                <w:rFonts w:hAnsi="宋体"/>
                <w:b/>
                <w:bCs/>
                <w:color w:val="auto"/>
                <w:sz w:val="24"/>
                <w:highlight w:val="none"/>
              </w:rPr>
            </w:pPr>
            <w:r>
              <w:rPr>
                <w:rFonts w:hint="eastAsia" w:hAnsi="宋体"/>
                <w:color w:val="auto"/>
                <w:sz w:val="24"/>
                <w:szCs w:val="24"/>
                <w:highlight w:val="none"/>
              </w:rPr>
              <w:t>递交投标文件的方式</w:t>
            </w:r>
          </w:p>
        </w:tc>
        <w:tc>
          <w:tcPr>
            <w:tcW w:w="6634" w:type="dxa"/>
            <w:noWrap/>
            <w:vAlign w:val="center"/>
          </w:tcPr>
          <w:p w14:paraId="56E71A78">
            <w:pPr>
              <w:pStyle w:val="15"/>
              <w:keepNext w:val="0"/>
              <w:keepLines w:val="0"/>
              <w:pageBreakBefore w:val="0"/>
              <w:kinsoku/>
              <w:wordWrap/>
              <w:overflowPunct/>
              <w:topLinePunct w:val="0"/>
              <w:bidi w:val="0"/>
              <w:spacing w:line="360" w:lineRule="auto"/>
              <w:ind w:firstLine="480" w:firstLineChars="200"/>
              <w:jc w:val="left"/>
              <w:rPr>
                <w:rFonts w:hAnsi="宋体"/>
                <w:b/>
                <w:bCs/>
                <w:color w:val="auto"/>
                <w:sz w:val="24"/>
                <w:highlight w:val="none"/>
                <w:u w:val="single"/>
              </w:rPr>
            </w:pPr>
            <w:r>
              <w:rPr>
                <w:rFonts w:hAnsi="宋体" w:cs="宋体"/>
                <w:color w:val="auto"/>
                <w:sz w:val="24"/>
                <w:highlight w:val="none"/>
              </w:rPr>
              <w:t>网上递交：</w:t>
            </w:r>
            <w:r>
              <w:rPr>
                <w:rFonts w:hint="eastAsia" w:hAnsi="宋体" w:cs="宋体"/>
                <w:color w:val="auto"/>
                <w:sz w:val="24"/>
                <w:highlight w:val="none"/>
              </w:rPr>
              <w:t>网上递交网址为</w:t>
            </w:r>
            <w:r>
              <w:rPr>
                <w:rFonts w:hint="eastAsia" w:hAnsi="宋体" w:cs="宋体"/>
                <w:color w:val="auto"/>
                <w:sz w:val="24"/>
                <w:highlight w:val="none"/>
                <w:lang w:eastAsia="zh-CN"/>
              </w:rPr>
              <w:t>政采云平台（http：//www.zcygov.cn）</w:t>
            </w:r>
            <w:r>
              <w:rPr>
                <w:rFonts w:hAnsi="宋体" w:cs="宋体"/>
                <w:color w:val="auto"/>
                <w:sz w:val="24"/>
                <w:highlight w:val="none"/>
              </w:rPr>
              <w:t>，投标人须在投标截止时间前完成投标文件的上传，网上确认</w:t>
            </w:r>
            <w:r>
              <w:rPr>
                <w:rFonts w:hint="eastAsia" w:hAnsi="宋体" w:cs="宋体"/>
                <w:color w:val="auto"/>
                <w:sz w:val="24"/>
                <w:highlight w:val="none"/>
                <w:lang w:eastAsia="zh-CN"/>
              </w:rPr>
              <w:t>电子签章或电子签名</w:t>
            </w:r>
            <w:r>
              <w:rPr>
                <w:rFonts w:hAnsi="宋体" w:cs="宋体"/>
                <w:color w:val="auto"/>
                <w:sz w:val="24"/>
                <w:highlight w:val="none"/>
              </w:rPr>
              <w:t>，投标截止时间前未完成投标文件传输的，视为撤回投标文件。</w:t>
            </w:r>
          </w:p>
        </w:tc>
      </w:tr>
      <w:tr w14:paraId="26C4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39AB8109">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20</w:t>
            </w:r>
          </w:p>
        </w:tc>
        <w:tc>
          <w:tcPr>
            <w:tcW w:w="1863" w:type="dxa"/>
            <w:noWrap/>
            <w:vAlign w:val="center"/>
          </w:tcPr>
          <w:p w14:paraId="3E92DC6A">
            <w:pPr>
              <w:pStyle w:val="15"/>
              <w:keepNext w:val="0"/>
              <w:keepLines w:val="0"/>
              <w:pageBreakBefore w:val="0"/>
              <w:kinsoku/>
              <w:wordWrap/>
              <w:overflowPunct/>
              <w:topLinePunct w:val="0"/>
              <w:bidi w:val="0"/>
              <w:spacing w:line="360" w:lineRule="auto"/>
              <w:jc w:val="center"/>
              <w:rPr>
                <w:b/>
                <w:bCs/>
                <w:color w:val="auto"/>
                <w:sz w:val="24"/>
                <w:highlight w:val="none"/>
              </w:rPr>
            </w:pPr>
            <w:r>
              <w:rPr>
                <w:rFonts w:hAnsi="宋体"/>
                <w:b/>
                <w:bCs/>
                <w:color w:val="auto"/>
                <w:sz w:val="24"/>
                <w:szCs w:val="24"/>
                <w:highlight w:val="none"/>
              </w:rPr>
              <w:t>开标时间和地点</w:t>
            </w:r>
          </w:p>
        </w:tc>
        <w:tc>
          <w:tcPr>
            <w:tcW w:w="6634" w:type="dxa"/>
            <w:noWrap/>
            <w:vAlign w:val="center"/>
          </w:tcPr>
          <w:p w14:paraId="0971B49D">
            <w:pPr>
              <w:pStyle w:val="15"/>
              <w:keepNext w:val="0"/>
              <w:keepLines w:val="0"/>
              <w:pageBreakBefore w:val="0"/>
              <w:kinsoku/>
              <w:overflowPunct/>
              <w:topLinePunct w:val="0"/>
              <w:bidi w:val="0"/>
              <w:adjustRightInd/>
              <w:spacing w:after="0" w:line="360" w:lineRule="auto"/>
              <w:jc w:val="left"/>
              <w:rPr>
                <w:rFonts w:hAnsi="宋体"/>
                <w:color w:val="auto"/>
                <w:sz w:val="24"/>
                <w:szCs w:val="24"/>
                <w:highlight w:val="none"/>
              </w:rPr>
            </w:pPr>
            <w:r>
              <w:rPr>
                <w:rFonts w:hAnsi="宋体"/>
                <w:color w:val="auto"/>
                <w:sz w:val="24"/>
                <w:szCs w:val="24"/>
                <w:highlight w:val="none"/>
              </w:rPr>
              <w:t>开标时间：</w:t>
            </w:r>
            <w:r>
              <w:rPr>
                <w:rFonts w:hint="eastAsia" w:hAnsi="宋体"/>
                <w:b/>
                <w:color w:val="auto"/>
                <w:sz w:val="24"/>
                <w:highlight w:val="none"/>
                <w:u w:val="single"/>
              </w:rPr>
              <w:t>同投标截止时间</w:t>
            </w:r>
          </w:p>
          <w:p w14:paraId="3CC3EA83">
            <w:pPr>
              <w:pStyle w:val="15"/>
              <w:keepNext w:val="0"/>
              <w:keepLines w:val="0"/>
              <w:pageBreakBefore w:val="0"/>
              <w:kinsoku/>
              <w:wordWrap/>
              <w:overflowPunct/>
              <w:topLinePunct w:val="0"/>
              <w:bidi w:val="0"/>
              <w:spacing w:line="360" w:lineRule="auto"/>
              <w:jc w:val="left"/>
              <w:rPr>
                <w:b/>
                <w:bCs/>
                <w:color w:val="auto"/>
                <w:sz w:val="24"/>
                <w:highlight w:val="none"/>
              </w:rPr>
            </w:pPr>
            <w:r>
              <w:rPr>
                <w:rFonts w:hAnsi="宋体"/>
                <w:color w:val="auto"/>
                <w:sz w:val="24"/>
                <w:szCs w:val="24"/>
                <w:highlight w:val="none"/>
              </w:rPr>
              <w:t>开标地点：</w:t>
            </w:r>
            <w:r>
              <w:rPr>
                <w:rFonts w:hint="eastAsia" w:ascii="宋体" w:hAnsi="宋体" w:cs="仿宋_GB2312"/>
                <w:b/>
                <w:bCs/>
                <w:color w:val="auto"/>
                <w:sz w:val="24"/>
                <w:szCs w:val="20"/>
                <w:highlight w:val="none"/>
                <w:u w:val="single"/>
              </w:rPr>
              <w:t>云南嘉鑫项目管理咨询有限公司</w:t>
            </w:r>
            <w:r>
              <w:rPr>
                <w:rFonts w:hint="eastAsia" w:hAnsi="宋体"/>
                <w:b/>
                <w:bCs/>
                <w:color w:val="auto"/>
                <w:sz w:val="24"/>
                <w:highlight w:val="none"/>
                <w:u w:val="single"/>
                <w:lang w:val="en-US" w:eastAsia="zh-CN"/>
              </w:rPr>
              <w:t>会议室</w:t>
            </w:r>
            <w:r>
              <w:rPr>
                <w:rFonts w:hint="eastAsia" w:hAnsi="宋体"/>
                <w:b/>
                <w:bCs/>
                <w:color w:val="auto"/>
                <w:sz w:val="24"/>
                <w:highlight w:val="none"/>
                <w:u w:val="single"/>
              </w:rPr>
              <w:t>；</w:t>
            </w:r>
          </w:p>
        </w:tc>
      </w:tr>
      <w:tr w14:paraId="4F9CD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539A12D4">
            <w:pPr>
              <w:keepNext w:val="0"/>
              <w:keepLines w:val="0"/>
              <w:pageBreakBefore w:val="0"/>
              <w:kinsoku/>
              <w:wordWrap/>
              <w:overflowPunct/>
              <w:topLinePunct w:val="0"/>
              <w:autoSpaceDE w:val="0"/>
              <w:autoSpaceDN w:val="0"/>
              <w:bidi w:val="0"/>
              <w:spacing w:line="360" w:lineRule="auto"/>
              <w:jc w:val="center"/>
              <w:rPr>
                <w:rFonts w:hAnsi="宋体"/>
                <w:color w:val="auto"/>
                <w:sz w:val="24"/>
                <w:highlight w:val="none"/>
              </w:rPr>
            </w:pPr>
            <w:r>
              <w:rPr>
                <w:rFonts w:hint="eastAsia" w:ascii="宋体" w:hAnsi="宋体" w:cs="仿宋_GB2312"/>
                <w:b/>
                <w:bCs/>
                <w:color w:val="auto"/>
                <w:sz w:val="24"/>
                <w:highlight w:val="none"/>
              </w:rPr>
              <w:t>21</w:t>
            </w:r>
          </w:p>
        </w:tc>
        <w:tc>
          <w:tcPr>
            <w:tcW w:w="1863" w:type="dxa"/>
            <w:noWrap/>
            <w:vAlign w:val="center"/>
          </w:tcPr>
          <w:p w14:paraId="740A1FCA">
            <w:pPr>
              <w:pStyle w:val="15"/>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hAnsi="宋体"/>
                <w:color w:val="auto"/>
                <w:sz w:val="24"/>
                <w:szCs w:val="24"/>
                <w:highlight w:val="none"/>
              </w:rPr>
              <w:t>评标委员会的组建</w:t>
            </w:r>
          </w:p>
        </w:tc>
        <w:tc>
          <w:tcPr>
            <w:tcW w:w="6634" w:type="dxa"/>
            <w:noWrap/>
            <w:vAlign w:val="center"/>
          </w:tcPr>
          <w:p w14:paraId="0B32BE6D">
            <w:pPr>
              <w:pStyle w:val="15"/>
              <w:keepNext w:val="0"/>
              <w:keepLines w:val="0"/>
              <w:pageBreakBefore w:val="0"/>
              <w:kinsoku/>
              <w:wordWrap/>
              <w:overflowPunct/>
              <w:topLinePunct w:val="0"/>
              <w:bidi w:val="0"/>
              <w:spacing w:line="360" w:lineRule="auto"/>
              <w:jc w:val="left"/>
              <w:rPr>
                <w:rFonts w:hAnsi="宋体"/>
                <w:color w:val="auto"/>
                <w:sz w:val="24"/>
                <w:szCs w:val="24"/>
                <w:highlight w:val="none"/>
              </w:rPr>
            </w:pPr>
            <w:r>
              <w:rPr>
                <w:rFonts w:hint="eastAsia" w:hAnsi="宋体"/>
                <w:color w:val="auto"/>
                <w:sz w:val="24"/>
                <w:szCs w:val="24"/>
                <w:highlight w:val="none"/>
              </w:rPr>
              <w:t>评标委员会构成:由招标人代表和评审专家共 5 人及以上单数组成，其中评审专家人数不得少于评标委员会成员总数的2/3。</w:t>
            </w:r>
          </w:p>
          <w:p w14:paraId="297CA546">
            <w:pPr>
              <w:pStyle w:val="15"/>
              <w:keepNext w:val="0"/>
              <w:keepLines w:val="0"/>
              <w:pageBreakBefore w:val="0"/>
              <w:kinsoku/>
              <w:wordWrap/>
              <w:overflowPunct/>
              <w:topLinePunct w:val="0"/>
              <w:bidi w:val="0"/>
              <w:spacing w:line="360" w:lineRule="auto"/>
              <w:jc w:val="left"/>
              <w:rPr>
                <w:rFonts w:hAnsi="宋体"/>
                <w:color w:val="auto"/>
                <w:sz w:val="24"/>
                <w:szCs w:val="24"/>
                <w:highlight w:val="none"/>
              </w:rPr>
            </w:pPr>
            <w:r>
              <w:rPr>
                <w:rFonts w:hint="eastAsia" w:hAnsi="宋体"/>
                <w:color w:val="auto"/>
                <w:sz w:val="24"/>
                <w:szCs w:val="24"/>
                <w:highlight w:val="none"/>
              </w:rPr>
              <w:t xml:space="preserve">评标委员会人数：5 人以上（含 5 人）的单数。 </w:t>
            </w:r>
          </w:p>
          <w:p w14:paraId="2A5EA742">
            <w:pPr>
              <w:pStyle w:val="15"/>
              <w:keepNext w:val="0"/>
              <w:keepLines w:val="0"/>
              <w:pageBreakBefore w:val="0"/>
              <w:kinsoku/>
              <w:wordWrap/>
              <w:overflowPunct/>
              <w:topLinePunct w:val="0"/>
              <w:bidi w:val="0"/>
              <w:spacing w:line="360" w:lineRule="auto"/>
              <w:jc w:val="left"/>
              <w:rPr>
                <w:rFonts w:hAnsi="宋体"/>
                <w:color w:val="auto"/>
                <w:sz w:val="24"/>
                <w:highlight w:val="none"/>
              </w:rPr>
            </w:pPr>
            <w:r>
              <w:rPr>
                <w:rFonts w:hint="eastAsia" w:hAnsi="宋体"/>
                <w:color w:val="auto"/>
                <w:sz w:val="24"/>
                <w:szCs w:val="24"/>
                <w:highlight w:val="none"/>
              </w:rPr>
              <w:t>评标专家确定方式：</w:t>
            </w:r>
            <w:r>
              <w:rPr>
                <w:rFonts w:hint="eastAsia" w:ascii="宋体" w:hAnsi="宋体" w:cs="宋体"/>
                <w:color w:val="auto"/>
                <w:kern w:val="0"/>
                <w:sz w:val="24"/>
                <w:highlight w:val="none"/>
                <w:lang w:eastAsia="zh-CN"/>
              </w:rPr>
              <w:t>云南省政府采购网</w:t>
            </w:r>
            <w:r>
              <w:rPr>
                <w:rFonts w:hint="eastAsia" w:ascii="宋体" w:hAnsi="宋体" w:cs="宋体"/>
                <w:color w:val="auto"/>
                <w:kern w:val="0"/>
                <w:sz w:val="24"/>
                <w:highlight w:val="none"/>
              </w:rPr>
              <w:t>评审专家库抽取组成</w:t>
            </w:r>
            <w:r>
              <w:rPr>
                <w:rFonts w:hint="eastAsia" w:hAnsi="宋体"/>
                <w:color w:val="auto"/>
                <w:sz w:val="24"/>
                <w:szCs w:val="24"/>
                <w:highlight w:val="none"/>
              </w:rPr>
              <w:t>。</w:t>
            </w:r>
          </w:p>
        </w:tc>
      </w:tr>
      <w:tr w14:paraId="37DB0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3DD0EC27">
            <w:pPr>
              <w:pStyle w:val="15"/>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hAnsi="宋体"/>
                <w:color w:val="auto"/>
                <w:sz w:val="24"/>
                <w:szCs w:val="24"/>
                <w:highlight w:val="none"/>
              </w:rPr>
              <w:t>22</w:t>
            </w:r>
          </w:p>
        </w:tc>
        <w:tc>
          <w:tcPr>
            <w:tcW w:w="1863" w:type="dxa"/>
            <w:noWrap/>
            <w:vAlign w:val="center"/>
          </w:tcPr>
          <w:p w14:paraId="3D2A822D">
            <w:pPr>
              <w:pStyle w:val="15"/>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hAnsi="宋体"/>
                <w:color w:val="auto"/>
                <w:sz w:val="24"/>
                <w:szCs w:val="24"/>
                <w:highlight w:val="none"/>
              </w:rPr>
              <w:t>评标委员会推荐中标候选人的人数</w:t>
            </w:r>
          </w:p>
        </w:tc>
        <w:tc>
          <w:tcPr>
            <w:tcW w:w="6634" w:type="dxa"/>
            <w:noWrap/>
            <w:vAlign w:val="center"/>
          </w:tcPr>
          <w:p w14:paraId="7006821C">
            <w:pPr>
              <w:pStyle w:val="15"/>
              <w:keepNext w:val="0"/>
              <w:keepLines w:val="0"/>
              <w:pageBreakBefore w:val="0"/>
              <w:kinsoku/>
              <w:wordWrap/>
              <w:overflowPunct/>
              <w:topLinePunct w:val="0"/>
              <w:bidi w:val="0"/>
              <w:spacing w:line="360" w:lineRule="auto"/>
              <w:jc w:val="left"/>
              <w:rPr>
                <w:rFonts w:hAnsi="宋体"/>
                <w:color w:val="auto"/>
                <w:sz w:val="24"/>
                <w:highlight w:val="none"/>
              </w:rPr>
            </w:pPr>
            <w:r>
              <w:rPr>
                <w:rFonts w:hint="eastAsia" w:hAnsi="宋体"/>
                <w:color w:val="auto"/>
                <w:sz w:val="24"/>
                <w:szCs w:val="24"/>
                <w:highlight w:val="none"/>
              </w:rPr>
              <w:t>3名</w:t>
            </w:r>
          </w:p>
        </w:tc>
      </w:tr>
      <w:tr w14:paraId="0D26A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24052304">
            <w:pPr>
              <w:pStyle w:val="15"/>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hAnsi="宋体"/>
                <w:color w:val="auto"/>
                <w:sz w:val="24"/>
                <w:szCs w:val="24"/>
                <w:highlight w:val="none"/>
              </w:rPr>
              <w:t>23</w:t>
            </w:r>
          </w:p>
        </w:tc>
        <w:tc>
          <w:tcPr>
            <w:tcW w:w="1863" w:type="dxa"/>
            <w:noWrap/>
            <w:vAlign w:val="center"/>
          </w:tcPr>
          <w:p w14:paraId="380EAE79">
            <w:pPr>
              <w:pStyle w:val="15"/>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hAnsi="宋体"/>
                <w:color w:val="auto"/>
                <w:sz w:val="24"/>
                <w:szCs w:val="24"/>
                <w:highlight w:val="none"/>
              </w:rPr>
              <w:t>是否授权评标委员会确定中标人</w:t>
            </w:r>
          </w:p>
        </w:tc>
        <w:tc>
          <w:tcPr>
            <w:tcW w:w="6634" w:type="dxa"/>
            <w:noWrap/>
            <w:vAlign w:val="center"/>
          </w:tcPr>
          <w:p w14:paraId="77E15F53">
            <w:pPr>
              <w:pStyle w:val="15"/>
              <w:keepNext w:val="0"/>
              <w:keepLines w:val="0"/>
              <w:pageBreakBefore w:val="0"/>
              <w:kinsoku/>
              <w:wordWrap/>
              <w:overflowPunct/>
              <w:topLinePunct w:val="0"/>
              <w:bidi w:val="0"/>
              <w:spacing w:line="360" w:lineRule="auto"/>
              <w:jc w:val="left"/>
              <w:rPr>
                <w:rFonts w:hAnsi="宋体"/>
                <w:color w:val="auto"/>
                <w:sz w:val="24"/>
                <w:highlight w:val="none"/>
              </w:rPr>
            </w:pPr>
            <w:r>
              <w:rPr>
                <w:rFonts w:hint="eastAsia" w:hAnsi="宋体"/>
                <w:color w:val="auto"/>
                <w:sz w:val="24"/>
                <w:szCs w:val="24"/>
                <w:highlight w:val="none"/>
              </w:rPr>
              <w:t>否</w:t>
            </w:r>
          </w:p>
        </w:tc>
      </w:tr>
      <w:tr w14:paraId="14EB6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noWrap/>
            <w:vAlign w:val="center"/>
          </w:tcPr>
          <w:p w14:paraId="7CA8AEFE">
            <w:pPr>
              <w:pStyle w:val="15"/>
              <w:keepNext w:val="0"/>
              <w:keepLines w:val="0"/>
              <w:pageBreakBefore w:val="0"/>
              <w:kinsoku/>
              <w:wordWrap/>
              <w:overflowPunct/>
              <w:topLinePunct w:val="0"/>
              <w:bidi w:val="0"/>
              <w:spacing w:line="360" w:lineRule="auto"/>
              <w:jc w:val="center"/>
              <w:rPr>
                <w:rFonts w:hAnsi="宋体"/>
                <w:color w:val="auto"/>
                <w:sz w:val="24"/>
                <w:highlight w:val="none"/>
              </w:rPr>
            </w:pPr>
            <w:r>
              <w:rPr>
                <w:rFonts w:hint="eastAsia" w:hAnsi="宋体"/>
                <w:color w:val="auto"/>
                <w:sz w:val="24"/>
                <w:szCs w:val="24"/>
                <w:highlight w:val="none"/>
              </w:rPr>
              <w:t>24</w:t>
            </w:r>
          </w:p>
        </w:tc>
        <w:tc>
          <w:tcPr>
            <w:tcW w:w="1863" w:type="dxa"/>
            <w:noWrap/>
            <w:vAlign w:val="center"/>
          </w:tcPr>
          <w:p w14:paraId="14BE94B0">
            <w:pPr>
              <w:pStyle w:val="15"/>
              <w:keepNext w:val="0"/>
              <w:keepLines w:val="0"/>
              <w:pageBreakBefore w:val="0"/>
              <w:kinsoku/>
              <w:wordWrap/>
              <w:overflowPunct/>
              <w:topLinePunct w:val="0"/>
              <w:bidi w:val="0"/>
              <w:spacing w:line="360" w:lineRule="auto"/>
              <w:jc w:val="center"/>
              <w:rPr>
                <w:rFonts w:hint="eastAsia" w:hAnsi="宋体" w:eastAsia="宋体"/>
                <w:color w:val="auto"/>
                <w:sz w:val="24"/>
                <w:szCs w:val="24"/>
                <w:highlight w:val="none"/>
                <w:lang w:eastAsia="zh-CN"/>
              </w:rPr>
            </w:pPr>
            <w:r>
              <w:rPr>
                <w:rFonts w:hint="eastAsia" w:hAnsi="宋体"/>
                <w:b/>
                <w:bCs/>
                <w:color w:val="auto"/>
                <w:sz w:val="24"/>
                <w:szCs w:val="24"/>
                <w:highlight w:val="none"/>
              </w:rPr>
              <w:t>履约</w:t>
            </w:r>
            <w:r>
              <w:rPr>
                <w:rFonts w:hint="eastAsia" w:hAnsi="宋体"/>
                <w:b/>
                <w:bCs/>
                <w:color w:val="auto"/>
                <w:sz w:val="24"/>
                <w:szCs w:val="24"/>
                <w:highlight w:val="none"/>
                <w:lang w:eastAsia="zh-CN"/>
              </w:rPr>
              <w:t>保证金</w:t>
            </w:r>
          </w:p>
        </w:tc>
        <w:tc>
          <w:tcPr>
            <w:tcW w:w="6634" w:type="dxa"/>
            <w:noWrap/>
            <w:vAlign w:val="center"/>
          </w:tcPr>
          <w:p w14:paraId="2AC1484D">
            <w:pPr>
              <w:pStyle w:val="15"/>
              <w:keepNext w:val="0"/>
              <w:keepLines w:val="0"/>
              <w:pageBreakBefore w:val="0"/>
              <w:kinsoku/>
              <w:wordWrap/>
              <w:overflowPunct/>
              <w:topLinePunct w:val="0"/>
              <w:bidi w:val="0"/>
              <w:spacing w:line="360" w:lineRule="auto"/>
              <w:jc w:val="left"/>
              <w:rPr>
                <w:rFonts w:hint="default" w:hAnsi="宋体" w:eastAsia="宋体"/>
                <w:color w:val="auto"/>
                <w:sz w:val="24"/>
                <w:szCs w:val="24"/>
                <w:highlight w:val="none"/>
                <w:lang w:val="en-US" w:eastAsia="zh-CN"/>
              </w:rPr>
            </w:pPr>
            <w:r>
              <w:rPr>
                <w:rFonts w:hint="eastAsia" w:hAnsi="宋体"/>
                <w:b/>
                <w:bCs/>
                <w:color w:val="auto"/>
                <w:sz w:val="24"/>
                <w:szCs w:val="24"/>
                <w:highlight w:val="none"/>
                <w:lang w:val="en-US" w:eastAsia="zh-CN"/>
              </w:rPr>
              <w:t>本项目不缴纳履约保证金。</w:t>
            </w:r>
          </w:p>
        </w:tc>
      </w:tr>
      <w:tr w14:paraId="31789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009" w:type="dxa"/>
            <w:noWrap/>
            <w:vAlign w:val="center"/>
          </w:tcPr>
          <w:p w14:paraId="46F50B89">
            <w:pPr>
              <w:keepNext w:val="0"/>
              <w:keepLines w:val="0"/>
              <w:pageBreakBefore w:val="0"/>
              <w:kinsoku/>
              <w:wordWrap/>
              <w:overflowPunct/>
              <w:topLinePunct w:val="0"/>
              <w:autoSpaceDE w:val="0"/>
              <w:autoSpaceDN w:val="0"/>
              <w:bidi w:val="0"/>
              <w:spacing w:line="360" w:lineRule="auto"/>
              <w:jc w:val="center"/>
              <w:rPr>
                <w:rFonts w:ascii="宋体" w:hAnsi="宋体"/>
                <w:color w:val="auto"/>
                <w:sz w:val="24"/>
                <w:highlight w:val="none"/>
              </w:rPr>
            </w:pPr>
            <w:r>
              <w:rPr>
                <w:rFonts w:hint="eastAsia" w:ascii="宋体" w:hAnsi="宋体" w:cs="仿宋_GB2312"/>
                <w:b/>
                <w:bCs/>
                <w:color w:val="auto"/>
                <w:sz w:val="24"/>
                <w:highlight w:val="none"/>
              </w:rPr>
              <w:t>25</w:t>
            </w:r>
          </w:p>
        </w:tc>
        <w:tc>
          <w:tcPr>
            <w:tcW w:w="1863" w:type="dxa"/>
            <w:noWrap/>
            <w:vAlign w:val="center"/>
          </w:tcPr>
          <w:p w14:paraId="44C630C6">
            <w:pPr>
              <w:keepNext w:val="0"/>
              <w:keepLines w:val="0"/>
              <w:pageBreakBefore w:val="0"/>
              <w:kinsoku/>
              <w:wordWrap/>
              <w:overflowPunct/>
              <w:topLinePunct w:val="0"/>
              <w:autoSpaceDE w:val="0"/>
              <w:autoSpaceDN w:val="0"/>
              <w:bidi w:val="0"/>
              <w:spacing w:line="360" w:lineRule="auto"/>
              <w:ind w:firstLine="120" w:firstLineChars="50"/>
              <w:jc w:val="center"/>
              <w:rPr>
                <w:rFonts w:hint="eastAsia" w:hAnsi="宋体" w:eastAsia="宋体"/>
                <w:color w:val="auto"/>
                <w:sz w:val="24"/>
                <w:highlight w:val="none"/>
                <w:lang w:eastAsia="zh-CN"/>
              </w:rPr>
            </w:pPr>
            <w:r>
              <w:rPr>
                <w:rFonts w:hint="eastAsia" w:ascii="宋体" w:hAnsi="宋体" w:cs="仿宋_GB2312"/>
                <w:b/>
                <w:bCs/>
                <w:color w:val="auto"/>
                <w:sz w:val="24"/>
                <w:highlight w:val="none"/>
              </w:rPr>
              <w:t>付款方式</w:t>
            </w:r>
          </w:p>
        </w:tc>
        <w:tc>
          <w:tcPr>
            <w:tcW w:w="6634" w:type="dxa"/>
            <w:noWrap/>
            <w:vAlign w:val="center"/>
          </w:tcPr>
          <w:p w14:paraId="4EED0602">
            <w:pPr>
              <w:pStyle w:val="15"/>
              <w:keepNext w:val="0"/>
              <w:keepLines w:val="0"/>
              <w:pageBreakBefore w:val="0"/>
              <w:kinsoku/>
              <w:wordWrap/>
              <w:overflowPunct/>
              <w:topLinePunct w:val="0"/>
              <w:bidi w:val="0"/>
              <w:spacing w:line="360" w:lineRule="auto"/>
              <w:jc w:val="left"/>
              <w:rPr>
                <w:rFonts w:hAnsi="宋体"/>
                <w:color w:val="auto"/>
                <w:sz w:val="24"/>
                <w:highlight w:val="none"/>
              </w:rPr>
            </w:pPr>
            <w:r>
              <w:rPr>
                <w:rFonts w:hint="eastAsia" w:ascii="宋体" w:hAnsi="宋体" w:eastAsia="宋体" w:cs="Times New Roman"/>
                <w:b/>
                <w:bCs/>
                <w:color w:val="auto"/>
                <w:sz w:val="24"/>
                <w:szCs w:val="24"/>
                <w:highlight w:val="none"/>
                <w:lang w:val="en-US" w:eastAsia="zh-CN"/>
              </w:rPr>
              <w:t>甲、乙双方协商确定。</w:t>
            </w:r>
          </w:p>
        </w:tc>
      </w:tr>
      <w:tr w14:paraId="720F9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09" w:type="dxa"/>
            <w:noWrap/>
            <w:vAlign w:val="center"/>
          </w:tcPr>
          <w:p w14:paraId="5231EE0A">
            <w:pPr>
              <w:pStyle w:val="15"/>
              <w:keepNext w:val="0"/>
              <w:keepLines w:val="0"/>
              <w:pageBreakBefore w:val="0"/>
              <w:kinsoku/>
              <w:wordWrap/>
              <w:overflowPunct/>
              <w:topLinePunct w:val="0"/>
              <w:bidi w:val="0"/>
              <w:spacing w:line="360" w:lineRule="auto"/>
              <w:jc w:val="center"/>
              <w:rPr>
                <w:rFonts w:hAnsi="宋体"/>
                <w:color w:val="auto"/>
                <w:sz w:val="24"/>
                <w:szCs w:val="24"/>
                <w:highlight w:val="none"/>
              </w:rPr>
            </w:pPr>
            <w:r>
              <w:rPr>
                <w:rFonts w:hint="eastAsia" w:hAnsi="宋体"/>
                <w:color w:val="auto"/>
                <w:sz w:val="24"/>
                <w:szCs w:val="24"/>
                <w:highlight w:val="none"/>
              </w:rPr>
              <w:t>26</w:t>
            </w:r>
          </w:p>
        </w:tc>
        <w:tc>
          <w:tcPr>
            <w:tcW w:w="1863" w:type="dxa"/>
            <w:noWrap/>
            <w:vAlign w:val="center"/>
          </w:tcPr>
          <w:p w14:paraId="023B164A">
            <w:pPr>
              <w:keepNext w:val="0"/>
              <w:keepLines w:val="0"/>
              <w:pageBreakBefore w:val="0"/>
              <w:kinsoku/>
              <w:wordWrap/>
              <w:overflowPunct/>
              <w:topLinePunct w:val="0"/>
              <w:autoSpaceDE w:val="0"/>
              <w:autoSpaceDN w:val="0"/>
              <w:bidi w:val="0"/>
              <w:spacing w:line="360" w:lineRule="auto"/>
              <w:jc w:val="center"/>
              <w:rPr>
                <w:rFonts w:hAnsi="宋体"/>
                <w:color w:val="auto"/>
                <w:sz w:val="24"/>
                <w:highlight w:val="none"/>
              </w:rPr>
            </w:pPr>
            <w:r>
              <w:rPr>
                <w:rFonts w:hint="eastAsia" w:ascii="宋体" w:hAnsi="宋体"/>
                <w:b/>
                <w:bCs/>
                <w:color w:val="auto"/>
                <w:sz w:val="24"/>
                <w:highlight w:val="none"/>
              </w:rPr>
              <w:t>费用承担</w:t>
            </w:r>
          </w:p>
        </w:tc>
        <w:tc>
          <w:tcPr>
            <w:tcW w:w="6634" w:type="dxa"/>
            <w:noWrap/>
            <w:vAlign w:val="center"/>
          </w:tcPr>
          <w:p w14:paraId="56042AAF">
            <w:pPr>
              <w:keepNext w:val="0"/>
              <w:keepLines w:val="0"/>
              <w:pageBreakBefore w:val="0"/>
              <w:kinsoku/>
              <w:wordWrap/>
              <w:overflowPunct/>
              <w:topLinePunct w:val="0"/>
              <w:bidi w:val="0"/>
              <w:spacing w:line="360" w:lineRule="auto"/>
              <w:jc w:val="left"/>
              <w:rPr>
                <w:rFonts w:ascii="宋体" w:hAnsi="宋体"/>
                <w:color w:val="auto"/>
                <w:sz w:val="24"/>
                <w:highlight w:val="none"/>
              </w:rPr>
            </w:pPr>
            <w:r>
              <w:rPr>
                <w:rFonts w:hint="eastAsia" w:ascii="宋体" w:hAnsi="宋体"/>
                <w:color w:val="auto"/>
                <w:sz w:val="24"/>
                <w:highlight w:val="none"/>
              </w:rPr>
              <w:t>1、投标人</w:t>
            </w:r>
            <w:r>
              <w:rPr>
                <w:rFonts w:ascii="宋体" w:hAnsi="宋体"/>
                <w:color w:val="auto"/>
                <w:sz w:val="24"/>
                <w:highlight w:val="none"/>
              </w:rPr>
              <w:t>应承担其参加本</w:t>
            </w:r>
            <w:r>
              <w:rPr>
                <w:rFonts w:hint="eastAsia" w:ascii="宋体" w:hAnsi="宋体"/>
                <w:color w:val="auto"/>
                <w:sz w:val="24"/>
                <w:highlight w:val="none"/>
              </w:rPr>
              <w:t>次采购</w:t>
            </w:r>
            <w:r>
              <w:rPr>
                <w:rFonts w:ascii="宋体" w:hAnsi="宋体"/>
                <w:color w:val="auto"/>
                <w:sz w:val="24"/>
                <w:highlight w:val="none"/>
              </w:rPr>
              <w:t>活动自身所发生的</w:t>
            </w:r>
            <w:r>
              <w:rPr>
                <w:rFonts w:hint="eastAsia" w:ascii="宋体" w:hAnsi="宋体"/>
                <w:color w:val="auto"/>
                <w:sz w:val="24"/>
                <w:highlight w:val="none"/>
              </w:rPr>
              <w:t>所有</w:t>
            </w:r>
            <w:r>
              <w:rPr>
                <w:rFonts w:ascii="宋体" w:hAnsi="宋体"/>
                <w:color w:val="auto"/>
                <w:sz w:val="24"/>
                <w:highlight w:val="none"/>
              </w:rPr>
              <w:t>费用。</w:t>
            </w:r>
          </w:p>
          <w:p w14:paraId="406EF6B0">
            <w:pPr>
              <w:keepNext w:val="0"/>
              <w:keepLines w:val="0"/>
              <w:pageBreakBefore w:val="0"/>
              <w:kinsoku/>
              <w:wordWrap/>
              <w:overflowPunct/>
              <w:topLinePunct w:val="0"/>
              <w:bidi w:val="0"/>
              <w:spacing w:line="360" w:lineRule="auto"/>
              <w:jc w:val="left"/>
              <w:rPr>
                <w:rFonts w:hint="eastAsia" w:ascii="宋体" w:hAnsi="宋体" w:cs="宋体"/>
                <w:b/>
                <w:bCs/>
                <w:color w:val="auto"/>
                <w:sz w:val="24"/>
                <w:highlight w:val="none"/>
                <w:shd w:val="clear" w:color="auto" w:fill="auto"/>
              </w:rPr>
            </w:pPr>
            <w:r>
              <w:rPr>
                <w:rFonts w:hint="eastAsia" w:ascii="宋体" w:hAnsi="宋体"/>
                <w:b/>
                <w:bCs/>
                <w:color w:val="auto"/>
                <w:sz w:val="24"/>
                <w:highlight w:val="none"/>
              </w:rPr>
              <w:t>2、</w:t>
            </w:r>
            <w:r>
              <w:rPr>
                <w:rFonts w:hint="eastAsia" w:ascii="宋体" w:hAnsi="宋体"/>
                <w:b/>
                <w:bCs/>
                <w:color w:val="auto"/>
                <w:sz w:val="24"/>
                <w:highlight w:val="none"/>
                <w:lang w:eastAsia="zh-CN"/>
              </w:rPr>
              <w:t>招标代理</w:t>
            </w:r>
            <w:r>
              <w:rPr>
                <w:rFonts w:hint="eastAsia" w:ascii="宋体" w:hAnsi="宋体"/>
                <w:b/>
                <w:bCs/>
                <w:color w:val="auto"/>
                <w:sz w:val="24"/>
                <w:highlight w:val="none"/>
              </w:rPr>
              <w:t>服务费：</w:t>
            </w:r>
            <w:r>
              <w:rPr>
                <w:rFonts w:hint="eastAsia" w:ascii="宋体" w:hAnsi="宋体"/>
                <w:b/>
                <w:bCs/>
                <w:color w:val="auto"/>
                <w:sz w:val="24"/>
                <w:highlight w:val="none"/>
                <w:lang w:val="en-US" w:eastAsia="zh-CN"/>
              </w:rPr>
              <w:t>每标段</w:t>
            </w:r>
            <w:r>
              <w:rPr>
                <w:rFonts w:hint="eastAsia" w:ascii="宋体" w:hAnsi="宋体"/>
                <w:b/>
                <w:bCs/>
                <w:color w:val="auto"/>
                <w:sz w:val="24"/>
                <w:highlight w:val="none"/>
              </w:rPr>
              <w:t>参照《国家计委关于印发&lt;招标代理服务收费管理暂行办法&gt;的通知》（计价格【2002】1980号）规定的《招标代理服务收费标准》</w:t>
            </w:r>
            <w:r>
              <w:rPr>
                <w:rFonts w:hint="eastAsia" w:ascii="宋体" w:hAnsi="宋体"/>
                <w:b/>
                <w:bCs/>
                <w:color w:val="auto"/>
                <w:sz w:val="24"/>
                <w:highlight w:val="none"/>
                <w:lang w:eastAsia="zh-CN"/>
              </w:rPr>
              <w:t>下浮</w:t>
            </w:r>
            <w:r>
              <w:rPr>
                <w:rFonts w:hint="eastAsia" w:ascii="宋体" w:hAnsi="宋体"/>
                <w:b/>
                <w:bCs/>
                <w:color w:val="auto"/>
                <w:sz w:val="24"/>
                <w:highlight w:val="none"/>
                <w:lang w:val="en-US" w:eastAsia="zh-CN"/>
              </w:rPr>
              <w:t>20%</w:t>
            </w:r>
            <w:r>
              <w:rPr>
                <w:rFonts w:hint="eastAsia" w:ascii="宋体" w:hAnsi="宋体"/>
                <w:b/>
                <w:bCs/>
                <w:color w:val="auto"/>
                <w:sz w:val="24"/>
                <w:highlight w:val="none"/>
              </w:rPr>
              <w:t>收取</w:t>
            </w:r>
            <w:r>
              <w:rPr>
                <w:rFonts w:hint="eastAsia" w:ascii="宋体" w:hAnsi="宋体"/>
                <w:b/>
                <w:bCs/>
                <w:color w:val="auto"/>
                <w:sz w:val="24"/>
                <w:highlight w:val="none"/>
                <w:lang w:eastAsia="zh-CN"/>
              </w:rPr>
              <w:t>，</w:t>
            </w:r>
            <w:r>
              <w:rPr>
                <w:rFonts w:hint="eastAsia" w:ascii="宋体" w:hAnsi="宋体" w:cs="仿宋_GB2312"/>
                <w:b/>
                <w:bCs/>
                <w:color w:val="auto"/>
                <w:sz w:val="24"/>
                <w:highlight w:val="none"/>
                <w:shd w:val="clear" w:color="auto" w:fill="auto"/>
                <w:lang w:eastAsia="zh-CN"/>
              </w:rPr>
              <w:t>由中标人支付</w:t>
            </w:r>
            <w:r>
              <w:rPr>
                <w:rFonts w:hint="eastAsia" w:ascii="宋体" w:hAnsi="宋体" w:cs="宋体"/>
                <w:b/>
                <w:bCs/>
                <w:color w:val="auto"/>
                <w:sz w:val="24"/>
                <w:highlight w:val="none"/>
                <w:shd w:val="clear" w:color="auto" w:fill="auto"/>
              </w:rPr>
              <w:t>。</w:t>
            </w:r>
          </w:p>
          <w:p w14:paraId="089F13AA">
            <w:pPr>
              <w:keepNext w:val="0"/>
              <w:keepLines w:val="0"/>
              <w:pageBreakBefore w:val="0"/>
              <w:kinsoku/>
              <w:wordWrap/>
              <w:overflowPunct/>
              <w:topLinePunct w:val="0"/>
              <w:bidi w:val="0"/>
              <w:spacing w:line="360" w:lineRule="auto"/>
              <w:jc w:val="left"/>
              <w:rPr>
                <w:rFonts w:ascii="宋体" w:hAnsi="宋体"/>
                <w:b/>
                <w:bCs/>
                <w:color w:val="auto"/>
                <w:sz w:val="24"/>
                <w:highlight w:val="none"/>
              </w:rPr>
            </w:pPr>
            <w:r>
              <w:rPr>
                <w:rFonts w:hint="eastAsia" w:ascii="宋体" w:hAnsi="宋体"/>
                <w:b/>
                <w:bCs/>
                <w:color w:val="auto"/>
                <w:sz w:val="24"/>
                <w:highlight w:val="none"/>
              </w:rPr>
              <w:t>3、中标服务费缴纳方式：可用现金、银行转账或电汇的付款方式。</w:t>
            </w:r>
          </w:p>
          <w:p w14:paraId="348899D2">
            <w:pPr>
              <w:keepNext w:val="0"/>
              <w:keepLines w:val="0"/>
              <w:pageBreakBefore w:val="0"/>
              <w:kinsoku/>
              <w:wordWrap/>
              <w:overflowPunct/>
              <w:topLinePunct w:val="0"/>
              <w:bidi w:val="0"/>
              <w:spacing w:line="360" w:lineRule="auto"/>
              <w:ind w:firstLine="241" w:firstLineChars="100"/>
              <w:jc w:val="left"/>
              <w:rPr>
                <w:rFonts w:ascii="宋体" w:hAnsi="宋体"/>
                <w:b/>
                <w:bCs/>
                <w:color w:val="auto"/>
                <w:sz w:val="24"/>
                <w:highlight w:val="none"/>
              </w:rPr>
            </w:pPr>
            <w:r>
              <w:rPr>
                <w:rFonts w:hint="eastAsia" w:ascii="宋体" w:hAnsi="宋体"/>
                <w:b/>
                <w:bCs/>
                <w:color w:val="auto"/>
                <w:sz w:val="24"/>
                <w:highlight w:val="none"/>
              </w:rPr>
              <w:t>缴纳账户信息：</w:t>
            </w:r>
          </w:p>
          <w:p w14:paraId="485B1195">
            <w:pPr>
              <w:keepNext w:val="0"/>
              <w:keepLines w:val="0"/>
              <w:pageBreakBefore w:val="0"/>
              <w:kinsoku/>
              <w:wordWrap/>
              <w:overflowPunct/>
              <w:topLinePunct w:val="0"/>
              <w:bidi w:val="0"/>
              <w:spacing w:line="360" w:lineRule="auto"/>
              <w:ind w:firstLine="241" w:firstLineChars="100"/>
              <w:jc w:val="left"/>
              <w:rPr>
                <w:rFonts w:hint="eastAsia" w:ascii="宋体" w:hAnsi="宋体" w:eastAsia="宋体"/>
                <w:b/>
                <w:bCs/>
                <w:color w:val="auto"/>
                <w:sz w:val="24"/>
                <w:highlight w:val="none"/>
                <w:lang w:eastAsia="zh-CN"/>
              </w:rPr>
            </w:pPr>
            <w:r>
              <w:rPr>
                <w:rFonts w:hint="eastAsia" w:ascii="宋体" w:hAnsi="宋体"/>
                <w:b/>
                <w:bCs/>
                <w:color w:val="auto"/>
                <w:sz w:val="24"/>
                <w:highlight w:val="none"/>
              </w:rPr>
              <w:t>开户名：</w:t>
            </w:r>
            <w:r>
              <w:rPr>
                <w:rFonts w:hint="eastAsia" w:ascii="宋体" w:hAnsi="宋体"/>
                <w:b/>
                <w:bCs/>
                <w:color w:val="auto"/>
                <w:sz w:val="24"/>
                <w:highlight w:val="none"/>
                <w:lang w:eastAsia="zh-CN"/>
              </w:rPr>
              <w:t>云南嘉鑫项目管理咨询有限公司</w:t>
            </w:r>
          </w:p>
          <w:p w14:paraId="269D7ECA">
            <w:pPr>
              <w:keepNext w:val="0"/>
              <w:keepLines w:val="0"/>
              <w:pageBreakBefore w:val="0"/>
              <w:kinsoku/>
              <w:wordWrap/>
              <w:overflowPunct/>
              <w:topLinePunct w:val="0"/>
              <w:bidi w:val="0"/>
              <w:spacing w:line="360" w:lineRule="auto"/>
              <w:ind w:firstLine="241" w:firstLineChars="100"/>
              <w:jc w:val="left"/>
              <w:rPr>
                <w:rFonts w:ascii="宋体" w:hAnsi="宋体"/>
                <w:b/>
                <w:bCs/>
                <w:color w:val="auto"/>
                <w:sz w:val="24"/>
                <w:highlight w:val="none"/>
              </w:rPr>
            </w:pPr>
            <w:r>
              <w:rPr>
                <w:rFonts w:hint="eastAsia" w:ascii="宋体" w:hAnsi="宋体"/>
                <w:b/>
                <w:bCs/>
                <w:color w:val="auto"/>
                <w:sz w:val="24"/>
                <w:highlight w:val="none"/>
              </w:rPr>
              <w:t>开户行：中国工商银行股份有限公司玉溪红塔山支行</w:t>
            </w:r>
          </w:p>
          <w:p w14:paraId="0B2AC4E0">
            <w:pPr>
              <w:keepNext w:val="0"/>
              <w:keepLines w:val="0"/>
              <w:pageBreakBefore w:val="0"/>
              <w:kinsoku/>
              <w:wordWrap/>
              <w:overflowPunct/>
              <w:topLinePunct w:val="0"/>
              <w:bidi w:val="0"/>
              <w:spacing w:line="360" w:lineRule="auto"/>
              <w:ind w:firstLine="241" w:firstLineChars="100"/>
              <w:jc w:val="left"/>
              <w:rPr>
                <w:rFonts w:ascii="宋体" w:hAnsi="宋体"/>
                <w:b/>
                <w:bCs/>
                <w:color w:val="auto"/>
                <w:sz w:val="24"/>
                <w:highlight w:val="none"/>
              </w:rPr>
            </w:pPr>
            <w:r>
              <w:rPr>
                <w:rFonts w:hint="eastAsia" w:ascii="宋体" w:hAnsi="宋体"/>
                <w:b/>
                <w:bCs/>
                <w:color w:val="auto"/>
                <w:sz w:val="24"/>
                <w:highlight w:val="none"/>
              </w:rPr>
              <w:t>帐  号：2517026009200053290</w:t>
            </w:r>
          </w:p>
          <w:p w14:paraId="2E87A464">
            <w:pPr>
              <w:keepNext w:val="0"/>
              <w:keepLines w:val="0"/>
              <w:pageBreakBefore w:val="0"/>
              <w:kinsoku/>
              <w:wordWrap/>
              <w:overflowPunct/>
              <w:topLinePunct w:val="0"/>
              <w:bidi w:val="0"/>
              <w:spacing w:line="360" w:lineRule="auto"/>
              <w:ind w:firstLine="241" w:firstLineChars="100"/>
              <w:jc w:val="left"/>
              <w:rPr>
                <w:rFonts w:hint="default" w:ascii="宋体" w:hAnsi="宋体"/>
                <w:b/>
                <w:bCs/>
                <w:color w:val="auto"/>
                <w:sz w:val="24"/>
                <w:highlight w:val="none"/>
                <w:lang w:val="en-US"/>
              </w:rPr>
            </w:pPr>
            <w:r>
              <w:rPr>
                <w:rFonts w:hint="eastAsia" w:ascii="宋体" w:hAnsi="宋体"/>
                <w:b/>
                <w:bCs/>
                <w:color w:val="auto"/>
                <w:sz w:val="24"/>
                <w:highlight w:val="none"/>
              </w:rPr>
              <w:t>联系人：</w:t>
            </w:r>
            <w:r>
              <w:rPr>
                <w:rFonts w:hint="eastAsia" w:ascii="宋体" w:hAnsi="宋体"/>
                <w:b/>
                <w:bCs/>
                <w:color w:val="auto"/>
                <w:sz w:val="24"/>
                <w:highlight w:val="none"/>
                <w:lang w:eastAsia="zh-CN"/>
              </w:rPr>
              <w:t>李师</w:t>
            </w:r>
            <w:r>
              <w:rPr>
                <w:rFonts w:hint="eastAsia" w:ascii="宋体" w:hAnsi="宋体"/>
                <w:b/>
                <w:bCs/>
                <w:color w:val="auto"/>
                <w:sz w:val="24"/>
                <w:highlight w:val="none"/>
              </w:rPr>
              <w:t xml:space="preserve">     联系电话：</w:t>
            </w:r>
            <w:r>
              <w:rPr>
                <w:rFonts w:hint="eastAsia" w:ascii="宋体" w:hAnsi="宋体"/>
                <w:b/>
                <w:bCs/>
                <w:color w:val="auto"/>
                <w:sz w:val="24"/>
                <w:highlight w:val="none"/>
                <w:lang w:val="en-US" w:eastAsia="zh-CN"/>
              </w:rPr>
              <w:t>19948779574/0877-2085166</w:t>
            </w:r>
          </w:p>
          <w:p w14:paraId="05B9E0D2">
            <w:pPr>
              <w:keepNext w:val="0"/>
              <w:keepLines w:val="0"/>
              <w:pageBreakBefore w:val="0"/>
              <w:kinsoku/>
              <w:wordWrap/>
              <w:overflowPunct/>
              <w:topLinePunct w:val="0"/>
              <w:autoSpaceDE w:val="0"/>
              <w:autoSpaceDN w:val="0"/>
              <w:bidi w:val="0"/>
              <w:spacing w:line="360" w:lineRule="auto"/>
              <w:ind w:firstLine="241" w:firstLineChars="100"/>
              <w:jc w:val="left"/>
              <w:rPr>
                <w:rFonts w:hAnsi="宋体"/>
                <w:color w:val="auto"/>
                <w:sz w:val="24"/>
                <w:highlight w:val="none"/>
              </w:rPr>
            </w:pPr>
            <w:r>
              <w:rPr>
                <w:rFonts w:hint="eastAsia" w:ascii="宋体" w:hAnsi="宋体"/>
                <w:b/>
                <w:bCs/>
                <w:color w:val="auto"/>
                <w:sz w:val="24"/>
                <w:highlight w:val="none"/>
              </w:rPr>
              <w:t>注：中标人在领取《中标通知书》前应向代理机构缴纳中标服务费。如采用电汇或银行转账，须同时递交中标服务费缴费凭证复印件。</w:t>
            </w:r>
          </w:p>
        </w:tc>
      </w:tr>
      <w:tr w14:paraId="517D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shd w:val="clear" w:color="auto" w:fill="auto"/>
            <w:noWrap/>
            <w:vAlign w:val="center"/>
          </w:tcPr>
          <w:p w14:paraId="68D3A698">
            <w:pPr>
              <w:pStyle w:val="15"/>
              <w:keepNext w:val="0"/>
              <w:keepLines w:val="0"/>
              <w:pageBreakBefore w:val="0"/>
              <w:kinsoku/>
              <w:wordWrap/>
              <w:overflowPunct/>
              <w:topLinePunct w:val="0"/>
              <w:bidi w:val="0"/>
              <w:spacing w:line="360" w:lineRule="auto"/>
              <w:jc w:val="center"/>
              <w:rPr>
                <w:rFonts w:hint="eastAsia" w:hAnsi="宋体" w:eastAsia="宋体"/>
                <w:color w:val="auto"/>
                <w:sz w:val="24"/>
                <w:szCs w:val="24"/>
                <w:highlight w:val="none"/>
                <w:lang w:eastAsia="zh-CN"/>
              </w:rPr>
            </w:pPr>
            <w:r>
              <w:rPr>
                <w:rFonts w:hint="eastAsia" w:hAnsi="宋体"/>
                <w:color w:val="auto"/>
                <w:sz w:val="24"/>
                <w:szCs w:val="24"/>
                <w:highlight w:val="none"/>
              </w:rPr>
              <w:t>2</w:t>
            </w:r>
            <w:r>
              <w:rPr>
                <w:rFonts w:hint="eastAsia" w:hAnsi="宋体"/>
                <w:color w:val="auto"/>
                <w:sz w:val="24"/>
                <w:szCs w:val="24"/>
                <w:highlight w:val="none"/>
                <w:lang w:val="en-US" w:eastAsia="zh-CN"/>
              </w:rPr>
              <w:t>7</w:t>
            </w:r>
          </w:p>
        </w:tc>
        <w:tc>
          <w:tcPr>
            <w:tcW w:w="8497" w:type="dxa"/>
            <w:gridSpan w:val="2"/>
            <w:shd w:val="solid" w:color="FFFFFF" w:fill="auto"/>
            <w:noWrap/>
            <w:vAlign w:val="center"/>
          </w:tcPr>
          <w:p w14:paraId="2E1FD13E">
            <w:pPr>
              <w:pStyle w:val="15"/>
              <w:keepNext w:val="0"/>
              <w:keepLines w:val="0"/>
              <w:pageBreakBefore w:val="0"/>
              <w:tabs>
                <w:tab w:val="left" w:pos="2472"/>
              </w:tabs>
              <w:kinsoku/>
              <w:wordWrap/>
              <w:overflowPunct/>
              <w:topLinePunct w:val="0"/>
              <w:bidi w:val="0"/>
              <w:spacing w:line="360" w:lineRule="auto"/>
              <w:jc w:val="left"/>
              <w:rPr>
                <w:rFonts w:hAnsi="宋体"/>
                <w:color w:val="auto"/>
                <w:szCs w:val="24"/>
                <w:highlight w:val="none"/>
              </w:rPr>
            </w:pPr>
            <w:r>
              <w:rPr>
                <w:rFonts w:hAnsi="宋体"/>
                <w:color w:val="auto"/>
                <w:sz w:val="24"/>
                <w:highlight w:val="none"/>
              </w:rPr>
              <w:t>需要补充的其他内容</w:t>
            </w:r>
          </w:p>
        </w:tc>
      </w:tr>
      <w:tr w14:paraId="1FF1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506" w:type="dxa"/>
            <w:gridSpan w:val="3"/>
            <w:shd w:val="clear" w:color="auto" w:fill="auto"/>
            <w:noWrap/>
            <w:vAlign w:val="center"/>
          </w:tcPr>
          <w:p w14:paraId="73F386D1">
            <w:pPr>
              <w:pStyle w:val="15"/>
              <w:keepNext w:val="0"/>
              <w:keepLines w:val="0"/>
              <w:pageBreakBefore w:val="0"/>
              <w:tabs>
                <w:tab w:val="left" w:pos="2472"/>
              </w:tabs>
              <w:kinsoku/>
              <w:wordWrap/>
              <w:overflowPunct/>
              <w:topLinePunct w:val="0"/>
              <w:bidi w:val="0"/>
              <w:spacing w:line="360" w:lineRule="auto"/>
              <w:jc w:val="left"/>
              <w:rPr>
                <w:rFonts w:hAnsi="宋体"/>
                <w:color w:val="auto"/>
                <w:sz w:val="24"/>
                <w:highlight w:val="none"/>
              </w:rPr>
            </w:pPr>
            <w:r>
              <w:rPr>
                <w:rFonts w:hint="eastAsia" w:hAnsi="宋体"/>
                <w:color w:val="auto"/>
                <w:sz w:val="24"/>
                <w:highlight w:val="none"/>
              </w:rPr>
              <w:t>2</w:t>
            </w:r>
            <w:r>
              <w:rPr>
                <w:rFonts w:hint="eastAsia" w:hAnsi="宋体"/>
                <w:color w:val="auto"/>
                <w:sz w:val="24"/>
                <w:highlight w:val="none"/>
                <w:lang w:val="en-US" w:eastAsia="zh-CN"/>
              </w:rPr>
              <w:t>7</w:t>
            </w:r>
            <w:r>
              <w:rPr>
                <w:rFonts w:hint="eastAsia" w:hAnsi="宋体"/>
                <w:color w:val="auto"/>
                <w:sz w:val="24"/>
                <w:highlight w:val="none"/>
              </w:rPr>
              <w:t>.1中标人若因报价过低致使不与招标人签订合同的，或在合同签订、履行中无故要求变更投标承诺和变更投标报价的，招标人可取消其中标人资格。</w:t>
            </w:r>
          </w:p>
          <w:p w14:paraId="2079072F">
            <w:pPr>
              <w:pStyle w:val="15"/>
              <w:keepNext w:val="0"/>
              <w:keepLines w:val="0"/>
              <w:pageBreakBefore w:val="0"/>
              <w:tabs>
                <w:tab w:val="left" w:pos="2472"/>
              </w:tabs>
              <w:kinsoku/>
              <w:wordWrap/>
              <w:overflowPunct/>
              <w:topLinePunct w:val="0"/>
              <w:bidi w:val="0"/>
              <w:spacing w:line="360" w:lineRule="auto"/>
              <w:jc w:val="left"/>
              <w:rPr>
                <w:rFonts w:hAnsi="宋体"/>
                <w:color w:val="auto"/>
                <w:sz w:val="24"/>
                <w:highlight w:val="none"/>
              </w:rPr>
            </w:pPr>
            <w:r>
              <w:rPr>
                <w:rFonts w:hint="eastAsia" w:hAnsi="宋体"/>
                <w:color w:val="auto"/>
                <w:sz w:val="24"/>
                <w:highlight w:val="none"/>
              </w:rPr>
              <w:t>2</w:t>
            </w:r>
            <w:r>
              <w:rPr>
                <w:rFonts w:hint="eastAsia" w:hAnsi="宋体"/>
                <w:color w:val="auto"/>
                <w:sz w:val="24"/>
                <w:highlight w:val="none"/>
                <w:lang w:val="en-US" w:eastAsia="zh-CN"/>
              </w:rPr>
              <w:t>7</w:t>
            </w:r>
            <w:r>
              <w:rPr>
                <w:rFonts w:hint="eastAsia" w:hAnsi="宋体"/>
                <w:color w:val="auto"/>
                <w:sz w:val="24"/>
                <w:highlight w:val="none"/>
              </w:rPr>
              <w:t>.2合同签订：领取中标通知书</w:t>
            </w:r>
            <w:r>
              <w:rPr>
                <w:rFonts w:hint="eastAsia" w:hAnsi="宋体"/>
                <w:color w:val="auto"/>
                <w:sz w:val="24"/>
                <w:highlight w:val="none"/>
                <w:lang w:val="en-US" w:eastAsia="zh-CN"/>
              </w:rPr>
              <w:t>后</w:t>
            </w:r>
            <w:r>
              <w:rPr>
                <w:rFonts w:hint="eastAsia" w:hAnsi="宋体"/>
                <w:color w:val="auto"/>
                <w:sz w:val="24"/>
                <w:highlight w:val="none"/>
              </w:rPr>
              <w:t>由中标人凭中标通知书与招标人签订合同。</w:t>
            </w:r>
          </w:p>
          <w:p w14:paraId="1B284FE8">
            <w:pPr>
              <w:pStyle w:val="15"/>
              <w:keepNext w:val="0"/>
              <w:keepLines w:val="0"/>
              <w:pageBreakBefore w:val="0"/>
              <w:tabs>
                <w:tab w:val="left" w:pos="2472"/>
              </w:tabs>
              <w:kinsoku/>
              <w:wordWrap/>
              <w:overflowPunct/>
              <w:topLinePunct w:val="0"/>
              <w:bidi w:val="0"/>
              <w:spacing w:line="360" w:lineRule="auto"/>
              <w:jc w:val="left"/>
              <w:rPr>
                <w:rFonts w:hAnsi="宋体"/>
                <w:color w:val="auto"/>
                <w:sz w:val="24"/>
                <w:highlight w:val="none"/>
              </w:rPr>
            </w:pPr>
            <w:r>
              <w:rPr>
                <w:rFonts w:hint="eastAsia" w:hAnsi="宋体"/>
                <w:color w:val="auto"/>
                <w:sz w:val="24"/>
                <w:highlight w:val="none"/>
              </w:rPr>
              <w:t>2</w:t>
            </w:r>
            <w:r>
              <w:rPr>
                <w:rFonts w:hint="eastAsia" w:hAnsi="宋体"/>
                <w:color w:val="auto"/>
                <w:sz w:val="24"/>
                <w:highlight w:val="none"/>
                <w:lang w:val="en-US" w:eastAsia="zh-CN"/>
              </w:rPr>
              <w:t>7</w:t>
            </w:r>
            <w:r>
              <w:rPr>
                <w:rFonts w:hint="eastAsia" w:hAnsi="宋体"/>
                <w:color w:val="auto"/>
                <w:sz w:val="24"/>
                <w:highlight w:val="none"/>
              </w:rPr>
              <w:t>.3在服务过程中，若招标人发现中标人所提供的服务不能满足要求，可向中标人提出整改要求或提出警告，如中标人拒不整改或整改后依然无法满足招标人要求的，招标人有权提前终止合同，所造成的一切损失由中标人自行承担。</w:t>
            </w:r>
          </w:p>
        </w:tc>
      </w:tr>
      <w:tr w14:paraId="57AFE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506" w:type="dxa"/>
            <w:gridSpan w:val="3"/>
            <w:shd w:val="clear" w:color="auto" w:fill="auto"/>
            <w:noWrap/>
            <w:vAlign w:val="center"/>
          </w:tcPr>
          <w:p w14:paraId="7BACE2CC">
            <w:pPr>
              <w:keepNext w:val="0"/>
              <w:keepLines w:val="0"/>
              <w:pageBreakBefore w:val="0"/>
              <w:widowControl/>
              <w:kinsoku/>
              <w:wordWrap/>
              <w:overflowPunct/>
              <w:topLinePunct w:val="0"/>
              <w:bidi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☆☆☆特别说明☆☆☆</w:t>
            </w:r>
          </w:p>
          <w:p w14:paraId="5184AC5C">
            <w:pPr>
              <w:keepNext w:val="0"/>
              <w:keepLines w:val="0"/>
              <w:pageBreakBefore w:val="0"/>
              <w:widowControl/>
              <w:kinsoku/>
              <w:wordWrap/>
              <w:overflowPunct/>
              <w:topLinePunct w:val="0"/>
              <w:bidi w:val="0"/>
              <w:spacing w:line="360" w:lineRule="auto"/>
              <w:rPr>
                <w:rFonts w:ascii="宋体" w:hAnsi="宋体" w:cs="宋体"/>
                <w:color w:val="auto"/>
                <w:sz w:val="24"/>
                <w:highlight w:val="none"/>
              </w:rPr>
            </w:pPr>
            <w:r>
              <w:rPr>
                <w:rFonts w:hint="eastAsia" w:ascii="宋体" w:hAnsi="宋体" w:cs="宋体"/>
                <w:color w:val="auto"/>
                <w:sz w:val="24"/>
                <w:highlight w:val="none"/>
              </w:rPr>
              <w:t>1、本次招标采用电子化招标，投标人应登录</w:t>
            </w:r>
            <w:r>
              <w:rPr>
                <w:rFonts w:hint="eastAsia" w:ascii="宋体" w:hAnsi="宋体" w:cs="宋体"/>
                <w:color w:val="auto"/>
                <w:sz w:val="24"/>
                <w:highlight w:val="none"/>
                <w:lang w:eastAsia="zh-CN"/>
              </w:rPr>
              <w:t>政采云平台（http：//www.zcygov.cn）</w:t>
            </w:r>
            <w:r>
              <w:rPr>
                <w:rFonts w:hint="eastAsia" w:ascii="宋体" w:hAnsi="宋体" w:cs="宋体"/>
                <w:color w:val="auto"/>
                <w:sz w:val="24"/>
                <w:highlight w:val="none"/>
              </w:rPr>
              <w:t>下载招标文件，此途径为获取招标文件的唯一途径。投标人按系统要求向系统提交电子投标文件，并按相关要求进行解密。</w:t>
            </w:r>
          </w:p>
          <w:p w14:paraId="5F68265C">
            <w:pPr>
              <w:keepNext w:val="0"/>
              <w:keepLines w:val="0"/>
              <w:pageBreakBefore w:val="0"/>
              <w:widowControl/>
              <w:kinsoku/>
              <w:wordWrap/>
              <w:overflowPunct/>
              <w:topLinePunct w:val="0"/>
              <w:bidi w:val="0"/>
              <w:spacing w:line="360" w:lineRule="auto"/>
              <w:rPr>
                <w:rFonts w:ascii="宋体" w:hAnsi="宋体" w:cs="宋体"/>
                <w:color w:val="auto"/>
                <w:sz w:val="24"/>
                <w:highlight w:val="none"/>
              </w:rPr>
            </w:pPr>
            <w:r>
              <w:rPr>
                <w:rFonts w:hint="eastAsia" w:ascii="宋体" w:hAnsi="宋体" w:cs="宋体"/>
                <w:color w:val="auto"/>
                <w:sz w:val="24"/>
                <w:highlight w:val="none"/>
              </w:rPr>
              <w:t>2、招标文件中要求的相关证件扫描件可以为彩色扫描件或黑白扫描件，由投标人结合自身情况选择。</w:t>
            </w:r>
          </w:p>
          <w:p w14:paraId="58E7BEE2">
            <w:pPr>
              <w:keepNext w:val="0"/>
              <w:keepLines w:val="0"/>
              <w:pageBreakBefore w:val="0"/>
              <w:widowControl/>
              <w:kinsoku/>
              <w:wordWrap/>
              <w:overflowPunct/>
              <w:topLinePunct w:val="0"/>
              <w:bidi w:val="0"/>
              <w:spacing w:line="360" w:lineRule="auto"/>
              <w:rPr>
                <w:rFonts w:ascii="宋体" w:hAnsi="宋体" w:cs="宋体"/>
                <w:color w:val="auto"/>
                <w:sz w:val="24"/>
                <w:highlight w:val="none"/>
              </w:rPr>
            </w:pPr>
            <w:r>
              <w:rPr>
                <w:rFonts w:hint="eastAsia" w:ascii="宋体" w:hAnsi="宋体" w:cs="宋体"/>
                <w:color w:val="auto"/>
                <w:sz w:val="24"/>
                <w:highlight w:val="none"/>
              </w:rPr>
              <w:t>3、投标人中标后须按</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实际需求提供与网上上传的电子投标文件完全一致的纸质投标文件，纸质投标文件可以为网上递交的电子投标文件的打印件。</w:t>
            </w:r>
          </w:p>
          <w:p w14:paraId="13026626">
            <w:pPr>
              <w:pStyle w:val="15"/>
              <w:keepNext w:val="0"/>
              <w:keepLines w:val="0"/>
              <w:pageBreakBefore w:val="0"/>
              <w:tabs>
                <w:tab w:val="left" w:pos="2472"/>
              </w:tabs>
              <w:kinsoku/>
              <w:wordWrap/>
              <w:overflowPunct/>
              <w:topLinePunct w:val="0"/>
              <w:bidi w:val="0"/>
              <w:spacing w:line="360" w:lineRule="auto"/>
              <w:jc w:val="left"/>
              <w:rPr>
                <w:rFonts w:hAnsi="宋体"/>
                <w:color w:val="auto"/>
                <w:sz w:val="24"/>
                <w:highlight w:val="none"/>
              </w:rPr>
            </w:pPr>
            <w:r>
              <w:rPr>
                <w:rFonts w:hint="eastAsia" w:hAnsi="宋体" w:cs="宋体"/>
                <w:color w:val="auto"/>
                <w:sz w:val="24"/>
                <w:highlight w:val="none"/>
              </w:rPr>
              <w:t>注：中标后提供的纸质版投标文件不提倡豪华装订，投标文件应装订成册，不得采用活页夹等可随时拆换的方式装订。</w:t>
            </w:r>
          </w:p>
        </w:tc>
      </w:tr>
    </w:tbl>
    <w:p w14:paraId="3322AF13">
      <w:pPr>
        <w:pStyle w:val="3"/>
        <w:tabs>
          <w:tab w:val="left" w:pos="1021"/>
        </w:tabs>
        <w:adjustRightInd w:val="0"/>
        <w:snapToGrid w:val="0"/>
        <w:spacing w:line="480" w:lineRule="exact"/>
        <w:jc w:val="center"/>
        <w:textAlignment w:val="baseline"/>
        <w:rPr>
          <w:rFonts w:hAnsi="宋体"/>
          <w:color w:val="auto"/>
          <w:kern w:val="0"/>
          <w:sz w:val="28"/>
          <w:szCs w:val="20"/>
          <w:highlight w:val="none"/>
        </w:rPr>
      </w:pPr>
      <w:bookmarkStart w:id="81" w:name="_Toc23578"/>
      <w:bookmarkStart w:id="82" w:name="_Toc305963549"/>
      <w:bookmarkStart w:id="83" w:name="_Toc417632239"/>
      <w:bookmarkStart w:id="84" w:name="_Toc305963491"/>
      <w:bookmarkStart w:id="85" w:name="_Toc305963788"/>
      <w:bookmarkStart w:id="86" w:name="_Toc417632154"/>
      <w:r>
        <w:rPr>
          <w:rFonts w:hint="eastAsia" w:hAnsi="宋体"/>
          <w:color w:val="auto"/>
          <w:kern w:val="0"/>
          <w:sz w:val="28"/>
          <w:szCs w:val="20"/>
          <w:highlight w:val="none"/>
        </w:rPr>
        <w:t>1、总则</w:t>
      </w:r>
      <w:bookmarkEnd w:id="81"/>
    </w:p>
    <w:p w14:paraId="6BBF6CA1">
      <w:pPr>
        <w:pStyle w:val="4"/>
        <w:tabs>
          <w:tab w:val="left" w:pos="900"/>
        </w:tabs>
        <w:adjustRightInd w:val="0"/>
        <w:snapToGrid w:val="0"/>
        <w:spacing w:line="480" w:lineRule="exact"/>
        <w:ind w:firstLine="241" w:firstLineChars="100"/>
        <w:rPr>
          <w:color w:val="auto"/>
          <w:szCs w:val="24"/>
          <w:highlight w:val="none"/>
        </w:rPr>
      </w:pPr>
      <w:bookmarkStart w:id="87" w:name="_Toc417632241"/>
      <w:bookmarkStart w:id="88" w:name="_Toc417632156"/>
      <w:bookmarkStart w:id="89" w:name="_Toc28602"/>
      <w:bookmarkStart w:id="90" w:name="_Toc305963551"/>
      <w:bookmarkStart w:id="91" w:name="_Toc305963493"/>
      <w:bookmarkStart w:id="92" w:name="_Toc13667123"/>
      <w:bookmarkStart w:id="93" w:name="_Toc305963790"/>
      <w:bookmarkStart w:id="94" w:name="_Toc4528"/>
      <w:bookmarkStart w:id="95" w:name="_Toc21273"/>
      <w:bookmarkStart w:id="96" w:name="_Toc6936"/>
      <w:r>
        <w:rPr>
          <w:color w:val="auto"/>
          <w:szCs w:val="24"/>
          <w:highlight w:val="none"/>
        </w:rPr>
        <w:t>1.</w:t>
      </w:r>
      <w:r>
        <w:rPr>
          <w:rFonts w:hint="eastAsia"/>
          <w:color w:val="auto"/>
          <w:szCs w:val="24"/>
          <w:highlight w:val="none"/>
        </w:rPr>
        <w:t>1项目概况</w:t>
      </w:r>
    </w:p>
    <w:p w14:paraId="0482DC0C">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1.1.1参照</w:t>
      </w:r>
      <w:r>
        <w:rPr>
          <w:rFonts w:ascii="宋体" w:hAnsi="宋体"/>
          <w:color w:val="auto"/>
          <w:sz w:val="24"/>
          <w:highlight w:val="none"/>
        </w:rPr>
        <w:t>《</w:t>
      </w:r>
      <w:r>
        <w:rPr>
          <w:rFonts w:hint="eastAsia" w:ascii="宋体" w:hAnsi="宋体"/>
          <w:color w:val="auto"/>
          <w:sz w:val="24"/>
          <w:highlight w:val="none"/>
        </w:rPr>
        <w:t>中华人民共和国政府采购法》</w:t>
      </w:r>
      <w:r>
        <w:rPr>
          <w:rFonts w:ascii="宋体" w:hAnsi="宋体"/>
          <w:color w:val="auto"/>
          <w:sz w:val="24"/>
          <w:highlight w:val="none"/>
        </w:rPr>
        <w:t>、《</w:t>
      </w:r>
      <w:r>
        <w:rPr>
          <w:rFonts w:hint="eastAsia" w:ascii="宋体" w:hAnsi="宋体"/>
          <w:color w:val="auto"/>
          <w:sz w:val="24"/>
          <w:highlight w:val="none"/>
        </w:rPr>
        <w:t>中华人民共和国政府采购法实施条例</w:t>
      </w:r>
      <w:r>
        <w:rPr>
          <w:rFonts w:ascii="宋体" w:hAnsi="宋体"/>
          <w:color w:val="auto"/>
          <w:sz w:val="24"/>
          <w:highlight w:val="none"/>
        </w:rPr>
        <w:t>》</w:t>
      </w:r>
      <w:r>
        <w:rPr>
          <w:rFonts w:hint="eastAsia" w:ascii="宋体" w:hAnsi="宋体"/>
          <w:color w:val="auto"/>
          <w:sz w:val="24"/>
          <w:highlight w:val="none"/>
        </w:rPr>
        <w:t>、</w:t>
      </w:r>
      <w:r>
        <w:rPr>
          <w:rFonts w:hint="eastAsia"/>
          <w:color w:val="auto"/>
          <w:sz w:val="24"/>
          <w:highlight w:val="none"/>
        </w:rPr>
        <w:t>《政府采购货物和服务招标投标管理办法》（财政部令</w:t>
      </w:r>
      <w:r>
        <w:rPr>
          <w:rFonts w:hint="eastAsia" w:ascii="宋体" w:hAnsi="宋体"/>
          <w:color w:val="auto"/>
          <w:sz w:val="24"/>
          <w:highlight w:val="none"/>
        </w:rPr>
        <w:t>第87</w:t>
      </w:r>
      <w:r>
        <w:rPr>
          <w:rFonts w:hint="eastAsia"/>
          <w:color w:val="auto"/>
          <w:sz w:val="24"/>
          <w:highlight w:val="none"/>
        </w:rPr>
        <w:t>号）</w:t>
      </w:r>
      <w:r>
        <w:rPr>
          <w:rFonts w:ascii="宋体" w:hAnsi="宋体"/>
          <w:color w:val="auto"/>
          <w:sz w:val="24"/>
          <w:highlight w:val="none"/>
        </w:rPr>
        <w:t>等相关法律法规的规定，</w:t>
      </w:r>
      <w:r>
        <w:rPr>
          <w:rFonts w:hint="eastAsia" w:ascii="宋体" w:hAnsi="宋体"/>
          <w:color w:val="auto"/>
          <w:sz w:val="24"/>
          <w:highlight w:val="none"/>
          <w:u w:val="single"/>
          <w:lang w:eastAsia="zh-CN"/>
        </w:rPr>
        <w:t>云南嘉鑫项目管理咨询有限公司</w:t>
      </w:r>
      <w:r>
        <w:rPr>
          <w:rFonts w:ascii="宋体" w:hAnsi="宋体"/>
          <w:color w:val="auto"/>
          <w:sz w:val="24"/>
          <w:highlight w:val="none"/>
        </w:rPr>
        <w:t>受</w:t>
      </w:r>
      <w:r>
        <w:rPr>
          <w:rFonts w:hint="eastAsia" w:ascii="宋体" w:hAnsi="宋体"/>
          <w:bCs/>
          <w:color w:val="auto"/>
          <w:sz w:val="24"/>
          <w:highlight w:val="none"/>
          <w:u w:val="single"/>
          <w:lang w:eastAsia="zh-CN"/>
        </w:rPr>
        <w:t>云南省玉溪第一中学</w:t>
      </w:r>
      <w:r>
        <w:rPr>
          <w:rFonts w:ascii="宋体" w:hAnsi="宋体"/>
          <w:color w:val="auto"/>
          <w:sz w:val="24"/>
          <w:highlight w:val="none"/>
        </w:rPr>
        <w:t>的委托，对</w:t>
      </w:r>
      <w:r>
        <w:rPr>
          <w:rFonts w:hint="eastAsia" w:ascii="宋体" w:hAnsi="宋体"/>
          <w:color w:val="auto"/>
          <w:sz w:val="24"/>
          <w:highlight w:val="none"/>
          <w:u w:val="single"/>
          <w:lang w:eastAsia="zh-CN"/>
        </w:rPr>
        <w:t>玉溪一中拔尖创新人才培养项目之小初高贯通数学竞赛培训课程（二次）</w:t>
      </w:r>
      <w:r>
        <w:rPr>
          <w:rFonts w:ascii="宋体" w:hAnsi="宋体"/>
          <w:color w:val="auto"/>
          <w:sz w:val="24"/>
          <w:highlight w:val="none"/>
        </w:rPr>
        <w:t>进行公开招标，</w:t>
      </w:r>
      <w:r>
        <w:rPr>
          <w:rFonts w:ascii="宋体" w:hAnsi="宋体"/>
          <w:bCs/>
          <w:color w:val="auto"/>
          <w:sz w:val="24"/>
          <w:highlight w:val="none"/>
        </w:rPr>
        <w:t>本招标项目已具备招标条件</w:t>
      </w:r>
      <w:r>
        <w:rPr>
          <w:rFonts w:hint="eastAsia" w:ascii="宋体" w:hAnsi="宋体"/>
          <w:bCs/>
          <w:color w:val="auto"/>
          <w:sz w:val="24"/>
          <w:highlight w:val="none"/>
        </w:rPr>
        <w:t>,</w:t>
      </w:r>
      <w:r>
        <w:rPr>
          <w:rFonts w:ascii="宋体" w:hAnsi="宋体"/>
          <w:color w:val="auto"/>
          <w:sz w:val="24"/>
          <w:highlight w:val="none"/>
        </w:rPr>
        <w:t>现</w:t>
      </w:r>
      <w:r>
        <w:rPr>
          <w:rFonts w:hint="eastAsia" w:ascii="宋体" w:hAnsi="宋体"/>
          <w:color w:val="auto"/>
          <w:sz w:val="24"/>
          <w:highlight w:val="none"/>
        </w:rPr>
        <w:t>对</w:t>
      </w:r>
      <w:r>
        <w:rPr>
          <w:rFonts w:ascii="宋体" w:hAnsi="宋体"/>
          <w:color w:val="auto"/>
          <w:sz w:val="24"/>
          <w:highlight w:val="none"/>
        </w:rPr>
        <w:t>本项目所需相关</w:t>
      </w:r>
      <w:r>
        <w:rPr>
          <w:rFonts w:hint="eastAsia" w:ascii="宋体" w:hAnsi="宋体"/>
          <w:color w:val="auto"/>
          <w:sz w:val="24"/>
          <w:highlight w:val="none"/>
        </w:rPr>
        <w:t>内容</w:t>
      </w:r>
      <w:r>
        <w:rPr>
          <w:rFonts w:ascii="宋体" w:hAnsi="宋体"/>
          <w:color w:val="auto"/>
          <w:sz w:val="24"/>
          <w:highlight w:val="none"/>
        </w:rPr>
        <w:t>进行</w:t>
      </w:r>
      <w:r>
        <w:rPr>
          <w:rFonts w:hint="eastAsia" w:ascii="宋体" w:hAnsi="宋体"/>
          <w:color w:val="auto"/>
          <w:sz w:val="24"/>
          <w:highlight w:val="none"/>
        </w:rPr>
        <w:t>招</w:t>
      </w:r>
      <w:r>
        <w:rPr>
          <w:rFonts w:ascii="宋体" w:hAnsi="宋体"/>
          <w:color w:val="auto"/>
          <w:sz w:val="24"/>
          <w:highlight w:val="none"/>
        </w:rPr>
        <w:t>标。</w:t>
      </w:r>
    </w:p>
    <w:p w14:paraId="2790A8B2">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1.1.2招标人：见投标人须知前附表。</w:t>
      </w:r>
    </w:p>
    <w:p w14:paraId="65CE8F5A">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1.1.3招标代理机构：见投标人须知前附表。</w:t>
      </w:r>
    </w:p>
    <w:p w14:paraId="403EF8EC">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1.1.4项目名称及项目编号：见投标人须知前附表。</w:t>
      </w:r>
    </w:p>
    <w:p w14:paraId="16A60A0F">
      <w:pPr>
        <w:pStyle w:val="4"/>
        <w:tabs>
          <w:tab w:val="left" w:pos="900"/>
        </w:tabs>
        <w:adjustRightInd w:val="0"/>
        <w:snapToGrid w:val="0"/>
        <w:spacing w:line="480" w:lineRule="exact"/>
        <w:ind w:firstLine="241" w:firstLineChars="100"/>
        <w:rPr>
          <w:color w:val="auto"/>
          <w:szCs w:val="24"/>
          <w:highlight w:val="none"/>
        </w:rPr>
      </w:pPr>
      <w:r>
        <w:rPr>
          <w:color w:val="auto"/>
          <w:szCs w:val="24"/>
          <w:highlight w:val="none"/>
        </w:rPr>
        <w:t>1.</w:t>
      </w:r>
      <w:r>
        <w:rPr>
          <w:rFonts w:hint="eastAsia"/>
          <w:color w:val="auto"/>
          <w:szCs w:val="24"/>
          <w:highlight w:val="none"/>
        </w:rPr>
        <w:t>2招标项目的资金来源和落实情况</w:t>
      </w:r>
    </w:p>
    <w:p w14:paraId="129EAFC7">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1.2.1资金来源及比例：见投标人须知前附表。</w:t>
      </w:r>
    </w:p>
    <w:p w14:paraId="01A87F26">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1.2.2资金落实情况：见投标人须知前附表。</w:t>
      </w:r>
    </w:p>
    <w:p w14:paraId="6DFFFB80">
      <w:pPr>
        <w:pStyle w:val="4"/>
        <w:tabs>
          <w:tab w:val="left" w:pos="900"/>
        </w:tabs>
        <w:adjustRightInd w:val="0"/>
        <w:snapToGrid w:val="0"/>
        <w:spacing w:line="480" w:lineRule="exact"/>
        <w:ind w:firstLine="241" w:firstLineChars="100"/>
        <w:rPr>
          <w:color w:val="auto"/>
          <w:szCs w:val="24"/>
          <w:highlight w:val="none"/>
        </w:rPr>
      </w:pPr>
      <w:r>
        <w:rPr>
          <w:color w:val="auto"/>
          <w:szCs w:val="24"/>
          <w:highlight w:val="none"/>
        </w:rPr>
        <w:t>1.</w:t>
      </w:r>
      <w:r>
        <w:rPr>
          <w:rFonts w:hint="eastAsia"/>
          <w:color w:val="auto"/>
          <w:szCs w:val="24"/>
          <w:highlight w:val="none"/>
        </w:rPr>
        <w:t>3项目预算、</w:t>
      </w:r>
      <w:r>
        <w:rPr>
          <w:rFonts w:hint="eastAsia"/>
          <w:color w:val="auto"/>
          <w:szCs w:val="24"/>
          <w:highlight w:val="none"/>
          <w:lang w:eastAsia="zh-CN"/>
        </w:rPr>
        <w:t>服务需求</w:t>
      </w:r>
      <w:r>
        <w:rPr>
          <w:rFonts w:hint="eastAsia"/>
          <w:color w:val="auto"/>
          <w:szCs w:val="24"/>
          <w:highlight w:val="none"/>
        </w:rPr>
        <w:t>、合同履行期限、质量要求</w:t>
      </w:r>
    </w:p>
    <w:p w14:paraId="5B749548">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1.3.1项目预算：见投标人须知前附表。</w:t>
      </w:r>
    </w:p>
    <w:p w14:paraId="6CFED173">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1.3.2</w:t>
      </w:r>
      <w:r>
        <w:rPr>
          <w:rFonts w:hint="eastAsia" w:ascii="宋体" w:hAnsi="宋体"/>
          <w:color w:val="auto"/>
          <w:sz w:val="24"/>
          <w:highlight w:val="none"/>
          <w:lang w:eastAsia="zh-CN"/>
        </w:rPr>
        <w:t>服务需求</w:t>
      </w:r>
      <w:r>
        <w:rPr>
          <w:rFonts w:hint="eastAsia" w:ascii="宋体" w:hAnsi="宋体"/>
          <w:color w:val="auto"/>
          <w:sz w:val="24"/>
          <w:highlight w:val="none"/>
        </w:rPr>
        <w:t>：见投标人须知前附表。</w:t>
      </w:r>
    </w:p>
    <w:p w14:paraId="2A2C563C">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1.3.3合同履行期限：见投标人须知前附表。</w:t>
      </w:r>
    </w:p>
    <w:p w14:paraId="602B0C12">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1.3.</w:t>
      </w:r>
      <w:r>
        <w:rPr>
          <w:rFonts w:ascii="宋体" w:hAnsi="宋体"/>
          <w:color w:val="auto"/>
          <w:sz w:val="24"/>
          <w:highlight w:val="none"/>
        </w:rPr>
        <w:t>4</w:t>
      </w:r>
      <w:r>
        <w:rPr>
          <w:rFonts w:hint="eastAsia" w:ascii="宋体" w:hAnsi="宋体"/>
          <w:color w:val="auto"/>
          <w:sz w:val="24"/>
          <w:highlight w:val="none"/>
        </w:rPr>
        <w:t>质量要求：见投标人须知前附表。</w:t>
      </w:r>
    </w:p>
    <w:p w14:paraId="1B187833">
      <w:pPr>
        <w:pStyle w:val="4"/>
        <w:tabs>
          <w:tab w:val="left" w:pos="900"/>
        </w:tabs>
        <w:adjustRightInd w:val="0"/>
        <w:snapToGrid w:val="0"/>
        <w:spacing w:line="480" w:lineRule="exact"/>
        <w:ind w:firstLine="241" w:firstLineChars="100"/>
        <w:rPr>
          <w:color w:val="auto"/>
          <w:szCs w:val="24"/>
          <w:highlight w:val="none"/>
        </w:rPr>
      </w:pPr>
      <w:r>
        <w:rPr>
          <w:color w:val="auto"/>
          <w:szCs w:val="24"/>
          <w:highlight w:val="none"/>
        </w:rPr>
        <w:t>1.</w:t>
      </w:r>
      <w:r>
        <w:rPr>
          <w:rFonts w:hint="eastAsia"/>
          <w:color w:val="auto"/>
          <w:szCs w:val="24"/>
          <w:highlight w:val="none"/>
        </w:rPr>
        <w:t>4合格的投标人</w:t>
      </w:r>
    </w:p>
    <w:p w14:paraId="6B6EEB30">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4.1投标人应符合招标文件“投标人须知前附表”中规定的条件。</w:t>
      </w:r>
    </w:p>
    <w:p w14:paraId="5537439E">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4.2</w:t>
      </w:r>
      <w:r>
        <w:rPr>
          <w:rFonts w:hint="eastAsia" w:ascii="宋体" w:hAnsi="宋体"/>
          <w:color w:val="auto"/>
          <w:sz w:val="24"/>
          <w:highlight w:val="none"/>
        </w:rPr>
        <w:t>是否接受联合体投标的，见“投标人须知前附表”</w:t>
      </w:r>
      <w:r>
        <w:rPr>
          <w:rFonts w:hint="eastAsia" w:ascii="宋体" w:hAnsi="宋体"/>
          <w:color w:val="auto"/>
          <w:sz w:val="24"/>
          <w:highlight w:val="none"/>
          <w:lang w:eastAsia="zh-CN"/>
        </w:rPr>
        <w:t>。</w:t>
      </w:r>
    </w:p>
    <w:p w14:paraId="48D861E3">
      <w:pPr>
        <w:adjustRightInd w:val="0"/>
        <w:snapToGrid w:val="0"/>
        <w:spacing w:line="480" w:lineRule="exact"/>
        <w:ind w:firstLine="480" w:firstLineChars="200"/>
        <w:jc w:val="left"/>
        <w:rPr>
          <w:rFonts w:hint="eastAsia" w:ascii="宋体" w:hAnsi="宋体" w:eastAsia="宋体"/>
          <w:color w:val="auto"/>
          <w:sz w:val="24"/>
          <w:highlight w:val="none"/>
          <w:lang w:eastAsia="zh-CN"/>
        </w:rPr>
      </w:pPr>
      <w:r>
        <w:rPr>
          <w:rFonts w:ascii="宋体" w:hAnsi="宋体"/>
          <w:color w:val="auto"/>
          <w:sz w:val="24"/>
          <w:highlight w:val="none"/>
        </w:rPr>
        <w:t>1.4.3</w:t>
      </w:r>
      <w:r>
        <w:rPr>
          <w:rFonts w:hint="eastAsia" w:ascii="宋体" w:hAnsi="宋体"/>
          <w:color w:val="auto"/>
          <w:sz w:val="24"/>
          <w:highlight w:val="none"/>
        </w:rPr>
        <w:t>单位负责人为同一个人的两个以及两个以上法人，母公司、全资子公司以及其控股公司或者存在管理关系的不同单位，都不得在同一包或者未划分包的同一招标项目同时投标</w:t>
      </w:r>
      <w:r>
        <w:rPr>
          <w:rFonts w:hint="eastAsia" w:ascii="宋体" w:hAnsi="宋体"/>
          <w:color w:val="auto"/>
          <w:sz w:val="24"/>
          <w:highlight w:val="none"/>
          <w:lang w:eastAsia="zh-CN"/>
        </w:rPr>
        <w:t>。</w:t>
      </w:r>
    </w:p>
    <w:p w14:paraId="6EBC4BA0">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1.4.4</w:t>
      </w:r>
      <w:r>
        <w:rPr>
          <w:rFonts w:hint="eastAsia" w:ascii="宋体" w:hAnsi="宋体"/>
          <w:color w:val="auto"/>
          <w:sz w:val="24"/>
          <w:highlight w:val="none"/>
        </w:rPr>
        <w:t>代理机构及其分支机构不得在所代理的采购项目中投标或者代理投标，不得为所代理的采购项目的投标人参加本项目提供投标咨询。</w:t>
      </w:r>
    </w:p>
    <w:p w14:paraId="17A43E1A">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1.4.5</w:t>
      </w:r>
      <w:r>
        <w:rPr>
          <w:rFonts w:hint="eastAsia" w:ascii="宋体" w:hAnsi="宋体"/>
          <w:color w:val="auto"/>
          <w:sz w:val="24"/>
          <w:highlight w:val="none"/>
        </w:rPr>
        <w:t>投标人提供的证明材料内容必须真实可靠。</w:t>
      </w:r>
    </w:p>
    <w:p w14:paraId="5342DE94">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符合上述条件的投标人即为合格投标人，具有参与公开招标的资格。</w:t>
      </w:r>
    </w:p>
    <w:p w14:paraId="3F133C24">
      <w:pPr>
        <w:pStyle w:val="4"/>
        <w:tabs>
          <w:tab w:val="left" w:pos="900"/>
        </w:tabs>
        <w:adjustRightInd w:val="0"/>
        <w:snapToGrid w:val="0"/>
        <w:spacing w:line="480" w:lineRule="exact"/>
        <w:ind w:firstLine="241" w:firstLineChars="100"/>
        <w:rPr>
          <w:color w:val="auto"/>
          <w:szCs w:val="24"/>
          <w:highlight w:val="none"/>
        </w:rPr>
      </w:pPr>
      <w:r>
        <w:rPr>
          <w:color w:val="auto"/>
          <w:szCs w:val="24"/>
          <w:highlight w:val="none"/>
        </w:rPr>
        <w:t>1.</w:t>
      </w:r>
      <w:r>
        <w:rPr>
          <w:rFonts w:hint="eastAsia"/>
          <w:color w:val="auto"/>
          <w:szCs w:val="24"/>
          <w:highlight w:val="none"/>
        </w:rPr>
        <w:t>5费用承担</w:t>
      </w:r>
    </w:p>
    <w:p w14:paraId="21A392E7">
      <w:pPr>
        <w:adjustRightInd w:val="0"/>
        <w:snapToGrid w:val="0"/>
        <w:spacing w:line="480" w:lineRule="exact"/>
        <w:ind w:firstLine="480" w:firstLineChars="200"/>
        <w:jc w:val="left"/>
        <w:rPr>
          <w:rFonts w:ascii="宋体" w:hAnsi="宋体"/>
          <w:color w:val="auto"/>
          <w:sz w:val="24"/>
          <w:szCs w:val="24"/>
          <w:highlight w:val="none"/>
        </w:rPr>
      </w:pPr>
      <w:r>
        <w:rPr>
          <w:rFonts w:hint="eastAsia" w:ascii="宋体" w:hAnsi="宋体"/>
          <w:color w:val="auto"/>
          <w:sz w:val="24"/>
          <w:highlight w:val="none"/>
        </w:rPr>
        <w:t>1.5.1</w:t>
      </w:r>
      <w:r>
        <w:rPr>
          <w:rFonts w:ascii="宋体" w:hAnsi="宋体"/>
          <w:color w:val="auto"/>
          <w:sz w:val="24"/>
          <w:highlight w:val="none"/>
        </w:rPr>
        <w:t>投标</w:t>
      </w:r>
      <w:r>
        <w:rPr>
          <w:rFonts w:ascii="宋体" w:hAnsi="宋体"/>
          <w:color w:val="auto"/>
          <w:sz w:val="24"/>
          <w:szCs w:val="24"/>
          <w:highlight w:val="none"/>
        </w:rPr>
        <w:t>人准备和参加投标活动发生的费用自理。</w:t>
      </w:r>
    </w:p>
    <w:p w14:paraId="677FB2B3">
      <w:pPr>
        <w:adjustRightInd w:val="0"/>
        <w:snapToGrid w:val="0"/>
        <w:spacing w:line="480" w:lineRule="exact"/>
        <w:ind w:firstLine="480" w:firstLineChars="200"/>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1.5.2招标代理服务费：</w:t>
      </w:r>
      <w:r>
        <w:rPr>
          <w:rFonts w:hint="eastAsia" w:ascii="宋体" w:hAnsi="宋体"/>
          <w:color w:val="auto"/>
          <w:sz w:val="24"/>
          <w:szCs w:val="24"/>
          <w:highlight w:val="none"/>
          <w:lang w:val="en-US" w:eastAsia="zh-CN"/>
        </w:rPr>
        <w:t>详见</w:t>
      </w:r>
      <w:r>
        <w:rPr>
          <w:rFonts w:hint="eastAsia" w:ascii="宋体" w:hAnsi="宋体"/>
          <w:color w:val="auto"/>
          <w:sz w:val="24"/>
          <w:szCs w:val="24"/>
          <w:highlight w:val="none"/>
        </w:rPr>
        <w:t>投标人须知前附表</w:t>
      </w:r>
      <w:r>
        <w:rPr>
          <w:rFonts w:hint="eastAsia" w:ascii="宋体" w:hAnsi="宋体"/>
          <w:color w:val="auto"/>
          <w:sz w:val="24"/>
          <w:szCs w:val="24"/>
          <w:highlight w:val="none"/>
          <w:lang w:eastAsia="zh-CN"/>
        </w:rPr>
        <w:t>。</w:t>
      </w:r>
    </w:p>
    <w:p w14:paraId="279B86B2">
      <w:pPr>
        <w:pStyle w:val="4"/>
        <w:tabs>
          <w:tab w:val="left" w:pos="900"/>
        </w:tabs>
        <w:adjustRightInd w:val="0"/>
        <w:snapToGrid w:val="0"/>
        <w:spacing w:line="480" w:lineRule="exact"/>
        <w:ind w:firstLine="241" w:firstLineChars="100"/>
        <w:rPr>
          <w:color w:val="auto"/>
          <w:szCs w:val="24"/>
          <w:highlight w:val="none"/>
        </w:rPr>
      </w:pPr>
      <w:r>
        <w:rPr>
          <w:color w:val="auto"/>
          <w:szCs w:val="24"/>
          <w:highlight w:val="none"/>
        </w:rPr>
        <w:t>1.</w:t>
      </w:r>
      <w:r>
        <w:rPr>
          <w:rFonts w:hint="eastAsia"/>
          <w:color w:val="auto"/>
          <w:szCs w:val="24"/>
          <w:highlight w:val="none"/>
        </w:rPr>
        <w:t>6保密</w:t>
      </w:r>
    </w:p>
    <w:p w14:paraId="6B41D461">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参与招标投标活动的各方应对招标文件和投标文件中的商业和技术等秘密保密，否则应承担相应的法律责任。</w:t>
      </w:r>
    </w:p>
    <w:p w14:paraId="3D3B25E9">
      <w:pPr>
        <w:pStyle w:val="4"/>
        <w:tabs>
          <w:tab w:val="left" w:pos="900"/>
        </w:tabs>
        <w:adjustRightInd w:val="0"/>
        <w:snapToGrid w:val="0"/>
        <w:spacing w:line="480" w:lineRule="exact"/>
        <w:ind w:firstLine="241" w:firstLineChars="100"/>
        <w:rPr>
          <w:color w:val="auto"/>
          <w:szCs w:val="24"/>
          <w:highlight w:val="none"/>
        </w:rPr>
      </w:pPr>
      <w:r>
        <w:rPr>
          <w:rFonts w:hint="eastAsia"/>
          <w:color w:val="auto"/>
          <w:szCs w:val="24"/>
          <w:highlight w:val="none"/>
        </w:rPr>
        <w:t>1.7语言文字</w:t>
      </w:r>
    </w:p>
    <w:p w14:paraId="491A41AF">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招标投标文件使用的语言文字为中文。专用术语使用外文的，应附有中文注释。</w:t>
      </w:r>
    </w:p>
    <w:p w14:paraId="72481E81">
      <w:pPr>
        <w:pStyle w:val="4"/>
        <w:tabs>
          <w:tab w:val="left" w:pos="900"/>
        </w:tabs>
        <w:adjustRightInd w:val="0"/>
        <w:snapToGrid w:val="0"/>
        <w:spacing w:line="480" w:lineRule="exact"/>
        <w:ind w:firstLine="241" w:firstLineChars="100"/>
        <w:rPr>
          <w:color w:val="auto"/>
          <w:szCs w:val="24"/>
          <w:highlight w:val="none"/>
        </w:rPr>
      </w:pPr>
      <w:r>
        <w:rPr>
          <w:rFonts w:hint="eastAsia"/>
          <w:color w:val="auto"/>
          <w:szCs w:val="24"/>
          <w:highlight w:val="none"/>
        </w:rPr>
        <w:t>1.8计量单位</w:t>
      </w:r>
    </w:p>
    <w:p w14:paraId="4BCA3557">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所有计量均采用中华人民共和国法定计量单位。</w:t>
      </w:r>
    </w:p>
    <w:p w14:paraId="0C44FCDB">
      <w:pPr>
        <w:pStyle w:val="4"/>
        <w:tabs>
          <w:tab w:val="left" w:pos="900"/>
        </w:tabs>
        <w:adjustRightInd w:val="0"/>
        <w:snapToGrid w:val="0"/>
        <w:spacing w:line="480" w:lineRule="exact"/>
        <w:ind w:firstLine="241" w:firstLineChars="100"/>
        <w:rPr>
          <w:color w:val="auto"/>
          <w:szCs w:val="24"/>
          <w:highlight w:val="none"/>
        </w:rPr>
      </w:pPr>
      <w:r>
        <w:rPr>
          <w:rFonts w:hint="eastAsia"/>
          <w:color w:val="auto"/>
          <w:szCs w:val="24"/>
          <w:highlight w:val="none"/>
        </w:rPr>
        <w:t>1.9现场考察或者召开开标前答疑会</w:t>
      </w:r>
    </w:p>
    <w:p w14:paraId="011FED5C">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1.9.1投标人须知前附表规定组织已获取招标文件的潜在投标人现场考察的，招标人按投标人须知前附表规定的时间和地点组织。</w:t>
      </w:r>
    </w:p>
    <w:p w14:paraId="15C2AC5B">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1.9.2投标人须知前附表规定召开开标前答疑会的，招标人按投标人须知前附表规定的时间和地点组织召开开标前答疑会。</w:t>
      </w:r>
    </w:p>
    <w:p w14:paraId="346F78D1">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1.9.</w:t>
      </w:r>
      <w:r>
        <w:rPr>
          <w:rFonts w:hint="eastAsia" w:ascii="宋体" w:hAnsi="宋体"/>
          <w:color w:val="auto"/>
          <w:sz w:val="24"/>
          <w:highlight w:val="none"/>
        </w:rPr>
        <w:t>3</w:t>
      </w:r>
      <w:r>
        <w:rPr>
          <w:rFonts w:ascii="宋体" w:hAnsi="宋体"/>
          <w:color w:val="auto"/>
          <w:sz w:val="24"/>
          <w:highlight w:val="none"/>
        </w:rPr>
        <w:t>投标人应</w:t>
      </w:r>
      <w:r>
        <w:rPr>
          <w:rFonts w:hint="eastAsia" w:ascii="宋体" w:hAnsi="宋体"/>
          <w:color w:val="auto"/>
          <w:sz w:val="24"/>
          <w:highlight w:val="none"/>
        </w:rPr>
        <w:t>在召开开标前答疑会前</w:t>
      </w:r>
      <w:r>
        <w:rPr>
          <w:rFonts w:ascii="宋体" w:hAnsi="宋体"/>
          <w:color w:val="auto"/>
          <w:sz w:val="24"/>
          <w:highlight w:val="none"/>
        </w:rPr>
        <w:t>将提出的问题送达招标人，以便招标人在会议期间澄清。</w:t>
      </w:r>
    </w:p>
    <w:p w14:paraId="2CB2A7D8">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1.9.4</w:t>
      </w:r>
      <w:r>
        <w:rPr>
          <w:rFonts w:hint="eastAsia" w:ascii="宋体" w:hAnsi="宋体"/>
          <w:color w:val="auto"/>
          <w:sz w:val="24"/>
          <w:highlight w:val="none"/>
        </w:rPr>
        <w:t>开标前答疑会</w:t>
      </w:r>
      <w:r>
        <w:rPr>
          <w:rFonts w:ascii="宋体" w:hAnsi="宋体"/>
          <w:color w:val="auto"/>
          <w:sz w:val="24"/>
          <w:highlight w:val="none"/>
        </w:rPr>
        <w:t>后，招标人将对投标人所提问题的澄清，以投标人须知前附表规定的形式通知所有购买招标文件的投标人。该澄清内容为招标文件的组成部分</w:t>
      </w:r>
      <w:r>
        <w:rPr>
          <w:rFonts w:hint="eastAsia" w:ascii="宋体" w:hAnsi="宋体"/>
          <w:color w:val="auto"/>
          <w:sz w:val="24"/>
          <w:highlight w:val="none"/>
        </w:rPr>
        <w:t>。</w:t>
      </w:r>
    </w:p>
    <w:p w14:paraId="6259588C">
      <w:pPr>
        <w:pStyle w:val="4"/>
        <w:tabs>
          <w:tab w:val="left" w:pos="900"/>
        </w:tabs>
        <w:adjustRightInd w:val="0"/>
        <w:snapToGrid w:val="0"/>
        <w:spacing w:line="480" w:lineRule="exact"/>
        <w:ind w:firstLine="241" w:firstLineChars="100"/>
        <w:rPr>
          <w:color w:val="auto"/>
          <w:szCs w:val="24"/>
          <w:highlight w:val="none"/>
        </w:rPr>
      </w:pPr>
      <w:r>
        <w:rPr>
          <w:rFonts w:hint="eastAsia"/>
          <w:color w:val="auto"/>
          <w:szCs w:val="24"/>
          <w:highlight w:val="none"/>
        </w:rPr>
        <w:t>1.10分包</w:t>
      </w:r>
    </w:p>
    <w:p w14:paraId="2B08E7FF">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本招标项目不允许分包（中标单位应按合同完成相应的义务，不允许分包给其他投标人完成）。</w:t>
      </w:r>
    </w:p>
    <w:bookmarkEnd w:id="87"/>
    <w:bookmarkEnd w:id="88"/>
    <w:bookmarkEnd w:id="89"/>
    <w:bookmarkEnd w:id="90"/>
    <w:bookmarkEnd w:id="91"/>
    <w:bookmarkEnd w:id="92"/>
    <w:bookmarkEnd w:id="93"/>
    <w:p w14:paraId="78B5641A">
      <w:pPr>
        <w:pStyle w:val="3"/>
        <w:adjustRightInd w:val="0"/>
        <w:snapToGrid w:val="0"/>
        <w:spacing w:line="480" w:lineRule="exact"/>
        <w:jc w:val="both"/>
        <w:rPr>
          <w:rFonts w:hAnsi="宋体" w:cs="宋体"/>
          <w:color w:val="auto"/>
          <w:sz w:val="28"/>
          <w:highlight w:val="none"/>
        </w:rPr>
      </w:pPr>
      <w:bookmarkStart w:id="97" w:name="_Toc22176"/>
      <w:r>
        <w:rPr>
          <w:rFonts w:hint="eastAsia" w:hAnsi="宋体" w:cs="宋体"/>
          <w:color w:val="auto"/>
          <w:sz w:val="28"/>
          <w:highlight w:val="none"/>
        </w:rPr>
        <w:t>2、招标文件</w:t>
      </w:r>
      <w:bookmarkEnd w:id="94"/>
      <w:bookmarkEnd w:id="95"/>
      <w:bookmarkEnd w:id="96"/>
      <w:bookmarkEnd w:id="97"/>
    </w:p>
    <w:p w14:paraId="4B82346B">
      <w:pPr>
        <w:adjustRightInd w:val="0"/>
        <w:snapToGrid w:val="0"/>
        <w:spacing w:line="48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2.1招标文件的组成</w:t>
      </w:r>
    </w:p>
    <w:p w14:paraId="5718D2F1">
      <w:pPr>
        <w:adjustRightInd w:val="0"/>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2.1.1招标文件包括下列内容：</w:t>
      </w:r>
    </w:p>
    <w:p w14:paraId="5F8842BC">
      <w:pPr>
        <w:adjustRightInd w:val="0"/>
        <w:snapToGrid w:val="0"/>
        <w:spacing w:line="480" w:lineRule="exact"/>
        <w:ind w:firstLine="1260" w:firstLineChars="525"/>
        <w:rPr>
          <w:rFonts w:ascii="宋体" w:hAnsi="宋体" w:cs="宋体"/>
          <w:color w:val="auto"/>
          <w:sz w:val="24"/>
          <w:highlight w:val="none"/>
        </w:rPr>
      </w:pPr>
      <w:r>
        <w:rPr>
          <w:rFonts w:hint="eastAsia" w:ascii="宋体" w:hAnsi="宋体" w:cs="宋体"/>
          <w:color w:val="auto"/>
          <w:sz w:val="24"/>
          <w:highlight w:val="none"/>
        </w:rPr>
        <w:t>第一章  招标公告</w:t>
      </w:r>
    </w:p>
    <w:p w14:paraId="4B777477">
      <w:pPr>
        <w:adjustRightInd w:val="0"/>
        <w:snapToGrid w:val="0"/>
        <w:spacing w:line="480" w:lineRule="exact"/>
        <w:ind w:firstLine="1260" w:firstLineChars="525"/>
        <w:rPr>
          <w:rFonts w:ascii="宋体" w:hAnsi="宋体" w:cs="宋体"/>
          <w:color w:val="auto"/>
          <w:sz w:val="24"/>
          <w:highlight w:val="none"/>
        </w:rPr>
      </w:pPr>
      <w:r>
        <w:rPr>
          <w:rFonts w:hint="eastAsia" w:ascii="宋体" w:hAnsi="宋体" w:cs="宋体"/>
          <w:color w:val="auto"/>
          <w:sz w:val="24"/>
          <w:highlight w:val="none"/>
        </w:rPr>
        <w:t>第二章  投标人须知</w:t>
      </w:r>
    </w:p>
    <w:p w14:paraId="2D5C72F5">
      <w:pPr>
        <w:adjustRightInd w:val="0"/>
        <w:snapToGrid w:val="0"/>
        <w:spacing w:line="480" w:lineRule="exact"/>
        <w:ind w:firstLine="1260" w:firstLineChars="525"/>
        <w:rPr>
          <w:rFonts w:ascii="宋体" w:hAnsi="宋体" w:cs="宋体"/>
          <w:color w:val="auto"/>
          <w:sz w:val="24"/>
          <w:highlight w:val="none"/>
        </w:rPr>
      </w:pPr>
      <w:r>
        <w:rPr>
          <w:rFonts w:hint="eastAsia" w:ascii="宋体" w:hAnsi="宋体" w:cs="宋体"/>
          <w:color w:val="auto"/>
          <w:sz w:val="24"/>
          <w:highlight w:val="none"/>
        </w:rPr>
        <w:t>第三章  拟签订的合同文本</w:t>
      </w:r>
    </w:p>
    <w:p w14:paraId="159C8152">
      <w:pPr>
        <w:adjustRightInd w:val="0"/>
        <w:snapToGrid w:val="0"/>
        <w:spacing w:line="480" w:lineRule="exact"/>
        <w:ind w:firstLine="1260" w:firstLineChars="525"/>
        <w:rPr>
          <w:rFonts w:ascii="宋体" w:hAnsi="宋体" w:cs="宋体"/>
          <w:color w:val="auto"/>
          <w:sz w:val="24"/>
          <w:highlight w:val="none"/>
        </w:rPr>
      </w:pPr>
      <w:r>
        <w:rPr>
          <w:rFonts w:hint="eastAsia" w:ascii="宋体" w:hAnsi="宋体" w:cs="宋体"/>
          <w:color w:val="auto"/>
          <w:sz w:val="24"/>
          <w:highlight w:val="none"/>
        </w:rPr>
        <w:t>第四章  投标文件格式</w:t>
      </w:r>
    </w:p>
    <w:p w14:paraId="5EE2667F">
      <w:pPr>
        <w:adjustRightInd w:val="0"/>
        <w:snapToGrid w:val="0"/>
        <w:spacing w:line="480" w:lineRule="exact"/>
        <w:ind w:firstLine="1260" w:firstLineChars="525"/>
        <w:rPr>
          <w:rFonts w:ascii="宋体" w:hAnsi="宋体" w:cs="宋体"/>
          <w:color w:val="auto"/>
          <w:sz w:val="24"/>
          <w:highlight w:val="none"/>
        </w:rPr>
      </w:pPr>
      <w:r>
        <w:rPr>
          <w:rFonts w:hint="eastAsia" w:ascii="宋体" w:hAnsi="宋体" w:cs="宋体"/>
          <w:color w:val="auto"/>
          <w:sz w:val="24"/>
          <w:highlight w:val="none"/>
        </w:rPr>
        <w:t>第五章  资格审查</w:t>
      </w:r>
    </w:p>
    <w:p w14:paraId="7E435911">
      <w:pPr>
        <w:adjustRightInd w:val="0"/>
        <w:snapToGrid w:val="0"/>
        <w:spacing w:line="480" w:lineRule="exact"/>
        <w:ind w:firstLine="1260" w:firstLineChars="525"/>
        <w:rPr>
          <w:rFonts w:ascii="宋体" w:hAnsi="宋体" w:cs="宋体"/>
          <w:color w:val="auto"/>
          <w:sz w:val="24"/>
          <w:highlight w:val="none"/>
        </w:rPr>
      </w:pPr>
      <w:r>
        <w:rPr>
          <w:rFonts w:hint="eastAsia" w:ascii="宋体" w:hAnsi="宋体" w:cs="宋体"/>
          <w:color w:val="auto"/>
          <w:sz w:val="24"/>
          <w:highlight w:val="none"/>
        </w:rPr>
        <w:t>第六章  评标办法</w:t>
      </w:r>
    </w:p>
    <w:p w14:paraId="61B4921A">
      <w:pPr>
        <w:adjustRightInd w:val="0"/>
        <w:snapToGrid w:val="0"/>
        <w:spacing w:line="480" w:lineRule="exact"/>
        <w:ind w:firstLine="1260" w:firstLineChars="525"/>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第七章  </w:t>
      </w:r>
      <w:r>
        <w:rPr>
          <w:rFonts w:hint="eastAsia" w:ascii="宋体" w:hAnsi="宋体" w:cs="宋体"/>
          <w:color w:val="auto"/>
          <w:sz w:val="24"/>
          <w:highlight w:val="none"/>
          <w:lang w:eastAsia="zh-CN"/>
        </w:rPr>
        <w:t>服务需求</w:t>
      </w:r>
    </w:p>
    <w:p w14:paraId="13689F97">
      <w:pPr>
        <w:adjustRightInd w:val="0"/>
        <w:snapToGrid w:val="0"/>
        <w:spacing w:line="480" w:lineRule="exact"/>
        <w:ind w:firstLine="480" w:firstLineChars="200"/>
        <w:jc w:val="left"/>
        <w:rPr>
          <w:rFonts w:ascii="宋体" w:hAnsi="宋体" w:cs="宋体"/>
          <w:color w:val="auto"/>
          <w:sz w:val="24"/>
          <w:highlight w:val="none"/>
        </w:rPr>
      </w:pPr>
      <w:r>
        <w:rPr>
          <w:rFonts w:ascii="宋体" w:hAnsi="宋体"/>
          <w:color w:val="auto"/>
          <w:sz w:val="24"/>
          <w:highlight w:val="none"/>
        </w:rPr>
        <w:t>2.1.2根据本章第1.</w:t>
      </w:r>
      <w:r>
        <w:rPr>
          <w:rFonts w:hint="eastAsia" w:ascii="宋体" w:hAnsi="宋体"/>
          <w:color w:val="auto"/>
          <w:sz w:val="24"/>
          <w:highlight w:val="none"/>
        </w:rPr>
        <w:t>9</w:t>
      </w:r>
      <w:r>
        <w:rPr>
          <w:rFonts w:ascii="宋体" w:hAnsi="宋体"/>
          <w:color w:val="auto"/>
          <w:sz w:val="24"/>
          <w:highlight w:val="none"/>
        </w:rPr>
        <w:t>款、第2.2款和第2.3款对招标文件所作的澄清、修改，构成招标文件的组成部分。</w:t>
      </w:r>
    </w:p>
    <w:p w14:paraId="622EDD5F">
      <w:pPr>
        <w:adjustRightInd w:val="0"/>
        <w:snapToGrid w:val="0"/>
        <w:spacing w:line="480" w:lineRule="exact"/>
        <w:ind w:firstLine="482" w:firstLineChars="200"/>
        <w:jc w:val="left"/>
        <w:rPr>
          <w:rFonts w:ascii="宋体" w:hAnsi="宋体" w:cs="宋体"/>
          <w:color w:val="auto"/>
          <w:spacing w:val="-4"/>
          <w:sz w:val="24"/>
          <w:highlight w:val="none"/>
        </w:rPr>
      </w:pPr>
      <w:r>
        <w:rPr>
          <w:rFonts w:hint="eastAsia" w:ascii="宋体" w:hAnsi="宋体" w:cs="宋体"/>
          <w:b/>
          <w:color w:val="auto"/>
          <w:sz w:val="24"/>
          <w:highlight w:val="none"/>
        </w:rPr>
        <w:t>2.2招标文件的澄清</w:t>
      </w:r>
    </w:p>
    <w:p w14:paraId="7CDA14EF">
      <w:pPr>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2.2</w:t>
      </w:r>
      <w:r>
        <w:rPr>
          <w:rFonts w:ascii="宋体" w:hAnsi="宋体"/>
          <w:color w:val="auto"/>
          <w:sz w:val="24"/>
          <w:highlight w:val="none"/>
        </w:rPr>
        <w:t>.1</w:t>
      </w:r>
      <w:r>
        <w:rPr>
          <w:rFonts w:hint="eastAsia" w:ascii="宋体" w:hAnsi="宋体"/>
          <w:color w:val="auto"/>
          <w:sz w:val="24"/>
          <w:highlight w:val="none"/>
        </w:rPr>
        <w:t>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471D1E1E">
      <w:pPr>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2.2.2</w:t>
      </w:r>
      <w:r>
        <w:rPr>
          <w:rFonts w:ascii="宋体" w:hAnsi="宋体"/>
          <w:color w:val="auto"/>
          <w:sz w:val="24"/>
          <w:highlight w:val="none"/>
        </w:rPr>
        <w:t>招标文件的澄清以投标人须知前附表规定的形式发给所有获取招标文件的潜在投标人，但不指明澄清问题的来源。澄清的时间距本章第</w:t>
      </w:r>
      <w:r>
        <w:rPr>
          <w:rFonts w:hint="eastAsia" w:ascii="宋体" w:hAnsi="宋体"/>
          <w:color w:val="auto"/>
          <w:sz w:val="24"/>
          <w:highlight w:val="none"/>
        </w:rPr>
        <w:t>4.2.1规定的投标截止时间不足15日的，并且澄清内容可能影响投标文件编制的，将相应延长投标截止时间。</w:t>
      </w:r>
    </w:p>
    <w:p w14:paraId="09669B4D">
      <w:pPr>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2.2.3投标人在收到澄清后，应按澄清内容规定的方式，确定已收到该澄清。</w:t>
      </w:r>
    </w:p>
    <w:p w14:paraId="377F0746">
      <w:pPr>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2.2.4除非招标人认为确有必要答复，否则，招标人有权拒绝回复投标人在本章第4.2.1项规定的时间后的任何澄清要求。</w:t>
      </w:r>
    </w:p>
    <w:p w14:paraId="305517DA">
      <w:pPr>
        <w:adjustRightInd w:val="0"/>
        <w:snapToGrid w:val="0"/>
        <w:spacing w:line="480" w:lineRule="exact"/>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2.3招标文件的修改</w:t>
      </w:r>
    </w:p>
    <w:p w14:paraId="6F684313">
      <w:pPr>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2.3.1招标人或招标代理机构以投标人须知前附表规定的形式修改招标文件，并通知所有已获取招标文件的投标人。修改招标文件的时间距本章第4.2.1项规定的投标截止时间不足15日，并且修改内容可能影响投标文件编制的，将相应延长投标截止时间</w:t>
      </w:r>
      <w:r>
        <w:rPr>
          <w:rFonts w:ascii="宋体" w:hAnsi="宋体"/>
          <w:color w:val="auto"/>
          <w:sz w:val="24"/>
          <w:highlight w:val="none"/>
        </w:rPr>
        <w:t>。</w:t>
      </w:r>
    </w:p>
    <w:p w14:paraId="01159E8B">
      <w:pPr>
        <w:spacing w:line="480" w:lineRule="exact"/>
        <w:ind w:firstLine="480" w:firstLineChars="200"/>
        <w:jc w:val="left"/>
        <w:rPr>
          <w:rFonts w:ascii="宋体" w:hAnsi="宋体" w:cs="宋体"/>
          <w:color w:val="auto"/>
          <w:sz w:val="24"/>
          <w:highlight w:val="none"/>
        </w:rPr>
      </w:pPr>
      <w:r>
        <w:rPr>
          <w:rFonts w:hint="eastAsia" w:ascii="宋体" w:hAnsi="宋体"/>
          <w:color w:val="auto"/>
          <w:sz w:val="24"/>
          <w:highlight w:val="none"/>
        </w:rPr>
        <w:t>2.3.2投标人收到修改内容后，应按澄清内容规定的方式，确定已收到该澄清。</w:t>
      </w:r>
    </w:p>
    <w:p w14:paraId="176EA90C">
      <w:pPr>
        <w:adjustRightInd w:val="0"/>
        <w:snapToGrid w:val="0"/>
        <w:spacing w:line="480" w:lineRule="exact"/>
        <w:ind w:firstLine="482" w:firstLineChars="200"/>
        <w:jc w:val="left"/>
        <w:rPr>
          <w:color w:val="auto"/>
          <w:highlight w:val="none"/>
        </w:rPr>
      </w:pPr>
      <w:r>
        <w:rPr>
          <w:rFonts w:hint="eastAsia" w:ascii="宋体" w:hAnsi="宋体" w:cs="宋体"/>
          <w:b/>
          <w:color w:val="auto"/>
          <w:sz w:val="24"/>
          <w:highlight w:val="none"/>
        </w:rPr>
        <w:t>2.4招标文件解释权归属招标人。只要投标人提交了投标文件，即意味着已经理解并同意了本招标文件的所有条文。</w:t>
      </w:r>
    </w:p>
    <w:bookmarkEnd w:id="82"/>
    <w:bookmarkEnd w:id="83"/>
    <w:bookmarkEnd w:id="84"/>
    <w:bookmarkEnd w:id="85"/>
    <w:bookmarkEnd w:id="86"/>
    <w:p w14:paraId="077226F3">
      <w:pPr>
        <w:pStyle w:val="3"/>
        <w:adjustRightInd w:val="0"/>
        <w:snapToGrid w:val="0"/>
        <w:spacing w:line="480" w:lineRule="exact"/>
        <w:jc w:val="both"/>
        <w:rPr>
          <w:rFonts w:hAnsi="宋体" w:cs="宋体"/>
          <w:color w:val="auto"/>
          <w:sz w:val="28"/>
          <w:highlight w:val="none"/>
        </w:rPr>
      </w:pPr>
      <w:r>
        <w:rPr>
          <w:rFonts w:hint="eastAsia" w:hAnsi="宋体" w:cs="宋体"/>
          <w:color w:val="auto"/>
          <w:sz w:val="28"/>
          <w:highlight w:val="none"/>
        </w:rPr>
        <w:t>3、投标文件</w:t>
      </w:r>
    </w:p>
    <w:p w14:paraId="127F58F2">
      <w:pPr>
        <w:pStyle w:val="4"/>
        <w:widowControl w:val="0"/>
        <w:tabs>
          <w:tab w:val="left" w:pos="900"/>
        </w:tabs>
        <w:adjustRightInd w:val="0"/>
        <w:snapToGrid w:val="0"/>
        <w:spacing w:line="480" w:lineRule="exact"/>
        <w:ind w:firstLine="241" w:firstLineChars="100"/>
        <w:rPr>
          <w:color w:val="auto"/>
          <w:szCs w:val="24"/>
          <w:highlight w:val="none"/>
        </w:rPr>
      </w:pPr>
      <w:r>
        <w:rPr>
          <w:rFonts w:hint="eastAsia"/>
          <w:color w:val="auto"/>
          <w:szCs w:val="24"/>
          <w:highlight w:val="none"/>
        </w:rPr>
        <w:t xml:space="preserve">3.1 </w:t>
      </w:r>
      <w:r>
        <w:rPr>
          <w:color w:val="auto"/>
          <w:szCs w:val="24"/>
          <w:highlight w:val="none"/>
        </w:rPr>
        <w:t>投标文件</w:t>
      </w:r>
      <w:r>
        <w:rPr>
          <w:rFonts w:hint="eastAsia"/>
          <w:color w:val="auto"/>
          <w:szCs w:val="24"/>
          <w:highlight w:val="none"/>
        </w:rPr>
        <w:t>的组成</w:t>
      </w:r>
    </w:p>
    <w:p w14:paraId="25E59109">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3.1.1 投标文件应包括下列内容</w:t>
      </w:r>
    </w:p>
    <w:p w14:paraId="552AB7FB">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（1）资格证明部分</w:t>
      </w:r>
    </w:p>
    <w:p w14:paraId="6C2C4272">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（2）商务部分</w:t>
      </w:r>
    </w:p>
    <w:p w14:paraId="4E241740">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（3）技术部分</w:t>
      </w:r>
    </w:p>
    <w:p w14:paraId="70208B81">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（4）其他资料</w:t>
      </w:r>
    </w:p>
    <w:p w14:paraId="6FB7D97F">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投标人在评标过程中作出的符合法律法规和招标文件规定的澄清确认，构成投标文件的组成部分。</w:t>
      </w:r>
    </w:p>
    <w:p w14:paraId="39E7B465">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3.2 投标报价</w:t>
      </w:r>
    </w:p>
    <w:p w14:paraId="5B6262A3">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3.2.1本项目项目预算及最高限价见“招标公告”，若投标人的投标报价超过项目预算及最高限价，按不响应招标文件实质性要求处理。</w:t>
      </w:r>
    </w:p>
    <w:p w14:paraId="7E7D8183">
      <w:pPr>
        <w:adjustRightInd w:val="0"/>
        <w:snapToGrid w:val="0"/>
        <w:spacing w:line="480" w:lineRule="exact"/>
        <w:ind w:firstLine="480" w:firstLineChars="200"/>
        <w:jc w:val="left"/>
        <w:rPr>
          <w:rFonts w:hint="eastAsia" w:ascii="宋体" w:hAnsi="宋体"/>
          <w:color w:val="auto"/>
          <w:sz w:val="24"/>
          <w:highlight w:val="none"/>
        </w:rPr>
      </w:pPr>
      <w:r>
        <w:rPr>
          <w:rFonts w:ascii="宋体" w:hAnsi="宋体"/>
          <w:color w:val="auto"/>
          <w:sz w:val="24"/>
          <w:highlight w:val="none"/>
        </w:rPr>
        <w:t>3.2.2</w:t>
      </w:r>
      <w:r>
        <w:rPr>
          <w:rFonts w:hint="eastAsia" w:ascii="宋体" w:hAnsi="宋体"/>
          <w:b/>
          <w:bCs/>
          <w:color w:val="auto"/>
          <w:sz w:val="24"/>
          <w:highlight w:val="none"/>
        </w:rPr>
        <w:t>本项目采用总价包干形式进行报价</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投标人</w:t>
      </w:r>
      <w:r>
        <w:rPr>
          <w:rFonts w:hint="eastAsia" w:ascii="宋体" w:hAnsi="宋体"/>
          <w:b/>
          <w:bCs/>
          <w:color w:val="auto"/>
          <w:sz w:val="24"/>
          <w:highlight w:val="none"/>
          <w:lang w:eastAsia="zh-CN"/>
        </w:rPr>
        <w:t>应结合自身情况和项目实际情况，考虑风险因素自主报价。报价应符合国内行情并能保证完成履行合同所需的一切工作，包括但不限于服务成本价格（含利润）、</w:t>
      </w:r>
      <w:r>
        <w:rPr>
          <w:rFonts w:hint="eastAsia" w:ascii="宋体" w:hAnsi="宋体"/>
          <w:b/>
          <w:bCs/>
          <w:color w:val="auto"/>
          <w:sz w:val="24"/>
          <w:highlight w:val="none"/>
          <w:lang w:val="en-US" w:eastAsia="zh-CN"/>
        </w:rPr>
        <w:t>人工、交通、</w:t>
      </w:r>
      <w:r>
        <w:rPr>
          <w:rFonts w:hint="eastAsia" w:ascii="宋体" w:hAnsi="宋体"/>
          <w:b/>
          <w:bCs/>
          <w:color w:val="auto"/>
          <w:sz w:val="24"/>
          <w:highlight w:val="none"/>
          <w:lang w:eastAsia="zh-CN"/>
        </w:rPr>
        <w:t>保险、税收、培训、售后服务等完成项目所需的全部费用，并充分考虑可能发生的各种风险。合同履行过程中，</w:t>
      </w:r>
      <w:r>
        <w:rPr>
          <w:rFonts w:hint="eastAsia" w:ascii="宋体" w:hAnsi="宋体"/>
          <w:b/>
          <w:bCs/>
          <w:color w:val="auto"/>
          <w:sz w:val="24"/>
          <w:highlight w:val="none"/>
          <w:lang w:val="en-US" w:eastAsia="zh-CN"/>
        </w:rPr>
        <w:t>所报价格不随国家政策或法规、标准及市场因素的变化而进行调整</w:t>
      </w:r>
      <w:r>
        <w:rPr>
          <w:rFonts w:hint="eastAsia" w:ascii="宋体" w:hAnsi="宋体"/>
          <w:color w:val="auto"/>
          <w:sz w:val="24"/>
          <w:highlight w:val="none"/>
        </w:rPr>
        <w:t>。</w:t>
      </w:r>
    </w:p>
    <w:p w14:paraId="23B14DD1">
      <w:pPr>
        <w:adjustRightInd w:val="0"/>
        <w:snapToGrid w:val="0"/>
        <w:spacing w:line="48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lang w:val="en-US" w:eastAsia="zh-CN"/>
        </w:rPr>
        <w:t>3.2.3</w:t>
      </w:r>
      <w:r>
        <w:rPr>
          <w:rFonts w:hint="eastAsia" w:ascii="宋体" w:hAnsi="宋体"/>
          <w:color w:val="auto"/>
          <w:sz w:val="24"/>
          <w:highlight w:val="none"/>
        </w:rPr>
        <w:t>投标人必须对所投项目内所有内容作出完整唯一的投标报价，不得缺项、漏项，否则投标文件将按无效处理。</w:t>
      </w:r>
    </w:p>
    <w:p w14:paraId="0104BAEA">
      <w:pPr>
        <w:adjustRightInd w:val="0"/>
        <w:snapToGrid w:val="0"/>
        <w:spacing w:line="48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lang w:val="en-US" w:eastAsia="zh-CN"/>
        </w:rPr>
        <w:t>3.2.4</w:t>
      </w:r>
      <w:r>
        <w:rPr>
          <w:rFonts w:hint="eastAsia" w:ascii="宋体" w:hAnsi="宋体"/>
          <w:color w:val="auto"/>
          <w:sz w:val="24"/>
          <w:highlight w:val="none"/>
        </w:rPr>
        <w:t>投标人不得哄抬报价，也不应低于成本价（或进价）报价。评标委员会认为投标人的投标报价明显不合理或者低于成本，将要求其在规定的期限内提供书面文件予以解释说明，并提交相关证明材料；投标人不能证明其报价合理性的，评标委员会将认定投标人投标文件无效。</w:t>
      </w:r>
    </w:p>
    <w:p w14:paraId="318955C3">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lang w:val="en-US" w:eastAsia="zh-CN"/>
        </w:rPr>
        <w:t>3.2.5</w:t>
      </w:r>
      <w:r>
        <w:rPr>
          <w:rFonts w:ascii="宋体" w:hAnsi="宋体"/>
          <w:color w:val="auto"/>
          <w:sz w:val="24"/>
          <w:highlight w:val="none"/>
        </w:rPr>
        <w:t>所有投标均以人民币报价</w:t>
      </w:r>
      <w:r>
        <w:rPr>
          <w:rFonts w:hint="eastAsia" w:ascii="宋体" w:hAnsi="宋体"/>
          <w:color w:val="auto"/>
          <w:sz w:val="24"/>
          <w:highlight w:val="none"/>
        </w:rPr>
        <w:t>，</w:t>
      </w:r>
      <w:r>
        <w:rPr>
          <w:rFonts w:ascii="宋体" w:hAnsi="宋体"/>
          <w:color w:val="auto"/>
          <w:sz w:val="24"/>
          <w:highlight w:val="none"/>
        </w:rPr>
        <w:t>招标人不承诺最低报价一定中标</w:t>
      </w:r>
      <w:r>
        <w:rPr>
          <w:rFonts w:hint="eastAsia" w:ascii="宋体" w:hAnsi="宋体"/>
          <w:color w:val="auto"/>
          <w:sz w:val="24"/>
          <w:highlight w:val="none"/>
        </w:rPr>
        <w:t>。</w:t>
      </w:r>
    </w:p>
    <w:p w14:paraId="6C7DF789">
      <w:pPr>
        <w:pStyle w:val="4"/>
        <w:widowControl w:val="0"/>
        <w:tabs>
          <w:tab w:val="left" w:pos="900"/>
        </w:tabs>
        <w:adjustRightInd w:val="0"/>
        <w:snapToGrid w:val="0"/>
        <w:spacing w:line="480" w:lineRule="exact"/>
        <w:ind w:firstLine="482" w:firstLineChars="200"/>
        <w:rPr>
          <w:rFonts w:hint="eastAsia"/>
          <w:color w:val="auto"/>
          <w:szCs w:val="24"/>
          <w:highlight w:val="none"/>
        </w:rPr>
      </w:pPr>
      <w:r>
        <w:rPr>
          <w:rFonts w:hint="eastAsia"/>
          <w:color w:val="auto"/>
          <w:szCs w:val="24"/>
          <w:highlight w:val="none"/>
          <w:lang w:val="en-US" w:eastAsia="zh-CN"/>
        </w:rPr>
        <w:t>3.2.6</w:t>
      </w:r>
      <w:r>
        <w:rPr>
          <w:rFonts w:hint="eastAsia"/>
          <w:color w:val="auto"/>
          <w:szCs w:val="24"/>
          <w:highlight w:val="none"/>
        </w:rPr>
        <w:t>结算至本项目预算金额或合同履行期限止即合同终止。</w:t>
      </w:r>
    </w:p>
    <w:p w14:paraId="598ECD30">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3.3</w:t>
      </w:r>
      <w:r>
        <w:rPr>
          <w:color w:val="auto"/>
          <w:szCs w:val="24"/>
          <w:highlight w:val="none"/>
        </w:rPr>
        <w:t xml:space="preserve"> </w:t>
      </w:r>
      <w:r>
        <w:rPr>
          <w:rFonts w:hint="eastAsia"/>
          <w:color w:val="auto"/>
          <w:szCs w:val="24"/>
          <w:highlight w:val="none"/>
        </w:rPr>
        <w:t>投标有效期</w:t>
      </w:r>
    </w:p>
    <w:p w14:paraId="646C7C59">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3.3.1除投标人须知前附表另有规定外，投标有效期为90天。</w:t>
      </w:r>
    </w:p>
    <w:p w14:paraId="602BDB9F">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3.3.2在投标有效期内，投标人撤销投标文件的，应承担招标文件和法律规定的责任。</w:t>
      </w:r>
    </w:p>
    <w:p w14:paraId="357D66A6">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3.3.3出现特殊情况需要延长投标文件的，招标人或招标代理机构以书面形式通知所有投标人延长投标有效期。投标人应予以书面答复，同意延长的，应相应延长其投标保证金的有效期，但不得要求或被允许修改其投标文件；投标人拒绝延长，其投标失效，但投标人有权收回其投标保证金。</w:t>
      </w:r>
    </w:p>
    <w:p w14:paraId="1E89DBC3">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3.4投标保证金</w:t>
      </w:r>
    </w:p>
    <w:p w14:paraId="3BFD91BF">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3.4.1投标人在递交投标文件的同时，应按投标人须知前附表规定的金额、形式递交投标保证金，并作为其投标文件的组成部分。</w:t>
      </w:r>
    </w:p>
    <w:p w14:paraId="3DE6189D">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3.4.2投标人不按本章第3.4.1项要求提交投标保证金的，评标委员会将否决其投标。</w:t>
      </w:r>
    </w:p>
    <w:p w14:paraId="6F909275">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3.4.3保证金退还：详见投标人须知前附表。</w:t>
      </w:r>
    </w:p>
    <w:p w14:paraId="465F3F49">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3.4.4有下列情形之一的，投标保证金将不予退还：</w:t>
      </w:r>
    </w:p>
    <w:p w14:paraId="7E361E62">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（1）投标人在规定的投标有效期内撤销或修改其投标文件；</w:t>
      </w:r>
    </w:p>
    <w:p w14:paraId="6985D8A4">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（2）中标人在收到中标通知书后，无正当理由拒签合同协议书或未按招标文件规定提交履约担保。</w:t>
      </w:r>
    </w:p>
    <w:p w14:paraId="140ABF0F">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（3）投标人无故不参加投标或者出现不廉洁行为的；</w:t>
      </w:r>
    </w:p>
    <w:p w14:paraId="633F8F97">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（4）投标人采用不正当的手段骗取中标的；</w:t>
      </w:r>
    </w:p>
    <w:p w14:paraId="3CB254E2">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（5）被相关管理部门认定投标人有串通投标行为的。</w:t>
      </w:r>
    </w:p>
    <w:p w14:paraId="1C0432A8">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（6）发生投标人须知前附表规定的其他可以不予退还投标保证金的情形。</w:t>
      </w:r>
    </w:p>
    <w:p w14:paraId="6D68736C">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3.5投标文件的编制</w:t>
      </w:r>
    </w:p>
    <w:p w14:paraId="47957CB9">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3.5.1投标文件的编制要求：详见投标人须知前附表。</w:t>
      </w:r>
    </w:p>
    <w:p w14:paraId="40ECB231">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5</w:t>
      </w:r>
      <w:r>
        <w:rPr>
          <w:rFonts w:ascii="宋体" w:hAnsi="宋体"/>
          <w:color w:val="auto"/>
          <w:sz w:val="24"/>
          <w:highlight w:val="none"/>
        </w:rPr>
        <w:t>.2如投标人提交的电子标书不符合3.</w:t>
      </w:r>
      <w:r>
        <w:rPr>
          <w:rFonts w:hint="eastAsia" w:ascii="宋体" w:hAnsi="宋体"/>
          <w:color w:val="auto"/>
          <w:sz w:val="24"/>
          <w:highlight w:val="none"/>
        </w:rPr>
        <w:t>5</w:t>
      </w:r>
      <w:r>
        <w:rPr>
          <w:rFonts w:ascii="宋体" w:hAnsi="宋体"/>
          <w:color w:val="auto"/>
          <w:sz w:val="24"/>
          <w:highlight w:val="none"/>
        </w:rPr>
        <w:t>.1要求或开标时无法读取导入或解密，其投标文件将不予受理。</w:t>
      </w:r>
    </w:p>
    <w:p w14:paraId="4BD71809">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5</w:t>
      </w:r>
      <w:r>
        <w:rPr>
          <w:rFonts w:ascii="宋体" w:hAnsi="宋体"/>
          <w:color w:val="auto"/>
          <w:sz w:val="24"/>
          <w:highlight w:val="none"/>
        </w:rPr>
        <w:t>.3</w:t>
      </w:r>
      <w:r>
        <w:rPr>
          <w:rFonts w:hint="eastAsia" w:ascii="宋体" w:hAnsi="宋体"/>
          <w:color w:val="auto"/>
          <w:sz w:val="24"/>
          <w:highlight w:val="none"/>
        </w:rPr>
        <w:t>投标文件应按第四章“投标文件格式”进行编写</w:t>
      </w:r>
      <w:r>
        <w:rPr>
          <w:rFonts w:hint="eastAsia" w:ascii="宋体" w:hAnsi="宋体"/>
          <w:color w:val="auto"/>
          <w:sz w:val="24"/>
          <w:highlight w:val="none"/>
          <w:lang w:eastAsia="zh-CN"/>
        </w:rPr>
        <w:t>，</w:t>
      </w: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应安装“政采云”投标客户端，根据</w:t>
      </w:r>
      <w:r>
        <w:rPr>
          <w:rFonts w:hint="eastAsia" w:ascii="宋体" w:hAnsi="宋体"/>
          <w:color w:val="auto"/>
          <w:sz w:val="24"/>
          <w:szCs w:val="24"/>
          <w:highlight w:val="none"/>
          <w:lang w:val="en-US" w:eastAsia="zh-CN"/>
        </w:rPr>
        <w:t>招标</w:t>
      </w:r>
      <w:r>
        <w:rPr>
          <w:rFonts w:hint="eastAsia" w:ascii="宋体" w:hAnsi="宋体"/>
          <w:color w:val="auto"/>
          <w:sz w:val="24"/>
          <w:szCs w:val="24"/>
          <w:highlight w:val="none"/>
        </w:rPr>
        <w:t>文件格式编制</w:t>
      </w:r>
      <w:r>
        <w:rPr>
          <w:rFonts w:hint="eastAsia" w:ascii="宋体" w:hAnsi="宋体"/>
          <w:color w:val="auto"/>
          <w:sz w:val="24"/>
          <w:szCs w:val="24"/>
          <w:highlight w:val="none"/>
          <w:lang w:val="en-US" w:eastAsia="zh-CN"/>
        </w:rPr>
        <w:t>投标</w:t>
      </w:r>
      <w:r>
        <w:rPr>
          <w:rFonts w:hint="eastAsia" w:ascii="宋体" w:hAnsi="宋体"/>
          <w:color w:val="auto"/>
          <w:sz w:val="24"/>
          <w:szCs w:val="24"/>
          <w:highlight w:val="none"/>
        </w:rPr>
        <w:t>文件，</w:t>
      </w:r>
      <w:r>
        <w:rPr>
          <w:rFonts w:hint="eastAsia" w:ascii="宋体" w:hAnsi="宋体"/>
          <w:color w:val="auto"/>
          <w:sz w:val="24"/>
          <w:szCs w:val="24"/>
          <w:highlight w:val="none"/>
          <w:lang w:val="en-US" w:eastAsia="zh-CN"/>
        </w:rPr>
        <w:t>投标</w:t>
      </w:r>
      <w:r>
        <w:rPr>
          <w:rFonts w:hint="eastAsia" w:ascii="宋体" w:hAnsi="宋体"/>
          <w:color w:val="auto"/>
          <w:sz w:val="24"/>
          <w:szCs w:val="24"/>
          <w:highlight w:val="none"/>
        </w:rPr>
        <w:t>文件编制完成后须用</w:t>
      </w:r>
      <w:r>
        <w:rPr>
          <w:rFonts w:hint="eastAsia" w:ascii="宋体" w:hAnsi="宋体"/>
          <w:bCs/>
          <w:color w:val="auto"/>
          <w:kern w:val="0"/>
          <w:sz w:val="24"/>
          <w:szCs w:val="24"/>
          <w:highlight w:val="none"/>
        </w:rPr>
        <w:t>数字证书（CA）</w:t>
      </w:r>
      <w:r>
        <w:rPr>
          <w:rFonts w:hint="eastAsia" w:ascii="宋体" w:hAnsi="宋体"/>
          <w:color w:val="auto"/>
          <w:sz w:val="24"/>
          <w:szCs w:val="24"/>
          <w:highlight w:val="none"/>
        </w:rPr>
        <w:t>按格式进行电子签章，在所要求的位置有法定代表人的电子签名或盖章，均使用</w:t>
      </w:r>
      <w:r>
        <w:rPr>
          <w:rFonts w:hint="eastAsia" w:ascii="宋体" w:hAnsi="宋体"/>
          <w:bCs/>
          <w:color w:val="auto"/>
          <w:kern w:val="0"/>
          <w:sz w:val="24"/>
          <w:szCs w:val="24"/>
          <w:highlight w:val="none"/>
        </w:rPr>
        <w:t>数字证书（CA）</w:t>
      </w:r>
      <w:r>
        <w:rPr>
          <w:rFonts w:hint="eastAsia" w:ascii="宋体" w:hAnsi="宋体"/>
          <w:color w:val="auto"/>
          <w:sz w:val="24"/>
          <w:szCs w:val="24"/>
          <w:highlight w:val="none"/>
        </w:rPr>
        <w:t>按格式进行电子签章，最终生成加密标书后进行上传。</w:t>
      </w:r>
      <w:r>
        <w:rPr>
          <w:rFonts w:ascii="宋体" w:hAnsi="宋体"/>
          <w:color w:val="auto"/>
          <w:sz w:val="24"/>
          <w:highlight w:val="none"/>
        </w:rPr>
        <w:t>。</w:t>
      </w:r>
    </w:p>
    <w:p w14:paraId="73FD48C6">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5</w:t>
      </w:r>
      <w:r>
        <w:rPr>
          <w:rFonts w:ascii="宋体" w:hAnsi="宋体"/>
          <w:color w:val="auto"/>
          <w:sz w:val="24"/>
          <w:highlight w:val="none"/>
        </w:rPr>
        <w:t>.4投标文件的签署：按照招标文件</w:t>
      </w:r>
      <w:r>
        <w:rPr>
          <w:rFonts w:hint="eastAsia" w:ascii="宋体" w:hAnsi="宋体"/>
          <w:color w:val="auto"/>
          <w:sz w:val="24"/>
          <w:highlight w:val="none"/>
        </w:rPr>
        <w:t>中</w:t>
      </w:r>
      <w:r>
        <w:rPr>
          <w:rFonts w:ascii="宋体" w:hAnsi="宋体"/>
          <w:color w:val="auto"/>
          <w:sz w:val="24"/>
          <w:highlight w:val="none"/>
        </w:rPr>
        <w:t>投标文件格式要求</w:t>
      </w:r>
      <w:r>
        <w:rPr>
          <w:rFonts w:hint="eastAsia" w:ascii="宋体" w:hAnsi="宋体"/>
          <w:color w:val="auto"/>
          <w:sz w:val="24"/>
          <w:highlight w:val="none"/>
        </w:rPr>
        <w:t>进行电子签章、</w:t>
      </w:r>
      <w:r>
        <w:rPr>
          <w:rFonts w:hint="eastAsia" w:hAnsi="宋体"/>
          <w:color w:val="auto"/>
          <w:sz w:val="24"/>
          <w:highlight w:val="none"/>
        </w:rPr>
        <w:t>电子签章或电子签名</w:t>
      </w:r>
      <w:r>
        <w:rPr>
          <w:rFonts w:hint="eastAsia" w:ascii="宋体" w:hAnsi="宋体"/>
          <w:color w:val="auto"/>
          <w:sz w:val="24"/>
          <w:highlight w:val="none"/>
        </w:rPr>
        <w:t>。“公章”“</w:t>
      </w:r>
      <w:r>
        <w:rPr>
          <w:rFonts w:hint="eastAsia" w:hAnsi="宋体"/>
          <w:color w:val="auto"/>
          <w:sz w:val="24"/>
          <w:highlight w:val="none"/>
        </w:rPr>
        <w:t>签名</w:t>
      </w:r>
      <w:r>
        <w:rPr>
          <w:rFonts w:hint="eastAsia" w:ascii="宋体" w:hAnsi="宋体"/>
          <w:color w:val="auto"/>
          <w:sz w:val="24"/>
          <w:highlight w:val="none"/>
        </w:rPr>
        <w:t>”处，分别电子签章、</w:t>
      </w:r>
      <w:r>
        <w:rPr>
          <w:rFonts w:hint="eastAsia" w:hAnsi="宋体"/>
          <w:color w:val="auto"/>
          <w:sz w:val="24"/>
          <w:highlight w:val="none"/>
        </w:rPr>
        <w:t>电子签章或电子签名</w:t>
      </w:r>
      <w:r>
        <w:rPr>
          <w:rFonts w:hint="eastAsia" w:ascii="宋体" w:hAnsi="宋体"/>
          <w:color w:val="auto"/>
          <w:sz w:val="24"/>
          <w:highlight w:val="none"/>
        </w:rPr>
        <w:t>。</w:t>
      </w:r>
      <w:r>
        <w:rPr>
          <w:rFonts w:hint="eastAsia" w:hAnsi="宋体"/>
          <w:color w:val="auto"/>
          <w:sz w:val="24"/>
          <w:highlight w:val="none"/>
        </w:rPr>
        <w:t>电子签章或电子签名</w:t>
      </w:r>
      <w:r>
        <w:rPr>
          <w:rFonts w:hint="eastAsia" w:ascii="宋体" w:hAnsi="宋体"/>
          <w:color w:val="auto"/>
          <w:sz w:val="24"/>
          <w:highlight w:val="none"/>
        </w:rPr>
        <w:t>包括签字章或方章刻印章。否则视为非实质性响应招标文件要求，作否决处理。</w:t>
      </w:r>
    </w:p>
    <w:p w14:paraId="04B2B495">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3.6投标文件编写注意事项</w:t>
      </w:r>
    </w:p>
    <w:p w14:paraId="08D93477">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3.6.</w:t>
      </w:r>
      <w:r>
        <w:rPr>
          <w:rFonts w:ascii="宋体" w:hAnsi="宋体"/>
          <w:color w:val="auto"/>
          <w:sz w:val="24"/>
          <w:highlight w:val="none"/>
        </w:rPr>
        <w:t>1投标人应仔细阅读招标文件，在完全了解</w:t>
      </w:r>
      <w:r>
        <w:rPr>
          <w:rFonts w:hint="eastAsia" w:ascii="宋体" w:hAnsi="宋体"/>
          <w:color w:val="auto"/>
          <w:sz w:val="24"/>
          <w:highlight w:val="none"/>
          <w:lang w:eastAsia="zh-CN"/>
        </w:rPr>
        <w:t>服务需求</w:t>
      </w:r>
      <w:r>
        <w:rPr>
          <w:rFonts w:ascii="宋体" w:hAnsi="宋体"/>
          <w:color w:val="auto"/>
          <w:sz w:val="24"/>
          <w:highlight w:val="none"/>
        </w:rPr>
        <w:t>和商务条件后，编写投标文件。如果没有按照招标文件要求提交全部投标文件或者资料，没有对招标文件的实质性要求和条件作出响应是投标人的风险，并可能导致该投标被拒绝。</w:t>
      </w:r>
    </w:p>
    <w:p w14:paraId="6CEE92F1">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3.6</w:t>
      </w:r>
      <w:r>
        <w:rPr>
          <w:rFonts w:ascii="宋体" w:hAnsi="宋体"/>
          <w:color w:val="auto"/>
          <w:sz w:val="24"/>
          <w:highlight w:val="none"/>
        </w:rPr>
        <w:t>.2对招标文件提出的实质性要求和条件作出响应是指投标人必须对招标文件中标明实质性要求和条件</w:t>
      </w:r>
      <w:r>
        <w:rPr>
          <w:rFonts w:hint="eastAsia" w:ascii="宋体" w:hAnsi="宋体"/>
          <w:color w:val="auto"/>
          <w:sz w:val="24"/>
          <w:highlight w:val="none"/>
        </w:rPr>
        <w:t>、</w:t>
      </w:r>
      <w:r>
        <w:rPr>
          <w:rFonts w:ascii="宋体" w:hAnsi="宋体"/>
          <w:color w:val="auto"/>
          <w:sz w:val="24"/>
          <w:highlight w:val="none"/>
        </w:rPr>
        <w:t>合同主要条款及其它要求等内容作出满足或者优于原要求和条件的承诺。</w:t>
      </w:r>
    </w:p>
    <w:p w14:paraId="2A573BDF">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3.6.3</w:t>
      </w:r>
      <w:r>
        <w:rPr>
          <w:rFonts w:ascii="宋体" w:hAnsi="宋体"/>
          <w:color w:val="auto"/>
          <w:sz w:val="24"/>
          <w:highlight w:val="none"/>
        </w:rPr>
        <w:t>投标人的投标文件以及投标人与招标代理机构就有关投标的所有来往函电统一使用中文（特别规定除外）。</w:t>
      </w:r>
    </w:p>
    <w:p w14:paraId="00A9A4DB">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3.6</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投标文件中使用的计量单位除招标文件中有特殊规定外，一律使用中国法定计量单位。</w:t>
      </w:r>
    </w:p>
    <w:p w14:paraId="410EE9CA">
      <w:pPr>
        <w:pStyle w:val="3"/>
        <w:adjustRightInd w:val="0"/>
        <w:snapToGrid w:val="0"/>
        <w:spacing w:line="480" w:lineRule="exact"/>
        <w:jc w:val="both"/>
        <w:rPr>
          <w:rFonts w:hAnsi="宋体" w:cs="宋体"/>
          <w:color w:val="auto"/>
          <w:sz w:val="28"/>
          <w:highlight w:val="none"/>
        </w:rPr>
      </w:pPr>
      <w:bookmarkStart w:id="98" w:name="_Toc29104"/>
      <w:bookmarkStart w:id="99" w:name="_Toc29500"/>
      <w:r>
        <w:rPr>
          <w:rFonts w:hint="eastAsia" w:hAnsi="宋体" w:cs="宋体"/>
          <w:color w:val="auto"/>
          <w:sz w:val="28"/>
          <w:highlight w:val="none"/>
        </w:rPr>
        <w:t>4、投标</w:t>
      </w:r>
      <w:bookmarkEnd w:id="98"/>
      <w:bookmarkEnd w:id="99"/>
    </w:p>
    <w:p w14:paraId="6658099D">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4.1投标文件的加密</w:t>
      </w:r>
    </w:p>
    <w:p w14:paraId="4719ADF5">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4.1</w:t>
      </w:r>
      <w:r>
        <w:rPr>
          <w:rFonts w:ascii="宋体" w:hAnsi="宋体"/>
          <w:color w:val="auto"/>
          <w:sz w:val="24"/>
          <w:highlight w:val="none"/>
        </w:rPr>
        <w:t>.</w:t>
      </w:r>
      <w:r>
        <w:rPr>
          <w:rFonts w:hint="eastAsia" w:ascii="宋体" w:hAnsi="宋体"/>
          <w:color w:val="auto"/>
          <w:sz w:val="24"/>
          <w:highlight w:val="none"/>
        </w:rPr>
        <w:t>1</w:t>
      </w:r>
      <w:r>
        <w:rPr>
          <w:rFonts w:ascii="宋体" w:hAnsi="宋体"/>
          <w:color w:val="auto"/>
          <w:sz w:val="24"/>
          <w:highlight w:val="none"/>
        </w:rPr>
        <w:t>网上递交的投标文件需要对投标文件进行加密。</w:t>
      </w:r>
    </w:p>
    <w:p w14:paraId="621E1C23">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4.1.2未按本章第4.1.1项要求</w:t>
      </w:r>
      <w:r>
        <w:rPr>
          <w:rFonts w:hint="eastAsia" w:ascii="宋体" w:hAnsi="宋体"/>
          <w:color w:val="auto"/>
          <w:sz w:val="24"/>
          <w:highlight w:val="none"/>
        </w:rPr>
        <w:t>加密</w:t>
      </w:r>
      <w:r>
        <w:rPr>
          <w:rFonts w:ascii="宋体" w:hAnsi="宋体"/>
          <w:color w:val="auto"/>
          <w:sz w:val="24"/>
          <w:highlight w:val="none"/>
        </w:rPr>
        <w:t>的投标文件，招标人应予拒收。</w:t>
      </w:r>
    </w:p>
    <w:p w14:paraId="34D55EBF">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4.2投标文件的递交</w:t>
      </w:r>
    </w:p>
    <w:p w14:paraId="41725EB7">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4.2.1</w:t>
      </w:r>
      <w:r>
        <w:rPr>
          <w:rFonts w:hint="eastAsia" w:ascii="宋体" w:hAnsi="宋体"/>
          <w:color w:val="auto"/>
          <w:sz w:val="24"/>
          <w:highlight w:val="none"/>
        </w:rPr>
        <w:t>投标人应在投标人须知前附表规定的投标截止时间前递交投标文件</w:t>
      </w:r>
      <w:r>
        <w:rPr>
          <w:rFonts w:ascii="宋体" w:hAnsi="宋体"/>
          <w:color w:val="auto"/>
          <w:sz w:val="24"/>
          <w:highlight w:val="none"/>
        </w:rPr>
        <w:t>。</w:t>
      </w:r>
    </w:p>
    <w:p w14:paraId="42DA4993">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4.2.2投标人递交投标文件的</w:t>
      </w:r>
      <w:r>
        <w:rPr>
          <w:rFonts w:hint="eastAsia" w:ascii="宋体" w:hAnsi="宋体"/>
          <w:color w:val="auto"/>
          <w:sz w:val="24"/>
          <w:highlight w:val="none"/>
        </w:rPr>
        <w:t>方式</w:t>
      </w:r>
      <w:r>
        <w:rPr>
          <w:rFonts w:ascii="宋体" w:hAnsi="宋体"/>
          <w:color w:val="auto"/>
          <w:sz w:val="24"/>
          <w:highlight w:val="none"/>
        </w:rPr>
        <w:t>：见投标人须知前附表。</w:t>
      </w:r>
    </w:p>
    <w:p w14:paraId="4D57A825">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4.2.3除投标人须知前附表另有规定外，投标人所递交的投标文件不予退还。</w:t>
      </w:r>
    </w:p>
    <w:p w14:paraId="4E12E733">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4.2.4逾期</w:t>
      </w:r>
      <w:r>
        <w:rPr>
          <w:rFonts w:hint="eastAsia" w:ascii="宋体" w:hAnsi="宋体"/>
          <w:color w:val="auto"/>
          <w:sz w:val="24"/>
          <w:highlight w:val="none"/>
        </w:rPr>
        <w:t>未上传</w:t>
      </w:r>
      <w:r>
        <w:rPr>
          <w:rFonts w:ascii="宋体" w:hAnsi="宋体"/>
          <w:color w:val="auto"/>
          <w:sz w:val="24"/>
          <w:highlight w:val="none"/>
        </w:rPr>
        <w:t>的投标文件，不予受理。</w:t>
      </w:r>
    </w:p>
    <w:p w14:paraId="56B37E0C">
      <w:pPr>
        <w:wordWrap w:val="0"/>
        <w:adjustRightInd w:val="0"/>
        <w:snapToGrid w:val="0"/>
        <w:spacing w:line="480" w:lineRule="exact"/>
        <w:ind w:firstLine="480" w:firstLineChars="200"/>
        <w:jc w:val="left"/>
        <w:rPr>
          <w:rFonts w:ascii="宋体" w:hAnsi="宋体"/>
          <w:color w:val="auto"/>
          <w:sz w:val="24"/>
          <w:highlight w:val="none"/>
        </w:rPr>
      </w:pPr>
      <w:r>
        <w:rPr>
          <w:rFonts w:hint="eastAsia" w:ascii="宋体" w:hAnsi="宋体" w:eastAsia="宋体" w:cs="宋体"/>
          <w:color w:val="auto"/>
          <w:sz w:val="24"/>
          <w:highlight w:val="none"/>
        </w:rPr>
        <w:t>4.2.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网上上传投标文件：</w:t>
      </w:r>
      <w:r>
        <w:rPr>
          <w:rFonts w:hint="eastAsia" w:hAnsi="宋体" w:cs="宋体"/>
          <w:color w:val="auto"/>
          <w:sz w:val="24"/>
          <w:highlight w:val="none"/>
        </w:rPr>
        <w:t>网上递交网址为</w:t>
      </w:r>
      <w:r>
        <w:rPr>
          <w:rFonts w:hint="eastAsia" w:hAnsi="宋体" w:cs="宋体"/>
          <w:color w:val="auto"/>
          <w:sz w:val="24"/>
          <w:highlight w:val="none"/>
          <w:lang w:eastAsia="zh-CN"/>
        </w:rPr>
        <w:t>政采云平台（</w:t>
      </w:r>
      <w:r>
        <w:rPr>
          <w:rFonts w:hint="eastAsia" w:ascii="宋体" w:hAnsi="宋体" w:eastAsia="宋体" w:cs="宋体"/>
          <w:color w:val="auto"/>
          <w:sz w:val="24"/>
          <w:highlight w:val="none"/>
          <w:lang w:eastAsia="zh-CN"/>
        </w:rPr>
        <w:t>http：//www.zcygov.cn）</w:t>
      </w:r>
      <w:r>
        <w:rPr>
          <w:rFonts w:hAnsi="宋体" w:cs="宋体"/>
          <w:color w:val="auto"/>
          <w:sz w:val="24"/>
          <w:highlight w:val="none"/>
        </w:rPr>
        <w:t>，投标人须在投标截止时间前完成投标文件的上传，网上确认</w:t>
      </w:r>
      <w:r>
        <w:rPr>
          <w:rFonts w:hint="eastAsia" w:hAnsi="宋体" w:cs="宋体"/>
          <w:color w:val="auto"/>
          <w:sz w:val="24"/>
          <w:highlight w:val="none"/>
          <w:lang w:eastAsia="zh-CN"/>
        </w:rPr>
        <w:t>电子签章或电子签名</w:t>
      </w:r>
      <w:r>
        <w:rPr>
          <w:rFonts w:hAnsi="宋体" w:cs="宋体"/>
          <w:color w:val="auto"/>
          <w:sz w:val="24"/>
          <w:highlight w:val="none"/>
        </w:rPr>
        <w:t>，投标截止时间前未完成投标文件传输的，视为撤回投标文件。</w:t>
      </w:r>
    </w:p>
    <w:p w14:paraId="41F527A3">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4.3投标文件的修改与撤回</w:t>
      </w:r>
    </w:p>
    <w:p w14:paraId="1DE450F1">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4.3.1在本章第4.2.1项规定的投标截止时间前，投标人可以修改或撤回递交的投标文件，无须通知招标人。</w:t>
      </w:r>
    </w:p>
    <w:p w14:paraId="7987F8D7">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4.3.2投标人在投标截止时间前撤回已提交的投标文件的，招标人或者招标代理机构应当自收到投标人撤回通知之日起5个工作日内，退还已收取的投标保证金，但因投标人自身原因导致无法及时退还的除外。</w:t>
      </w:r>
    </w:p>
    <w:p w14:paraId="16BBDB48">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4.3.3修改的内容为投标文件的组成部分。</w:t>
      </w:r>
    </w:p>
    <w:p w14:paraId="78B08BCD">
      <w:pPr>
        <w:pStyle w:val="3"/>
        <w:tabs>
          <w:tab w:val="left" w:pos="1021"/>
        </w:tabs>
        <w:adjustRightInd w:val="0"/>
        <w:snapToGrid w:val="0"/>
        <w:spacing w:line="480" w:lineRule="exact"/>
        <w:rPr>
          <w:rFonts w:hAnsi="宋体"/>
          <w:color w:val="auto"/>
          <w:sz w:val="28"/>
          <w:szCs w:val="28"/>
          <w:highlight w:val="none"/>
        </w:rPr>
      </w:pPr>
      <w:bookmarkStart w:id="100" w:name="_Toc16808"/>
      <w:bookmarkStart w:id="101" w:name="_Toc24298"/>
      <w:r>
        <w:rPr>
          <w:rFonts w:hint="eastAsia" w:hAnsi="宋体"/>
          <w:color w:val="auto"/>
          <w:sz w:val="28"/>
          <w:szCs w:val="28"/>
          <w:highlight w:val="none"/>
        </w:rPr>
        <w:t>5、开标</w:t>
      </w:r>
      <w:bookmarkEnd w:id="100"/>
      <w:bookmarkEnd w:id="101"/>
    </w:p>
    <w:p w14:paraId="2E5ACC7A">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5.1开标时间和地点</w:t>
      </w:r>
    </w:p>
    <w:p w14:paraId="22908C4A">
      <w:pPr>
        <w:adjustRightInd w:val="0"/>
        <w:snapToGrid w:val="0"/>
        <w:spacing w:line="480" w:lineRule="exact"/>
        <w:ind w:firstLine="480" w:firstLineChars="200"/>
        <w:jc w:val="left"/>
        <w:rPr>
          <w:rFonts w:ascii="宋体" w:hAnsi="宋体"/>
          <w:color w:val="auto"/>
          <w:sz w:val="24"/>
          <w:highlight w:val="none"/>
        </w:rPr>
      </w:pPr>
      <w:r>
        <w:rPr>
          <w:rFonts w:ascii="宋体" w:hAnsi="宋体"/>
          <w:color w:val="auto"/>
          <w:sz w:val="24"/>
          <w:highlight w:val="none"/>
        </w:rPr>
        <w:t>招标代理机构将在“投标人须知前附表”规定的时间和地点</w:t>
      </w:r>
      <w:r>
        <w:rPr>
          <w:rFonts w:hint="eastAsia" w:ascii="宋体" w:hAnsi="宋体"/>
          <w:color w:val="auto"/>
          <w:sz w:val="24"/>
          <w:highlight w:val="none"/>
        </w:rPr>
        <w:t>组织</w:t>
      </w:r>
      <w:r>
        <w:rPr>
          <w:rFonts w:ascii="宋体" w:hAnsi="宋体"/>
          <w:color w:val="auto"/>
          <w:sz w:val="24"/>
          <w:highlight w:val="none"/>
        </w:rPr>
        <w:t>开标。</w:t>
      </w:r>
    </w:p>
    <w:p w14:paraId="0D18D83E">
      <w:pPr>
        <w:pStyle w:val="4"/>
        <w:widowControl w:val="0"/>
        <w:tabs>
          <w:tab w:val="left" w:pos="900"/>
        </w:tabs>
        <w:adjustRightInd w:val="0"/>
        <w:snapToGrid w:val="0"/>
        <w:spacing w:line="480" w:lineRule="exact"/>
        <w:ind w:firstLine="241"/>
        <w:rPr>
          <w:color w:val="auto"/>
          <w:highlight w:val="none"/>
        </w:rPr>
      </w:pPr>
      <w:r>
        <w:rPr>
          <w:rFonts w:hint="eastAsia"/>
          <w:color w:val="auto"/>
          <w:szCs w:val="24"/>
          <w:highlight w:val="none"/>
        </w:rPr>
        <w:t>5.2开标注意事项：</w:t>
      </w:r>
      <w:r>
        <w:rPr>
          <w:rFonts w:hint="eastAsia"/>
          <w:color w:val="auto"/>
          <w:highlight w:val="none"/>
        </w:rPr>
        <w:t>投标人不足3家的，不得开标。</w:t>
      </w:r>
    </w:p>
    <w:p w14:paraId="38D28D6E">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5.3</w:t>
      </w:r>
      <w:r>
        <w:rPr>
          <w:color w:val="auto"/>
          <w:szCs w:val="24"/>
          <w:highlight w:val="none"/>
        </w:rPr>
        <w:t>开标程序</w:t>
      </w:r>
      <w:r>
        <w:rPr>
          <w:rFonts w:hint="eastAsia"/>
          <w:color w:val="auto"/>
          <w:szCs w:val="24"/>
          <w:highlight w:val="none"/>
        </w:rPr>
        <w:t>，详见投标人须知前附表。</w:t>
      </w:r>
    </w:p>
    <w:p w14:paraId="2A040145">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5.4开标异议</w:t>
      </w:r>
    </w:p>
    <w:p w14:paraId="122C01FB">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并记录在案。</w:t>
      </w:r>
    </w:p>
    <w:p w14:paraId="0B3BF002">
      <w:pPr>
        <w:pStyle w:val="3"/>
        <w:tabs>
          <w:tab w:val="left" w:pos="1021"/>
        </w:tabs>
        <w:adjustRightInd w:val="0"/>
        <w:snapToGrid w:val="0"/>
        <w:spacing w:line="480" w:lineRule="exact"/>
        <w:rPr>
          <w:rFonts w:hAnsi="宋体"/>
          <w:color w:val="auto"/>
          <w:sz w:val="28"/>
          <w:szCs w:val="28"/>
          <w:highlight w:val="none"/>
        </w:rPr>
      </w:pPr>
      <w:bookmarkStart w:id="102" w:name="_Toc25841"/>
      <w:bookmarkStart w:id="103" w:name="_Toc25399"/>
      <w:r>
        <w:rPr>
          <w:rFonts w:hint="eastAsia" w:hAnsi="宋体"/>
          <w:color w:val="auto"/>
          <w:sz w:val="28"/>
          <w:szCs w:val="28"/>
          <w:highlight w:val="none"/>
        </w:rPr>
        <w:t>6、资格审查</w:t>
      </w:r>
      <w:bookmarkEnd w:id="102"/>
      <w:bookmarkEnd w:id="103"/>
    </w:p>
    <w:p w14:paraId="363DA945">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资格后审；公开招标采购项目开标结束后，招标人或者招标代理机构应当依法对投标人的资格进行审查。合格投标人不足3家的，不得评标。</w:t>
      </w:r>
    </w:p>
    <w:p w14:paraId="1240E66C">
      <w:pPr>
        <w:pStyle w:val="3"/>
        <w:tabs>
          <w:tab w:val="left" w:pos="1021"/>
        </w:tabs>
        <w:adjustRightInd w:val="0"/>
        <w:snapToGrid w:val="0"/>
        <w:spacing w:line="480" w:lineRule="exact"/>
        <w:rPr>
          <w:rFonts w:hAnsi="宋体"/>
          <w:color w:val="auto"/>
          <w:sz w:val="28"/>
          <w:szCs w:val="28"/>
          <w:highlight w:val="none"/>
        </w:rPr>
      </w:pPr>
      <w:bookmarkStart w:id="104" w:name="_Toc12249"/>
      <w:bookmarkStart w:id="105" w:name="_Toc16146"/>
      <w:r>
        <w:rPr>
          <w:rFonts w:hint="eastAsia" w:hAnsi="宋体"/>
          <w:color w:val="auto"/>
          <w:sz w:val="28"/>
          <w:szCs w:val="28"/>
          <w:highlight w:val="none"/>
        </w:rPr>
        <w:t>7、评标</w:t>
      </w:r>
      <w:bookmarkEnd w:id="104"/>
      <w:bookmarkEnd w:id="105"/>
    </w:p>
    <w:p w14:paraId="7B853606">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7.1评标委员会</w:t>
      </w:r>
    </w:p>
    <w:p w14:paraId="64893F7F">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7.1.1评标由招标人依法组建的评标委员会负责。评标委员会由依法组成，成员人数应当为5人以上单数，其中评审专家不得少于成员总数的三分之二。评标委员会确定方式见投标人须知前附表。</w:t>
      </w:r>
    </w:p>
    <w:p w14:paraId="23760F85">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7.1.2评标委员会成员有下列情形之一的，应当回避：</w:t>
      </w:r>
    </w:p>
    <w:p w14:paraId="4F2CA6F4">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（1）招标人或投标人的主要负责人的近亲属。</w:t>
      </w:r>
    </w:p>
    <w:p w14:paraId="535BE162">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（2）项目主管部门或者行政监督部门的人员。</w:t>
      </w:r>
    </w:p>
    <w:p w14:paraId="3733B674">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（3）与投标人有利害关系的人不得进入本工程的评标委员会。</w:t>
      </w:r>
    </w:p>
    <w:p w14:paraId="7B786AD8">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（4）曾因在招标、评标以及其他与招标投标有关活动中从事违法行为而受过行政处罚或刑事处罚的。</w:t>
      </w:r>
    </w:p>
    <w:p w14:paraId="78A6651D">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7.2评标原则</w:t>
      </w:r>
    </w:p>
    <w:p w14:paraId="4A3C76F8">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评标将遵循下列原则：</w:t>
      </w:r>
    </w:p>
    <w:p w14:paraId="24668E0F">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（一）坚持公平、公正、科学、择优的原则，本着实事求是的精神，不带有任何主观意愿和偏见，认真负责地做好评标工作，公平、公正地对待每一个投标人。 </w:t>
      </w:r>
    </w:p>
    <w:p w14:paraId="202F5D80">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（二）全面分析，综合评审。 </w:t>
      </w:r>
    </w:p>
    <w:p w14:paraId="7604CC75">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（三）评标只对投标人的投标文件进行评审，投标文件以外的资料、信息不应作为评标的依据。</w:t>
      </w:r>
    </w:p>
    <w:p w14:paraId="777E5781">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7</w:t>
      </w:r>
      <w:r>
        <w:rPr>
          <w:color w:val="auto"/>
          <w:szCs w:val="24"/>
          <w:highlight w:val="none"/>
        </w:rPr>
        <w:t>.3评标</w:t>
      </w:r>
    </w:p>
    <w:p w14:paraId="5DEB7B8C">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7</w:t>
      </w: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.1评标委员会按照第</w:t>
      </w:r>
      <w:r>
        <w:rPr>
          <w:rFonts w:hint="eastAsia" w:ascii="宋体" w:hAnsi="宋体"/>
          <w:color w:val="auto"/>
          <w:sz w:val="24"/>
          <w:highlight w:val="none"/>
        </w:rPr>
        <w:t>六</w:t>
      </w:r>
      <w:r>
        <w:rPr>
          <w:rFonts w:ascii="宋体" w:hAnsi="宋体"/>
          <w:color w:val="auto"/>
          <w:sz w:val="24"/>
          <w:highlight w:val="none"/>
        </w:rPr>
        <w:t>章“评标办法”规定的方法、评审因素、标准和程序对投标文件进行评审。第</w:t>
      </w:r>
      <w:r>
        <w:rPr>
          <w:rFonts w:hint="eastAsia" w:ascii="宋体" w:hAnsi="宋体"/>
          <w:color w:val="auto"/>
          <w:sz w:val="24"/>
          <w:highlight w:val="none"/>
        </w:rPr>
        <w:t>六</w:t>
      </w:r>
      <w:r>
        <w:rPr>
          <w:rFonts w:ascii="宋体" w:hAnsi="宋体"/>
          <w:color w:val="auto"/>
          <w:sz w:val="24"/>
          <w:highlight w:val="none"/>
        </w:rPr>
        <w:t>章“评标办法”没有规定的方法、评审因素和标准，不作为评标依据。</w:t>
      </w:r>
    </w:p>
    <w:p w14:paraId="73AB000E">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7</w:t>
      </w: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.2评标完成后，评标委员会应当向招标人提交书面评标报告和中标候选人名单。</w:t>
      </w:r>
      <w:r>
        <w:rPr>
          <w:rFonts w:hint="eastAsia" w:ascii="宋体" w:hAnsi="宋体"/>
          <w:color w:val="auto"/>
          <w:sz w:val="24"/>
          <w:highlight w:val="none"/>
        </w:rPr>
        <w:t>评标委员会推荐中标候选人的人数见投标人须知前附表。</w:t>
      </w:r>
    </w:p>
    <w:p w14:paraId="6479AAB2">
      <w:pPr>
        <w:pStyle w:val="3"/>
        <w:tabs>
          <w:tab w:val="left" w:pos="1021"/>
        </w:tabs>
        <w:adjustRightInd w:val="0"/>
        <w:snapToGrid w:val="0"/>
        <w:spacing w:line="480" w:lineRule="exact"/>
        <w:rPr>
          <w:rFonts w:hAnsi="宋体"/>
          <w:color w:val="auto"/>
          <w:sz w:val="28"/>
          <w:szCs w:val="28"/>
          <w:highlight w:val="none"/>
        </w:rPr>
      </w:pPr>
      <w:bookmarkStart w:id="106" w:name="_Toc20371"/>
      <w:bookmarkStart w:id="107" w:name="_Toc19229"/>
      <w:r>
        <w:rPr>
          <w:rFonts w:hint="eastAsia" w:hAnsi="宋体"/>
          <w:color w:val="auto"/>
          <w:sz w:val="28"/>
          <w:szCs w:val="28"/>
          <w:highlight w:val="none"/>
        </w:rPr>
        <w:t>8、中标和合同</w:t>
      </w:r>
      <w:bookmarkEnd w:id="106"/>
      <w:bookmarkEnd w:id="107"/>
    </w:p>
    <w:p w14:paraId="09303C94">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8.1</w:t>
      </w:r>
      <w:r>
        <w:rPr>
          <w:color w:val="auto"/>
          <w:szCs w:val="24"/>
          <w:highlight w:val="none"/>
        </w:rPr>
        <w:t>中标人的确定</w:t>
      </w:r>
    </w:p>
    <w:p w14:paraId="1506AF9E">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按照投标人须知前附表的规定，招标人或招标人授权的评标委员会依法确定中标人。</w:t>
      </w:r>
    </w:p>
    <w:p w14:paraId="61728A88">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8.2</w:t>
      </w:r>
      <w:r>
        <w:rPr>
          <w:color w:val="auto"/>
          <w:szCs w:val="24"/>
          <w:highlight w:val="none"/>
        </w:rPr>
        <w:t>中标</w:t>
      </w:r>
      <w:r>
        <w:rPr>
          <w:rFonts w:hint="eastAsia"/>
          <w:color w:val="auto"/>
          <w:szCs w:val="24"/>
          <w:highlight w:val="none"/>
        </w:rPr>
        <w:t>公告</w:t>
      </w:r>
    </w:p>
    <w:p w14:paraId="0B1F01EB">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8.2</w:t>
      </w:r>
      <w:r>
        <w:rPr>
          <w:rFonts w:ascii="宋体" w:hAnsi="宋体"/>
          <w:color w:val="auto"/>
          <w:sz w:val="24"/>
          <w:highlight w:val="none"/>
        </w:rPr>
        <w:t>.1</w:t>
      </w:r>
      <w:r>
        <w:rPr>
          <w:rFonts w:hint="eastAsia" w:ascii="宋体" w:hAnsi="宋体"/>
          <w:color w:val="auto"/>
          <w:sz w:val="24"/>
          <w:highlight w:val="none"/>
        </w:rPr>
        <w:t>招标人或者招标代理机构应当自中标人确定之日起2个工作日内，在发布招标公告的媒体上公告中标结果。</w:t>
      </w:r>
    </w:p>
    <w:p w14:paraId="3121443C">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8.2</w:t>
      </w:r>
      <w:r>
        <w:rPr>
          <w:rFonts w:ascii="宋体" w:hAnsi="宋体"/>
          <w:color w:val="auto"/>
          <w:sz w:val="24"/>
          <w:highlight w:val="none"/>
        </w:rPr>
        <w:t>.</w:t>
      </w:r>
      <w:r>
        <w:rPr>
          <w:rFonts w:hint="eastAsia" w:ascii="宋体" w:hAnsi="宋体"/>
          <w:color w:val="auto"/>
          <w:sz w:val="24"/>
          <w:highlight w:val="none"/>
        </w:rPr>
        <w:t>2中标公告期限为1个工作日。</w:t>
      </w:r>
    </w:p>
    <w:p w14:paraId="19A0E40D">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 xml:space="preserve">8.3中标结果质疑 </w:t>
      </w:r>
    </w:p>
    <w:p w14:paraId="097B9F15">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投标人对中标结果有质疑的，应当在中标结果公告期限届满之日起七个工作日内提出。招标人应当在收到投标人的书面质疑后七个工作日内作出答复，并以书面形式通知质疑投标人，但答复的内容不得涉及商业秘密。</w:t>
      </w:r>
    </w:p>
    <w:p w14:paraId="218DF64E">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 xml:space="preserve">8.4中标通知 </w:t>
      </w:r>
    </w:p>
    <w:p w14:paraId="771AB146">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在本章第3.3款规定的投标有效期内，在公告中标结果的同时，招标人或者招标代理机构应当向中标人发出中标通知书；招标</w:t>
      </w:r>
      <w:r>
        <w:rPr>
          <w:rFonts w:hint="eastAsia"/>
          <w:color w:val="auto"/>
          <w:sz w:val="24"/>
          <w:highlight w:val="none"/>
        </w:rPr>
        <w:t>代理机构无义务向未中标投标人解释未中标的原因和退回投标文件。</w:t>
      </w:r>
    </w:p>
    <w:p w14:paraId="4FF6FEF1">
      <w:pPr>
        <w:pStyle w:val="4"/>
        <w:widowControl w:val="0"/>
        <w:tabs>
          <w:tab w:val="left" w:pos="900"/>
        </w:tabs>
        <w:adjustRightInd w:val="0"/>
        <w:snapToGrid w:val="0"/>
        <w:spacing w:line="480" w:lineRule="exact"/>
        <w:ind w:firstLine="241"/>
        <w:rPr>
          <w:rFonts w:hint="eastAsia" w:eastAsia="宋体"/>
          <w:color w:val="auto"/>
          <w:szCs w:val="24"/>
          <w:highlight w:val="none"/>
          <w:lang w:eastAsia="zh-CN"/>
        </w:rPr>
      </w:pPr>
      <w:r>
        <w:rPr>
          <w:rFonts w:hint="eastAsia"/>
          <w:color w:val="auto"/>
          <w:szCs w:val="24"/>
          <w:highlight w:val="none"/>
        </w:rPr>
        <w:t>8.5履约</w:t>
      </w:r>
      <w:r>
        <w:rPr>
          <w:rFonts w:hint="eastAsia"/>
          <w:color w:val="auto"/>
          <w:szCs w:val="24"/>
          <w:highlight w:val="none"/>
          <w:lang w:eastAsia="zh-CN"/>
        </w:rPr>
        <w:t>保证金</w:t>
      </w:r>
    </w:p>
    <w:p w14:paraId="652F89CD">
      <w:pPr>
        <w:pStyle w:val="15"/>
        <w:spacing w:line="460" w:lineRule="exact"/>
        <w:ind w:firstLine="480" w:firstLineChars="200"/>
        <w:jc w:val="left"/>
        <w:rPr>
          <w:rFonts w:hint="eastAsia" w:hAnsi="宋体" w:eastAsia="宋体"/>
          <w:b w:val="0"/>
          <w:bCs w:val="0"/>
          <w:color w:val="auto"/>
          <w:sz w:val="24"/>
          <w:szCs w:val="24"/>
          <w:highlight w:val="none"/>
          <w:lang w:val="en-US" w:eastAsia="zh-CN"/>
        </w:rPr>
      </w:pPr>
      <w:r>
        <w:rPr>
          <w:rFonts w:hint="eastAsia" w:hAnsi="宋体"/>
          <w:b w:val="0"/>
          <w:bCs w:val="0"/>
          <w:color w:val="auto"/>
          <w:sz w:val="24"/>
          <w:szCs w:val="24"/>
          <w:highlight w:val="none"/>
          <w:lang w:val="en-US" w:eastAsia="zh-CN"/>
        </w:rPr>
        <w:t>无。</w:t>
      </w:r>
    </w:p>
    <w:p w14:paraId="21C7268E">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8.6</w:t>
      </w:r>
      <w:r>
        <w:rPr>
          <w:color w:val="auto"/>
          <w:szCs w:val="24"/>
          <w:highlight w:val="none"/>
        </w:rPr>
        <w:t>签订合同</w:t>
      </w:r>
    </w:p>
    <w:p w14:paraId="6D4EA6F7">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8.6.1招标人应当自中标通知书发出之日起30日内，按照招标文件和中标人投标文件的规定，与中标人签订书面合同。所签订的合同不得对招标文件确定的事项和中标人投标文件作实质性修改。招标人不得向中标人提出任何不合理的要求作为签订合同的条件。 </w:t>
      </w:r>
    </w:p>
    <w:p w14:paraId="0C9871CD">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8.6.2中标通知书发出后，招标人不得违法改变中标结果，中标人无正当理由不得放弃中标。</w:t>
      </w:r>
    </w:p>
    <w:p w14:paraId="07097FA8">
      <w:pPr>
        <w:pStyle w:val="3"/>
        <w:tabs>
          <w:tab w:val="left" w:pos="1021"/>
        </w:tabs>
        <w:adjustRightInd w:val="0"/>
        <w:snapToGrid w:val="0"/>
        <w:spacing w:line="480" w:lineRule="exact"/>
        <w:rPr>
          <w:rFonts w:hAnsi="宋体"/>
          <w:color w:val="auto"/>
          <w:sz w:val="28"/>
          <w:szCs w:val="28"/>
          <w:highlight w:val="none"/>
        </w:rPr>
      </w:pPr>
      <w:bookmarkStart w:id="108" w:name="_Toc25751"/>
      <w:bookmarkStart w:id="109" w:name="_Toc26814"/>
      <w:r>
        <w:rPr>
          <w:rFonts w:hint="eastAsia" w:hAnsi="宋体"/>
          <w:color w:val="auto"/>
          <w:sz w:val="28"/>
          <w:szCs w:val="28"/>
          <w:highlight w:val="none"/>
        </w:rPr>
        <w:t>9、纪律和监督</w:t>
      </w:r>
      <w:bookmarkEnd w:id="108"/>
      <w:bookmarkEnd w:id="109"/>
      <w:r>
        <w:rPr>
          <w:rFonts w:hint="eastAsia" w:hAnsi="宋体"/>
          <w:color w:val="auto"/>
          <w:sz w:val="28"/>
          <w:szCs w:val="28"/>
          <w:highlight w:val="none"/>
        </w:rPr>
        <w:t xml:space="preserve"> </w:t>
      </w:r>
    </w:p>
    <w:p w14:paraId="26FDF405">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 xml:space="preserve">9.1对招标人的纪律要求 </w:t>
      </w:r>
    </w:p>
    <w:p w14:paraId="63A68EBE">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（1）按照《中华人民共和国财政部令第87号—政府采购货物和服务招标投标管理办法》的规定编制</w:t>
      </w:r>
      <w:r>
        <w:rPr>
          <w:rFonts w:hint="eastAsia" w:ascii="宋体" w:hAnsi="宋体"/>
          <w:color w:val="auto"/>
          <w:sz w:val="24"/>
          <w:highlight w:val="none"/>
          <w:lang w:eastAsia="zh-CN"/>
        </w:rPr>
        <w:t>服务需求</w:t>
      </w:r>
      <w:r>
        <w:rPr>
          <w:rFonts w:hint="eastAsia" w:ascii="宋体" w:hAnsi="宋体"/>
          <w:color w:val="auto"/>
          <w:sz w:val="24"/>
          <w:highlight w:val="none"/>
        </w:rPr>
        <w:t xml:space="preserve">的； </w:t>
      </w:r>
    </w:p>
    <w:p w14:paraId="4E276F9A">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（2）招标人不得向投标人索要或者接受其给予的赠品、回扣或者与采购无关的其他商品、服务；</w:t>
      </w:r>
    </w:p>
    <w:p w14:paraId="1F1B4933">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（3）在规定时间内确定中标人的； </w:t>
      </w:r>
    </w:p>
    <w:p w14:paraId="55228C5A">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（4）不得向中标人提出不合理要求作为签订合同条件的。 </w:t>
      </w:r>
    </w:p>
    <w:p w14:paraId="4A6CEFFA">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 xml:space="preserve">9.2对投标人的纪律要求 </w:t>
      </w:r>
    </w:p>
    <w:p w14:paraId="035A1057">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投标人不得相互串通投标或者与招标人串通投标，不得向招标人或者评标委员会成员行贿谋取中标，不得以他人名义投标或者以其它方式弄虚作假骗取中标；投标人不得以任何方式干扰、影响评标工作。</w:t>
      </w:r>
    </w:p>
    <w:p w14:paraId="079E435A">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 xml:space="preserve">9.3对评标委员会成员的纪律要求 </w:t>
      </w:r>
    </w:p>
    <w:p w14:paraId="0B2EB924">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评标委员会及其成员不得有下列行为： </w:t>
      </w:r>
    </w:p>
    <w:p w14:paraId="3E5E2823">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（1）确定参与评标至评标结束前私自接触投标人； </w:t>
      </w:r>
    </w:p>
    <w:p w14:paraId="588A9E2F">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（2）接受投标人提出的与投标文件不一致的澄清或者说明； </w:t>
      </w:r>
    </w:p>
    <w:p w14:paraId="6F5D719E">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（3）违反评标纪律发表倾向性意见或者征询招标人的倾向性意见； </w:t>
      </w:r>
    </w:p>
    <w:p w14:paraId="5C81AFA9">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（4）对需要专业判断的主观评审因素协商评分； </w:t>
      </w:r>
    </w:p>
    <w:p w14:paraId="250456F0">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（5）在评标过程中擅离职守，影响评标程序正常进行的； </w:t>
      </w:r>
    </w:p>
    <w:p w14:paraId="03BCF2BA">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（6）记录、复制或者带走任何评标资料； </w:t>
      </w:r>
    </w:p>
    <w:p w14:paraId="781EEF64">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（7）其他不遵守评标纪律的行为。 </w:t>
      </w:r>
    </w:p>
    <w:p w14:paraId="57E40872">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评标委员会成员有前款第（1）至（7）项行为之一的，其评审意见无效，并不得获取评审劳务报酬和报销异地评审差旅费。 </w:t>
      </w:r>
    </w:p>
    <w:p w14:paraId="4C8DB031">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 xml:space="preserve">9.4对与评标活动有关的工作人员的纪律要求 </w:t>
      </w:r>
    </w:p>
    <w:p w14:paraId="6D2E97F4">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6A572DC1">
      <w:pPr>
        <w:pStyle w:val="4"/>
        <w:widowControl w:val="0"/>
        <w:tabs>
          <w:tab w:val="left" w:pos="900"/>
        </w:tabs>
        <w:adjustRightInd w:val="0"/>
        <w:snapToGrid w:val="0"/>
        <w:spacing w:line="480" w:lineRule="exact"/>
        <w:ind w:firstLine="241"/>
        <w:rPr>
          <w:color w:val="auto"/>
          <w:szCs w:val="24"/>
          <w:highlight w:val="none"/>
        </w:rPr>
      </w:pPr>
      <w:r>
        <w:rPr>
          <w:rFonts w:hint="eastAsia"/>
          <w:color w:val="auto"/>
          <w:szCs w:val="24"/>
          <w:highlight w:val="none"/>
        </w:rPr>
        <w:t>9.5</w:t>
      </w:r>
      <w:r>
        <w:rPr>
          <w:color w:val="auto"/>
          <w:highlight w:val="none"/>
        </w:rPr>
        <w:t>质疑</w:t>
      </w:r>
      <w:r>
        <w:rPr>
          <w:rFonts w:hint="eastAsia"/>
          <w:color w:val="auto"/>
          <w:highlight w:val="none"/>
        </w:rPr>
        <w:t>及</w:t>
      </w:r>
      <w:r>
        <w:rPr>
          <w:color w:val="auto"/>
          <w:highlight w:val="none"/>
        </w:rPr>
        <w:t>投诉</w:t>
      </w:r>
    </w:p>
    <w:p w14:paraId="261FEA08">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9.5.1投标人认为招标文件文件、招标过程和中标结果使自己的权益受到损害的（或者违反相关法律法规的），应当在知道或者应知其权益受到损害之日起七个工作日内，以书面形式向下列部门或招标人提出质疑。质疑内容不得含有虚假、恶意成分。当事人对自己提出的主张，有责任提供证据，提出质疑时应同时提交相关证据材料和注明事实的确切来源。</w:t>
      </w:r>
    </w:p>
    <w:p w14:paraId="28EC42B8">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投标人在法定质疑期内一次性提出针对同一采购程序环节的质疑。</w:t>
      </w:r>
    </w:p>
    <w:p w14:paraId="083155B6">
      <w:pPr>
        <w:adjustRightInd w:val="0"/>
        <w:snapToGrid w:val="0"/>
        <w:spacing w:line="480" w:lineRule="exact"/>
        <w:ind w:firstLine="480" w:firstLineChars="200"/>
        <w:jc w:val="left"/>
        <w:rPr>
          <w:rFonts w:hint="eastAsia" w:ascii="宋体" w:hAnsi="宋体" w:eastAsia="宋体"/>
          <w:color w:val="auto"/>
          <w:sz w:val="24"/>
          <w:highlight w:val="none"/>
          <w:u w:val="single"/>
          <w:lang w:eastAsia="zh-CN"/>
        </w:rPr>
      </w:pPr>
      <w:r>
        <w:rPr>
          <w:rFonts w:hint="eastAsia" w:ascii="宋体" w:hAnsi="宋体"/>
          <w:color w:val="auto"/>
          <w:sz w:val="24"/>
          <w:highlight w:val="none"/>
        </w:rPr>
        <w:t>受理质疑部门：</w:t>
      </w:r>
      <w:r>
        <w:rPr>
          <w:rFonts w:hint="eastAsia" w:ascii="宋体" w:hAnsi="宋体"/>
          <w:color w:val="auto"/>
          <w:sz w:val="24"/>
          <w:highlight w:val="none"/>
          <w:lang w:eastAsia="zh-CN"/>
        </w:rPr>
        <w:t>云南嘉鑫项目管理咨询有限公司</w:t>
      </w:r>
      <w:r>
        <w:rPr>
          <w:rFonts w:hint="eastAsia" w:ascii="宋体" w:hAnsi="宋体"/>
          <w:color w:val="auto"/>
          <w:sz w:val="24"/>
          <w:highlight w:val="none"/>
        </w:rPr>
        <w:t>，联系人：</w:t>
      </w:r>
      <w:r>
        <w:rPr>
          <w:rFonts w:hint="eastAsia" w:ascii="宋体" w:hAnsi="宋体"/>
          <w:color w:val="auto"/>
          <w:sz w:val="24"/>
          <w:highlight w:val="none"/>
          <w:u w:val="single"/>
          <w:lang w:eastAsia="zh-CN"/>
        </w:rPr>
        <w:t>李师</w:t>
      </w:r>
      <w:r>
        <w:rPr>
          <w:rFonts w:hint="eastAsia" w:ascii="宋体" w:hAnsi="宋体"/>
          <w:color w:val="auto"/>
          <w:sz w:val="24"/>
          <w:highlight w:val="none"/>
        </w:rPr>
        <w:t>；电话：</w:t>
      </w:r>
      <w:r>
        <w:rPr>
          <w:rFonts w:hint="eastAsia" w:ascii="宋体" w:hAnsi="宋体"/>
          <w:color w:val="auto"/>
          <w:sz w:val="24"/>
          <w:highlight w:val="none"/>
          <w:u w:val="single"/>
          <w:lang w:eastAsia="zh-CN"/>
        </w:rPr>
        <w:t>19948779574/0877-2085166</w:t>
      </w:r>
    </w:p>
    <w:p w14:paraId="26283DAE">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9.5.</w:t>
      </w:r>
      <w:r>
        <w:rPr>
          <w:rFonts w:ascii="宋体" w:hAnsi="宋体"/>
          <w:color w:val="auto"/>
          <w:sz w:val="24"/>
          <w:highlight w:val="none"/>
        </w:rPr>
        <w:t>2</w:t>
      </w:r>
      <w:r>
        <w:rPr>
          <w:rFonts w:hint="eastAsia" w:ascii="宋体" w:hAnsi="宋体"/>
          <w:b/>
          <w:bCs/>
          <w:color w:val="auto"/>
          <w:sz w:val="24"/>
          <w:highlight w:val="none"/>
          <w:u w:val="single"/>
        </w:rPr>
        <w:t>投标人提供的质疑书应符合中华人民共和国财政部第94号令《政府采购质疑和投诉》的规定。</w:t>
      </w:r>
      <w:r>
        <w:rPr>
          <w:rFonts w:hint="eastAsia" w:ascii="宋体" w:hAnsi="宋体" w:cs="宋体"/>
          <w:color w:val="auto"/>
          <w:sz w:val="24"/>
          <w:highlight w:val="none"/>
        </w:rPr>
        <w:t>投标人</w:t>
      </w:r>
      <w:r>
        <w:rPr>
          <w:rFonts w:hint="eastAsia" w:ascii="宋体" w:hAnsi="宋体"/>
          <w:color w:val="auto"/>
          <w:sz w:val="24"/>
          <w:highlight w:val="none"/>
        </w:rPr>
        <w:t>提供的质疑书（如材料中有外文资料应同时附上中文译本）应当包括以下主要内容：</w:t>
      </w:r>
    </w:p>
    <w:p w14:paraId="30539E2A">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s="宋体"/>
          <w:color w:val="auto"/>
          <w:sz w:val="24"/>
          <w:highlight w:val="none"/>
        </w:rPr>
        <w:t>投标人</w:t>
      </w:r>
      <w:r>
        <w:rPr>
          <w:rFonts w:hint="eastAsia" w:ascii="宋体" w:hAnsi="宋体"/>
          <w:color w:val="auto"/>
          <w:sz w:val="24"/>
          <w:highlight w:val="none"/>
        </w:rPr>
        <w:t>的姓名或者名称、地址、邮编、联系人及联系电话；（2）质疑项目的名称、编号；（3）具体、明确的质疑事项和与质疑事项相关的请求；（4）事实依据；（5）必要的法律依据；（6）提出质疑的日期。</w:t>
      </w:r>
    </w:p>
    <w:p w14:paraId="610EC59D">
      <w:pPr>
        <w:adjustRightInd w:val="0"/>
        <w:snapToGrid w:val="0"/>
        <w:spacing w:line="480" w:lineRule="exact"/>
        <w:ind w:firstLine="482" w:firstLineChars="200"/>
        <w:jc w:val="left"/>
        <w:rPr>
          <w:rFonts w:ascii="宋体" w:hAnsi="宋体"/>
          <w:b/>
          <w:bCs/>
          <w:color w:val="auto"/>
          <w:sz w:val="24"/>
          <w:highlight w:val="none"/>
          <w:u w:val="single"/>
        </w:rPr>
      </w:pPr>
      <w:r>
        <w:rPr>
          <w:rFonts w:hint="eastAsia" w:ascii="宋体" w:hAnsi="宋体" w:cs="宋体"/>
          <w:b/>
          <w:color w:val="auto"/>
          <w:sz w:val="24"/>
          <w:highlight w:val="none"/>
          <w:u w:val="single"/>
        </w:rPr>
        <w:t>投标人</w:t>
      </w:r>
      <w:r>
        <w:rPr>
          <w:rFonts w:hint="eastAsia" w:ascii="宋体" w:hAnsi="宋体"/>
          <w:b/>
          <w:bCs/>
          <w:color w:val="auto"/>
          <w:sz w:val="24"/>
          <w:highlight w:val="none"/>
          <w:u w:val="single"/>
        </w:rPr>
        <w:t>为自然人的，应当由本人签字；投标人为法人或者其他组织的，应当由法定代表人、主要负责人，或者其授权代表签字或者盖章，并加盖公章。</w:t>
      </w:r>
    </w:p>
    <w:p w14:paraId="12934624">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9.5.</w:t>
      </w:r>
      <w:r>
        <w:rPr>
          <w:rFonts w:ascii="宋体" w:hAnsi="宋体"/>
          <w:color w:val="auto"/>
          <w:sz w:val="24"/>
          <w:highlight w:val="none"/>
        </w:rPr>
        <w:t>3</w:t>
      </w:r>
      <w:r>
        <w:rPr>
          <w:rFonts w:hint="eastAsia" w:ascii="宋体" w:hAnsi="宋体"/>
          <w:color w:val="auto"/>
          <w:sz w:val="24"/>
          <w:highlight w:val="none"/>
        </w:rPr>
        <w:t>招标人、招标代理机构将在收到投标人的书面质疑后七个工作日内作出答复，但答复的内容不涉及商业秘密。</w:t>
      </w:r>
    </w:p>
    <w:p w14:paraId="5E3DC616">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9.5.</w:t>
      </w:r>
      <w:r>
        <w:rPr>
          <w:rFonts w:ascii="宋体" w:hAnsi="宋体"/>
          <w:color w:val="auto"/>
          <w:sz w:val="24"/>
          <w:highlight w:val="none"/>
        </w:rPr>
        <w:t>4</w:t>
      </w:r>
      <w:r>
        <w:rPr>
          <w:rFonts w:hint="eastAsia" w:ascii="宋体" w:hAnsi="宋体"/>
          <w:color w:val="auto"/>
          <w:sz w:val="24"/>
          <w:highlight w:val="none"/>
        </w:rPr>
        <w:t>参与政府采购活动的投标人对评审过程或者结果提出质疑的，招标人或招标代理机构可以组织原评审委员会协助处理质疑事项，并依据评审委员会出具的意见进行答复。质疑答复导致中标或中标结果改变的，招标人或招标代理机构应当将相关情况报政府采购主管部门备案。</w:t>
      </w:r>
    </w:p>
    <w:p w14:paraId="625772E8">
      <w:pPr>
        <w:adjustRightInd w:val="0"/>
        <w:snapToGrid w:val="0"/>
        <w:spacing w:line="480" w:lineRule="exact"/>
        <w:ind w:firstLine="480" w:firstLineChars="200"/>
        <w:rPr>
          <w:rFonts w:ascii="宋体" w:hAnsi="宋体"/>
          <w:color w:val="auto"/>
          <w:sz w:val="24"/>
          <w:highlight w:val="none"/>
        </w:rPr>
      </w:pPr>
      <w:r>
        <w:rPr>
          <w:rFonts w:hint="eastAsia" w:ascii="宋体" w:hAnsi="宋体"/>
          <w:color w:val="auto"/>
          <w:sz w:val="24"/>
          <w:highlight w:val="none"/>
        </w:rPr>
        <w:t>9.5.</w:t>
      </w:r>
      <w:r>
        <w:rPr>
          <w:rFonts w:ascii="宋体" w:hAnsi="宋体"/>
          <w:color w:val="auto"/>
          <w:sz w:val="24"/>
          <w:highlight w:val="none"/>
        </w:rPr>
        <w:t>5</w:t>
      </w:r>
      <w:r>
        <w:rPr>
          <w:rFonts w:hint="eastAsia" w:ascii="宋体" w:hAnsi="宋体"/>
          <w:color w:val="auto"/>
          <w:sz w:val="24"/>
          <w:highlight w:val="none"/>
        </w:rPr>
        <w:t>投诉</w:t>
      </w:r>
    </w:p>
    <w:p w14:paraId="7D769E54">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质疑投标人对招标人、招标代理机构的答复不满意，或者招标人、招标代理机构未在规定时间内作出答复的，可以在答复期满后15个工作日内向政府采购主管部门提出投诉。</w:t>
      </w:r>
    </w:p>
    <w:p w14:paraId="5141EA93">
      <w:pPr>
        <w:pStyle w:val="3"/>
        <w:tabs>
          <w:tab w:val="left" w:pos="1021"/>
        </w:tabs>
        <w:adjustRightInd w:val="0"/>
        <w:snapToGrid w:val="0"/>
        <w:spacing w:line="480" w:lineRule="exact"/>
        <w:rPr>
          <w:rFonts w:hAnsi="宋体"/>
          <w:color w:val="auto"/>
          <w:highlight w:val="none"/>
        </w:rPr>
      </w:pPr>
      <w:bookmarkStart w:id="110" w:name="_Toc18952"/>
      <w:bookmarkStart w:id="111" w:name="_Toc1831"/>
      <w:r>
        <w:rPr>
          <w:rFonts w:hint="eastAsia" w:hAnsi="宋体"/>
          <w:color w:val="auto"/>
          <w:highlight w:val="none"/>
        </w:rPr>
        <w:t>10.是否采用电子招标投标</w:t>
      </w:r>
      <w:bookmarkEnd w:id="110"/>
      <w:bookmarkEnd w:id="111"/>
      <w:r>
        <w:rPr>
          <w:rFonts w:hint="eastAsia" w:hAnsi="宋体"/>
          <w:color w:val="auto"/>
          <w:highlight w:val="none"/>
        </w:rPr>
        <w:t xml:space="preserve"> </w:t>
      </w:r>
    </w:p>
    <w:p w14:paraId="25999C59">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本招标项目采用电子招标投标方式。</w:t>
      </w:r>
    </w:p>
    <w:p w14:paraId="1CA478ED">
      <w:pPr>
        <w:pStyle w:val="3"/>
        <w:tabs>
          <w:tab w:val="left" w:pos="1021"/>
        </w:tabs>
        <w:adjustRightInd w:val="0"/>
        <w:snapToGrid w:val="0"/>
        <w:spacing w:line="480" w:lineRule="exact"/>
        <w:rPr>
          <w:rFonts w:hAnsi="宋体"/>
          <w:color w:val="auto"/>
          <w:highlight w:val="none"/>
        </w:rPr>
      </w:pPr>
      <w:bookmarkStart w:id="112" w:name="_Toc1031"/>
      <w:bookmarkStart w:id="113" w:name="_Toc13668"/>
      <w:r>
        <w:rPr>
          <w:rFonts w:hint="eastAsia" w:hAnsi="宋体"/>
          <w:color w:val="auto"/>
          <w:highlight w:val="none"/>
        </w:rPr>
        <w:t>11.需要补充的其他内容</w:t>
      </w:r>
      <w:bookmarkEnd w:id="112"/>
      <w:bookmarkEnd w:id="113"/>
    </w:p>
    <w:p w14:paraId="7D0E7532">
      <w:pPr>
        <w:adjustRightInd w:val="0"/>
        <w:snapToGrid w:val="0"/>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需要补充的其他内容：见投标人须知前附表。</w:t>
      </w:r>
    </w:p>
    <w:p w14:paraId="51B404C9">
      <w:pPr>
        <w:pStyle w:val="13"/>
        <w:rPr>
          <w:rFonts w:hAnsi="宋体" w:cs="宋体"/>
          <w:color w:val="auto"/>
          <w:sz w:val="24"/>
          <w:szCs w:val="24"/>
          <w:highlight w:val="none"/>
        </w:rPr>
      </w:pPr>
    </w:p>
    <w:p w14:paraId="68734BFE">
      <w:pPr>
        <w:pStyle w:val="13"/>
        <w:rPr>
          <w:rFonts w:hAnsi="宋体" w:cs="宋体"/>
          <w:color w:val="auto"/>
          <w:sz w:val="24"/>
          <w:szCs w:val="24"/>
          <w:highlight w:val="none"/>
        </w:rPr>
      </w:pPr>
    </w:p>
    <w:p w14:paraId="5F9D3B70">
      <w:pPr>
        <w:pStyle w:val="13"/>
        <w:rPr>
          <w:rFonts w:hAnsi="宋体" w:cs="宋体"/>
          <w:color w:val="auto"/>
          <w:sz w:val="24"/>
          <w:szCs w:val="24"/>
          <w:highlight w:val="none"/>
        </w:rPr>
      </w:pPr>
    </w:p>
    <w:p w14:paraId="27A42892">
      <w:pPr>
        <w:pStyle w:val="13"/>
        <w:rPr>
          <w:rFonts w:hAnsi="宋体" w:cs="宋体"/>
          <w:color w:val="auto"/>
          <w:sz w:val="24"/>
          <w:szCs w:val="24"/>
          <w:highlight w:val="none"/>
        </w:rPr>
      </w:pPr>
    </w:p>
    <w:p w14:paraId="004051E3">
      <w:pPr>
        <w:pStyle w:val="13"/>
        <w:rPr>
          <w:rFonts w:hAnsi="宋体" w:cs="宋体"/>
          <w:color w:val="auto"/>
          <w:sz w:val="24"/>
          <w:szCs w:val="24"/>
          <w:highlight w:val="none"/>
        </w:rPr>
      </w:pPr>
    </w:p>
    <w:p w14:paraId="44BFC376">
      <w:pPr>
        <w:pStyle w:val="13"/>
        <w:rPr>
          <w:rFonts w:hAnsi="宋体" w:cs="宋体"/>
          <w:color w:val="auto"/>
          <w:sz w:val="24"/>
          <w:szCs w:val="24"/>
          <w:highlight w:val="none"/>
        </w:rPr>
      </w:pPr>
    </w:p>
    <w:p w14:paraId="4939AAA6">
      <w:pPr>
        <w:pStyle w:val="13"/>
        <w:rPr>
          <w:rFonts w:hAnsi="宋体" w:cs="宋体"/>
          <w:color w:val="auto"/>
          <w:sz w:val="24"/>
          <w:szCs w:val="24"/>
          <w:highlight w:val="none"/>
        </w:rPr>
      </w:pPr>
    </w:p>
    <w:p w14:paraId="35DC61B0">
      <w:pPr>
        <w:rPr>
          <w:rFonts w:hint="eastAsia" w:ascii="宋体" w:hAnsi="宋体" w:eastAsia="宋体" w:cs="Times New Roman"/>
          <w:b/>
          <w:bCs/>
          <w:color w:val="auto"/>
          <w:kern w:val="2"/>
          <w:sz w:val="32"/>
          <w:szCs w:val="24"/>
          <w:highlight w:val="none"/>
          <w:lang w:val="en-US" w:eastAsia="zh-CN" w:bidi="ar-SA"/>
        </w:rPr>
      </w:pPr>
      <w:bookmarkStart w:id="114" w:name="_Toc21868"/>
      <w:bookmarkStart w:id="115" w:name="_Toc27667"/>
      <w:r>
        <w:rPr>
          <w:rFonts w:hint="eastAsia" w:ascii="宋体" w:hAnsi="宋体" w:eastAsia="宋体" w:cs="Times New Roman"/>
          <w:b/>
          <w:bCs/>
          <w:color w:val="auto"/>
          <w:kern w:val="2"/>
          <w:sz w:val="32"/>
          <w:szCs w:val="24"/>
          <w:highlight w:val="none"/>
          <w:lang w:val="en-US" w:eastAsia="zh-CN" w:bidi="ar-SA"/>
        </w:rPr>
        <w:br w:type="page"/>
      </w:r>
    </w:p>
    <w:p w14:paraId="0E60EA12">
      <w:pPr>
        <w:pStyle w:val="2"/>
        <w:numPr>
          <w:ilvl w:val="0"/>
          <w:numId w:val="0"/>
        </w:numPr>
        <w:ind w:firstLine="643" w:firstLineChars="0"/>
        <w:rPr>
          <w:rFonts w:hint="eastAsia" w:eastAsia="宋体"/>
          <w:color w:val="auto"/>
          <w:highlight w:val="none"/>
          <w:lang w:eastAsia="zh-CN"/>
        </w:rPr>
      </w:pPr>
      <w:r>
        <w:rPr>
          <w:rFonts w:hint="eastAsia" w:ascii="宋体" w:hAnsi="宋体" w:eastAsia="宋体" w:cs="Times New Roman"/>
          <w:b/>
          <w:bCs/>
          <w:color w:val="auto"/>
          <w:kern w:val="2"/>
          <w:sz w:val="32"/>
          <w:szCs w:val="24"/>
          <w:highlight w:val="none"/>
          <w:lang w:val="en-US" w:eastAsia="zh-CN" w:bidi="ar-SA"/>
        </w:rPr>
        <w:t>第三章</w:t>
      </w:r>
      <w:r>
        <w:rPr>
          <w:rFonts w:hint="eastAsia"/>
          <w:color w:val="auto"/>
          <w:highlight w:val="none"/>
        </w:rPr>
        <w:t>拟签订的合同文本</w:t>
      </w:r>
      <w:bookmarkEnd w:id="114"/>
      <w:bookmarkEnd w:id="115"/>
    </w:p>
    <w:p w14:paraId="4202C13A">
      <w:pPr>
        <w:spacing w:line="360" w:lineRule="auto"/>
        <w:ind w:left="397" w:leftChars="189" w:right="-48" w:rightChars="-23"/>
        <w:jc w:val="center"/>
        <w:rPr>
          <w:rFonts w:ascii="宋体" w:hAnsi="宋体"/>
          <w:color w:val="auto"/>
          <w:sz w:val="24"/>
          <w:highlight w:val="none"/>
        </w:rPr>
      </w:pPr>
    </w:p>
    <w:p w14:paraId="3B65A31E">
      <w:pPr>
        <w:spacing w:line="360" w:lineRule="auto"/>
        <w:ind w:left="397" w:leftChars="189" w:right="-48" w:rightChars="-23"/>
        <w:jc w:val="center"/>
        <w:rPr>
          <w:rFonts w:ascii="宋体" w:hAnsi="宋体"/>
          <w:color w:val="auto"/>
          <w:sz w:val="24"/>
          <w:highlight w:val="none"/>
        </w:rPr>
      </w:pPr>
      <w:r>
        <w:rPr>
          <w:rFonts w:hint="eastAsia" w:ascii="宋体" w:hAnsi="宋体"/>
          <w:color w:val="auto"/>
          <w:sz w:val="24"/>
          <w:highlight w:val="none"/>
        </w:rPr>
        <w:t>（本合同文本仅供参考，具体由招标人及中标人最终商定，但不能改变招标文件、投标文件的实质性条件）</w:t>
      </w:r>
    </w:p>
    <w:p w14:paraId="701AF49C">
      <w:pPr>
        <w:rPr>
          <w:rFonts w:hint="eastAsia" w:ascii="宋体" w:hAnsi="宋体" w:eastAsia="宋体" w:cs="宋体"/>
          <w:color w:val="auto"/>
          <w:sz w:val="24"/>
          <w:highlight w:val="none"/>
        </w:rPr>
      </w:pPr>
    </w:p>
    <w:p w14:paraId="599EA4E1">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                         招标编号：</w:t>
      </w:r>
    </w:p>
    <w:p w14:paraId="40EE75EA">
      <w:pPr>
        <w:pStyle w:val="6"/>
        <w:ind w:firstLine="0"/>
        <w:rPr>
          <w:rFonts w:hint="eastAsia" w:ascii="宋体" w:hAnsi="宋体" w:eastAsia="宋体" w:cs="宋体"/>
          <w:color w:val="auto"/>
          <w:kern w:val="0"/>
          <w:sz w:val="24"/>
          <w:szCs w:val="24"/>
          <w:highlight w:val="none"/>
        </w:rPr>
      </w:pPr>
    </w:p>
    <w:p w14:paraId="3F7E2036">
      <w:pPr>
        <w:pStyle w:val="6"/>
        <w:ind w:firstLine="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●本合同须加盖甲乙双方骑缝章有效</w:t>
      </w:r>
    </w:p>
    <w:p w14:paraId="2A53F3F9">
      <w:pPr>
        <w:pStyle w:val="6"/>
        <w:ind w:firstLine="0"/>
        <w:rPr>
          <w:rFonts w:hint="eastAsia" w:ascii="宋体" w:hAnsi="宋体" w:eastAsia="宋体" w:cs="宋体"/>
          <w:color w:val="auto"/>
          <w:kern w:val="0"/>
          <w:sz w:val="24"/>
          <w:szCs w:val="24"/>
          <w:highlight w:val="none"/>
        </w:rPr>
      </w:pPr>
    </w:p>
    <w:p w14:paraId="0FC6287E">
      <w:pPr>
        <w:pStyle w:val="6"/>
        <w:ind w:firstLine="0"/>
        <w:rPr>
          <w:rFonts w:hint="eastAsia" w:ascii="宋体" w:hAnsi="宋体" w:eastAsia="宋体" w:cs="宋体"/>
          <w:color w:val="auto"/>
          <w:kern w:val="0"/>
          <w:sz w:val="24"/>
          <w:szCs w:val="24"/>
          <w:highlight w:val="none"/>
        </w:rPr>
      </w:pPr>
    </w:p>
    <w:p w14:paraId="328469E7">
      <w:pPr>
        <w:snapToGrid w:val="0"/>
        <w:spacing w:line="288" w:lineRule="auto"/>
        <w:jc w:val="center"/>
        <w:rPr>
          <w:rFonts w:hint="default" w:ascii="Cambria Math" w:hAnsi="Cambria Math" w:eastAsia="宋体" w:cs="Times New Roman"/>
          <w:b/>
          <w:color w:val="auto"/>
          <w:sz w:val="36"/>
          <w:szCs w:val="36"/>
          <w:highlight w:val="none"/>
          <w:u w:val="single"/>
          <w:lang w:val="en-US" w:eastAsia="zh-CN"/>
        </w:rPr>
      </w:pPr>
      <w:r>
        <w:rPr>
          <w:rFonts w:hint="eastAsia" w:ascii="Cambria Math" w:hAnsi="Cambria Math" w:cs="Times New Roman"/>
          <w:b/>
          <w:color w:val="auto"/>
          <w:sz w:val="36"/>
          <w:szCs w:val="36"/>
          <w:highlight w:val="none"/>
          <w:u w:val="single"/>
          <w:lang w:val="en-US" w:eastAsia="zh-CN"/>
        </w:rPr>
        <w:t>（项 目 名 称）</w:t>
      </w:r>
    </w:p>
    <w:p w14:paraId="7F013979">
      <w:pPr>
        <w:snapToGrid w:val="0"/>
        <w:spacing w:line="288" w:lineRule="auto"/>
        <w:jc w:val="center"/>
        <w:rPr>
          <w:rFonts w:hint="eastAsia" w:ascii="Cambria Math" w:hAnsi="Cambria Math" w:cs="Times New Roman"/>
          <w:b/>
          <w:color w:val="auto"/>
          <w:sz w:val="44"/>
          <w:szCs w:val="44"/>
          <w:highlight w:val="none"/>
        </w:rPr>
      </w:pPr>
    </w:p>
    <w:p w14:paraId="21677A05">
      <w:pPr>
        <w:snapToGrid w:val="0"/>
        <w:spacing w:line="288" w:lineRule="auto"/>
        <w:jc w:val="center"/>
        <w:rPr>
          <w:rFonts w:hint="eastAsia" w:ascii="Cambria Math" w:hAnsi="Cambria Math" w:cs="Times New Roman"/>
          <w:b/>
          <w:color w:val="auto"/>
          <w:sz w:val="44"/>
          <w:szCs w:val="44"/>
          <w:highlight w:val="none"/>
        </w:rPr>
      </w:pPr>
    </w:p>
    <w:p w14:paraId="336A6FC3">
      <w:pPr>
        <w:snapToGrid w:val="0"/>
        <w:spacing w:line="360" w:lineRule="auto"/>
        <w:jc w:val="center"/>
        <w:rPr>
          <w:rFonts w:ascii="Wingdings" w:hAnsi="Cambria Math" w:eastAsia="Wingdings" w:cs="Times New Roman"/>
          <w:b/>
          <w:bCs/>
          <w:color w:val="auto"/>
          <w:sz w:val="72"/>
          <w:szCs w:val="72"/>
          <w:highlight w:val="none"/>
        </w:rPr>
      </w:pPr>
      <w:r>
        <w:rPr>
          <w:rFonts w:ascii="Wingdings" w:hAnsi="Cambria Math" w:eastAsia="Wingdings" w:cs="Times New Roman"/>
          <w:b/>
          <w:bCs/>
          <w:color w:val="auto"/>
          <w:sz w:val="72"/>
          <w:szCs w:val="72"/>
          <w:highlight w:val="none"/>
        </w:rPr>
        <w:t>合</w:t>
      </w:r>
    </w:p>
    <w:p w14:paraId="215B5B00">
      <w:pPr>
        <w:snapToGrid w:val="0"/>
        <w:spacing w:line="360" w:lineRule="auto"/>
        <w:jc w:val="center"/>
        <w:rPr>
          <w:rFonts w:ascii="Wingdings" w:hAnsi="Cambria Math" w:eastAsia="Wingdings" w:cs="Times New Roman"/>
          <w:b/>
          <w:bCs/>
          <w:color w:val="auto"/>
          <w:sz w:val="72"/>
          <w:szCs w:val="72"/>
          <w:highlight w:val="none"/>
        </w:rPr>
      </w:pPr>
    </w:p>
    <w:p w14:paraId="5C2C74D5">
      <w:pPr>
        <w:snapToGrid w:val="0"/>
        <w:spacing w:line="360" w:lineRule="auto"/>
        <w:jc w:val="center"/>
        <w:rPr>
          <w:rFonts w:ascii="Wingdings" w:hAnsi="Cambria Math" w:eastAsia="Wingdings" w:cs="Times New Roman"/>
          <w:b/>
          <w:bCs/>
          <w:color w:val="auto"/>
          <w:sz w:val="72"/>
          <w:szCs w:val="72"/>
          <w:highlight w:val="none"/>
        </w:rPr>
      </w:pPr>
      <w:r>
        <w:rPr>
          <w:rFonts w:ascii="Wingdings" w:hAnsi="Cambria Math" w:eastAsia="Wingdings" w:cs="Times New Roman"/>
          <w:b/>
          <w:bCs/>
          <w:color w:val="auto"/>
          <w:sz w:val="72"/>
          <w:szCs w:val="72"/>
          <w:highlight w:val="none"/>
        </w:rPr>
        <w:t>同</w:t>
      </w:r>
    </w:p>
    <w:p w14:paraId="1AB7EC4B">
      <w:pPr>
        <w:snapToGrid w:val="0"/>
        <w:spacing w:line="360" w:lineRule="auto"/>
        <w:jc w:val="center"/>
        <w:rPr>
          <w:rFonts w:ascii="Wingdings" w:hAnsi="Cambria Math" w:eastAsia="Wingdings" w:cs="Times New Roman"/>
          <w:b/>
          <w:bCs/>
          <w:color w:val="auto"/>
          <w:sz w:val="72"/>
          <w:szCs w:val="72"/>
          <w:highlight w:val="none"/>
        </w:rPr>
      </w:pPr>
    </w:p>
    <w:p w14:paraId="028BD899">
      <w:pPr>
        <w:snapToGrid w:val="0"/>
        <w:jc w:val="center"/>
        <w:rPr>
          <w:rFonts w:ascii="Wingdings" w:hAnsi="Cambria Math" w:eastAsia="Wingdings" w:cs="Times New Roman"/>
          <w:b/>
          <w:bCs/>
          <w:color w:val="auto"/>
          <w:sz w:val="72"/>
          <w:szCs w:val="72"/>
          <w:highlight w:val="none"/>
        </w:rPr>
      </w:pPr>
      <w:r>
        <w:rPr>
          <w:rFonts w:ascii="Wingdings" w:hAnsi="Cambria Math" w:eastAsia="Wingdings" w:cs="Times New Roman"/>
          <w:b/>
          <w:bCs/>
          <w:color w:val="auto"/>
          <w:sz w:val="72"/>
          <w:szCs w:val="72"/>
          <w:highlight w:val="none"/>
        </w:rPr>
        <w:t>书</w:t>
      </w:r>
    </w:p>
    <w:p w14:paraId="65CF1551">
      <w:pPr>
        <w:snapToGrid w:val="0"/>
        <w:spacing w:line="288" w:lineRule="auto"/>
        <w:rPr>
          <w:rFonts w:hint="eastAsia" w:ascii="Cambria Math" w:hAnsi="Cambria Math" w:cs="Times New Roman"/>
          <w:b/>
          <w:bCs/>
          <w:color w:val="auto"/>
          <w:sz w:val="28"/>
          <w:szCs w:val="28"/>
          <w:highlight w:val="none"/>
        </w:rPr>
      </w:pPr>
    </w:p>
    <w:p w14:paraId="7B47B462">
      <w:pPr>
        <w:snapToGrid w:val="0"/>
        <w:spacing w:line="288" w:lineRule="auto"/>
        <w:ind w:firstLine="3092" w:firstLineChars="1100"/>
        <w:rPr>
          <w:rFonts w:hint="eastAsia" w:ascii="Cambria Math" w:hAnsi="Cambria Math" w:cs="Times New Roman"/>
          <w:b/>
          <w:bCs/>
          <w:color w:val="auto"/>
          <w:sz w:val="28"/>
          <w:szCs w:val="28"/>
          <w:highlight w:val="none"/>
        </w:rPr>
      </w:pPr>
    </w:p>
    <w:p w14:paraId="50A0F968">
      <w:pPr>
        <w:snapToGrid w:val="0"/>
        <w:spacing w:line="288" w:lineRule="auto"/>
        <w:ind w:firstLine="3092" w:firstLineChars="1100"/>
        <w:rPr>
          <w:rFonts w:hint="eastAsia" w:ascii="Cambria Math" w:hAnsi="Cambria Math" w:cs="Times New Roman"/>
          <w:b/>
          <w:bCs/>
          <w:color w:val="auto"/>
          <w:sz w:val="28"/>
          <w:szCs w:val="28"/>
          <w:highlight w:val="none"/>
        </w:rPr>
      </w:pPr>
    </w:p>
    <w:p w14:paraId="195740BE">
      <w:pPr>
        <w:snapToGrid w:val="0"/>
        <w:spacing w:line="288" w:lineRule="auto"/>
        <w:ind w:firstLine="2783" w:firstLineChars="990"/>
        <w:rPr>
          <w:rFonts w:hint="eastAsia" w:ascii="Cambria Math" w:hAnsi="Cambria Math" w:eastAsia="宋体" w:cs="Times New Roman"/>
          <w:b/>
          <w:bCs/>
          <w:color w:val="auto"/>
          <w:sz w:val="28"/>
          <w:szCs w:val="28"/>
          <w:highlight w:val="none"/>
          <w:lang w:eastAsia="zh-CN"/>
        </w:rPr>
      </w:pPr>
      <w:r>
        <w:rPr>
          <w:rFonts w:hint="eastAsia" w:ascii="Cambria Math" w:hAnsi="Cambria Math" w:cs="Times New Roman"/>
          <w:b/>
          <w:bCs/>
          <w:color w:val="auto"/>
          <w:sz w:val="28"/>
          <w:szCs w:val="28"/>
          <w:highlight w:val="none"/>
        </w:rPr>
        <w:t>签 订 地 点</w:t>
      </w:r>
      <w:r>
        <w:rPr>
          <w:rFonts w:hint="eastAsia" w:ascii="Cambria Math" w:hAnsi="Cambria Math" w:cs="Times New Roman"/>
          <w:b/>
          <w:bCs/>
          <w:color w:val="auto"/>
          <w:sz w:val="28"/>
          <w:szCs w:val="28"/>
          <w:highlight w:val="none"/>
          <w:lang w:eastAsia="zh-CN"/>
        </w:rPr>
        <w:t>：云南省玉溪第一中学</w:t>
      </w:r>
    </w:p>
    <w:p w14:paraId="32736986">
      <w:pPr>
        <w:snapToGrid w:val="0"/>
        <w:spacing w:line="288" w:lineRule="auto"/>
        <w:ind w:firstLine="2783" w:firstLineChars="990"/>
        <w:rPr>
          <w:rFonts w:hint="eastAsia" w:ascii="Cambria Math" w:hAnsi="Cambria Math" w:cs="Times New Roman"/>
          <w:b/>
          <w:bCs/>
          <w:color w:val="auto"/>
          <w:sz w:val="28"/>
          <w:szCs w:val="28"/>
          <w:highlight w:val="none"/>
        </w:rPr>
      </w:pPr>
      <w:r>
        <w:rPr>
          <w:rFonts w:hint="eastAsia" w:ascii="Cambria Math" w:hAnsi="Cambria Math" w:cs="Times New Roman"/>
          <w:b/>
          <w:bCs/>
          <w:color w:val="auto"/>
          <w:sz w:val="28"/>
          <w:szCs w:val="28"/>
          <w:highlight w:val="none"/>
        </w:rPr>
        <w:t>签 订 日 期：</w:t>
      </w:r>
    </w:p>
    <w:p w14:paraId="6DC99E1D">
      <w:pPr>
        <w:tabs>
          <w:tab w:val="left" w:pos="426"/>
        </w:tabs>
        <w:spacing w:line="360" w:lineRule="auto"/>
        <w:jc w:val="both"/>
        <w:rPr>
          <w:rFonts w:ascii="Cambria Math" w:hAnsi="Cambria Math" w:cs="Times New Roman"/>
          <w:color w:val="auto"/>
          <w:highlight w:val="none"/>
        </w:rPr>
      </w:pPr>
    </w:p>
    <w:p w14:paraId="4ACC300B">
      <w:pPr>
        <w:spacing w:line="360" w:lineRule="auto"/>
        <w:rPr>
          <w:rFonts w:hint="eastAsia" w:ascii="Cambria Math" w:hAnsi="Cambria Math" w:cs="Times New Roman"/>
          <w:b/>
          <w:color w:val="auto"/>
          <w:sz w:val="28"/>
          <w:szCs w:val="28"/>
          <w:highlight w:val="none"/>
        </w:rPr>
      </w:pPr>
      <w:r>
        <w:rPr>
          <w:rFonts w:hint="eastAsia" w:ascii="Cambria Math" w:hAnsi="Cambria Math" w:cs="Times New Roman"/>
          <w:b/>
          <w:color w:val="auto"/>
          <w:sz w:val="28"/>
          <w:szCs w:val="28"/>
          <w:highlight w:val="none"/>
        </w:rPr>
        <w:t>【签字页】</w:t>
      </w:r>
    </w:p>
    <w:p w14:paraId="561098B2">
      <w:pPr>
        <w:spacing w:line="360" w:lineRule="auto"/>
        <w:rPr>
          <w:rFonts w:hint="eastAsia" w:ascii="宋体" w:hAnsi="宋体" w:cs="Times New Roman"/>
          <w:b/>
          <w:color w:val="auto"/>
          <w:sz w:val="24"/>
          <w:highlight w:val="none"/>
        </w:rPr>
      </w:pPr>
    </w:p>
    <w:p w14:paraId="103BCDF6">
      <w:pPr>
        <w:spacing w:line="360" w:lineRule="auto"/>
        <w:rPr>
          <w:rFonts w:ascii="宋体" w:hAnsi="宋体" w:cs="Times New Roman"/>
          <w:b/>
          <w:color w:val="auto"/>
          <w:sz w:val="24"/>
          <w:highlight w:val="none"/>
        </w:rPr>
      </w:pPr>
    </w:p>
    <w:p w14:paraId="7697D711">
      <w:pPr>
        <w:spacing w:line="360" w:lineRule="auto"/>
        <w:rPr>
          <w:rFonts w:hint="eastAsia" w:ascii="宋体" w:hAnsi="宋体" w:eastAsia="宋体" w:cs="Times New Roman"/>
          <w:color w:val="auto"/>
          <w:sz w:val="24"/>
          <w:highlight w:val="none"/>
          <w:lang w:eastAsia="zh-CN"/>
        </w:rPr>
      </w:pPr>
      <w:r>
        <w:rPr>
          <w:rFonts w:hint="eastAsia" w:ascii="宋体" w:hAnsi="宋体" w:cs="Times New Roman"/>
          <w:b/>
          <w:color w:val="auto"/>
          <w:sz w:val="24"/>
          <w:highlight w:val="none"/>
        </w:rPr>
        <w:t>甲方（</w:t>
      </w:r>
      <w:r>
        <w:rPr>
          <w:rFonts w:hint="eastAsia" w:ascii="宋体" w:hAnsi="宋体" w:cs="Times New Roman"/>
          <w:b/>
          <w:color w:val="auto"/>
          <w:sz w:val="24"/>
          <w:highlight w:val="none"/>
          <w:lang w:eastAsia="zh-CN"/>
        </w:rPr>
        <w:t>招标人</w:t>
      </w:r>
      <w:r>
        <w:rPr>
          <w:rFonts w:hint="eastAsia" w:ascii="宋体" w:hAnsi="宋体" w:cs="Times New Roman"/>
          <w:b/>
          <w:color w:val="auto"/>
          <w:sz w:val="24"/>
          <w:highlight w:val="none"/>
        </w:rPr>
        <w:t>公章）名 称：</w:t>
      </w:r>
    </w:p>
    <w:p w14:paraId="37F84B40">
      <w:pPr>
        <w:spacing w:line="360" w:lineRule="auto"/>
        <w:ind w:firstLine="2168" w:firstLineChars="900"/>
        <w:rPr>
          <w:rFonts w:ascii="宋体" w:hAnsi="宋体" w:cs="Times New Roman"/>
          <w:color w:val="auto"/>
          <w:sz w:val="24"/>
          <w:highlight w:val="none"/>
        </w:rPr>
      </w:pPr>
      <w:r>
        <w:rPr>
          <w:rFonts w:hint="eastAsia" w:ascii="宋体" w:hAnsi="宋体" w:cs="Times New Roman"/>
          <w:b/>
          <w:color w:val="auto"/>
          <w:sz w:val="24"/>
          <w:highlight w:val="none"/>
        </w:rPr>
        <w:t>地 址：</w:t>
      </w:r>
    </w:p>
    <w:p w14:paraId="442C05B0">
      <w:pPr>
        <w:spacing w:line="360" w:lineRule="auto"/>
        <w:ind w:firstLine="2168" w:firstLineChars="900"/>
        <w:rPr>
          <w:rFonts w:ascii="宋体" w:hAnsi="宋体" w:cs="Times New Roman"/>
          <w:color w:val="auto"/>
          <w:sz w:val="24"/>
          <w:highlight w:val="none"/>
        </w:rPr>
      </w:pPr>
      <w:r>
        <w:rPr>
          <w:rFonts w:hint="eastAsia" w:ascii="宋体" w:hAnsi="宋体" w:cs="Times New Roman"/>
          <w:b/>
          <w:color w:val="auto"/>
          <w:sz w:val="24"/>
          <w:highlight w:val="none"/>
        </w:rPr>
        <w:t>邮 编：</w:t>
      </w:r>
    </w:p>
    <w:p w14:paraId="74B05E4C">
      <w:pPr>
        <w:spacing w:line="360" w:lineRule="auto"/>
        <w:ind w:firstLine="241" w:firstLineChars="100"/>
        <w:rPr>
          <w:rFonts w:ascii="宋体" w:hAnsi="宋体" w:cs="Times New Roman"/>
          <w:b/>
          <w:color w:val="auto"/>
          <w:sz w:val="24"/>
          <w:highlight w:val="none"/>
        </w:rPr>
      </w:pPr>
      <w:r>
        <w:rPr>
          <w:rFonts w:hint="eastAsia" w:ascii="宋体" w:hAnsi="宋体" w:cs="Times New Roman"/>
          <w:b/>
          <w:color w:val="auto"/>
          <w:sz w:val="24"/>
          <w:highlight w:val="none"/>
        </w:rPr>
        <w:t>法定代表人或委托代理人：</w:t>
      </w:r>
    </w:p>
    <w:p w14:paraId="294A93EA">
      <w:pPr>
        <w:spacing w:line="360" w:lineRule="auto"/>
        <w:ind w:firstLine="723" w:firstLineChars="300"/>
        <w:rPr>
          <w:rFonts w:ascii="宋体" w:hAnsi="宋体" w:cs="Times New Roman"/>
          <w:b/>
          <w:color w:val="auto"/>
          <w:sz w:val="24"/>
          <w:highlight w:val="none"/>
        </w:rPr>
      </w:pPr>
      <w:r>
        <w:rPr>
          <w:rFonts w:hint="eastAsia" w:ascii="宋体" w:hAnsi="宋体" w:cs="Times New Roman"/>
          <w:b/>
          <w:color w:val="auto"/>
          <w:sz w:val="24"/>
          <w:highlight w:val="none"/>
        </w:rPr>
        <w:t>项目（技术）负责人：</w:t>
      </w:r>
    </w:p>
    <w:p w14:paraId="566009BB">
      <w:pPr>
        <w:spacing w:line="360" w:lineRule="auto"/>
        <w:ind w:firstLine="2168" w:firstLineChars="900"/>
        <w:rPr>
          <w:rFonts w:ascii="宋体" w:hAnsi="宋体" w:cs="Times New Roman"/>
          <w:b w:val="0"/>
          <w:bCs/>
          <w:color w:val="auto"/>
          <w:sz w:val="24"/>
          <w:highlight w:val="none"/>
        </w:rPr>
      </w:pPr>
      <w:r>
        <w:rPr>
          <w:rFonts w:hint="eastAsia" w:ascii="宋体" w:hAnsi="宋体" w:cs="Times New Roman"/>
          <w:b/>
          <w:color w:val="auto"/>
          <w:sz w:val="24"/>
          <w:highlight w:val="none"/>
        </w:rPr>
        <w:t>电 话：</w:t>
      </w:r>
    </w:p>
    <w:p w14:paraId="487580A7">
      <w:pPr>
        <w:spacing w:line="360" w:lineRule="auto"/>
        <w:ind w:firstLine="1920" w:firstLineChars="800"/>
        <w:rPr>
          <w:rFonts w:ascii="宋体" w:hAnsi="宋体" w:cs="Times New Roman"/>
          <w:b w:val="0"/>
          <w:bCs/>
          <w:color w:val="auto"/>
          <w:sz w:val="24"/>
          <w:highlight w:val="none"/>
        </w:rPr>
      </w:pPr>
      <w:r>
        <w:rPr>
          <w:rFonts w:hint="eastAsia" w:ascii="宋体" w:hAnsi="宋体" w:cs="Times New Roman"/>
          <w:b w:val="0"/>
          <w:bCs/>
          <w:color w:val="auto"/>
          <w:sz w:val="24"/>
          <w:highlight w:val="none"/>
        </w:rPr>
        <w:t xml:space="preserve">  </w:t>
      </w:r>
    </w:p>
    <w:p w14:paraId="15BBA258">
      <w:pPr>
        <w:spacing w:line="360" w:lineRule="auto"/>
        <w:ind w:firstLine="1928" w:firstLineChars="800"/>
        <w:rPr>
          <w:rFonts w:ascii="宋体" w:hAnsi="宋体" w:cs="Times New Roman"/>
          <w:b/>
          <w:color w:val="auto"/>
          <w:sz w:val="24"/>
          <w:highlight w:val="none"/>
        </w:rPr>
      </w:pPr>
    </w:p>
    <w:p w14:paraId="3892E757">
      <w:pPr>
        <w:spacing w:line="360" w:lineRule="auto"/>
        <w:rPr>
          <w:rFonts w:ascii="宋体" w:hAnsi="宋体" w:cs="Times New Roman"/>
          <w:b/>
          <w:color w:val="auto"/>
          <w:sz w:val="24"/>
          <w:highlight w:val="none"/>
        </w:rPr>
      </w:pPr>
      <w:r>
        <w:rPr>
          <w:rFonts w:hint="eastAsia" w:ascii="宋体" w:hAnsi="宋体" w:cs="Times New Roman"/>
          <w:b/>
          <w:color w:val="auto"/>
          <w:sz w:val="24"/>
          <w:highlight w:val="none"/>
        </w:rPr>
        <w:t>乙方（</w:t>
      </w:r>
      <w:r>
        <w:rPr>
          <w:rFonts w:hint="eastAsia" w:ascii="宋体" w:hAnsi="宋体" w:cs="Times New Roman"/>
          <w:b/>
          <w:color w:val="auto"/>
          <w:sz w:val="24"/>
          <w:highlight w:val="none"/>
          <w:lang w:eastAsia="zh-CN"/>
        </w:rPr>
        <w:t>投标人</w:t>
      </w:r>
      <w:r>
        <w:rPr>
          <w:rFonts w:hint="eastAsia" w:ascii="宋体" w:hAnsi="宋体" w:cs="Times New Roman"/>
          <w:b/>
          <w:color w:val="auto"/>
          <w:sz w:val="24"/>
          <w:highlight w:val="none"/>
        </w:rPr>
        <w:t xml:space="preserve">公章）名 称： </w:t>
      </w:r>
    </w:p>
    <w:p w14:paraId="41D6B44E">
      <w:pPr>
        <w:spacing w:line="360" w:lineRule="auto"/>
        <w:ind w:firstLine="2168" w:firstLineChars="900"/>
        <w:rPr>
          <w:rFonts w:ascii="宋体" w:hAnsi="宋体" w:cs="Times New Roman"/>
          <w:b/>
          <w:color w:val="auto"/>
          <w:sz w:val="24"/>
          <w:highlight w:val="none"/>
        </w:rPr>
      </w:pPr>
      <w:r>
        <w:rPr>
          <w:rFonts w:hint="eastAsia" w:ascii="宋体" w:hAnsi="宋体" w:cs="Times New Roman"/>
          <w:b/>
          <w:color w:val="auto"/>
          <w:sz w:val="24"/>
          <w:highlight w:val="none"/>
        </w:rPr>
        <w:t>地 址：</w:t>
      </w:r>
    </w:p>
    <w:p w14:paraId="722E1F6D">
      <w:pPr>
        <w:spacing w:line="360" w:lineRule="auto"/>
        <w:ind w:firstLine="2168" w:firstLineChars="900"/>
        <w:rPr>
          <w:rFonts w:ascii="宋体" w:hAnsi="宋体" w:cs="Times New Roman"/>
          <w:b/>
          <w:color w:val="auto"/>
          <w:sz w:val="24"/>
          <w:highlight w:val="none"/>
        </w:rPr>
      </w:pPr>
      <w:r>
        <w:rPr>
          <w:rFonts w:hint="eastAsia" w:ascii="宋体" w:hAnsi="宋体" w:cs="Times New Roman"/>
          <w:b/>
          <w:color w:val="auto"/>
          <w:sz w:val="24"/>
          <w:highlight w:val="none"/>
        </w:rPr>
        <w:t>邮 编：</w:t>
      </w:r>
    </w:p>
    <w:p w14:paraId="21FBDA7D">
      <w:pPr>
        <w:spacing w:line="360" w:lineRule="auto"/>
        <w:ind w:firstLine="241" w:firstLineChars="100"/>
        <w:rPr>
          <w:rFonts w:ascii="宋体" w:hAnsi="宋体" w:cs="Times New Roman"/>
          <w:b/>
          <w:color w:val="auto"/>
          <w:sz w:val="24"/>
          <w:highlight w:val="none"/>
        </w:rPr>
      </w:pPr>
      <w:r>
        <w:rPr>
          <w:rFonts w:hint="eastAsia" w:ascii="宋体" w:hAnsi="宋体" w:cs="Times New Roman"/>
          <w:b/>
          <w:color w:val="auto"/>
          <w:sz w:val="24"/>
          <w:highlight w:val="none"/>
        </w:rPr>
        <w:t>法定代表人或委托代理人：</w:t>
      </w:r>
    </w:p>
    <w:p w14:paraId="73B0C1A2">
      <w:pPr>
        <w:spacing w:line="360" w:lineRule="auto"/>
        <w:ind w:firstLine="1687" w:firstLineChars="700"/>
        <w:rPr>
          <w:rFonts w:ascii="宋体" w:hAnsi="宋体" w:cs="Times New Roman"/>
          <w:b/>
          <w:color w:val="auto"/>
          <w:sz w:val="24"/>
          <w:highlight w:val="none"/>
        </w:rPr>
      </w:pPr>
      <w:r>
        <w:rPr>
          <w:rFonts w:hint="eastAsia" w:ascii="宋体" w:hAnsi="宋体" w:cs="Times New Roman"/>
          <w:b/>
          <w:color w:val="auto"/>
          <w:sz w:val="24"/>
          <w:highlight w:val="none"/>
        </w:rPr>
        <w:t>项目负责人：</w:t>
      </w:r>
    </w:p>
    <w:p w14:paraId="6899F85C">
      <w:pPr>
        <w:spacing w:line="360" w:lineRule="auto"/>
        <w:ind w:firstLine="2168" w:firstLineChars="900"/>
        <w:rPr>
          <w:rFonts w:ascii="宋体" w:hAnsi="宋体" w:cs="Times New Roman"/>
          <w:b/>
          <w:color w:val="auto"/>
          <w:sz w:val="24"/>
          <w:highlight w:val="none"/>
        </w:rPr>
      </w:pPr>
      <w:r>
        <w:rPr>
          <w:rFonts w:hint="eastAsia" w:ascii="宋体" w:hAnsi="宋体" w:cs="Times New Roman"/>
          <w:b/>
          <w:color w:val="auto"/>
          <w:sz w:val="24"/>
          <w:highlight w:val="none"/>
        </w:rPr>
        <w:t>电 话：</w:t>
      </w:r>
    </w:p>
    <w:p w14:paraId="004C125F">
      <w:pPr>
        <w:spacing w:line="360" w:lineRule="auto"/>
        <w:ind w:firstLine="1920" w:firstLineChars="800"/>
        <w:rPr>
          <w:rFonts w:ascii="宋体" w:hAnsi="宋体" w:cs="Times New Roman"/>
          <w:color w:val="auto"/>
          <w:sz w:val="24"/>
          <w:highlight w:val="none"/>
        </w:rPr>
      </w:pPr>
    </w:p>
    <w:p w14:paraId="51C7FCD1">
      <w:pPr>
        <w:spacing w:line="360" w:lineRule="auto"/>
        <w:ind w:firstLine="1920" w:firstLineChars="800"/>
        <w:rPr>
          <w:rFonts w:ascii="宋体" w:hAnsi="宋体" w:cs="Times New Roman"/>
          <w:color w:val="auto"/>
          <w:sz w:val="24"/>
          <w:highlight w:val="none"/>
        </w:rPr>
      </w:pPr>
    </w:p>
    <w:p w14:paraId="5D5A9812">
      <w:pPr>
        <w:spacing w:line="360" w:lineRule="auto"/>
        <w:rPr>
          <w:rFonts w:hint="default" w:ascii="宋体" w:hAnsi="宋体" w:cs="Times New Roman"/>
          <w:b/>
          <w:color w:val="auto"/>
          <w:sz w:val="24"/>
          <w:highlight w:val="none"/>
          <w:lang w:val="en-US" w:eastAsia="zh-CN"/>
        </w:rPr>
      </w:pPr>
    </w:p>
    <w:p w14:paraId="74386B4C">
      <w:pPr>
        <w:spacing w:line="360" w:lineRule="auto"/>
        <w:ind w:firstLine="1920" w:firstLineChars="800"/>
        <w:rPr>
          <w:rFonts w:ascii="宋体" w:hAnsi="宋体" w:cs="Times New Roman"/>
          <w:color w:val="auto"/>
          <w:sz w:val="24"/>
          <w:highlight w:val="none"/>
        </w:rPr>
      </w:pPr>
    </w:p>
    <w:p w14:paraId="1896D19A">
      <w:pPr>
        <w:spacing w:line="360" w:lineRule="auto"/>
        <w:ind w:firstLine="1920" w:firstLineChars="800"/>
        <w:rPr>
          <w:rFonts w:ascii="宋体" w:hAnsi="宋体" w:cs="Times New Roman"/>
          <w:color w:val="auto"/>
          <w:sz w:val="24"/>
          <w:highlight w:val="none"/>
        </w:rPr>
      </w:pPr>
    </w:p>
    <w:p w14:paraId="118141E4">
      <w:pPr>
        <w:spacing w:line="360" w:lineRule="auto"/>
        <w:ind w:firstLine="1920" w:firstLineChars="800"/>
        <w:rPr>
          <w:rFonts w:ascii="宋体" w:hAnsi="宋体" w:cs="Times New Roman"/>
          <w:color w:val="auto"/>
          <w:sz w:val="24"/>
          <w:highlight w:val="none"/>
        </w:rPr>
      </w:pPr>
    </w:p>
    <w:p w14:paraId="482602D0">
      <w:pPr>
        <w:spacing w:line="360" w:lineRule="auto"/>
        <w:ind w:firstLine="1920" w:firstLineChars="800"/>
        <w:rPr>
          <w:rFonts w:ascii="宋体" w:hAnsi="宋体" w:cs="Times New Roman"/>
          <w:color w:val="auto"/>
          <w:sz w:val="24"/>
          <w:highlight w:val="none"/>
        </w:rPr>
      </w:pPr>
    </w:p>
    <w:p w14:paraId="4DF649EF">
      <w:pPr>
        <w:adjustRightInd w:val="0"/>
        <w:snapToGrid w:val="0"/>
        <w:spacing w:line="480" w:lineRule="exact"/>
        <w:ind w:firstLine="482" w:firstLineChars="200"/>
        <w:rPr>
          <w:rFonts w:hint="eastAsia" w:ascii="宋体" w:hAnsi="宋体" w:eastAsia="宋体" w:cs="宋体"/>
          <w:b/>
          <w:color w:val="auto"/>
          <w:sz w:val="24"/>
          <w:szCs w:val="24"/>
          <w:highlight w:val="none"/>
        </w:rPr>
      </w:pPr>
    </w:p>
    <w:p w14:paraId="44D94784">
      <w:pPr>
        <w:adjustRightInd w:val="0"/>
        <w:snapToGrid w:val="0"/>
        <w:spacing w:line="480" w:lineRule="exact"/>
        <w:ind w:firstLine="482" w:firstLineChars="200"/>
        <w:rPr>
          <w:rFonts w:hint="eastAsia" w:ascii="宋体" w:hAnsi="宋体" w:eastAsia="宋体" w:cs="宋体"/>
          <w:b/>
          <w:color w:val="auto"/>
          <w:sz w:val="24"/>
          <w:szCs w:val="24"/>
          <w:highlight w:val="none"/>
        </w:rPr>
      </w:pPr>
    </w:p>
    <w:p w14:paraId="3480342D">
      <w:pPr>
        <w:adjustRightInd w:val="0"/>
        <w:snapToGrid w:val="0"/>
        <w:spacing w:line="480" w:lineRule="exact"/>
        <w:ind w:firstLine="482" w:firstLineChars="200"/>
        <w:rPr>
          <w:rFonts w:hint="eastAsia" w:ascii="宋体" w:hAnsi="宋体" w:eastAsia="宋体" w:cs="宋体"/>
          <w:b/>
          <w:color w:val="auto"/>
          <w:sz w:val="24"/>
          <w:szCs w:val="24"/>
          <w:highlight w:val="none"/>
        </w:rPr>
      </w:pPr>
    </w:p>
    <w:p w14:paraId="3BCCB3A4">
      <w:pPr>
        <w:adjustRightInd w:val="0"/>
        <w:snapToGrid w:val="0"/>
        <w:spacing w:line="480" w:lineRule="exact"/>
        <w:ind w:firstLine="482" w:firstLineChars="200"/>
        <w:rPr>
          <w:rFonts w:hint="eastAsia" w:ascii="宋体" w:hAnsi="宋体" w:eastAsia="宋体" w:cs="宋体"/>
          <w:b/>
          <w:color w:val="auto"/>
          <w:sz w:val="24"/>
          <w:szCs w:val="24"/>
          <w:highlight w:val="none"/>
        </w:rPr>
      </w:pPr>
    </w:p>
    <w:p w14:paraId="3E3F1AE1">
      <w:pPr>
        <w:keepNext w:val="0"/>
        <w:keepLines w:val="0"/>
        <w:pageBreakBefore w:val="0"/>
        <w:widowControl w:val="0"/>
        <w:kinsoku/>
        <w:wordWrap/>
        <w:overflowPunct/>
        <w:topLinePunct w:val="0"/>
        <w:bidi w:val="0"/>
        <w:spacing w:line="480" w:lineRule="exact"/>
        <w:textAlignment w:val="auto"/>
        <w:rPr>
          <w:rFonts w:hint="eastAsia" w:ascii="宋体" w:hAnsi="宋体" w:cs="Times New Roman"/>
          <w:b/>
          <w:color w:val="auto"/>
          <w:sz w:val="24"/>
          <w:highlight w:val="none"/>
        </w:rPr>
      </w:pPr>
    </w:p>
    <w:p w14:paraId="1DF7BF9B">
      <w:pPr>
        <w:keepNext w:val="0"/>
        <w:keepLines w:val="0"/>
        <w:pageBreakBefore w:val="0"/>
        <w:widowControl w:val="0"/>
        <w:kinsoku/>
        <w:wordWrap/>
        <w:overflowPunct/>
        <w:topLinePunct w:val="0"/>
        <w:bidi w:val="0"/>
        <w:spacing w:line="480" w:lineRule="exact"/>
        <w:textAlignment w:val="auto"/>
        <w:rPr>
          <w:rFonts w:hint="eastAsia" w:ascii="宋体" w:hAnsi="宋体" w:cs="Times New Roman"/>
          <w:b/>
          <w:color w:val="auto"/>
          <w:sz w:val="24"/>
          <w:highlight w:val="none"/>
        </w:rPr>
      </w:pPr>
    </w:p>
    <w:p w14:paraId="3382728F">
      <w:pPr>
        <w:keepNext w:val="0"/>
        <w:keepLines w:val="0"/>
        <w:pageBreakBefore w:val="0"/>
        <w:widowControl w:val="0"/>
        <w:kinsoku/>
        <w:wordWrap/>
        <w:overflowPunct/>
        <w:topLinePunct w:val="0"/>
        <w:bidi w:val="0"/>
        <w:spacing w:line="480" w:lineRule="exact"/>
        <w:textAlignment w:val="auto"/>
        <w:rPr>
          <w:rFonts w:hint="eastAsia" w:ascii="宋体" w:hAnsi="宋体" w:eastAsia="宋体" w:cs="Times New Roman"/>
          <w:color w:val="auto"/>
          <w:sz w:val="24"/>
          <w:highlight w:val="none"/>
          <w:u w:val="single"/>
          <w:lang w:eastAsia="zh-CN"/>
        </w:rPr>
      </w:pPr>
      <w:r>
        <w:rPr>
          <w:rFonts w:hint="eastAsia" w:ascii="宋体" w:hAnsi="宋体" w:cs="Times New Roman"/>
          <w:b/>
          <w:color w:val="auto"/>
          <w:sz w:val="24"/>
          <w:highlight w:val="none"/>
        </w:rPr>
        <w:t>甲方（</w:t>
      </w:r>
      <w:r>
        <w:rPr>
          <w:rFonts w:hint="eastAsia" w:ascii="宋体" w:hAnsi="宋体" w:cs="Times New Roman"/>
          <w:b/>
          <w:color w:val="auto"/>
          <w:sz w:val="24"/>
          <w:highlight w:val="none"/>
          <w:lang w:eastAsia="zh-CN"/>
        </w:rPr>
        <w:t>招标人</w:t>
      </w:r>
      <w:r>
        <w:rPr>
          <w:rFonts w:hint="eastAsia" w:ascii="宋体" w:hAnsi="宋体" w:cs="Times New Roman"/>
          <w:b/>
          <w:color w:val="auto"/>
          <w:sz w:val="24"/>
          <w:highlight w:val="none"/>
        </w:rPr>
        <w:t>全称）：</w:t>
      </w:r>
      <w:r>
        <w:rPr>
          <w:rFonts w:hint="eastAsia" w:ascii="宋体" w:hAnsi="宋体" w:cs="Times New Roman"/>
          <w:b/>
          <w:color w:val="auto"/>
          <w:sz w:val="24"/>
          <w:highlight w:val="none"/>
          <w:u w:val="single"/>
          <w:lang w:eastAsia="zh-CN"/>
        </w:rPr>
        <w:t>云南省玉溪第一中学</w:t>
      </w:r>
    </w:p>
    <w:p w14:paraId="7D8F4643">
      <w:pPr>
        <w:keepNext w:val="0"/>
        <w:keepLines w:val="0"/>
        <w:pageBreakBefore w:val="0"/>
        <w:widowControl w:val="0"/>
        <w:kinsoku/>
        <w:wordWrap/>
        <w:overflowPunct/>
        <w:topLinePunct w:val="0"/>
        <w:bidi w:val="0"/>
        <w:spacing w:line="480" w:lineRule="exact"/>
        <w:textAlignment w:val="auto"/>
        <w:rPr>
          <w:rFonts w:ascii="宋体" w:hAnsi="宋体" w:cs="Times New Roman"/>
          <w:b/>
          <w:color w:val="auto"/>
          <w:sz w:val="24"/>
          <w:highlight w:val="none"/>
          <w:u w:val="single"/>
        </w:rPr>
      </w:pPr>
      <w:r>
        <w:rPr>
          <w:rFonts w:hint="eastAsia" w:ascii="宋体" w:hAnsi="宋体" w:cs="Times New Roman"/>
          <w:b/>
          <w:color w:val="auto"/>
          <w:sz w:val="24"/>
          <w:highlight w:val="none"/>
        </w:rPr>
        <w:t>乙方（</w:t>
      </w:r>
      <w:r>
        <w:rPr>
          <w:rFonts w:hint="eastAsia" w:ascii="宋体" w:hAnsi="宋体" w:cs="Times New Roman"/>
          <w:b/>
          <w:color w:val="auto"/>
          <w:sz w:val="24"/>
          <w:highlight w:val="none"/>
          <w:lang w:eastAsia="zh-CN"/>
        </w:rPr>
        <w:t>投标人</w:t>
      </w:r>
      <w:r>
        <w:rPr>
          <w:rFonts w:hint="eastAsia" w:ascii="宋体" w:hAnsi="宋体" w:cs="Times New Roman"/>
          <w:b/>
          <w:color w:val="auto"/>
          <w:sz w:val="24"/>
          <w:highlight w:val="none"/>
        </w:rPr>
        <w:t>全称）：</w:t>
      </w:r>
      <w:r>
        <w:rPr>
          <w:rFonts w:hint="eastAsia" w:ascii="宋体" w:hAnsi="宋体" w:cs="Times New Roman"/>
          <w:b/>
          <w:color w:val="auto"/>
          <w:sz w:val="24"/>
          <w:highlight w:val="none"/>
          <w:u w:val="single"/>
        </w:rPr>
        <w:t xml:space="preserve">         </w:t>
      </w:r>
      <w:r>
        <w:rPr>
          <w:rFonts w:hint="eastAsia" w:ascii="宋体" w:hAnsi="宋体" w:cs="Times New Roman"/>
          <w:b/>
          <w:color w:val="auto"/>
          <w:sz w:val="24"/>
          <w:highlight w:val="none"/>
          <w:u w:val="single"/>
          <w:lang w:val="en-US" w:eastAsia="zh-CN"/>
        </w:rPr>
        <w:t xml:space="preserve">     </w:t>
      </w:r>
      <w:r>
        <w:rPr>
          <w:rFonts w:hint="eastAsia" w:ascii="宋体" w:hAnsi="宋体" w:cs="Times New Roman"/>
          <w:b/>
          <w:color w:val="auto"/>
          <w:sz w:val="24"/>
          <w:highlight w:val="none"/>
          <w:u w:val="single"/>
        </w:rPr>
        <w:t xml:space="preserve">   </w:t>
      </w:r>
    </w:p>
    <w:p w14:paraId="3973A74E">
      <w:pPr>
        <w:keepNext w:val="0"/>
        <w:keepLines w:val="0"/>
        <w:pageBreakBefore w:val="0"/>
        <w:widowControl w:val="0"/>
        <w:kinsoku/>
        <w:wordWrap/>
        <w:overflowPunct/>
        <w:topLinePunct w:val="0"/>
        <w:bidi w:val="0"/>
        <w:spacing w:line="480" w:lineRule="exact"/>
        <w:ind w:firstLine="480" w:firstLineChars="200"/>
        <w:textAlignment w:val="auto"/>
        <w:rPr>
          <w:rFonts w:ascii="Cambria Math" w:hAnsi="Cambria Math" w:cs="Times New Roman"/>
          <w:bCs/>
          <w:color w:val="auto"/>
          <w:sz w:val="24"/>
          <w:highlight w:val="none"/>
        </w:rPr>
      </w:pPr>
      <w:r>
        <w:rPr>
          <w:rFonts w:hint="eastAsia" w:ascii="Cambria Math" w:hAnsi="Cambria Math" w:cs="Times New Roman"/>
          <w:bCs/>
          <w:color w:val="auto"/>
          <w:sz w:val="24"/>
          <w:highlight w:val="none"/>
        </w:rPr>
        <w:t>根据《中华人民共和国政府采购法</w:t>
      </w:r>
      <w:r>
        <w:rPr>
          <w:rFonts w:hint="eastAsia" w:ascii="Cambria Math" w:hAnsi="Cambria Math" w:cs="Times New Roman"/>
          <w:bCs/>
          <w:color w:val="auto"/>
          <w:sz w:val="24"/>
          <w:highlight w:val="none"/>
          <w:lang w:eastAsia="zh-CN"/>
        </w:rPr>
        <w:t>》《</w:t>
      </w:r>
      <w:r>
        <w:rPr>
          <w:rFonts w:hint="eastAsia" w:ascii="Cambria Math" w:hAnsi="Cambria Math" w:cs="Times New Roman"/>
          <w:bCs/>
          <w:color w:val="auto"/>
          <w:sz w:val="24"/>
          <w:highlight w:val="none"/>
        </w:rPr>
        <w:t>中华人民共和国民法典》等法律法规的规定，甲乙双方按照</w:t>
      </w:r>
      <w:r>
        <w:rPr>
          <w:rFonts w:hint="eastAsia" w:ascii="Cambria Math" w:hAnsi="Cambria Math" w:cs="Times New Roman"/>
          <w:bCs/>
          <w:color w:val="auto"/>
          <w:sz w:val="24"/>
          <w:highlight w:val="none"/>
          <w:lang w:eastAsia="zh-CN"/>
        </w:rPr>
        <w:t>云南省玉溪第一中学</w:t>
      </w:r>
      <w:r>
        <w:rPr>
          <w:rFonts w:hint="eastAsia" w:ascii="Cambria Math" w:hAnsi="Cambria Math" w:cs="Times New Roman"/>
          <w:bCs/>
          <w:color w:val="auto"/>
          <w:sz w:val="24"/>
          <w:highlight w:val="none"/>
        </w:rPr>
        <w:t>组织采购的</w:t>
      </w:r>
      <w:r>
        <w:rPr>
          <w:rFonts w:hint="eastAsia" w:ascii="Cambria Math" w:hAnsi="Cambria Math" w:cs="Times New Roman"/>
          <w:bCs/>
          <w:color w:val="auto"/>
          <w:sz w:val="24"/>
          <w:highlight w:val="none"/>
          <w:u w:val="single"/>
        </w:rPr>
        <w:t xml:space="preserve">                      </w:t>
      </w:r>
      <w:r>
        <w:rPr>
          <w:rFonts w:hint="eastAsia" w:ascii="Cambria Math" w:hAnsi="Cambria Math" w:cs="Times New Roman"/>
          <w:bCs/>
          <w:color w:val="auto"/>
          <w:sz w:val="24"/>
          <w:highlight w:val="none"/>
        </w:rPr>
        <w:t xml:space="preserve">项目（项目编号：  </w:t>
      </w:r>
      <w:r>
        <w:rPr>
          <w:rFonts w:hint="eastAsia" w:ascii="Cambria Math" w:hAnsi="Cambria Math" w:cs="Times New Roman"/>
          <w:bCs/>
          <w:color w:val="auto"/>
          <w:sz w:val="24"/>
          <w:highlight w:val="none"/>
          <w:u w:val="single"/>
        </w:rPr>
        <w:t xml:space="preserve">              </w:t>
      </w:r>
      <w:r>
        <w:rPr>
          <w:rFonts w:hint="eastAsia" w:ascii="Cambria Math" w:hAnsi="Cambria Math" w:cs="Times New Roman"/>
          <w:bCs/>
          <w:color w:val="auto"/>
          <w:sz w:val="24"/>
          <w:highlight w:val="none"/>
        </w:rPr>
        <w:t xml:space="preserve"> ）采购结果，经平等、友好、自愿、互惠互利的原则进行协商，达成以下协议。</w:t>
      </w:r>
    </w:p>
    <w:p w14:paraId="3531D0BD">
      <w:pPr>
        <w:keepNext w:val="0"/>
        <w:keepLines w:val="0"/>
        <w:pageBreakBefore w:val="0"/>
        <w:widowControl w:val="0"/>
        <w:numPr>
          <w:ilvl w:val="0"/>
          <w:numId w:val="5"/>
        </w:numPr>
        <w:kinsoku/>
        <w:wordWrap/>
        <w:overflowPunct/>
        <w:topLinePunct w:val="0"/>
        <w:bidi w:val="0"/>
        <w:spacing w:line="480" w:lineRule="exact"/>
        <w:ind w:left="1202" w:hanging="720" w:firstLineChars="0"/>
        <w:jc w:val="both"/>
        <w:textAlignment w:val="auto"/>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项目名称、服务内容</w:t>
      </w:r>
    </w:p>
    <w:p w14:paraId="15C51225">
      <w:pPr>
        <w:keepNext w:val="0"/>
        <w:keepLines w:val="0"/>
        <w:pageBreakBefore w:val="0"/>
        <w:widowControl w:val="0"/>
        <w:numPr>
          <w:ilvl w:val="0"/>
          <w:numId w:val="6"/>
        </w:numPr>
        <w:kinsoku/>
        <w:wordWrap/>
        <w:overflowPunct/>
        <w:topLinePunct w:val="0"/>
        <w:bidi w:val="0"/>
        <w:spacing w:line="480" w:lineRule="exact"/>
        <w:ind w:left="842" w:hanging="360" w:firstLineChars="0"/>
        <w:jc w:val="both"/>
        <w:textAlignment w:val="auto"/>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项目名称：</w:t>
      </w:r>
    </w:p>
    <w:p w14:paraId="18919EE2">
      <w:pPr>
        <w:keepNext w:val="0"/>
        <w:keepLines w:val="0"/>
        <w:pageBreakBefore w:val="0"/>
        <w:widowControl w:val="0"/>
        <w:numPr>
          <w:ilvl w:val="0"/>
          <w:numId w:val="6"/>
        </w:numPr>
        <w:kinsoku/>
        <w:wordWrap/>
        <w:overflowPunct/>
        <w:topLinePunct w:val="0"/>
        <w:bidi w:val="0"/>
        <w:spacing w:line="480" w:lineRule="exact"/>
        <w:ind w:left="842" w:hanging="360" w:firstLineChars="0"/>
        <w:jc w:val="both"/>
        <w:textAlignment w:val="auto"/>
        <w:rPr>
          <w:rFonts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服务内容：</w:t>
      </w:r>
    </w:p>
    <w:p w14:paraId="3667AA6A">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ascii="宋体" w:hAnsi="宋体" w:cs="Times New Roman"/>
          <w:color w:val="auto"/>
          <w:sz w:val="24"/>
          <w:highlight w:val="none"/>
        </w:rPr>
        <w:t>（包含本合同中所涉及的</w:t>
      </w:r>
      <w:r>
        <w:rPr>
          <w:rFonts w:hint="eastAsia" w:ascii="宋体" w:hAnsi="宋体" w:cs="Times New Roman"/>
          <w:color w:val="auto"/>
          <w:sz w:val="24"/>
          <w:highlight w:val="none"/>
          <w:lang w:eastAsia="zh-CN"/>
        </w:rPr>
        <w:t>服务清单</w:t>
      </w:r>
      <w:r>
        <w:rPr>
          <w:rFonts w:ascii="宋体" w:hAnsi="宋体" w:cs="Times New Roman"/>
          <w:color w:val="auto"/>
          <w:sz w:val="24"/>
          <w:highlight w:val="none"/>
        </w:rPr>
        <w:t>，格式见附件</w:t>
      </w:r>
      <w:r>
        <w:rPr>
          <w:rFonts w:hint="eastAsia" w:ascii="宋体" w:hAnsi="宋体" w:cs="Times New Roman"/>
          <w:color w:val="auto"/>
          <w:sz w:val="24"/>
          <w:highlight w:val="none"/>
        </w:rPr>
        <w:t>1</w:t>
      </w:r>
      <w:r>
        <w:rPr>
          <w:rFonts w:ascii="宋体" w:hAnsi="宋体" w:cs="Times New Roman"/>
          <w:color w:val="auto"/>
          <w:sz w:val="24"/>
          <w:highlight w:val="none"/>
        </w:rPr>
        <w:t>）</w:t>
      </w:r>
    </w:p>
    <w:p w14:paraId="7D1664E7">
      <w:pPr>
        <w:keepNext w:val="0"/>
        <w:keepLines w:val="0"/>
        <w:pageBreakBefore w:val="0"/>
        <w:widowControl w:val="0"/>
        <w:kinsoku/>
        <w:wordWrap/>
        <w:overflowPunct/>
        <w:topLinePunct w:val="0"/>
        <w:bidi w:val="0"/>
        <w:spacing w:line="480" w:lineRule="exact"/>
        <w:ind w:firstLine="482" w:firstLineChars="200"/>
        <w:textAlignment w:val="auto"/>
        <w:rPr>
          <w:rFonts w:ascii="宋体" w:hAnsi="宋体" w:cs="Times New Roman"/>
          <w:b/>
          <w:color w:val="auto"/>
          <w:sz w:val="24"/>
          <w:highlight w:val="none"/>
        </w:rPr>
      </w:pPr>
      <w:r>
        <w:rPr>
          <w:rFonts w:hint="eastAsia" w:ascii="宋体" w:hAnsi="宋体" w:cs="Times New Roman"/>
          <w:b/>
          <w:color w:val="auto"/>
          <w:sz w:val="24"/>
          <w:highlight w:val="none"/>
        </w:rPr>
        <w:t>二、服务要求</w:t>
      </w:r>
    </w:p>
    <w:p w14:paraId="72B3125B">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rPr>
        <w:t>服务符合甲方标准，并满足甲方技术要求。</w:t>
      </w:r>
      <w:r>
        <w:rPr>
          <w:rFonts w:hint="eastAsia" w:ascii="宋体" w:hAnsi="宋体" w:cs="Times New Roman"/>
          <w:color w:val="auto"/>
          <w:sz w:val="24"/>
          <w:highlight w:val="none"/>
          <w:lang w:eastAsia="zh-CN"/>
        </w:rPr>
        <w:t>）</w:t>
      </w:r>
    </w:p>
    <w:p w14:paraId="54254A56">
      <w:pPr>
        <w:keepNext w:val="0"/>
        <w:keepLines w:val="0"/>
        <w:pageBreakBefore w:val="0"/>
        <w:widowControl w:val="0"/>
        <w:kinsoku/>
        <w:wordWrap/>
        <w:overflowPunct/>
        <w:topLinePunct w:val="0"/>
        <w:bidi w:val="0"/>
        <w:spacing w:line="480" w:lineRule="exact"/>
        <w:ind w:firstLine="482" w:firstLineChars="200"/>
        <w:textAlignment w:val="auto"/>
        <w:rPr>
          <w:rFonts w:hint="eastAsia" w:ascii="宋体" w:hAnsi="宋体" w:cs="Times New Roman"/>
          <w:b/>
          <w:color w:val="auto"/>
          <w:sz w:val="24"/>
          <w:highlight w:val="none"/>
        </w:rPr>
      </w:pPr>
      <w:r>
        <w:rPr>
          <w:rFonts w:hint="eastAsia" w:ascii="宋体" w:hAnsi="宋体" w:cs="Times New Roman"/>
          <w:b/>
          <w:color w:val="auto"/>
          <w:sz w:val="24"/>
          <w:highlight w:val="none"/>
        </w:rPr>
        <w:t>三、服务期限</w:t>
      </w:r>
    </w:p>
    <w:p w14:paraId="12B02CA1">
      <w:pPr>
        <w:keepNext w:val="0"/>
        <w:keepLines w:val="0"/>
        <w:pageBreakBefore w:val="0"/>
        <w:widowControl w:val="0"/>
        <w:kinsoku/>
        <w:wordWrap/>
        <w:overflowPunct/>
        <w:topLinePunct w:val="0"/>
        <w:bidi w:val="0"/>
        <w:spacing w:line="480" w:lineRule="exact"/>
        <w:ind w:firstLine="482" w:firstLineChars="200"/>
        <w:textAlignment w:val="auto"/>
        <w:rPr>
          <w:rFonts w:hint="default" w:ascii="宋体" w:hAnsi="宋体" w:eastAsia="宋体" w:cs="Times New Roman"/>
          <w:b/>
          <w:color w:val="auto"/>
          <w:sz w:val="24"/>
          <w:highlight w:val="none"/>
          <w:u w:val="single"/>
          <w:lang w:val="en-US" w:eastAsia="zh-CN"/>
        </w:rPr>
      </w:pPr>
      <w:r>
        <w:rPr>
          <w:rFonts w:hint="eastAsia" w:ascii="宋体" w:hAnsi="宋体" w:cs="Times New Roman"/>
          <w:b/>
          <w:color w:val="auto"/>
          <w:sz w:val="24"/>
          <w:highlight w:val="none"/>
          <w:u w:val="single"/>
          <w:lang w:val="en-US" w:eastAsia="zh-CN"/>
        </w:rPr>
        <w:t xml:space="preserve">                                             。</w:t>
      </w:r>
    </w:p>
    <w:p w14:paraId="67493A2B">
      <w:pPr>
        <w:keepNext w:val="0"/>
        <w:keepLines w:val="0"/>
        <w:pageBreakBefore w:val="0"/>
        <w:widowControl w:val="0"/>
        <w:kinsoku/>
        <w:wordWrap/>
        <w:overflowPunct/>
        <w:topLinePunct w:val="0"/>
        <w:bidi w:val="0"/>
        <w:spacing w:line="480" w:lineRule="exact"/>
        <w:ind w:firstLine="482" w:firstLineChars="200"/>
        <w:textAlignment w:val="auto"/>
        <w:rPr>
          <w:rFonts w:ascii="宋体" w:hAnsi="宋体" w:cs="Times New Roman"/>
          <w:b/>
          <w:color w:val="auto"/>
          <w:sz w:val="24"/>
          <w:highlight w:val="none"/>
        </w:rPr>
      </w:pPr>
      <w:r>
        <w:rPr>
          <w:rFonts w:hint="eastAsia" w:ascii="宋体" w:hAnsi="宋体" w:cs="Times New Roman"/>
          <w:b/>
          <w:color w:val="auto"/>
          <w:sz w:val="24"/>
          <w:highlight w:val="none"/>
        </w:rPr>
        <w:t>四、本合同总价为：人民币（大写）</w:t>
      </w:r>
      <w:r>
        <w:rPr>
          <w:rFonts w:hint="eastAsia" w:ascii="宋体" w:hAnsi="宋体" w:cs="Times New Roman"/>
          <w:b/>
          <w:color w:val="auto"/>
          <w:sz w:val="24"/>
          <w:highlight w:val="none"/>
          <w:u w:val="single"/>
        </w:rPr>
        <w:t xml:space="preserve">         </w:t>
      </w:r>
      <w:r>
        <w:rPr>
          <w:rFonts w:hint="eastAsia" w:ascii="宋体" w:hAnsi="宋体" w:cs="Times New Roman"/>
          <w:b/>
          <w:color w:val="auto"/>
          <w:sz w:val="24"/>
          <w:highlight w:val="none"/>
        </w:rPr>
        <w:t>；小写：¥</w:t>
      </w:r>
      <w:r>
        <w:rPr>
          <w:rFonts w:hint="eastAsia" w:ascii="宋体" w:hAnsi="宋体" w:cs="Times New Roman"/>
          <w:b/>
          <w:color w:val="auto"/>
          <w:sz w:val="24"/>
          <w:highlight w:val="none"/>
          <w:u w:val="single"/>
        </w:rPr>
        <w:t xml:space="preserve">              </w:t>
      </w:r>
      <w:r>
        <w:rPr>
          <w:rFonts w:hint="eastAsia" w:ascii="宋体" w:hAnsi="宋体" w:cs="Times New Roman"/>
          <w:b/>
          <w:color w:val="auto"/>
          <w:sz w:val="24"/>
          <w:highlight w:val="none"/>
        </w:rPr>
        <w:t>元。</w:t>
      </w:r>
    </w:p>
    <w:p w14:paraId="471B6551">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b/>
          <w:color w:val="auto"/>
          <w:sz w:val="24"/>
          <w:highlight w:val="none"/>
        </w:rPr>
      </w:pPr>
      <w:r>
        <w:rPr>
          <w:rFonts w:hint="eastAsia" w:ascii="宋体" w:hAnsi="宋体" w:cs="Times New Roman"/>
          <w:color w:val="auto"/>
          <w:sz w:val="24"/>
          <w:highlight w:val="none"/>
        </w:rPr>
        <w:t>以上价格为甲方指定地点所有服务内容完成后的统一价格（含税）。</w:t>
      </w:r>
    </w:p>
    <w:p w14:paraId="3AA948DB">
      <w:pPr>
        <w:keepNext w:val="0"/>
        <w:keepLines w:val="0"/>
        <w:pageBreakBefore w:val="0"/>
        <w:widowControl w:val="0"/>
        <w:kinsoku/>
        <w:wordWrap/>
        <w:overflowPunct/>
        <w:topLinePunct w:val="0"/>
        <w:bidi w:val="0"/>
        <w:spacing w:line="480" w:lineRule="exact"/>
        <w:ind w:firstLine="482" w:firstLineChars="200"/>
        <w:textAlignment w:val="auto"/>
        <w:rPr>
          <w:rFonts w:ascii="宋体" w:hAnsi="宋体" w:cs="Times New Roman"/>
          <w:b/>
          <w:color w:val="auto"/>
          <w:sz w:val="24"/>
          <w:highlight w:val="none"/>
        </w:rPr>
      </w:pPr>
      <w:r>
        <w:rPr>
          <w:rFonts w:hint="eastAsia" w:ascii="宋体" w:hAnsi="宋体" w:cs="Times New Roman"/>
          <w:b/>
          <w:color w:val="auto"/>
          <w:sz w:val="24"/>
          <w:highlight w:val="none"/>
        </w:rPr>
        <w:t>五、</w:t>
      </w:r>
      <w:r>
        <w:rPr>
          <w:rFonts w:hint="eastAsia" w:ascii="宋体" w:hAnsi="宋体" w:cs="Times New Roman"/>
          <w:b/>
          <w:color w:val="auto"/>
          <w:sz w:val="24"/>
          <w:highlight w:val="none"/>
          <w:lang w:val="en-US" w:eastAsia="zh-CN"/>
        </w:rPr>
        <w:t>合</w:t>
      </w:r>
      <w:r>
        <w:rPr>
          <w:rFonts w:hint="eastAsia" w:ascii="宋体" w:hAnsi="宋体" w:cs="Times New Roman"/>
          <w:b/>
          <w:color w:val="auto"/>
          <w:sz w:val="24"/>
          <w:highlight w:val="none"/>
        </w:rPr>
        <w:t>同款的支付</w:t>
      </w:r>
    </w:p>
    <w:p w14:paraId="1DF7FAD6">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hint="eastAsia" w:ascii="Cambria Math" w:hAnsi="Cambria Math" w:cs="Times New Roman"/>
          <w:color w:val="auto"/>
          <w:sz w:val="24"/>
          <w:highlight w:val="none"/>
        </w:rPr>
      </w:pPr>
      <w:r>
        <w:rPr>
          <w:rFonts w:hint="eastAsia" w:ascii="Cambria Math" w:hAnsi="Cambria Math" w:cs="Times New Roman"/>
          <w:color w:val="auto"/>
          <w:sz w:val="24"/>
          <w:highlight w:val="none"/>
        </w:rPr>
        <w:t>1.甲方在项目验收合格、出具《</w:t>
      </w:r>
      <w:r>
        <w:rPr>
          <w:rFonts w:hint="eastAsia" w:ascii="Cambria Math" w:hAnsi="Cambria Math" w:cs="Times New Roman"/>
          <w:color w:val="auto"/>
          <w:sz w:val="24"/>
          <w:highlight w:val="none"/>
          <w:lang w:eastAsia="zh-CN"/>
        </w:rPr>
        <w:t>云南省玉溪第一中学</w:t>
      </w:r>
      <w:r>
        <w:rPr>
          <w:rFonts w:hint="eastAsia" w:ascii="Cambria Math" w:hAnsi="Cambria Math" w:cs="Times New Roman"/>
          <w:color w:val="auto"/>
          <w:sz w:val="24"/>
          <w:highlight w:val="none"/>
        </w:rPr>
        <w:t>采购</w:t>
      </w:r>
      <w:r>
        <w:rPr>
          <w:rFonts w:hint="eastAsia" w:ascii="Cambria Math" w:hAnsi="Cambria Math" w:cs="Times New Roman"/>
          <w:color w:val="auto"/>
          <w:sz w:val="24"/>
          <w:highlight w:val="none"/>
          <w:lang w:val="en-US" w:eastAsia="zh-CN"/>
        </w:rPr>
        <w:t>服务</w:t>
      </w:r>
      <w:r>
        <w:rPr>
          <w:rFonts w:hint="eastAsia" w:ascii="Cambria Math" w:hAnsi="Cambria Math" w:cs="Times New Roman"/>
          <w:color w:val="auto"/>
          <w:sz w:val="24"/>
          <w:highlight w:val="none"/>
        </w:rPr>
        <w:t>项目验收报告单》</w:t>
      </w:r>
      <w:r>
        <w:rPr>
          <w:rFonts w:hint="eastAsia" w:ascii="Cambria Math" w:hAnsi="Cambria Math" w:cs="Times New Roman"/>
          <w:color w:val="auto"/>
          <w:sz w:val="24"/>
          <w:highlight w:val="none"/>
          <w:lang w:eastAsia="zh-CN"/>
        </w:rPr>
        <w:t>30</w:t>
      </w:r>
      <w:r>
        <w:rPr>
          <w:rFonts w:hint="eastAsia" w:ascii="Cambria Math" w:hAnsi="Cambria Math" w:cs="Times New Roman"/>
          <w:color w:val="auto"/>
          <w:sz w:val="24"/>
          <w:highlight w:val="none"/>
        </w:rPr>
        <w:t>日内（收到乙方增值税发票10日内），按采购资金支付相关规定，以银行汇付方式向乙方指定账户支付合同款。</w:t>
      </w:r>
    </w:p>
    <w:p w14:paraId="2ED06735">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rPr>
        <w:t xml:space="preserve">2.公司账户信息如下： </w:t>
      </w:r>
    </w:p>
    <w:p w14:paraId="49CA85AE">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rPr>
        <w:t>（1）甲方公司账户信息：</w:t>
      </w:r>
    </w:p>
    <w:p w14:paraId="224B846D">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rPr>
        <w:t>开户名称：</w:t>
      </w:r>
      <w:r>
        <w:rPr>
          <w:rFonts w:hint="eastAsia" w:ascii="Cambria Math" w:hAnsi="Cambria Math" w:cs="Times New Roman"/>
          <w:color w:val="auto"/>
          <w:sz w:val="24"/>
          <w:highlight w:val="none"/>
          <w:lang w:eastAsia="zh-CN"/>
        </w:rPr>
        <w:t>云南省玉溪第一中学</w:t>
      </w:r>
      <w:r>
        <w:rPr>
          <w:rFonts w:hint="eastAsia" w:ascii="Cambria Math" w:hAnsi="Cambria Math" w:cs="Times New Roman"/>
          <w:color w:val="auto"/>
          <w:sz w:val="24"/>
          <w:highlight w:val="none"/>
        </w:rPr>
        <w:t xml:space="preserve">  </w:t>
      </w:r>
    </w:p>
    <w:p w14:paraId="426755B6">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rPr>
        <w:t xml:space="preserve">开户银行： </w:t>
      </w:r>
    </w:p>
    <w:p w14:paraId="23781392">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hint="eastAsia" w:ascii="Cambria Math" w:hAnsi="Cambria Math" w:cs="Times New Roman"/>
          <w:color w:val="auto"/>
          <w:sz w:val="24"/>
          <w:highlight w:val="none"/>
        </w:rPr>
      </w:pPr>
      <w:r>
        <w:rPr>
          <w:rFonts w:hint="eastAsia" w:ascii="Cambria Math" w:hAnsi="Cambria Math" w:cs="Times New Roman"/>
          <w:color w:val="auto"/>
          <w:sz w:val="24"/>
          <w:highlight w:val="none"/>
        </w:rPr>
        <w:t>账    号：</w:t>
      </w:r>
    </w:p>
    <w:p w14:paraId="32B5AFBC">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rPr>
        <w:t xml:space="preserve">统一社会信用代码： </w:t>
      </w:r>
    </w:p>
    <w:p w14:paraId="452073B0">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rPr>
        <w:t xml:space="preserve">（2）乙方公司账户信息： </w:t>
      </w:r>
    </w:p>
    <w:p w14:paraId="2928B55B">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rPr>
        <w:t xml:space="preserve">账户名称：                  </w:t>
      </w:r>
    </w:p>
    <w:p w14:paraId="58FE6562">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rPr>
        <w:t xml:space="preserve">开户行名称： </w:t>
      </w:r>
    </w:p>
    <w:p w14:paraId="1BBFCC3D">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rPr>
        <w:t xml:space="preserve">开户银行： </w:t>
      </w:r>
    </w:p>
    <w:p w14:paraId="1B357FB8">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rPr>
        <w:t xml:space="preserve">账    号： </w:t>
      </w:r>
    </w:p>
    <w:p w14:paraId="7ECB76D6">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Cambria Math" w:hAnsi="Cambria Math" w:cs="Times New Roman"/>
          <w:color w:val="auto"/>
          <w:sz w:val="24"/>
          <w:highlight w:val="none"/>
        </w:rPr>
      </w:pPr>
      <w:r>
        <w:rPr>
          <w:rFonts w:hint="eastAsia" w:ascii="Cambria Math" w:hAnsi="Cambria Math" w:cs="Times New Roman"/>
          <w:color w:val="auto"/>
          <w:sz w:val="24"/>
          <w:highlight w:val="none"/>
          <w:lang w:eastAsia="zh-CN"/>
        </w:rPr>
        <w:t>投标人</w:t>
      </w:r>
      <w:r>
        <w:rPr>
          <w:rFonts w:hint="eastAsia" w:ascii="Cambria Math" w:hAnsi="Cambria Math" w:cs="Times New Roman"/>
          <w:color w:val="auto"/>
          <w:sz w:val="24"/>
          <w:highlight w:val="none"/>
        </w:rPr>
        <w:t xml:space="preserve">统一社会信用代码： </w:t>
      </w:r>
    </w:p>
    <w:p w14:paraId="159B7477">
      <w:pPr>
        <w:keepNext w:val="0"/>
        <w:keepLines w:val="0"/>
        <w:pageBreakBefore w:val="0"/>
        <w:widowControl w:val="0"/>
        <w:kinsoku/>
        <w:wordWrap/>
        <w:overflowPunct/>
        <w:topLinePunct w:val="0"/>
        <w:bidi w:val="0"/>
        <w:spacing w:line="480" w:lineRule="exact"/>
        <w:ind w:firstLine="482" w:firstLineChars="200"/>
        <w:textAlignment w:val="auto"/>
        <w:rPr>
          <w:rFonts w:ascii="宋体" w:hAnsi="宋体" w:cs="Times New Roman"/>
          <w:b/>
          <w:color w:val="auto"/>
          <w:sz w:val="24"/>
          <w:highlight w:val="none"/>
        </w:rPr>
      </w:pPr>
      <w:r>
        <w:rPr>
          <w:rFonts w:hint="eastAsia" w:ascii="宋体" w:hAnsi="宋体" w:cs="Times New Roman"/>
          <w:b/>
          <w:color w:val="auto"/>
          <w:sz w:val="24"/>
          <w:highlight w:val="none"/>
        </w:rPr>
        <w:t>六、甲乙双方的权利和义务</w:t>
      </w:r>
    </w:p>
    <w:p w14:paraId="3DCA261E">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1.甲方的权利和义务</w:t>
      </w:r>
    </w:p>
    <w:p w14:paraId="01E5D259">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（1）负责合同签订后项目实施的工作（如与乙方的具体联系和</w:t>
      </w:r>
      <w:r>
        <w:rPr>
          <w:rFonts w:hint="eastAsia" w:ascii="宋体" w:hAnsi="宋体" w:cs="Times New Roman"/>
          <w:color w:val="auto"/>
          <w:sz w:val="24"/>
          <w:highlight w:val="none"/>
          <w:lang w:eastAsia="zh-CN"/>
        </w:rPr>
        <w:t>衔接</w:t>
      </w:r>
      <w:r>
        <w:rPr>
          <w:rFonts w:hint="eastAsia" w:ascii="宋体" w:hAnsi="宋体" w:cs="Times New Roman"/>
          <w:color w:val="auto"/>
          <w:sz w:val="24"/>
          <w:highlight w:val="none"/>
        </w:rPr>
        <w:t>，交付服务成果时配备人员进行验收）；</w:t>
      </w:r>
    </w:p>
    <w:p w14:paraId="71F5AD91">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（2）负责提供项目服务</w:t>
      </w:r>
      <w:r>
        <w:rPr>
          <w:rFonts w:hint="eastAsia" w:ascii="宋体" w:hAnsi="宋体" w:cs="Times New Roman"/>
          <w:color w:val="auto"/>
          <w:sz w:val="24"/>
          <w:highlight w:val="none"/>
          <w:lang w:eastAsia="zh-CN"/>
        </w:rPr>
        <w:t>所必需的</w:t>
      </w:r>
      <w:r>
        <w:rPr>
          <w:rFonts w:hint="eastAsia" w:ascii="宋体" w:hAnsi="宋体" w:cs="Times New Roman"/>
          <w:color w:val="auto"/>
          <w:sz w:val="24"/>
          <w:highlight w:val="none"/>
        </w:rPr>
        <w:t>场地和环境；</w:t>
      </w:r>
    </w:p>
    <w:p w14:paraId="38DA5CE4">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（3）负责组织成立验收小组对服务成果和项目进行验收并签署验收报告；</w:t>
      </w:r>
    </w:p>
    <w:p w14:paraId="60306C36">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（4）按合同规定享有乙方提供的项目服务；</w:t>
      </w:r>
    </w:p>
    <w:p w14:paraId="79552D58">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（5）甲方有权拒付合同价款以外的任何费用；</w:t>
      </w:r>
    </w:p>
    <w:p w14:paraId="4DEE00A8">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（6）其他：</w:t>
      </w:r>
    </w:p>
    <w:p w14:paraId="497519AF">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2.乙方的权利和义务</w:t>
      </w:r>
    </w:p>
    <w:p w14:paraId="3E5AABC3">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（1）乙方保证按本合同条款负责完成甲方项目，并保证提供的服务是满足采购方需求（包括人员）、符合相关文件规定、符合国家有关标准、规范和服务标准；</w:t>
      </w:r>
      <w:r>
        <w:rPr>
          <w:rFonts w:ascii="宋体" w:hAnsi="宋体" w:cs="Times New Roman"/>
          <w:color w:val="auto"/>
          <w:sz w:val="24"/>
          <w:highlight w:val="none"/>
        </w:rPr>
        <w:t xml:space="preserve"> </w:t>
      </w:r>
    </w:p>
    <w:p w14:paraId="1CE95409">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（2）乙方保证甲方在交付的工作成果不受第三方提出侵犯其专利权、设计权、知识产权的起诉。</w:t>
      </w:r>
    </w:p>
    <w:p w14:paraId="02EF8136">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（3）严格遵守投标文件中所承诺的一切规定和条款；</w:t>
      </w:r>
    </w:p>
    <w:p w14:paraId="429D6580">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（4）与甲方共同进行对项目的考核验收；</w:t>
      </w:r>
    </w:p>
    <w:p w14:paraId="6C095AC8">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（5）乙方有权拒绝合同约定条款以外的条件；</w:t>
      </w:r>
    </w:p>
    <w:p w14:paraId="54688A96">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（6）其他：</w:t>
      </w:r>
    </w:p>
    <w:p w14:paraId="05F75223">
      <w:pPr>
        <w:keepNext w:val="0"/>
        <w:keepLines w:val="0"/>
        <w:pageBreakBefore w:val="0"/>
        <w:widowControl w:val="0"/>
        <w:kinsoku/>
        <w:wordWrap/>
        <w:overflowPunct/>
        <w:topLinePunct w:val="0"/>
        <w:bidi w:val="0"/>
        <w:spacing w:line="480" w:lineRule="exact"/>
        <w:ind w:firstLine="482" w:firstLineChars="200"/>
        <w:textAlignment w:val="auto"/>
        <w:rPr>
          <w:rFonts w:ascii="宋体" w:hAnsi="宋体" w:cs="Times New Roman"/>
          <w:color w:val="auto"/>
          <w:sz w:val="24"/>
          <w:highlight w:val="none"/>
        </w:rPr>
      </w:pPr>
      <w:r>
        <w:rPr>
          <w:rFonts w:hint="eastAsia" w:ascii="宋体" w:hAnsi="宋体" w:cs="Times New Roman"/>
          <w:b/>
          <w:color w:val="auto"/>
          <w:sz w:val="24"/>
          <w:highlight w:val="none"/>
        </w:rPr>
        <w:t>七、违约责任</w:t>
      </w:r>
    </w:p>
    <w:p w14:paraId="4EFEF39B">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1.除发生不可抗力事实外，乙方履约内容与合同约定不相符合的，甲方有权拒绝乙方的支付申请；</w:t>
      </w:r>
    </w:p>
    <w:p w14:paraId="4F46735B">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2.乙方无故逾期履约将向甲方每日偿付合同总价款5‰的违约金，因乙方不能按期交付项目或项目验收与合同标准不符不能实现甲方合同目的的，视为违约，</w:t>
      </w:r>
      <w:r>
        <w:rPr>
          <w:rFonts w:ascii="宋体" w:hAnsi="宋体" w:cs="Times New Roman"/>
          <w:color w:val="auto"/>
          <w:sz w:val="24"/>
          <w:highlight w:val="none"/>
        </w:rPr>
        <w:t>甲方可视情况解除本合同。乙方因逾期</w:t>
      </w:r>
      <w:r>
        <w:rPr>
          <w:rFonts w:hint="eastAsia" w:ascii="宋体" w:hAnsi="宋体" w:cs="Times New Roman"/>
          <w:color w:val="auto"/>
          <w:sz w:val="24"/>
          <w:highlight w:val="none"/>
        </w:rPr>
        <w:t>交付</w:t>
      </w:r>
      <w:r>
        <w:rPr>
          <w:rFonts w:ascii="宋体" w:hAnsi="宋体" w:cs="Times New Roman"/>
          <w:color w:val="auto"/>
          <w:sz w:val="24"/>
          <w:highlight w:val="none"/>
        </w:rPr>
        <w:t>项目或因其他违约行为导致甲方解除合同的，乙方应向甲方</w:t>
      </w:r>
      <w:r>
        <w:rPr>
          <w:rFonts w:hint="eastAsia" w:ascii="宋体" w:hAnsi="宋体" w:cs="Times New Roman"/>
          <w:color w:val="auto"/>
          <w:sz w:val="24"/>
          <w:highlight w:val="none"/>
        </w:rPr>
        <w:t>偿</w:t>
      </w:r>
      <w:r>
        <w:rPr>
          <w:rFonts w:ascii="宋体" w:hAnsi="宋体" w:cs="Times New Roman"/>
          <w:color w:val="auto"/>
          <w:sz w:val="24"/>
          <w:highlight w:val="none"/>
        </w:rPr>
        <w:t>付合同总价</w:t>
      </w:r>
      <w:r>
        <w:rPr>
          <w:rFonts w:hint="eastAsia" w:ascii="宋体" w:hAnsi="宋体" w:cs="Times New Roman"/>
          <w:color w:val="auto"/>
          <w:sz w:val="24"/>
          <w:highlight w:val="none"/>
        </w:rPr>
        <w:t>20％</w:t>
      </w:r>
      <w:r>
        <w:rPr>
          <w:rFonts w:ascii="宋体" w:hAnsi="宋体" w:cs="Times New Roman"/>
          <w:color w:val="auto"/>
          <w:sz w:val="24"/>
          <w:highlight w:val="none"/>
        </w:rPr>
        <w:t>的违约金。</w:t>
      </w:r>
    </w:p>
    <w:p w14:paraId="0D70DEAE">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3.因乙方超过30个日历天未按照合同约定完成合同约定内容或与合同标准不符致使甲方解除合同的，乙方应承担合同总价款20%的违约金，若违约金不足以弥补甲方损失的，甲方有权要求乙方赔偿甲方实际的损失。</w:t>
      </w:r>
    </w:p>
    <w:p w14:paraId="0B3F6E31">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4.甲方无正当理由拒绝乙方按合同履行服务的，甲方向乙方偿付合同款总价款5％的违约金，无故逾期支付合同款的，向乙方每日偿付欠款总额5‰的违约金。</w:t>
      </w:r>
    </w:p>
    <w:p w14:paraId="312E5D5F">
      <w:pPr>
        <w:keepNext w:val="0"/>
        <w:keepLines w:val="0"/>
        <w:pageBreakBefore w:val="0"/>
        <w:widowControl w:val="0"/>
        <w:kinsoku/>
        <w:wordWrap/>
        <w:overflowPunct/>
        <w:topLinePunct w:val="0"/>
        <w:bidi w:val="0"/>
        <w:spacing w:line="480" w:lineRule="exact"/>
        <w:ind w:firstLine="482" w:firstLineChars="200"/>
        <w:textAlignment w:val="auto"/>
        <w:rPr>
          <w:rFonts w:hint="eastAsia" w:ascii="宋体" w:hAnsi="宋体" w:cs="Times New Roman"/>
          <w:b/>
          <w:color w:val="auto"/>
          <w:sz w:val="24"/>
          <w:highlight w:val="none"/>
          <w:lang w:eastAsia="zh-CN"/>
        </w:rPr>
      </w:pPr>
      <w:r>
        <w:rPr>
          <w:rFonts w:hint="eastAsia" w:ascii="宋体" w:hAnsi="宋体" w:cs="Times New Roman"/>
          <w:b/>
          <w:color w:val="auto"/>
          <w:sz w:val="24"/>
          <w:highlight w:val="none"/>
          <w:lang w:eastAsia="zh-CN"/>
        </w:rPr>
        <w:t>八、知识产权保护和保密约定</w:t>
      </w:r>
    </w:p>
    <w:p w14:paraId="4468A66C">
      <w:pPr>
        <w:keepNext w:val="0"/>
        <w:keepLines w:val="0"/>
        <w:pageBreakBefore w:val="0"/>
        <w:widowControl w:val="0"/>
        <w:kinsoku/>
        <w:wordWrap/>
        <w:overflowPunct/>
        <w:topLinePunct w:val="0"/>
        <w:bidi w:val="0"/>
        <w:spacing w:line="480" w:lineRule="exact"/>
        <w:ind w:firstLine="480" w:firstLineChars="200"/>
        <w:textAlignment w:val="auto"/>
        <w:rPr>
          <w:rFonts w:hint="eastAsia" w:ascii="宋体" w:hAnsi="宋体" w:cs="Times New Roman"/>
          <w:color w:val="auto"/>
          <w:sz w:val="24"/>
          <w:highlight w:val="none"/>
        </w:rPr>
      </w:pPr>
      <w:r>
        <w:rPr>
          <w:rFonts w:hint="eastAsia" w:ascii="宋体" w:hAnsi="宋体" w:cs="Times New Roman"/>
          <w:color w:val="auto"/>
          <w:sz w:val="24"/>
          <w:highlight w:val="none"/>
        </w:rPr>
        <w:t>1.知识产权保护约定（如有）：</w:t>
      </w:r>
    </w:p>
    <w:p w14:paraId="503E71EC">
      <w:pPr>
        <w:keepNext w:val="0"/>
        <w:keepLines w:val="0"/>
        <w:pageBreakBefore w:val="0"/>
        <w:widowControl w:val="0"/>
        <w:kinsoku/>
        <w:wordWrap/>
        <w:overflowPunct/>
        <w:topLinePunct w:val="0"/>
        <w:bidi w:val="0"/>
        <w:spacing w:line="480" w:lineRule="exact"/>
        <w:ind w:firstLine="480" w:firstLineChars="200"/>
        <w:textAlignment w:val="auto"/>
        <w:rPr>
          <w:rFonts w:hint="eastAsia" w:ascii="宋体" w:hAnsi="宋体" w:cs="Times New Roman"/>
          <w:color w:val="auto"/>
          <w:sz w:val="24"/>
          <w:highlight w:val="none"/>
        </w:rPr>
      </w:pPr>
      <w:r>
        <w:rPr>
          <w:rFonts w:hint="eastAsia" w:ascii="宋体" w:hAnsi="宋体" w:cs="Times New Roman"/>
          <w:color w:val="auto"/>
          <w:sz w:val="24"/>
          <w:highlight w:val="none"/>
        </w:rPr>
        <w:t>2.保密约定：</w:t>
      </w:r>
    </w:p>
    <w:p w14:paraId="647505E5">
      <w:pPr>
        <w:keepNext w:val="0"/>
        <w:keepLines w:val="0"/>
        <w:pageBreakBefore w:val="0"/>
        <w:widowControl w:val="0"/>
        <w:kinsoku/>
        <w:wordWrap/>
        <w:overflowPunct/>
        <w:topLinePunct w:val="0"/>
        <w:bidi w:val="0"/>
        <w:spacing w:line="480" w:lineRule="exact"/>
        <w:ind w:firstLine="480" w:firstLineChars="200"/>
        <w:textAlignment w:val="auto"/>
        <w:rPr>
          <w:rFonts w:hint="eastAsia" w:ascii="宋体" w:hAnsi="宋体" w:cs="Times New Roman"/>
          <w:color w:val="auto"/>
          <w:sz w:val="24"/>
          <w:highlight w:val="none"/>
        </w:rPr>
      </w:pPr>
      <w:r>
        <w:rPr>
          <w:rFonts w:hint="eastAsia" w:ascii="宋体" w:hAnsi="宋体" w:cs="Times New Roman"/>
          <w:color w:val="auto"/>
          <w:sz w:val="24"/>
          <w:highlight w:val="none"/>
        </w:rPr>
        <w:t>（1）甲乙双方均对本合同负有保密责任，未经对方同意，不得向任何第三方披露在讨论、签订、执行本合同过程中所知悉的且无法自公开渠道获得的，具有商业秘密的文件及资料，直至相关保密信息合法成为公开信息。</w:t>
      </w:r>
    </w:p>
    <w:p w14:paraId="2A678774">
      <w:pPr>
        <w:keepNext w:val="0"/>
        <w:keepLines w:val="0"/>
        <w:pageBreakBefore w:val="0"/>
        <w:widowControl w:val="0"/>
        <w:kinsoku/>
        <w:wordWrap/>
        <w:overflowPunct/>
        <w:topLinePunct w:val="0"/>
        <w:bidi w:val="0"/>
        <w:spacing w:line="480" w:lineRule="exact"/>
        <w:ind w:firstLine="420" w:firstLineChars="175"/>
        <w:jc w:val="left"/>
        <w:textAlignment w:val="auto"/>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（2）其他：</w:t>
      </w:r>
    </w:p>
    <w:p w14:paraId="7A356688">
      <w:pPr>
        <w:keepNext w:val="0"/>
        <w:keepLines w:val="0"/>
        <w:pageBreakBefore w:val="0"/>
        <w:widowControl w:val="0"/>
        <w:kinsoku/>
        <w:wordWrap/>
        <w:overflowPunct/>
        <w:topLinePunct w:val="0"/>
        <w:bidi w:val="0"/>
        <w:spacing w:line="480" w:lineRule="exact"/>
        <w:ind w:firstLine="482" w:firstLineChars="200"/>
        <w:textAlignment w:val="auto"/>
        <w:rPr>
          <w:rFonts w:ascii="宋体" w:hAnsi="宋体" w:cs="Times New Roman"/>
          <w:color w:val="auto"/>
          <w:sz w:val="24"/>
          <w:highlight w:val="none"/>
        </w:rPr>
      </w:pPr>
      <w:r>
        <w:rPr>
          <w:rFonts w:ascii="宋体" w:hAnsi="宋体" w:cs="Times New Roman"/>
          <w:b/>
          <w:color w:val="auto"/>
          <w:sz w:val="24"/>
          <w:highlight w:val="none"/>
        </w:rPr>
        <w:t>九、</w:t>
      </w:r>
      <w:r>
        <w:rPr>
          <w:rFonts w:hint="eastAsia" w:ascii="宋体" w:hAnsi="宋体" w:cs="Times New Roman"/>
          <w:b/>
          <w:color w:val="auto"/>
          <w:sz w:val="24"/>
          <w:highlight w:val="none"/>
        </w:rPr>
        <w:t>技术培训</w:t>
      </w:r>
    </w:p>
    <w:p w14:paraId="1F252AE7">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1.若甲方要求乙方予以说明、讲解，乙方人员应即时提供耐心、详细</w:t>
      </w:r>
      <w:r>
        <w:rPr>
          <w:rFonts w:hint="eastAsia" w:ascii="宋体" w:hAnsi="宋体" w:cs="Times New Roman"/>
          <w:color w:val="auto"/>
          <w:sz w:val="24"/>
          <w:highlight w:val="none"/>
          <w:lang w:eastAsia="zh-CN"/>
        </w:rPr>
        <w:t>地</w:t>
      </w:r>
      <w:r>
        <w:rPr>
          <w:rFonts w:hint="eastAsia" w:ascii="宋体" w:hAnsi="宋体" w:cs="Times New Roman"/>
          <w:color w:val="auto"/>
          <w:sz w:val="24"/>
          <w:highlight w:val="none"/>
        </w:rPr>
        <w:t>解释和指引服务；</w:t>
      </w:r>
    </w:p>
    <w:p w14:paraId="070EED2F">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2.若甲方对乙方所提供的服务成果需要进行培训时，乙方应无条件配合，费用由乙方负责，具体时间为  天、地点为    ，其他由甲乙双方协定。</w:t>
      </w:r>
    </w:p>
    <w:p w14:paraId="22FF6762">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3.其他：</w:t>
      </w:r>
    </w:p>
    <w:p w14:paraId="6065C520">
      <w:pPr>
        <w:keepNext w:val="0"/>
        <w:keepLines w:val="0"/>
        <w:pageBreakBefore w:val="0"/>
        <w:widowControl w:val="0"/>
        <w:kinsoku/>
        <w:wordWrap/>
        <w:overflowPunct/>
        <w:topLinePunct w:val="0"/>
        <w:bidi w:val="0"/>
        <w:spacing w:line="480" w:lineRule="exact"/>
        <w:ind w:firstLine="482" w:firstLineChars="200"/>
        <w:textAlignment w:val="auto"/>
        <w:rPr>
          <w:rFonts w:ascii="宋体" w:hAnsi="宋体" w:cs="Times New Roman"/>
          <w:b/>
          <w:color w:val="auto"/>
          <w:sz w:val="24"/>
          <w:highlight w:val="none"/>
        </w:rPr>
      </w:pPr>
      <w:r>
        <w:rPr>
          <w:rFonts w:hint="eastAsia" w:ascii="宋体" w:hAnsi="宋体" w:cs="Times New Roman"/>
          <w:b/>
          <w:color w:val="auto"/>
          <w:sz w:val="24"/>
          <w:highlight w:val="none"/>
        </w:rPr>
        <w:t>十、售后服务</w:t>
      </w:r>
    </w:p>
    <w:p w14:paraId="3DA10CC6">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1.自项目合同签</w:t>
      </w:r>
      <w:r>
        <w:rPr>
          <w:rFonts w:hint="eastAsia" w:ascii="宋体" w:hAnsi="宋体" w:cs="Times New Roman"/>
          <w:bCs/>
          <w:color w:val="auto"/>
          <w:sz w:val="24"/>
          <w:highlight w:val="none"/>
        </w:rPr>
        <w:t>订</w:t>
      </w:r>
      <w:r>
        <w:rPr>
          <w:rFonts w:hint="eastAsia" w:ascii="宋体" w:hAnsi="宋体" w:cs="Times New Roman"/>
          <w:color w:val="auto"/>
          <w:sz w:val="24"/>
          <w:highlight w:val="none"/>
        </w:rPr>
        <w:t>之日起直至本项目工作完成，甲方在服务使用过程中发生问题，乙方应支持7*24*4小时响应服务（7天 24小时在岗</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rPr>
        <w:t>4小时内响应）。</w:t>
      </w:r>
    </w:p>
    <w:p w14:paraId="0860E18F">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乙方支持电话：   ，联系人</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rPr>
        <w:t xml:space="preserve">  </w:t>
      </w:r>
    </w:p>
    <w:p w14:paraId="6AB27A18">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2.其他：</w:t>
      </w:r>
    </w:p>
    <w:p w14:paraId="136270DD">
      <w:pPr>
        <w:keepNext w:val="0"/>
        <w:keepLines w:val="0"/>
        <w:pageBreakBefore w:val="0"/>
        <w:widowControl w:val="0"/>
        <w:kinsoku/>
        <w:wordWrap/>
        <w:overflowPunct/>
        <w:topLinePunct w:val="0"/>
        <w:bidi w:val="0"/>
        <w:adjustRightInd w:val="0"/>
        <w:snapToGrid w:val="0"/>
        <w:spacing w:after="0" w:line="480" w:lineRule="exact"/>
        <w:ind w:left="0" w:leftChars="0" w:firstLine="482" w:firstLineChars="200"/>
        <w:jc w:val="both"/>
        <w:textAlignment w:val="auto"/>
        <w:rPr>
          <w:rFonts w:ascii="宋体" w:hAnsi="宋体" w:eastAsia="宋体" w:cs="Times New Roman"/>
          <w:b/>
          <w:color w:val="auto"/>
          <w:kern w:val="2"/>
          <w:sz w:val="24"/>
          <w:szCs w:val="20"/>
          <w:highlight w:val="none"/>
          <w:lang w:val="en-US" w:eastAsia="zh-CN" w:bidi="ar-SA"/>
        </w:rPr>
      </w:pPr>
      <w:r>
        <w:rPr>
          <w:rFonts w:ascii="宋体" w:hAnsi="宋体" w:eastAsia="宋体" w:cs="Times New Roman"/>
          <w:b/>
          <w:color w:val="auto"/>
          <w:kern w:val="2"/>
          <w:sz w:val="24"/>
          <w:szCs w:val="20"/>
          <w:highlight w:val="none"/>
          <w:lang w:val="en-US" w:eastAsia="zh-CN" w:bidi="ar-SA"/>
        </w:rPr>
        <w:t>十一、争议</w:t>
      </w:r>
      <w:r>
        <w:rPr>
          <w:rFonts w:hint="eastAsia" w:ascii="宋体" w:hAnsi="宋体" w:eastAsia="宋体" w:cs="Times New Roman"/>
          <w:b/>
          <w:color w:val="auto"/>
          <w:kern w:val="2"/>
          <w:sz w:val="24"/>
          <w:szCs w:val="20"/>
          <w:highlight w:val="none"/>
          <w:lang w:val="en-US" w:eastAsia="zh-CN" w:bidi="ar-SA"/>
        </w:rPr>
        <w:t>处理</w:t>
      </w:r>
    </w:p>
    <w:p w14:paraId="2BAAE85A">
      <w:pPr>
        <w:keepNext w:val="0"/>
        <w:keepLines w:val="0"/>
        <w:pageBreakBefore w:val="0"/>
        <w:widowControl w:val="0"/>
        <w:kinsoku/>
        <w:wordWrap/>
        <w:overflowPunct/>
        <w:topLinePunct w:val="0"/>
        <w:bidi w:val="0"/>
        <w:adjustRightInd w:val="0"/>
        <w:snapToGrid w:val="0"/>
        <w:spacing w:after="0" w:line="480" w:lineRule="exact"/>
        <w:ind w:left="0" w:leftChars="0" w:firstLine="480" w:firstLineChars="200"/>
        <w:jc w:val="both"/>
        <w:textAlignment w:val="auto"/>
        <w:rPr>
          <w:rFonts w:hint="eastAsia" w:ascii="宋体" w:hAnsi="宋体" w:eastAsia="宋体" w:cs="宋体"/>
          <w:color w:val="auto"/>
          <w:kern w:val="2"/>
          <w:sz w:val="24"/>
          <w:szCs w:val="20"/>
          <w:highlight w:val="none"/>
          <w:lang w:val="en-US" w:eastAsia="zh-CN" w:bidi="ar-SA"/>
        </w:rPr>
      </w:pPr>
      <w:r>
        <w:rPr>
          <w:rFonts w:hint="eastAsia" w:ascii="宋体" w:hAnsi="宋体" w:eastAsia="宋体" w:cs="Arial"/>
          <w:color w:val="auto"/>
          <w:kern w:val="2"/>
          <w:sz w:val="24"/>
          <w:szCs w:val="24"/>
          <w:highlight w:val="none"/>
          <w:lang w:val="en-US" w:eastAsia="zh-CN" w:bidi="ar-SA"/>
        </w:rPr>
        <w:t>1.</w:t>
      </w:r>
      <w:r>
        <w:rPr>
          <w:rFonts w:ascii="宋体" w:hAnsi="宋体" w:eastAsia="宋体" w:cs="Times New Roman"/>
          <w:color w:val="auto"/>
          <w:kern w:val="2"/>
          <w:sz w:val="24"/>
          <w:szCs w:val="20"/>
          <w:highlight w:val="none"/>
          <w:lang w:val="en-US" w:eastAsia="zh-CN" w:bidi="ar-SA"/>
        </w:rPr>
        <w:t xml:space="preserve"> 如因乙方交</w:t>
      </w:r>
      <w:r>
        <w:rPr>
          <w:rFonts w:hint="eastAsia" w:ascii="宋体" w:hAnsi="宋体" w:eastAsia="宋体" w:cs="宋体"/>
          <w:color w:val="auto"/>
          <w:kern w:val="2"/>
          <w:sz w:val="24"/>
          <w:szCs w:val="20"/>
          <w:highlight w:val="none"/>
          <w:lang w:val="en-US" w:eastAsia="zh-CN" w:bidi="ar-SA"/>
        </w:rPr>
        <w:t xml:space="preserve">付的工作成果引起任何争议或纠纷，应当委托甲乙双方共同认可的具有相关资质的第三方机构对项目质量进行鉴定，鉴定后产品满足服务需求的，由甲方支付相关费用，不满足服务需求的，由乙方支付相关费用。 </w:t>
      </w:r>
    </w:p>
    <w:p w14:paraId="41DF0F34">
      <w:pPr>
        <w:keepNext w:val="0"/>
        <w:keepLines w:val="0"/>
        <w:pageBreakBefore w:val="0"/>
        <w:widowControl w:val="0"/>
        <w:kinsoku/>
        <w:wordWrap/>
        <w:overflowPunct/>
        <w:topLinePunct w:val="0"/>
        <w:bidi w:val="0"/>
        <w:adjustRightInd w:val="0"/>
        <w:snapToGrid w:val="0"/>
        <w:spacing w:after="0" w:line="480" w:lineRule="exact"/>
        <w:ind w:left="0" w:leftChars="0" w:firstLine="480" w:firstLineChars="200"/>
        <w:jc w:val="both"/>
        <w:textAlignment w:val="auto"/>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0"/>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本合同签署地为玉溪市红塔区，因履行本合同引起的或与本合同有关的争议，甲、乙双方应首先通过友好协商解决，如果协商不能解决争议，则向玉溪仲裁委员会申请仲裁。</w:t>
      </w:r>
    </w:p>
    <w:p w14:paraId="62E5A736">
      <w:pPr>
        <w:keepNext w:val="0"/>
        <w:keepLines w:val="0"/>
        <w:pageBreakBefore w:val="0"/>
        <w:widowControl w:val="0"/>
        <w:kinsoku/>
        <w:wordWrap/>
        <w:overflowPunct/>
        <w:topLinePunct w:val="0"/>
        <w:bidi w:val="0"/>
        <w:adjustRightInd w:val="0"/>
        <w:snapToGrid w:val="0"/>
        <w:spacing w:after="0" w:line="480" w:lineRule="exact"/>
        <w:ind w:left="0" w:leftChars="0" w:firstLine="482" w:firstLineChars="200"/>
        <w:jc w:val="both"/>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0"/>
          <w:highlight w:val="none"/>
          <w:lang w:val="en-US" w:eastAsia="zh-CN" w:bidi="ar-SA"/>
        </w:rPr>
        <w:t>十二、</w:t>
      </w:r>
      <w:r>
        <w:rPr>
          <w:rFonts w:hint="eastAsia" w:ascii="宋体" w:hAnsi="宋体" w:eastAsia="宋体" w:cs="宋体"/>
          <w:b/>
          <w:color w:val="auto"/>
          <w:kern w:val="2"/>
          <w:sz w:val="24"/>
          <w:szCs w:val="24"/>
          <w:highlight w:val="none"/>
          <w:lang w:val="en-US" w:eastAsia="zh-CN" w:bidi="ar-SA"/>
        </w:rPr>
        <w:t>合同的变更和终止</w:t>
      </w:r>
    </w:p>
    <w:p w14:paraId="457BC1A1">
      <w:pPr>
        <w:keepNext w:val="0"/>
        <w:keepLines w:val="0"/>
        <w:pageBreakBefore w:val="0"/>
        <w:widowControl w:val="0"/>
        <w:kinsoku/>
        <w:wordWrap/>
        <w:overflowPunct/>
        <w:topLinePunct w:val="0"/>
        <w:bidi w:val="0"/>
        <w:adjustRightInd w:val="0"/>
        <w:snapToGrid w:val="0"/>
        <w:spacing w:after="0" w:line="480" w:lineRule="exact"/>
        <w:ind w:left="0" w:leftChars="0"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除《中华人民共和国民法典》规定的不可抗力和《中华人民共和国政府采购法》第50条规定的情形外，本合同一经签订，甲乙双方不得擅自变更、中止或解除，确有特殊情况的，须双方共同协商并报经同级财政部门批准。</w:t>
      </w:r>
    </w:p>
    <w:p w14:paraId="47D4247F">
      <w:pPr>
        <w:keepNext w:val="0"/>
        <w:keepLines w:val="0"/>
        <w:pageBreakBefore w:val="0"/>
        <w:widowControl w:val="0"/>
        <w:kinsoku/>
        <w:wordWrap/>
        <w:overflowPunct/>
        <w:topLinePunct w:val="0"/>
        <w:bidi w:val="0"/>
        <w:spacing w:line="480" w:lineRule="exact"/>
        <w:ind w:firstLine="482" w:firstLineChars="200"/>
        <w:textAlignment w:val="auto"/>
        <w:rPr>
          <w:rFonts w:ascii="宋体" w:hAnsi="宋体" w:cs="Arial"/>
          <w:b/>
          <w:color w:val="auto"/>
          <w:sz w:val="24"/>
          <w:szCs w:val="24"/>
          <w:highlight w:val="none"/>
        </w:rPr>
      </w:pPr>
      <w:r>
        <w:rPr>
          <w:rFonts w:hint="eastAsia" w:ascii="宋体" w:hAnsi="宋体" w:cs="Times New Roman"/>
          <w:b/>
          <w:color w:val="auto"/>
          <w:sz w:val="24"/>
          <w:highlight w:val="none"/>
        </w:rPr>
        <w:t>十三、</w:t>
      </w:r>
      <w:r>
        <w:rPr>
          <w:rFonts w:hint="eastAsia" w:ascii="宋体" w:hAnsi="宋体" w:cs="Arial"/>
          <w:b/>
          <w:color w:val="auto"/>
          <w:sz w:val="24"/>
          <w:szCs w:val="24"/>
          <w:highlight w:val="none"/>
        </w:rPr>
        <w:t>合</w:t>
      </w:r>
      <w:r>
        <w:rPr>
          <w:rFonts w:ascii="宋体" w:hAnsi="宋体" w:cs="Arial"/>
          <w:b/>
          <w:color w:val="auto"/>
          <w:sz w:val="24"/>
          <w:szCs w:val="24"/>
          <w:highlight w:val="none"/>
        </w:rPr>
        <w:t>同生效及其他</w:t>
      </w:r>
    </w:p>
    <w:p w14:paraId="24DC9A0C">
      <w:pPr>
        <w:keepNext w:val="0"/>
        <w:keepLines w:val="0"/>
        <w:pageBreakBefore w:val="0"/>
        <w:widowControl w:val="0"/>
        <w:kinsoku/>
        <w:wordWrap/>
        <w:overflowPunct/>
        <w:topLinePunct w:val="0"/>
        <w:bidi w:val="0"/>
        <w:adjustRightInd w:val="0"/>
        <w:snapToGrid w:val="0"/>
        <w:spacing w:after="0" w:line="480" w:lineRule="exact"/>
        <w:ind w:left="0" w:leftChars="0" w:firstLine="480" w:firstLineChars="200"/>
        <w:jc w:val="both"/>
        <w:textAlignment w:val="auto"/>
        <w:rPr>
          <w:rFonts w:ascii="宋体" w:hAnsi="宋体" w:eastAsia="宋体" w:cs="Arial"/>
          <w:color w:val="auto"/>
          <w:kern w:val="2"/>
          <w:sz w:val="24"/>
          <w:szCs w:val="24"/>
          <w:highlight w:val="none"/>
          <w:lang w:val="en-US" w:eastAsia="zh-CN" w:bidi="ar-SA"/>
        </w:rPr>
      </w:pPr>
      <w:r>
        <w:rPr>
          <w:rFonts w:hint="eastAsia" w:ascii="宋体" w:hAnsi="宋体" w:eastAsia="宋体" w:cs="Arial"/>
          <w:color w:val="auto"/>
          <w:kern w:val="2"/>
          <w:sz w:val="24"/>
          <w:szCs w:val="24"/>
          <w:highlight w:val="none"/>
          <w:lang w:val="en-US" w:eastAsia="zh-CN" w:bidi="ar-SA"/>
        </w:rPr>
        <w:t>1.本</w:t>
      </w:r>
      <w:r>
        <w:rPr>
          <w:rFonts w:ascii="宋体" w:hAnsi="宋体" w:eastAsia="宋体" w:cs="Times New Roman"/>
          <w:color w:val="auto"/>
          <w:kern w:val="2"/>
          <w:sz w:val="24"/>
          <w:szCs w:val="24"/>
          <w:highlight w:val="none"/>
          <w:lang w:val="en-US" w:eastAsia="zh-CN" w:bidi="ar-SA"/>
        </w:rPr>
        <w:t>合同自双方签字盖章之日起生效</w:t>
      </w:r>
      <w:r>
        <w:rPr>
          <w:rFonts w:ascii="宋体" w:hAnsi="宋体" w:eastAsia="宋体" w:cs="Arial"/>
          <w:color w:val="auto"/>
          <w:kern w:val="2"/>
          <w:sz w:val="24"/>
          <w:szCs w:val="24"/>
          <w:highlight w:val="none"/>
          <w:lang w:val="en-US" w:eastAsia="zh-CN" w:bidi="ar-SA"/>
        </w:rPr>
        <w:t xml:space="preserve">。 </w:t>
      </w:r>
    </w:p>
    <w:p w14:paraId="6256615F">
      <w:pPr>
        <w:keepNext w:val="0"/>
        <w:keepLines w:val="0"/>
        <w:pageBreakBefore w:val="0"/>
        <w:widowControl w:val="0"/>
        <w:kinsoku/>
        <w:wordWrap/>
        <w:overflowPunct/>
        <w:topLinePunct w:val="0"/>
        <w:bidi w:val="0"/>
        <w:adjustRightInd w:val="0"/>
        <w:snapToGrid w:val="0"/>
        <w:spacing w:after="0" w:line="480" w:lineRule="exact"/>
        <w:ind w:left="0" w:leftChars="0" w:firstLine="480" w:firstLineChars="200"/>
        <w:jc w:val="both"/>
        <w:textAlignment w:val="auto"/>
        <w:rPr>
          <w:rFonts w:ascii="宋体" w:hAnsi="宋体" w:eastAsia="宋体" w:cs="Arial"/>
          <w:color w:val="auto"/>
          <w:kern w:val="2"/>
          <w:sz w:val="24"/>
          <w:szCs w:val="24"/>
          <w:highlight w:val="none"/>
          <w:lang w:val="en-US" w:eastAsia="zh-CN" w:bidi="ar-SA"/>
        </w:rPr>
      </w:pPr>
      <w:r>
        <w:rPr>
          <w:rFonts w:hint="eastAsia" w:ascii="宋体" w:hAnsi="宋体" w:eastAsia="宋体" w:cs="Arial"/>
          <w:color w:val="auto"/>
          <w:kern w:val="2"/>
          <w:sz w:val="24"/>
          <w:szCs w:val="24"/>
          <w:highlight w:val="none"/>
          <w:lang w:val="en-US" w:eastAsia="zh-CN" w:bidi="ar-SA"/>
        </w:rPr>
        <w:t>2.</w:t>
      </w:r>
      <w:r>
        <w:rPr>
          <w:rFonts w:hint="eastAsia" w:ascii="宋体" w:hAnsi="宋体" w:eastAsia="宋体" w:cs="Times New Roman"/>
          <w:color w:val="auto"/>
          <w:kern w:val="2"/>
          <w:sz w:val="24"/>
          <w:szCs w:val="20"/>
          <w:highlight w:val="none"/>
          <w:lang w:val="en-US" w:eastAsia="zh-CN" w:bidi="ar-SA"/>
        </w:rPr>
        <w:t xml:space="preserve"> 本合同一式六份，甲方执四份、乙方执两份。</w:t>
      </w:r>
    </w:p>
    <w:p w14:paraId="02A865FC">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3.本合同其他未尽事宜，按《中华人民共和国民法典》中“合同”规定内容处理。</w:t>
      </w:r>
    </w:p>
    <w:p w14:paraId="3B4DFDFF">
      <w:pPr>
        <w:keepNext w:val="0"/>
        <w:keepLines w:val="0"/>
        <w:pageBreakBefore w:val="0"/>
        <w:widowControl w:val="0"/>
        <w:kinsoku/>
        <w:wordWrap/>
        <w:overflowPunct/>
        <w:topLinePunct w:val="0"/>
        <w:bidi w:val="0"/>
        <w:spacing w:line="480" w:lineRule="exact"/>
        <w:ind w:firstLine="482" w:firstLineChars="200"/>
        <w:textAlignment w:val="auto"/>
        <w:rPr>
          <w:rFonts w:hint="eastAsia" w:ascii="宋体" w:hAnsi="宋体" w:cs="Times New Roman"/>
          <w:b/>
          <w:color w:val="auto"/>
          <w:sz w:val="24"/>
          <w:szCs w:val="24"/>
          <w:highlight w:val="none"/>
        </w:rPr>
      </w:pPr>
      <w:r>
        <w:rPr>
          <w:rFonts w:hint="eastAsia" w:ascii="宋体" w:hAnsi="宋体" w:cs="Times New Roman"/>
          <w:b/>
          <w:color w:val="auto"/>
          <w:sz w:val="24"/>
          <w:highlight w:val="none"/>
        </w:rPr>
        <w:t>十四、</w:t>
      </w:r>
      <w:r>
        <w:rPr>
          <w:rFonts w:hint="eastAsia" w:ascii="Cambria Math" w:hAnsi="Cambria Math" w:cs="Times New Roman"/>
          <w:b/>
          <w:color w:val="auto"/>
          <w:sz w:val="24"/>
          <w:szCs w:val="24"/>
          <w:highlight w:val="none"/>
        </w:rPr>
        <w:t>资料送达</w:t>
      </w:r>
    </w:p>
    <w:p w14:paraId="74EE4541">
      <w:pPr>
        <w:keepNext w:val="0"/>
        <w:keepLines w:val="0"/>
        <w:pageBreakBefore w:val="0"/>
        <w:widowControl w:val="0"/>
        <w:kinsoku/>
        <w:wordWrap/>
        <w:overflowPunct/>
        <w:topLinePunct w:val="0"/>
        <w:bidi w:val="0"/>
        <w:adjustRightInd w:val="0"/>
        <w:snapToGrid w:val="0"/>
        <w:spacing w:after="0" w:line="480" w:lineRule="exact"/>
        <w:ind w:left="0" w:leftChars="0" w:firstLine="480" w:firstLineChars="200"/>
        <w:jc w:val="both"/>
        <w:textAlignment w:val="auto"/>
        <w:rPr>
          <w:rFonts w:ascii="Cambria Math" w:hAnsi="Cambria Math"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0"/>
          <w:highlight w:val="none"/>
          <w:lang w:val="en-US" w:eastAsia="zh-CN" w:bidi="ar-SA"/>
        </w:rPr>
        <w:t xml:space="preserve"> </w:t>
      </w:r>
      <w:r>
        <w:rPr>
          <w:rFonts w:ascii="宋体" w:hAnsi="宋体" w:eastAsia="宋体" w:cs="Times New Roman"/>
          <w:color w:val="auto"/>
          <w:kern w:val="2"/>
          <w:sz w:val="24"/>
          <w:szCs w:val="24"/>
          <w:highlight w:val="none"/>
          <w:lang w:val="en-US" w:eastAsia="zh-CN" w:bidi="ar-SA"/>
        </w:rPr>
        <w:t>1.</w:t>
      </w:r>
      <w:r>
        <w:rPr>
          <w:rFonts w:hint="eastAsia" w:ascii="宋体" w:hAnsi="宋体" w:eastAsia="宋体" w:cs="Times New Roman"/>
          <w:color w:val="auto"/>
          <w:kern w:val="2"/>
          <w:sz w:val="24"/>
          <w:szCs w:val="24"/>
          <w:highlight w:val="none"/>
          <w:lang w:val="en-US" w:eastAsia="zh-CN" w:bidi="ar-SA"/>
        </w:rPr>
        <w:t>为方便本合同的履行，甲方确认下述住所/住址</w:t>
      </w:r>
      <w:r>
        <w:rPr>
          <w:rFonts w:hint="eastAsia" w:ascii="宋体" w:hAnsi="宋体" w:eastAsia="宋体" w:cs="Times New Roman"/>
          <w:color w:val="auto"/>
          <w:kern w:val="2"/>
          <w:sz w:val="24"/>
          <w:szCs w:val="20"/>
          <w:highlight w:val="none"/>
          <w:lang w:val="en-US" w:eastAsia="zh-CN" w:bidi="ar-SA"/>
        </w:rPr>
        <w:t>、</w:t>
      </w:r>
      <w:r>
        <w:rPr>
          <w:rFonts w:hint="eastAsia" w:ascii="Cambria Math" w:hAnsi="Cambria Math" w:eastAsia="宋体" w:cs="Times New Roman"/>
          <w:color w:val="auto"/>
          <w:kern w:val="2"/>
          <w:sz w:val="24"/>
          <w:szCs w:val="24"/>
          <w:highlight w:val="none"/>
          <w:lang w:val="en-US" w:eastAsia="zh-CN" w:bidi="ar-SA"/>
        </w:rPr>
        <w:t>联系电话、传真均为送达地址</w:t>
      </w:r>
      <w:r>
        <w:rPr>
          <w:rFonts w:hint="eastAsia" w:ascii="宋体" w:hAnsi="宋体" w:eastAsia="宋体" w:cs="Times New Roman"/>
          <w:color w:val="auto"/>
          <w:kern w:val="2"/>
          <w:sz w:val="24"/>
          <w:szCs w:val="24"/>
          <w:highlight w:val="none"/>
          <w:lang w:val="en-US" w:eastAsia="zh-CN" w:bidi="ar-SA"/>
        </w:rPr>
        <w:t>（住所：</w:t>
      </w:r>
      <w:r>
        <w:rPr>
          <w:rFonts w:hint="eastAsia" w:ascii="宋体" w:hAnsi="宋体" w:cs="Times New Roman"/>
          <w:color w:val="auto"/>
          <w:kern w:val="2"/>
          <w:sz w:val="24"/>
          <w:szCs w:val="24"/>
          <w:highlight w:val="non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 xml:space="preserve">，联系人：             ； 电话：       传真： </w:t>
      </w:r>
      <w:r>
        <w:rPr>
          <w:rFonts w:hint="eastAsia" w:ascii="宋体" w:hAnsi="宋体" w:cs="Times New Roman"/>
          <w:color w:val="auto"/>
          <w:kern w:val="2"/>
          <w:sz w:val="24"/>
          <w:szCs w:val="24"/>
          <w:highlight w:val="non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 xml:space="preserve"> ），</w:t>
      </w:r>
      <w:r>
        <w:rPr>
          <w:rFonts w:hint="eastAsia" w:ascii="Cambria Math" w:hAnsi="Cambria Math" w:eastAsia="宋体" w:cs="Times New Roman"/>
          <w:color w:val="auto"/>
          <w:kern w:val="2"/>
          <w:sz w:val="24"/>
          <w:szCs w:val="24"/>
          <w:highlight w:val="none"/>
          <w:lang w:val="en-US" w:eastAsia="zh-CN" w:bidi="ar-SA"/>
        </w:rPr>
        <w:t>非经书面通知变更，乙方以选择送达地址中确认的任何一种方式向其送达文件信函、律师函、诉讼文书等，送达后如发生退件或拒收，均视为已经送达，</w:t>
      </w:r>
      <w:r>
        <w:rPr>
          <w:rFonts w:hint="eastAsia" w:ascii="宋体" w:hAnsi="宋体" w:eastAsia="宋体" w:cs="Times New Roman"/>
          <w:color w:val="auto"/>
          <w:kern w:val="2"/>
          <w:sz w:val="24"/>
          <w:szCs w:val="24"/>
          <w:highlight w:val="none"/>
          <w:lang w:val="en-US" w:eastAsia="zh-CN" w:bidi="ar-SA"/>
        </w:rPr>
        <w:t>具体以《中华人民共和国民法典》《中华人民共和国民事诉讼法》等法律法规为准。</w:t>
      </w:r>
    </w:p>
    <w:p w14:paraId="1D9310C4">
      <w:pPr>
        <w:keepNext w:val="0"/>
        <w:keepLines w:val="0"/>
        <w:pageBreakBefore w:val="0"/>
        <w:widowControl w:val="0"/>
        <w:kinsoku/>
        <w:wordWrap/>
        <w:overflowPunct/>
        <w:topLinePunct w:val="0"/>
        <w:bidi w:val="0"/>
        <w:adjustRightInd w:val="0"/>
        <w:snapToGrid w:val="0"/>
        <w:spacing w:after="0" w:line="480" w:lineRule="exact"/>
        <w:ind w:left="0" w:leftChars="0" w:firstLine="480" w:firstLineChars="200"/>
        <w:jc w:val="both"/>
        <w:textAlignment w:val="auto"/>
        <w:rPr>
          <w:rFonts w:hint="eastAsia" w:ascii="宋体" w:hAnsi="宋体" w:eastAsia="宋体" w:cs="Times New Roman"/>
          <w:color w:val="auto"/>
          <w:kern w:val="2"/>
          <w:sz w:val="24"/>
          <w:szCs w:val="24"/>
          <w:highlight w:val="none"/>
          <w:lang w:val="en-US" w:eastAsia="zh-CN" w:bidi="ar-SA"/>
        </w:rPr>
      </w:pPr>
      <w:r>
        <w:rPr>
          <w:rFonts w:hint="eastAsia" w:ascii="Cambria Math" w:hAnsi="Cambria Math" w:eastAsia="宋体" w:cs="Times New Roman"/>
          <w:color w:val="auto"/>
          <w:kern w:val="2"/>
          <w:sz w:val="24"/>
          <w:szCs w:val="24"/>
          <w:highlight w:val="none"/>
          <w:lang w:val="en-US" w:eastAsia="zh-CN" w:bidi="ar-SA"/>
        </w:rPr>
        <w:t>2. 为方便本合同的履行，乙方确认下述住所/住址、联系电话、传真均为送达地址（住所：    ；联系人      ；电话：     ；传真：      ），非经书面通知变更，甲方以选择送达地址中确认的任何一种方式向其送达文件信函、律师函、诉讼文书等，送达后如发生退件或拒收，均视为已经送达，</w:t>
      </w:r>
      <w:r>
        <w:rPr>
          <w:rFonts w:hint="eastAsia" w:ascii="宋体" w:hAnsi="宋体" w:eastAsia="宋体" w:cs="Times New Roman"/>
          <w:color w:val="auto"/>
          <w:kern w:val="2"/>
          <w:sz w:val="24"/>
          <w:szCs w:val="24"/>
          <w:highlight w:val="none"/>
          <w:lang w:val="en-US" w:eastAsia="zh-CN" w:bidi="ar-SA"/>
        </w:rPr>
        <w:t>具体以《中华人民共和国民法典》《中华人民共和国民事诉讼法》等法律法规为准。</w:t>
      </w:r>
    </w:p>
    <w:p w14:paraId="33CFA7B0">
      <w:pPr>
        <w:keepNext w:val="0"/>
        <w:keepLines w:val="0"/>
        <w:pageBreakBefore w:val="0"/>
        <w:widowControl w:val="0"/>
        <w:kinsoku/>
        <w:wordWrap/>
        <w:overflowPunct/>
        <w:topLinePunct w:val="0"/>
        <w:bidi w:val="0"/>
        <w:adjustRightInd w:val="0"/>
        <w:snapToGrid w:val="0"/>
        <w:spacing w:after="0" w:line="480" w:lineRule="exact"/>
        <w:ind w:left="0" w:leftChars="0" w:firstLine="482" w:firstLineChars="200"/>
        <w:jc w:val="both"/>
        <w:textAlignment w:val="auto"/>
        <w:rPr>
          <w:rFonts w:ascii="宋体" w:hAnsi="宋体" w:eastAsia="宋体" w:cs="Arial"/>
          <w:b/>
          <w:color w:val="auto"/>
          <w:kern w:val="2"/>
          <w:sz w:val="24"/>
          <w:szCs w:val="24"/>
          <w:highlight w:val="none"/>
          <w:lang w:val="en-US" w:eastAsia="zh-CN" w:bidi="ar-SA"/>
        </w:rPr>
      </w:pPr>
      <w:r>
        <w:rPr>
          <w:rFonts w:hint="eastAsia" w:ascii="宋体" w:hAnsi="宋体" w:eastAsia="宋体" w:cs="Times New Roman"/>
          <w:b/>
          <w:color w:val="auto"/>
          <w:kern w:val="2"/>
          <w:sz w:val="24"/>
          <w:szCs w:val="20"/>
          <w:highlight w:val="none"/>
          <w:lang w:val="en-US" w:eastAsia="zh-CN" w:bidi="ar-SA"/>
        </w:rPr>
        <w:t>十五、</w:t>
      </w:r>
      <w:r>
        <w:rPr>
          <w:rFonts w:hint="eastAsia" w:ascii="宋体" w:hAnsi="宋体" w:eastAsia="宋体" w:cs="Times New Roman"/>
          <w:b/>
          <w:bCs/>
          <w:color w:val="auto"/>
          <w:kern w:val="2"/>
          <w:sz w:val="24"/>
          <w:szCs w:val="20"/>
          <w:highlight w:val="none"/>
          <w:lang w:val="en-US" w:eastAsia="zh-CN" w:bidi="ar-SA"/>
        </w:rPr>
        <w:t>本合同不可分割之部分及解释顺序：</w:t>
      </w:r>
    </w:p>
    <w:p w14:paraId="2E7397DD">
      <w:pPr>
        <w:keepNext w:val="0"/>
        <w:keepLines w:val="0"/>
        <w:pageBreakBefore w:val="0"/>
        <w:widowControl w:val="0"/>
        <w:kinsoku/>
        <w:wordWrap/>
        <w:overflowPunct/>
        <w:topLinePunct w:val="0"/>
        <w:autoSpaceDE w:val="0"/>
        <w:autoSpaceDN w:val="0"/>
        <w:bidi w:val="0"/>
        <w:adjustRightInd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1. 合同书及附件；</w:t>
      </w:r>
    </w:p>
    <w:p w14:paraId="7818F004">
      <w:pPr>
        <w:keepNext w:val="0"/>
        <w:keepLines w:val="0"/>
        <w:pageBreakBefore w:val="0"/>
        <w:widowControl w:val="0"/>
        <w:kinsoku/>
        <w:wordWrap/>
        <w:overflowPunct/>
        <w:topLinePunct w:val="0"/>
        <w:autoSpaceDE w:val="0"/>
        <w:autoSpaceDN w:val="0"/>
        <w:bidi w:val="0"/>
        <w:adjustRightInd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2. 成交（中标）通知书；</w:t>
      </w:r>
    </w:p>
    <w:p w14:paraId="73C6F76F">
      <w:pPr>
        <w:keepNext w:val="0"/>
        <w:keepLines w:val="0"/>
        <w:pageBreakBefore w:val="0"/>
        <w:widowControl w:val="0"/>
        <w:kinsoku/>
        <w:wordWrap/>
        <w:overflowPunct/>
        <w:topLinePunct w:val="0"/>
        <w:autoSpaceDE w:val="0"/>
        <w:autoSpaceDN w:val="0"/>
        <w:bidi w:val="0"/>
        <w:adjustRightInd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3. 成交人（中标人）</w:t>
      </w:r>
      <w:r>
        <w:rPr>
          <w:rFonts w:hint="eastAsia" w:ascii="宋体" w:hAnsi="宋体" w:cs="Times New Roman"/>
          <w:color w:val="auto"/>
          <w:sz w:val="24"/>
          <w:highlight w:val="none"/>
          <w:lang w:eastAsia="zh-CN"/>
        </w:rPr>
        <w:t>投标文件</w:t>
      </w:r>
      <w:r>
        <w:rPr>
          <w:rFonts w:hint="eastAsia" w:ascii="宋体" w:hAnsi="宋体" w:cs="Times New Roman"/>
          <w:color w:val="auto"/>
          <w:sz w:val="24"/>
          <w:highlight w:val="none"/>
        </w:rPr>
        <w:t xml:space="preserve">及澄清文件； </w:t>
      </w:r>
    </w:p>
    <w:p w14:paraId="3A3EAC16">
      <w:pPr>
        <w:keepNext w:val="0"/>
        <w:keepLines w:val="0"/>
        <w:pageBreakBefore w:val="0"/>
        <w:widowControl w:val="0"/>
        <w:kinsoku/>
        <w:wordWrap/>
        <w:overflowPunct/>
        <w:topLinePunct w:val="0"/>
        <w:autoSpaceDE w:val="0"/>
        <w:autoSpaceDN w:val="0"/>
        <w:bidi w:val="0"/>
        <w:adjustRightInd w:val="0"/>
        <w:spacing w:line="480" w:lineRule="exact"/>
        <w:ind w:firstLine="480" w:firstLineChars="200"/>
        <w:textAlignment w:val="auto"/>
        <w:rPr>
          <w:rFonts w:ascii="宋体" w:hAnsi="宋体" w:cs="Times New Roman"/>
          <w:color w:val="auto"/>
          <w:sz w:val="24"/>
          <w:highlight w:val="none"/>
        </w:rPr>
      </w:pPr>
      <w:r>
        <w:rPr>
          <w:rFonts w:hint="eastAsia" w:ascii="宋体" w:hAnsi="宋体" w:cs="Times New Roman"/>
          <w:color w:val="auto"/>
          <w:sz w:val="24"/>
          <w:highlight w:val="none"/>
        </w:rPr>
        <w:t xml:space="preserve">4. </w:t>
      </w:r>
      <w:r>
        <w:rPr>
          <w:rFonts w:hint="eastAsia" w:ascii="宋体" w:hAnsi="宋体" w:cs="Times New Roman"/>
          <w:color w:val="auto"/>
          <w:sz w:val="24"/>
          <w:highlight w:val="none"/>
          <w:lang w:eastAsia="zh-CN"/>
        </w:rPr>
        <w:t>招标文件</w:t>
      </w:r>
      <w:r>
        <w:rPr>
          <w:rFonts w:hint="eastAsia" w:ascii="宋体" w:hAnsi="宋体" w:cs="Times New Roman"/>
          <w:color w:val="auto"/>
          <w:sz w:val="24"/>
          <w:highlight w:val="none"/>
        </w:rPr>
        <w:t>。</w:t>
      </w:r>
    </w:p>
    <w:p w14:paraId="039E378F">
      <w:pPr>
        <w:keepNext w:val="0"/>
        <w:keepLines w:val="0"/>
        <w:pageBreakBefore w:val="0"/>
        <w:widowControl w:val="0"/>
        <w:kinsoku/>
        <w:wordWrap/>
        <w:overflowPunct/>
        <w:topLinePunct w:val="0"/>
        <w:bidi w:val="0"/>
        <w:spacing w:line="480" w:lineRule="exact"/>
        <w:ind w:firstLine="482" w:firstLineChars="200"/>
        <w:textAlignment w:val="auto"/>
        <w:rPr>
          <w:rFonts w:ascii="宋体" w:hAnsi="宋体" w:cs="Times New Roman"/>
          <w:b/>
          <w:color w:val="auto"/>
          <w:sz w:val="24"/>
          <w:highlight w:val="none"/>
        </w:rPr>
      </w:pPr>
    </w:p>
    <w:p w14:paraId="5D4A662A">
      <w:pPr>
        <w:keepNext w:val="0"/>
        <w:keepLines w:val="0"/>
        <w:pageBreakBefore w:val="0"/>
        <w:widowControl w:val="0"/>
        <w:kinsoku/>
        <w:wordWrap/>
        <w:overflowPunct/>
        <w:topLinePunct w:val="0"/>
        <w:bidi w:val="0"/>
        <w:spacing w:line="480" w:lineRule="exact"/>
        <w:ind w:firstLine="482" w:firstLineChars="200"/>
        <w:textAlignment w:val="auto"/>
        <w:rPr>
          <w:rFonts w:ascii="宋体" w:hAnsi="宋体" w:cs="Times New Roman"/>
          <w:b/>
          <w:color w:val="auto"/>
          <w:sz w:val="24"/>
          <w:szCs w:val="24"/>
          <w:highlight w:val="none"/>
        </w:rPr>
      </w:pPr>
      <w:r>
        <w:rPr>
          <w:rFonts w:hint="eastAsia" w:ascii="宋体" w:hAnsi="宋体" w:cs="Times New Roman"/>
          <w:b/>
          <w:color w:val="auto"/>
          <w:sz w:val="24"/>
          <w:highlight w:val="none"/>
        </w:rPr>
        <w:t>（以下无正文）</w:t>
      </w:r>
    </w:p>
    <w:p w14:paraId="3E6BC39F">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szCs w:val="24"/>
          <w:highlight w:val="none"/>
        </w:rPr>
      </w:pPr>
    </w:p>
    <w:p w14:paraId="0D0B908C">
      <w:pPr>
        <w:keepNext w:val="0"/>
        <w:keepLines w:val="0"/>
        <w:pageBreakBefore w:val="0"/>
        <w:widowControl w:val="0"/>
        <w:kinsoku/>
        <w:wordWrap/>
        <w:overflowPunct/>
        <w:topLinePunct w:val="0"/>
        <w:bidi w:val="0"/>
        <w:spacing w:line="480" w:lineRule="exact"/>
        <w:ind w:firstLine="480" w:firstLineChars="200"/>
        <w:textAlignment w:val="auto"/>
        <w:rPr>
          <w:rFonts w:ascii="宋体" w:hAnsi="宋体" w:cs="Times New Roman"/>
          <w:color w:val="auto"/>
          <w:sz w:val="24"/>
          <w:szCs w:val="24"/>
          <w:highlight w:val="none"/>
        </w:rPr>
      </w:pPr>
      <w:r>
        <w:rPr>
          <w:rFonts w:hint="eastAsia" w:ascii="宋体" w:hAnsi="宋体" w:cs="Times New Roman"/>
          <w:color w:val="auto"/>
          <w:sz w:val="24"/>
          <w:szCs w:val="24"/>
          <w:highlight w:val="none"/>
        </w:rPr>
        <w:t>合同附件：1.</w:t>
      </w:r>
      <w:r>
        <w:rPr>
          <w:rFonts w:hint="eastAsia" w:ascii="宋体" w:hAnsi="宋体" w:cs="Times New Roman"/>
          <w:color w:val="auto"/>
          <w:sz w:val="24"/>
          <w:szCs w:val="24"/>
          <w:highlight w:val="none"/>
          <w:lang w:val="en-US" w:eastAsia="zh-CN"/>
        </w:rPr>
        <w:t>服务内容清单</w:t>
      </w:r>
      <w:r>
        <w:rPr>
          <w:rFonts w:hint="eastAsia" w:ascii="宋体" w:hAnsi="宋体" w:cs="Times New Roman"/>
          <w:color w:val="auto"/>
          <w:sz w:val="24"/>
          <w:szCs w:val="24"/>
          <w:highlight w:val="none"/>
        </w:rPr>
        <w:t xml:space="preserve">   2. 成交（中标）通知书（复印件）</w:t>
      </w:r>
    </w:p>
    <w:p w14:paraId="5E93BD0F">
      <w:pPr>
        <w:spacing w:line="360" w:lineRule="auto"/>
        <w:rPr>
          <w:rFonts w:ascii="宋体" w:hAnsi="宋体" w:cs="Times New Roman"/>
          <w:color w:val="auto"/>
          <w:sz w:val="24"/>
          <w:highlight w:val="none"/>
        </w:rPr>
      </w:pPr>
    </w:p>
    <w:p w14:paraId="1AFBA79B">
      <w:pPr>
        <w:spacing w:line="360" w:lineRule="auto"/>
        <w:rPr>
          <w:rFonts w:ascii="宋体" w:hAnsi="宋体" w:cs="Times New Roman"/>
          <w:color w:val="auto"/>
          <w:sz w:val="24"/>
          <w:highlight w:val="none"/>
        </w:rPr>
      </w:pPr>
    </w:p>
    <w:p w14:paraId="2071DB2C">
      <w:pPr>
        <w:spacing w:line="360" w:lineRule="auto"/>
        <w:rPr>
          <w:rFonts w:ascii="宋体" w:hAnsi="宋体"/>
          <w:color w:val="auto"/>
          <w:sz w:val="24"/>
          <w:highlight w:val="none"/>
        </w:rPr>
        <w:sectPr>
          <w:footerReference r:id="rId8" w:type="default"/>
          <w:pgSz w:w="11906" w:h="16838"/>
          <w:pgMar w:top="1247" w:right="1247" w:bottom="1247" w:left="1247"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063E3750">
      <w:pPr>
        <w:spacing w:line="360" w:lineRule="auto"/>
        <w:rPr>
          <w:rFonts w:hint="default" w:ascii="宋体" w:hAnsi="宋体" w:eastAsia="宋体" w:cs="Times New Roman"/>
          <w:b/>
          <w:color w:val="auto"/>
          <w:sz w:val="24"/>
          <w:highlight w:val="none"/>
          <w:lang w:val="en-US" w:eastAsia="zh-CN"/>
        </w:rPr>
      </w:pPr>
      <w:r>
        <w:rPr>
          <w:rFonts w:hint="eastAsia" w:ascii="宋体" w:hAnsi="宋体" w:cs="Times New Roman"/>
          <w:b/>
          <w:color w:val="auto"/>
          <w:sz w:val="24"/>
          <w:highlight w:val="none"/>
        </w:rPr>
        <w:t>附件1：</w:t>
      </w:r>
      <w:r>
        <w:rPr>
          <w:rFonts w:hint="eastAsia" w:ascii="宋体" w:hAnsi="宋体" w:cs="Times New Roman"/>
          <w:b/>
          <w:color w:val="auto"/>
          <w:sz w:val="24"/>
          <w:highlight w:val="none"/>
          <w:lang w:val="en-US" w:eastAsia="zh-CN"/>
        </w:rPr>
        <w:t>服务内容清单：</w:t>
      </w:r>
    </w:p>
    <w:p w14:paraId="17B8A6DF">
      <w:pPr>
        <w:spacing w:line="360" w:lineRule="auto"/>
        <w:ind w:firstLine="1920" w:firstLineChars="800"/>
        <w:rPr>
          <w:rFonts w:ascii="宋体" w:hAnsi="宋体" w:cs="Times New Roman"/>
          <w:color w:val="auto"/>
          <w:sz w:val="24"/>
          <w:highlight w:val="none"/>
        </w:rPr>
      </w:pPr>
    </w:p>
    <w:p w14:paraId="501E19DC">
      <w:pPr>
        <w:spacing w:line="360" w:lineRule="auto"/>
        <w:jc w:val="left"/>
        <w:rPr>
          <w:rFonts w:ascii="宋体" w:hAnsi="宋体" w:cs="Times New Roman"/>
          <w:color w:val="auto"/>
          <w:sz w:val="24"/>
          <w:highlight w:val="none"/>
        </w:rPr>
      </w:pPr>
    </w:p>
    <w:p w14:paraId="5C6751CE">
      <w:pPr>
        <w:spacing w:line="360" w:lineRule="auto"/>
        <w:jc w:val="left"/>
        <w:rPr>
          <w:rFonts w:ascii="宋体" w:hAnsi="宋体" w:cs="Times New Roman"/>
          <w:color w:val="auto"/>
          <w:sz w:val="24"/>
          <w:highlight w:val="none"/>
        </w:rPr>
      </w:pPr>
    </w:p>
    <w:p w14:paraId="1747E3A1">
      <w:pPr>
        <w:spacing w:line="360" w:lineRule="auto"/>
        <w:rPr>
          <w:rFonts w:ascii="宋体" w:hAnsi="宋体" w:cs="Times New Roman"/>
          <w:b/>
          <w:color w:val="auto"/>
          <w:sz w:val="24"/>
          <w:szCs w:val="24"/>
          <w:highlight w:val="none"/>
        </w:rPr>
      </w:pPr>
      <w:r>
        <w:rPr>
          <w:rFonts w:hint="eastAsia" w:ascii="宋体" w:hAnsi="宋体" w:cs="Times New Roman"/>
          <w:b/>
          <w:color w:val="auto"/>
          <w:sz w:val="24"/>
          <w:highlight w:val="none"/>
        </w:rPr>
        <w:t>附件2：</w:t>
      </w:r>
      <w:r>
        <w:rPr>
          <w:rFonts w:hint="eastAsia" w:ascii="宋体" w:hAnsi="宋体" w:cs="Times New Roman"/>
          <w:b/>
          <w:color w:val="auto"/>
          <w:sz w:val="24"/>
          <w:szCs w:val="24"/>
          <w:highlight w:val="none"/>
        </w:rPr>
        <w:t>成交（中标）通知书（复印件）</w:t>
      </w:r>
    </w:p>
    <w:p w14:paraId="119AF0D4">
      <w:pPr>
        <w:spacing w:line="360" w:lineRule="auto"/>
        <w:ind w:firstLine="2168" w:firstLineChars="900"/>
        <w:rPr>
          <w:rFonts w:hint="eastAsia" w:ascii="宋体" w:hAnsi="宋体" w:eastAsia="宋体"/>
          <w:b/>
          <w:color w:val="auto"/>
          <w:sz w:val="24"/>
          <w:highlight w:val="none"/>
          <w:lang w:eastAsia="zh-CN"/>
        </w:rPr>
      </w:pPr>
    </w:p>
    <w:p w14:paraId="21065939">
      <w:pPr>
        <w:pStyle w:val="13"/>
        <w:rPr>
          <w:rFonts w:hAnsi="宋体" w:cs="宋体"/>
          <w:color w:val="auto"/>
          <w:sz w:val="24"/>
          <w:szCs w:val="24"/>
          <w:highlight w:val="none"/>
        </w:rPr>
      </w:pPr>
    </w:p>
    <w:p w14:paraId="6D45529C">
      <w:pPr>
        <w:pStyle w:val="13"/>
        <w:rPr>
          <w:rFonts w:hAnsi="宋体" w:cs="宋体"/>
          <w:color w:val="auto"/>
          <w:sz w:val="24"/>
          <w:szCs w:val="24"/>
          <w:highlight w:val="none"/>
        </w:rPr>
      </w:pPr>
    </w:p>
    <w:p w14:paraId="059C4795">
      <w:pPr>
        <w:pStyle w:val="13"/>
        <w:rPr>
          <w:rFonts w:hAnsi="宋体" w:cs="宋体"/>
          <w:color w:val="auto"/>
          <w:sz w:val="24"/>
          <w:szCs w:val="24"/>
          <w:highlight w:val="none"/>
        </w:rPr>
      </w:pPr>
    </w:p>
    <w:p w14:paraId="609DEAD7">
      <w:pPr>
        <w:rPr>
          <w:rFonts w:hAnsi="宋体" w:cs="宋体"/>
          <w:color w:val="auto"/>
          <w:sz w:val="24"/>
          <w:szCs w:val="24"/>
          <w:highlight w:val="none"/>
        </w:rPr>
      </w:pPr>
      <w:r>
        <w:rPr>
          <w:rFonts w:hAnsi="宋体" w:cs="宋体"/>
          <w:color w:val="auto"/>
          <w:sz w:val="24"/>
          <w:szCs w:val="24"/>
          <w:highlight w:val="none"/>
        </w:rPr>
        <w:br w:type="page"/>
      </w:r>
    </w:p>
    <w:p w14:paraId="46D89C70">
      <w:pPr>
        <w:pStyle w:val="13"/>
        <w:rPr>
          <w:rFonts w:hAnsi="宋体" w:cs="宋体"/>
          <w:color w:val="auto"/>
          <w:sz w:val="24"/>
          <w:szCs w:val="24"/>
          <w:highlight w:val="none"/>
        </w:rPr>
      </w:pPr>
    </w:p>
    <w:p w14:paraId="683E41E3">
      <w:pPr>
        <w:rPr>
          <w:rFonts w:ascii="宋体"/>
          <w:b/>
          <w:color w:val="auto"/>
          <w:sz w:val="24"/>
          <w:highlight w:val="none"/>
        </w:rPr>
      </w:pPr>
    </w:p>
    <w:p w14:paraId="016D7C89">
      <w:pPr>
        <w:pStyle w:val="2"/>
        <w:numPr>
          <w:ilvl w:val="0"/>
          <w:numId w:val="0"/>
        </w:numPr>
        <w:ind w:firstLine="643" w:firstLineChars="0"/>
        <w:rPr>
          <w:rFonts w:hint="eastAsia" w:ascii="Times New Roman" w:hAnsi="Times New Roman" w:eastAsia="宋体" w:cs="Times New Roman"/>
          <w:b/>
          <w:bCs/>
          <w:color w:val="auto"/>
          <w:kern w:val="2"/>
          <w:sz w:val="32"/>
          <w:szCs w:val="40"/>
          <w:highlight w:val="none"/>
          <w:lang w:val="en-US" w:eastAsia="zh-CN" w:bidi="ar-SA"/>
        </w:rPr>
      </w:pPr>
      <w:bookmarkStart w:id="116" w:name="_Toc26049"/>
      <w:r>
        <w:rPr>
          <w:rFonts w:hint="eastAsia" w:ascii="Times New Roman" w:hAnsi="Times New Roman" w:eastAsia="宋体" w:cs="Times New Roman"/>
          <w:b/>
          <w:bCs/>
          <w:color w:val="auto"/>
          <w:kern w:val="2"/>
          <w:sz w:val="32"/>
          <w:szCs w:val="40"/>
          <w:highlight w:val="none"/>
          <w:lang w:val="en-US" w:eastAsia="zh-CN" w:bidi="ar-SA"/>
        </w:rPr>
        <w:t>第四章投标文件格式</w:t>
      </w:r>
      <w:bookmarkEnd w:id="116"/>
    </w:p>
    <w:p w14:paraId="130A7B0D">
      <w:pPr>
        <w:spacing w:line="360" w:lineRule="auto"/>
        <w:jc w:val="center"/>
        <w:rPr>
          <w:rFonts w:hint="default" w:ascii="宋体" w:eastAsia="宋体"/>
          <w:b/>
          <w:bCs w:val="0"/>
          <w:color w:val="auto"/>
          <w:sz w:val="48"/>
          <w:szCs w:val="48"/>
          <w:highlight w:val="none"/>
          <w:lang w:val="en-US" w:eastAsia="zh-CN"/>
        </w:rPr>
      </w:pPr>
      <w:r>
        <w:rPr>
          <w:rFonts w:hint="eastAsia" w:ascii="宋体"/>
          <w:b/>
          <w:bCs w:val="0"/>
          <w:color w:val="auto"/>
          <w:sz w:val="48"/>
          <w:szCs w:val="48"/>
          <w:highlight w:val="none"/>
          <w:lang w:eastAsia="zh-CN"/>
        </w:rPr>
        <w:t>玉溪一中拔尖创新人才培养项目之小初高贯通数学竞赛培训课程（二次）</w:t>
      </w:r>
      <w:r>
        <w:rPr>
          <w:rFonts w:hint="eastAsia" w:ascii="宋体"/>
          <w:b/>
          <w:bCs w:val="0"/>
          <w:color w:val="auto"/>
          <w:sz w:val="48"/>
          <w:szCs w:val="48"/>
          <w:highlight w:val="none"/>
          <w:u w:val="single"/>
          <w:lang w:val="en-US" w:eastAsia="zh-CN"/>
        </w:rPr>
        <w:t xml:space="preserve">    </w:t>
      </w:r>
      <w:r>
        <w:rPr>
          <w:rFonts w:hint="eastAsia" w:ascii="宋体"/>
          <w:b/>
          <w:bCs w:val="0"/>
          <w:color w:val="auto"/>
          <w:sz w:val="48"/>
          <w:szCs w:val="48"/>
          <w:highlight w:val="none"/>
          <w:u w:val="none"/>
          <w:lang w:val="en-US" w:eastAsia="zh-CN"/>
        </w:rPr>
        <w:t>标段</w:t>
      </w:r>
    </w:p>
    <w:p w14:paraId="2BCBB590">
      <w:pPr>
        <w:spacing w:line="1200" w:lineRule="exact"/>
        <w:jc w:val="center"/>
        <w:rPr>
          <w:rFonts w:ascii="宋体"/>
          <w:b/>
          <w:color w:val="auto"/>
          <w:sz w:val="72"/>
          <w:szCs w:val="72"/>
          <w:highlight w:val="none"/>
        </w:rPr>
      </w:pPr>
    </w:p>
    <w:p w14:paraId="2DF28490">
      <w:pPr>
        <w:spacing w:line="1200" w:lineRule="exact"/>
        <w:jc w:val="center"/>
        <w:rPr>
          <w:rFonts w:ascii="宋体"/>
          <w:b/>
          <w:color w:val="auto"/>
          <w:sz w:val="72"/>
          <w:szCs w:val="72"/>
          <w:highlight w:val="none"/>
        </w:rPr>
      </w:pPr>
      <w:r>
        <w:rPr>
          <w:rFonts w:hint="eastAsia" w:ascii="宋体"/>
          <w:b/>
          <w:color w:val="auto"/>
          <w:sz w:val="72"/>
          <w:szCs w:val="72"/>
          <w:highlight w:val="none"/>
        </w:rPr>
        <w:t>投</w:t>
      </w:r>
    </w:p>
    <w:p w14:paraId="607EBA63">
      <w:pPr>
        <w:spacing w:line="1200" w:lineRule="exact"/>
        <w:jc w:val="center"/>
        <w:rPr>
          <w:rFonts w:ascii="宋体"/>
          <w:b/>
          <w:color w:val="auto"/>
          <w:sz w:val="72"/>
          <w:szCs w:val="72"/>
          <w:highlight w:val="none"/>
        </w:rPr>
      </w:pPr>
      <w:r>
        <w:rPr>
          <w:rFonts w:hint="eastAsia" w:ascii="宋体"/>
          <w:b/>
          <w:color w:val="auto"/>
          <w:sz w:val="72"/>
          <w:szCs w:val="72"/>
          <w:highlight w:val="none"/>
        </w:rPr>
        <w:t>标</w:t>
      </w:r>
    </w:p>
    <w:p w14:paraId="7CEE2EF6">
      <w:pPr>
        <w:spacing w:line="1200" w:lineRule="exact"/>
        <w:jc w:val="center"/>
        <w:rPr>
          <w:rFonts w:ascii="宋体"/>
          <w:b/>
          <w:color w:val="auto"/>
          <w:sz w:val="72"/>
          <w:szCs w:val="72"/>
          <w:highlight w:val="none"/>
        </w:rPr>
      </w:pPr>
      <w:r>
        <w:rPr>
          <w:rFonts w:hint="eastAsia" w:ascii="宋体"/>
          <w:b/>
          <w:color w:val="auto"/>
          <w:sz w:val="72"/>
          <w:szCs w:val="72"/>
          <w:highlight w:val="none"/>
        </w:rPr>
        <w:t>文</w:t>
      </w:r>
    </w:p>
    <w:p w14:paraId="743A999A">
      <w:pPr>
        <w:spacing w:line="1200" w:lineRule="exact"/>
        <w:jc w:val="center"/>
        <w:rPr>
          <w:rFonts w:ascii="宋体"/>
          <w:b/>
          <w:color w:val="auto"/>
          <w:sz w:val="44"/>
          <w:highlight w:val="none"/>
        </w:rPr>
      </w:pPr>
      <w:r>
        <w:rPr>
          <w:rFonts w:hint="eastAsia" w:ascii="宋体"/>
          <w:b/>
          <w:color w:val="auto"/>
          <w:sz w:val="72"/>
          <w:szCs w:val="72"/>
          <w:highlight w:val="none"/>
        </w:rPr>
        <w:t>件</w:t>
      </w:r>
    </w:p>
    <w:p w14:paraId="01081AE6">
      <w:pPr>
        <w:spacing w:line="360" w:lineRule="auto"/>
        <w:ind w:left="720"/>
        <w:jc w:val="center"/>
        <w:rPr>
          <w:rFonts w:ascii="宋体"/>
          <w:color w:val="auto"/>
          <w:sz w:val="24"/>
          <w:highlight w:val="none"/>
          <w:u w:val="single"/>
        </w:rPr>
      </w:pPr>
      <w:r>
        <w:rPr>
          <w:rFonts w:hint="eastAsia" w:ascii="宋体"/>
          <w:color w:val="auto"/>
          <w:sz w:val="28"/>
          <w:highlight w:val="none"/>
        </w:rPr>
        <w:t>（项目编号：）</w:t>
      </w:r>
    </w:p>
    <w:p w14:paraId="73F817AB">
      <w:pPr>
        <w:spacing w:line="360" w:lineRule="auto"/>
        <w:jc w:val="left"/>
        <w:rPr>
          <w:rFonts w:ascii="宋体"/>
          <w:color w:val="auto"/>
          <w:sz w:val="28"/>
          <w:highlight w:val="none"/>
        </w:rPr>
      </w:pPr>
    </w:p>
    <w:p w14:paraId="2EC40CB5">
      <w:pPr>
        <w:pStyle w:val="13"/>
        <w:rPr>
          <w:color w:val="auto"/>
          <w:highlight w:val="none"/>
        </w:rPr>
      </w:pPr>
    </w:p>
    <w:p w14:paraId="3811E37C">
      <w:pPr>
        <w:ind w:left="720"/>
        <w:jc w:val="left"/>
        <w:rPr>
          <w:rFonts w:ascii="宋体"/>
          <w:color w:val="auto"/>
          <w:sz w:val="28"/>
          <w:highlight w:val="none"/>
          <w:u w:val="single"/>
        </w:rPr>
      </w:pPr>
      <w:bookmarkStart w:id="117" w:name="_Toc16643"/>
      <w:bookmarkStart w:id="118" w:name="_Toc235935142"/>
      <w:bookmarkStart w:id="119" w:name="_Toc27030"/>
      <w:bookmarkStart w:id="120" w:name="_Toc417632249"/>
      <w:bookmarkStart w:id="121" w:name="_Toc294873729"/>
      <w:bookmarkStart w:id="122" w:name="_Toc9300"/>
      <w:bookmarkStart w:id="123" w:name="_Toc417632164"/>
      <w:bookmarkStart w:id="124" w:name="_Toc26309"/>
      <w:bookmarkStart w:id="125" w:name="_Toc28106"/>
      <w:bookmarkStart w:id="126" w:name="_Toc414270853"/>
      <w:bookmarkStart w:id="127" w:name="_Toc26479"/>
      <w:bookmarkStart w:id="128" w:name="_Toc29720"/>
      <w:bookmarkStart w:id="129" w:name="_Toc417632165"/>
      <w:bookmarkStart w:id="130" w:name="_Toc414270854"/>
      <w:bookmarkStart w:id="131" w:name="_Toc17550"/>
      <w:bookmarkStart w:id="132" w:name="_Toc2384"/>
      <w:bookmarkStart w:id="133" w:name="_Toc417632250"/>
      <w:bookmarkStart w:id="134" w:name="_Toc235935143"/>
      <w:bookmarkStart w:id="135" w:name="_Toc294873730"/>
      <w:r>
        <w:rPr>
          <w:rFonts w:hint="eastAsia" w:ascii="宋体"/>
          <w:color w:val="auto"/>
          <w:sz w:val="28"/>
          <w:highlight w:val="none"/>
        </w:rPr>
        <w:t>投标人</w:t>
      </w:r>
      <w:r>
        <w:rPr>
          <w:rFonts w:ascii="宋体" w:hAnsi="宋体"/>
          <w:color w:val="auto"/>
          <w:sz w:val="28"/>
          <w:highlight w:val="none"/>
        </w:rPr>
        <w:t>(</w:t>
      </w:r>
      <w:r>
        <w:rPr>
          <w:rFonts w:hint="eastAsia" w:ascii="宋体" w:hAnsi="宋体"/>
          <w:color w:val="auto"/>
          <w:sz w:val="28"/>
          <w:highlight w:val="none"/>
        </w:rPr>
        <w:t>电子签章</w:t>
      </w:r>
      <w:r>
        <w:rPr>
          <w:rFonts w:ascii="宋体" w:hAnsi="宋体"/>
          <w:color w:val="auto"/>
          <w:sz w:val="28"/>
          <w:highlight w:val="none"/>
        </w:rPr>
        <w:t>)</w:t>
      </w:r>
      <w:r>
        <w:rPr>
          <w:rFonts w:ascii="宋体"/>
          <w:color w:val="auto"/>
          <w:sz w:val="28"/>
          <w:highlight w:val="none"/>
        </w:rPr>
        <w:t xml:space="preserve">: </w:t>
      </w:r>
      <w:r>
        <w:rPr>
          <w:rFonts w:ascii="宋体"/>
          <w:color w:val="auto"/>
          <w:sz w:val="28"/>
          <w:highlight w:val="none"/>
          <w:u w:val="single"/>
        </w:rPr>
        <w:t xml:space="preserve">                                </w:t>
      </w:r>
    </w:p>
    <w:p w14:paraId="7D6A1383">
      <w:pPr>
        <w:ind w:left="720"/>
        <w:jc w:val="left"/>
        <w:rPr>
          <w:rFonts w:ascii="宋体"/>
          <w:color w:val="auto"/>
          <w:sz w:val="28"/>
          <w:highlight w:val="none"/>
          <w:u w:val="single"/>
        </w:rPr>
      </w:pPr>
      <w:r>
        <w:rPr>
          <w:rFonts w:hint="eastAsia" w:ascii="宋体"/>
          <w:color w:val="auto"/>
          <w:sz w:val="28"/>
          <w:highlight w:val="none"/>
        </w:rPr>
        <w:t>投标人地址：</w:t>
      </w:r>
      <w:r>
        <w:rPr>
          <w:rFonts w:hint="eastAsia" w:ascii="宋体"/>
          <w:color w:val="auto"/>
          <w:sz w:val="28"/>
          <w:highlight w:val="none"/>
          <w:u w:val="single"/>
        </w:rPr>
        <w:t xml:space="preserve">                                  </w:t>
      </w:r>
    </w:p>
    <w:p w14:paraId="43930311">
      <w:pPr>
        <w:ind w:left="720"/>
        <w:jc w:val="left"/>
        <w:rPr>
          <w:rFonts w:ascii="宋体"/>
          <w:color w:val="auto"/>
          <w:sz w:val="28"/>
          <w:highlight w:val="none"/>
        </w:rPr>
      </w:pPr>
      <w:r>
        <w:rPr>
          <w:rFonts w:hint="eastAsia" w:ascii="宋体"/>
          <w:color w:val="auto"/>
          <w:sz w:val="28"/>
          <w:highlight w:val="none"/>
        </w:rPr>
        <w:t>法定代表人或其委托代理人</w:t>
      </w:r>
      <w:r>
        <w:rPr>
          <w:rFonts w:ascii="宋体" w:hAnsi="宋体"/>
          <w:color w:val="auto"/>
          <w:sz w:val="28"/>
          <w:highlight w:val="none"/>
        </w:rPr>
        <w:t>(</w:t>
      </w:r>
      <w:r>
        <w:rPr>
          <w:rFonts w:hint="eastAsia" w:ascii="宋体" w:hAnsi="宋体"/>
          <w:color w:val="auto"/>
          <w:sz w:val="28"/>
          <w:highlight w:val="none"/>
        </w:rPr>
        <w:t>电子签章或电子签名</w:t>
      </w:r>
      <w:r>
        <w:rPr>
          <w:rFonts w:ascii="宋体" w:hAnsi="宋体"/>
          <w:color w:val="auto"/>
          <w:sz w:val="28"/>
          <w:highlight w:val="none"/>
        </w:rPr>
        <w:t>)</w:t>
      </w:r>
      <w:r>
        <w:rPr>
          <w:rFonts w:ascii="宋体"/>
          <w:color w:val="auto"/>
          <w:sz w:val="28"/>
          <w:highlight w:val="none"/>
        </w:rPr>
        <w:t>:</w:t>
      </w:r>
      <w:r>
        <w:rPr>
          <w:rFonts w:ascii="宋体"/>
          <w:color w:val="auto"/>
          <w:sz w:val="28"/>
          <w:highlight w:val="none"/>
          <w:u w:val="single"/>
        </w:rPr>
        <w:t xml:space="preserve">      </w:t>
      </w:r>
      <w:r>
        <w:rPr>
          <w:rFonts w:hint="eastAsia" w:ascii="宋体"/>
          <w:color w:val="auto"/>
          <w:sz w:val="28"/>
          <w:highlight w:val="none"/>
          <w:u w:val="single"/>
        </w:rPr>
        <w:t xml:space="preserve"> </w:t>
      </w:r>
      <w:r>
        <w:rPr>
          <w:rFonts w:ascii="宋体"/>
          <w:color w:val="auto"/>
          <w:sz w:val="28"/>
          <w:highlight w:val="none"/>
          <w:u w:val="single"/>
        </w:rPr>
        <w:t xml:space="preserve"> </w:t>
      </w:r>
      <w:r>
        <w:rPr>
          <w:rFonts w:hint="eastAsia" w:ascii="宋体"/>
          <w:color w:val="auto"/>
          <w:sz w:val="28"/>
          <w:highlight w:val="none"/>
          <w:u w:val="single"/>
        </w:rPr>
        <w:t xml:space="preserve">     </w:t>
      </w:r>
      <w:r>
        <w:rPr>
          <w:rFonts w:ascii="宋体"/>
          <w:color w:val="auto"/>
          <w:sz w:val="28"/>
          <w:highlight w:val="none"/>
          <w:u w:val="single"/>
        </w:rPr>
        <w:t xml:space="preserve">  </w:t>
      </w:r>
      <w:r>
        <w:rPr>
          <w:rFonts w:hint="eastAsia" w:ascii="宋体"/>
          <w:color w:val="auto"/>
          <w:sz w:val="28"/>
          <w:highlight w:val="none"/>
        </w:rPr>
        <w:t>日期</w:t>
      </w:r>
      <w:r>
        <w:rPr>
          <w:rFonts w:ascii="宋体"/>
          <w:color w:val="auto"/>
          <w:sz w:val="28"/>
          <w:highlight w:val="none"/>
        </w:rPr>
        <w:t>:</w:t>
      </w:r>
      <w:r>
        <w:rPr>
          <w:rFonts w:ascii="宋体"/>
          <w:color w:val="auto"/>
          <w:sz w:val="28"/>
          <w:highlight w:val="none"/>
          <w:u w:val="single"/>
        </w:rPr>
        <w:t xml:space="preserve">        </w:t>
      </w:r>
      <w:r>
        <w:rPr>
          <w:rFonts w:hint="eastAsia" w:ascii="宋体"/>
          <w:color w:val="auto"/>
          <w:sz w:val="28"/>
          <w:highlight w:val="none"/>
        </w:rPr>
        <w:t>年</w:t>
      </w:r>
      <w:r>
        <w:rPr>
          <w:rFonts w:ascii="宋体"/>
          <w:color w:val="auto"/>
          <w:sz w:val="28"/>
          <w:highlight w:val="none"/>
          <w:u w:val="single"/>
        </w:rPr>
        <w:t xml:space="preserve">        </w:t>
      </w:r>
      <w:r>
        <w:rPr>
          <w:rFonts w:hint="eastAsia" w:ascii="宋体"/>
          <w:color w:val="auto"/>
          <w:sz w:val="28"/>
          <w:highlight w:val="none"/>
        </w:rPr>
        <w:t>月</w:t>
      </w:r>
      <w:r>
        <w:rPr>
          <w:rFonts w:ascii="宋体"/>
          <w:color w:val="auto"/>
          <w:sz w:val="28"/>
          <w:highlight w:val="none"/>
          <w:u w:val="single"/>
        </w:rPr>
        <w:t xml:space="preserve">       </w:t>
      </w:r>
      <w:r>
        <w:rPr>
          <w:rFonts w:hint="eastAsia" w:ascii="宋体"/>
          <w:color w:val="auto"/>
          <w:sz w:val="28"/>
          <w:highlight w:val="none"/>
        </w:rPr>
        <w:t>日</w:t>
      </w:r>
    </w:p>
    <w:p w14:paraId="14773F45">
      <w:pPr>
        <w:pStyle w:val="3"/>
        <w:numPr>
          <w:ilvl w:val="0"/>
          <w:numId w:val="0"/>
        </w:numPr>
        <w:jc w:val="center"/>
        <w:rPr>
          <w:rFonts w:hAnsi="宋体" w:cs="宋体"/>
          <w:color w:val="auto"/>
          <w:kern w:val="0"/>
          <w:sz w:val="28"/>
          <w:highlight w:val="none"/>
        </w:rPr>
      </w:pPr>
      <w:bookmarkStart w:id="136" w:name="_Toc414"/>
      <w:r>
        <w:rPr>
          <w:rFonts w:hint="eastAsia" w:ascii="宋体" w:hAnsi="宋体" w:eastAsia="宋体" w:cs="宋体"/>
          <w:b/>
          <w:color w:val="auto"/>
          <w:kern w:val="0"/>
          <w:sz w:val="28"/>
          <w:szCs w:val="24"/>
          <w:highlight w:val="none"/>
          <w:lang w:val="en-US" w:eastAsia="zh-CN" w:bidi="ar-SA"/>
        </w:rPr>
        <w:t>一、</w:t>
      </w:r>
      <w:r>
        <w:rPr>
          <w:rFonts w:hint="eastAsia" w:hAnsi="宋体" w:cs="宋体"/>
          <w:color w:val="auto"/>
          <w:kern w:val="0"/>
          <w:sz w:val="28"/>
          <w:highlight w:val="none"/>
        </w:rPr>
        <w:t>投标人资格审查部分</w:t>
      </w:r>
      <w:bookmarkEnd w:id="117"/>
      <w:bookmarkEnd w:id="136"/>
    </w:p>
    <w:p w14:paraId="62BDBF30">
      <w:pPr>
        <w:pStyle w:val="3"/>
        <w:jc w:val="center"/>
        <w:rPr>
          <w:rFonts w:hAnsi="宋体" w:cs="宋体"/>
          <w:color w:val="auto"/>
          <w:highlight w:val="none"/>
        </w:rPr>
      </w:pPr>
      <w:bookmarkStart w:id="137" w:name="_Toc24213"/>
      <w:bookmarkStart w:id="138" w:name="_Toc26463"/>
      <w:r>
        <w:rPr>
          <w:rFonts w:hint="eastAsia" w:hAnsi="宋体" w:cs="宋体"/>
          <w:color w:val="auto"/>
          <w:sz w:val="28"/>
          <w:highlight w:val="none"/>
        </w:rPr>
        <w:t>（一）投标人情况一览表</w:t>
      </w:r>
      <w:bookmarkEnd w:id="137"/>
      <w:bookmarkEnd w:id="138"/>
    </w:p>
    <w:tbl>
      <w:tblPr>
        <w:tblStyle w:val="27"/>
        <w:tblW w:w="91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52"/>
        <w:gridCol w:w="2326"/>
        <w:gridCol w:w="1418"/>
        <w:gridCol w:w="2624"/>
      </w:tblGrid>
      <w:tr w14:paraId="39CE9B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5CA283E2">
            <w:pPr>
              <w:spacing w:line="480" w:lineRule="exact"/>
              <w:jc w:val="center"/>
              <w:rPr>
                <w:rFonts w:ascii="宋体" w:hAnsi="宋体"/>
                <w:color w:val="auto"/>
                <w:sz w:val="24"/>
                <w:highlight w:val="none"/>
              </w:rPr>
            </w:pPr>
            <w:r>
              <w:rPr>
                <w:rFonts w:hint="eastAsia" w:ascii="宋体" w:hAnsi="宋体"/>
                <w:color w:val="auto"/>
                <w:sz w:val="24"/>
                <w:highlight w:val="none"/>
              </w:rPr>
              <w:t>投标人名称</w:t>
            </w:r>
          </w:p>
        </w:tc>
        <w:tc>
          <w:tcPr>
            <w:tcW w:w="7320" w:type="dxa"/>
            <w:gridSpan w:val="4"/>
            <w:vAlign w:val="center"/>
          </w:tcPr>
          <w:p w14:paraId="13BCBBFC">
            <w:pPr>
              <w:spacing w:line="480" w:lineRule="exact"/>
              <w:jc w:val="center"/>
              <w:rPr>
                <w:rFonts w:ascii="宋体" w:hAnsi="宋体"/>
                <w:color w:val="auto"/>
                <w:sz w:val="24"/>
                <w:highlight w:val="none"/>
              </w:rPr>
            </w:pPr>
          </w:p>
        </w:tc>
      </w:tr>
      <w:tr w14:paraId="5770D0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067B8D40">
            <w:pPr>
              <w:spacing w:line="480" w:lineRule="exact"/>
              <w:jc w:val="center"/>
              <w:rPr>
                <w:rFonts w:ascii="宋体" w:hAnsi="宋体"/>
                <w:color w:val="auto"/>
                <w:sz w:val="24"/>
                <w:highlight w:val="none"/>
              </w:rPr>
            </w:pPr>
            <w:r>
              <w:rPr>
                <w:rFonts w:hint="eastAsia" w:ascii="宋体" w:hAnsi="宋体"/>
                <w:color w:val="auto"/>
                <w:sz w:val="24"/>
                <w:highlight w:val="none"/>
              </w:rPr>
              <w:t>注册地址</w:t>
            </w:r>
          </w:p>
        </w:tc>
        <w:tc>
          <w:tcPr>
            <w:tcW w:w="3278" w:type="dxa"/>
            <w:gridSpan w:val="2"/>
            <w:vAlign w:val="center"/>
          </w:tcPr>
          <w:p w14:paraId="51349F3A">
            <w:pPr>
              <w:spacing w:line="480" w:lineRule="exact"/>
              <w:rPr>
                <w:rFonts w:ascii="宋体" w:hAnsi="宋体"/>
                <w:color w:val="auto"/>
                <w:sz w:val="24"/>
                <w:highlight w:val="none"/>
              </w:rPr>
            </w:pPr>
          </w:p>
        </w:tc>
        <w:tc>
          <w:tcPr>
            <w:tcW w:w="1418" w:type="dxa"/>
            <w:vAlign w:val="center"/>
          </w:tcPr>
          <w:p w14:paraId="46E6565B">
            <w:pPr>
              <w:spacing w:line="480" w:lineRule="exact"/>
              <w:jc w:val="center"/>
              <w:rPr>
                <w:rFonts w:ascii="宋体" w:hAnsi="宋体"/>
                <w:color w:val="auto"/>
                <w:sz w:val="24"/>
                <w:highlight w:val="none"/>
              </w:rPr>
            </w:pPr>
            <w:r>
              <w:rPr>
                <w:rFonts w:hint="eastAsia" w:ascii="宋体" w:hAnsi="宋体"/>
                <w:color w:val="auto"/>
                <w:sz w:val="24"/>
                <w:highlight w:val="none"/>
              </w:rPr>
              <w:t>邮政编码</w:t>
            </w:r>
          </w:p>
        </w:tc>
        <w:tc>
          <w:tcPr>
            <w:tcW w:w="2624" w:type="dxa"/>
            <w:vAlign w:val="center"/>
          </w:tcPr>
          <w:p w14:paraId="61943028">
            <w:pPr>
              <w:spacing w:line="480" w:lineRule="exact"/>
              <w:jc w:val="center"/>
              <w:rPr>
                <w:rFonts w:ascii="宋体" w:hAnsi="宋体"/>
                <w:color w:val="auto"/>
                <w:sz w:val="24"/>
                <w:highlight w:val="none"/>
              </w:rPr>
            </w:pPr>
          </w:p>
        </w:tc>
      </w:tr>
      <w:tr w14:paraId="2BCA39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Merge w:val="restart"/>
            <w:vAlign w:val="center"/>
          </w:tcPr>
          <w:p w14:paraId="6CF3B930">
            <w:pPr>
              <w:spacing w:line="480" w:lineRule="exact"/>
              <w:jc w:val="center"/>
              <w:rPr>
                <w:rFonts w:ascii="宋体" w:hAnsi="宋体"/>
                <w:color w:val="auto"/>
                <w:sz w:val="24"/>
                <w:highlight w:val="none"/>
              </w:rPr>
            </w:pPr>
            <w:r>
              <w:rPr>
                <w:rFonts w:hint="eastAsia" w:ascii="宋体" w:hAnsi="宋体"/>
                <w:color w:val="auto"/>
                <w:sz w:val="24"/>
                <w:highlight w:val="none"/>
              </w:rPr>
              <w:t>联系方式</w:t>
            </w:r>
          </w:p>
        </w:tc>
        <w:tc>
          <w:tcPr>
            <w:tcW w:w="952" w:type="dxa"/>
            <w:vAlign w:val="center"/>
          </w:tcPr>
          <w:p w14:paraId="737A9CF8">
            <w:pPr>
              <w:spacing w:line="480" w:lineRule="exact"/>
              <w:jc w:val="center"/>
              <w:rPr>
                <w:rFonts w:ascii="宋体" w:hAnsi="宋体"/>
                <w:color w:val="auto"/>
                <w:sz w:val="24"/>
                <w:highlight w:val="none"/>
              </w:rPr>
            </w:pPr>
            <w:r>
              <w:rPr>
                <w:rFonts w:hint="eastAsia" w:ascii="宋体" w:hAnsi="宋体"/>
                <w:color w:val="auto"/>
                <w:sz w:val="24"/>
                <w:highlight w:val="none"/>
              </w:rPr>
              <w:t>联系人</w:t>
            </w:r>
          </w:p>
        </w:tc>
        <w:tc>
          <w:tcPr>
            <w:tcW w:w="2326" w:type="dxa"/>
            <w:vAlign w:val="center"/>
          </w:tcPr>
          <w:p w14:paraId="62FF0E00">
            <w:pPr>
              <w:spacing w:line="480" w:lineRule="exact"/>
              <w:rPr>
                <w:rFonts w:ascii="宋体" w:hAnsi="宋体"/>
                <w:color w:val="auto"/>
                <w:sz w:val="24"/>
                <w:highlight w:val="none"/>
              </w:rPr>
            </w:pPr>
          </w:p>
        </w:tc>
        <w:tc>
          <w:tcPr>
            <w:tcW w:w="1418" w:type="dxa"/>
            <w:vAlign w:val="center"/>
          </w:tcPr>
          <w:p w14:paraId="03B9A568">
            <w:pPr>
              <w:spacing w:line="480" w:lineRule="exact"/>
              <w:jc w:val="center"/>
              <w:rPr>
                <w:rFonts w:ascii="宋体" w:hAnsi="宋体"/>
                <w:color w:val="auto"/>
                <w:sz w:val="24"/>
                <w:highlight w:val="none"/>
              </w:rPr>
            </w:pPr>
            <w:r>
              <w:rPr>
                <w:rFonts w:hint="eastAsia" w:ascii="宋体" w:hAnsi="宋体"/>
                <w:color w:val="auto"/>
                <w:sz w:val="24"/>
                <w:highlight w:val="none"/>
              </w:rPr>
              <w:t>电    话</w:t>
            </w:r>
          </w:p>
        </w:tc>
        <w:tc>
          <w:tcPr>
            <w:tcW w:w="2624" w:type="dxa"/>
            <w:vAlign w:val="center"/>
          </w:tcPr>
          <w:p w14:paraId="1D130DA3">
            <w:pPr>
              <w:spacing w:line="480" w:lineRule="exact"/>
              <w:jc w:val="center"/>
              <w:rPr>
                <w:rFonts w:ascii="宋体" w:hAnsi="宋体"/>
                <w:color w:val="auto"/>
                <w:sz w:val="24"/>
                <w:highlight w:val="none"/>
              </w:rPr>
            </w:pPr>
          </w:p>
        </w:tc>
      </w:tr>
      <w:tr w14:paraId="44B206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Merge w:val="continue"/>
            <w:vAlign w:val="center"/>
          </w:tcPr>
          <w:p w14:paraId="42B66ACE">
            <w:pPr>
              <w:spacing w:line="480" w:lineRule="exact"/>
              <w:jc w:val="center"/>
              <w:rPr>
                <w:rFonts w:ascii="宋体" w:hAnsi="宋体"/>
                <w:color w:val="auto"/>
                <w:sz w:val="24"/>
                <w:highlight w:val="none"/>
              </w:rPr>
            </w:pPr>
          </w:p>
        </w:tc>
        <w:tc>
          <w:tcPr>
            <w:tcW w:w="952" w:type="dxa"/>
            <w:vAlign w:val="center"/>
          </w:tcPr>
          <w:p w14:paraId="32089BF5">
            <w:pPr>
              <w:spacing w:line="480" w:lineRule="exact"/>
              <w:jc w:val="center"/>
              <w:rPr>
                <w:rFonts w:ascii="宋体" w:hAnsi="宋体"/>
                <w:color w:val="auto"/>
                <w:sz w:val="24"/>
                <w:highlight w:val="none"/>
              </w:rPr>
            </w:pPr>
            <w:r>
              <w:rPr>
                <w:rFonts w:hint="eastAsia" w:ascii="宋体" w:hAnsi="宋体"/>
                <w:color w:val="auto"/>
                <w:sz w:val="24"/>
                <w:highlight w:val="none"/>
              </w:rPr>
              <w:t>传  真</w:t>
            </w:r>
          </w:p>
        </w:tc>
        <w:tc>
          <w:tcPr>
            <w:tcW w:w="2326" w:type="dxa"/>
            <w:vAlign w:val="center"/>
          </w:tcPr>
          <w:p w14:paraId="26772B97">
            <w:pPr>
              <w:spacing w:line="480" w:lineRule="exact"/>
              <w:rPr>
                <w:rFonts w:ascii="宋体" w:hAnsi="宋体"/>
                <w:color w:val="auto"/>
                <w:sz w:val="24"/>
                <w:highlight w:val="none"/>
              </w:rPr>
            </w:pPr>
          </w:p>
        </w:tc>
        <w:tc>
          <w:tcPr>
            <w:tcW w:w="1418" w:type="dxa"/>
            <w:vAlign w:val="center"/>
          </w:tcPr>
          <w:p w14:paraId="0A4E6DD2">
            <w:pPr>
              <w:spacing w:line="480" w:lineRule="exact"/>
              <w:jc w:val="center"/>
              <w:rPr>
                <w:rFonts w:ascii="宋体" w:hAnsi="宋体"/>
                <w:color w:val="auto"/>
                <w:sz w:val="24"/>
                <w:highlight w:val="none"/>
              </w:rPr>
            </w:pPr>
            <w:r>
              <w:rPr>
                <w:rFonts w:hint="eastAsia" w:ascii="宋体" w:hAnsi="宋体"/>
                <w:color w:val="auto"/>
                <w:sz w:val="24"/>
                <w:highlight w:val="none"/>
              </w:rPr>
              <w:t>网    址</w:t>
            </w:r>
          </w:p>
        </w:tc>
        <w:tc>
          <w:tcPr>
            <w:tcW w:w="2624" w:type="dxa"/>
            <w:vAlign w:val="center"/>
          </w:tcPr>
          <w:p w14:paraId="75F35347">
            <w:pPr>
              <w:spacing w:line="480" w:lineRule="exact"/>
              <w:jc w:val="center"/>
              <w:rPr>
                <w:rFonts w:ascii="宋体" w:hAnsi="宋体"/>
                <w:color w:val="auto"/>
                <w:sz w:val="24"/>
                <w:highlight w:val="none"/>
              </w:rPr>
            </w:pPr>
          </w:p>
        </w:tc>
      </w:tr>
      <w:tr w14:paraId="3BBE40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15D5B79D">
            <w:pPr>
              <w:spacing w:line="480" w:lineRule="exact"/>
              <w:jc w:val="center"/>
              <w:rPr>
                <w:rFonts w:ascii="宋体" w:hAnsi="宋体"/>
                <w:color w:val="auto"/>
                <w:sz w:val="24"/>
                <w:highlight w:val="none"/>
              </w:rPr>
            </w:pPr>
            <w:r>
              <w:rPr>
                <w:rFonts w:hint="eastAsia" w:ascii="宋体" w:hAnsi="宋体"/>
                <w:color w:val="auto"/>
                <w:sz w:val="24"/>
                <w:highlight w:val="none"/>
              </w:rPr>
              <w:t>法定代表人</w:t>
            </w:r>
          </w:p>
        </w:tc>
        <w:tc>
          <w:tcPr>
            <w:tcW w:w="952" w:type="dxa"/>
            <w:vAlign w:val="center"/>
          </w:tcPr>
          <w:p w14:paraId="798B2F86">
            <w:pPr>
              <w:spacing w:line="480" w:lineRule="exact"/>
              <w:jc w:val="center"/>
              <w:rPr>
                <w:rFonts w:ascii="宋体" w:hAnsi="宋体"/>
                <w:color w:val="auto"/>
                <w:sz w:val="24"/>
                <w:highlight w:val="none"/>
              </w:rPr>
            </w:pPr>
            <w:r>
              <w:rPr>
                <w:rFonts w:hint="eastAsia" w:ascii="宋体" w:hAnsi="宋体"/>
                <w:color w:val="auto"/>
                <w:sz w:val="24"/>
                <w:highlight w:val="none"/>
              </w:rPr>
              <w:t>姓名</w:t>
            </w:r>
          </w:p>
        </w:tc>
        <w:tc>
          <w:tcPr>
            <w:tcW w:w="2326" w:type="dxa"/>
            <w:vAlign w:val="center"/>
          </w:tcPr>
          <w:p w14:paraId="6ED976E3">
            <w:pPr>
              <w:spacing w:line="480" w:lineRule="exact"/>
              <w:jc w:val="center"/>
              <w:rPr>
                <w:rFonts w:ascii="宋体" w:hAnsi="宋体"/>
                <w:color w:val="auto"/>
                <w:sz w:val="24"/>
                <w:highlight w:val="none"/>
              </w:rPr>
            </w:pPr>
          </w:p>
        </w:tc>
        <w:tc>
          <w:tcPr>
            <w:tcW w:w="1418" w:type="dxa"/>
            <w:vAlign w:val="center"/>
          </w:tcPr>
          <w:p w14:paraId="4172E642">
            <w:pPr>
              <w:spacing w:line="480" w:lineRule="exact"/>
              <w:jc w:val="center"/>
              <w:rPr>
                <w:rFonts w:ascii="宋体" w:hAnsi="宋体"/>
                <w:color w:val="auto"/>
                <w:sz w:val="24"/>
                <w:highlight w:val="none"/>
              </w:rPr>
            </w:pPr>
            <w:r>
              <w:rPr>
                <w:rFonts w:hint="eastAsia" w:ascii="宋体" w:hAnsi="宋体"/>
                <w:color w:val="auto"/>
                <w:sz w:val="24"/>
                <w:highlight w:val="none"/>
              </w:rPr>
              <w:t>电话</w:t>
            </w:r>
          </w:p>
        </w:tc>
        <w:tc>
          <w:tcPr>
            <w:tcW w:w="2624" w:type="dxa"/>
            <w:vAlign w:val="center"/>
          </w:tcPr>
          <w:p w14:paraId="2E939B99">
            <w:pPr>
              <w:spacing w:line="480" w:lineRule="exact"/>
              <w:jc w:val="center"/>
              <w:rPr>
                <w:rFonts w:ascii="宋体" w:hAnsi="宋体"/>
                <w:color w:val="auto"/>
                <w:sz w:val="24"/>
                <w:highlight w:val="none"/>
              </w:rPr>
            </w:pPr>
          </w:p>
        </w:tc>
      </w:tr>
      <w:tr w14:paraId="72502F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9" w:hRule="exact"/>
          <w:jc w:val="center"/>
        </w:trPr>
        <w:tc>
          <w:tcPr>
            <w:tcW w:w="1843" w:type="dxa"/>
            <w:vAlign w:val="center"/>
          </w:tcPr>
          <w:p w14:paraId="0BF5687D">
            <w:pPr>
              <w:spacing w:line="480" w:lineRule="exact"/>
              <w:jc w:val="center"/>
              <w:rPr>
                <w:rFonts w:ascii="宋体" w:hAnsi="宋体"/>
                <w:color w:val="auto"/>
                <w:sz w:val="24"/>
                <w:highlight w:val="none"/>
              </w:rPr>
            </w:pPr>
            <w:r>
              <w:rPr>
                <w:rFonts w:hint="eastAsia" w:ascii="宋体" w:hAnsi="宋体"/>
                <w:color w:val="auto"/>
                <w:sz w:val="24"/>
                <w:highlight w:val="none"/>
              </w:rPr>
              <w:t>成立时间</w:t>
            </w:r>
          </w:p>
        </w:tc>
        <w:tc>
          <w:tcPr>
            <w:tcW w:w="3278" w:type="dxa"/>
            <w:gridSpan w:val="2"/>
            <w:vAlign w:val="center"/>
          </w:tcPr>
          <w:p w14:paraId="65BA5F74">
            <w:pPr>
              <w:spacing w:line="480" w:lineRule="exact"/>
              <w:jc w:val="center"/>
              <w:rPr>
                <w:rFonts w:ascii="宋体" w:hAnsi="宋体"/>
                <w:color w:val="auto"/>
                <w:sz w:val="24"/>
                <w:highlight w:val="none"/>
              </w:rPr>
            </w:pPr>
          </w:p>
        </w:tc>
        <w:tc>
          <w:tcPr>
            <w:tcW w:w="1418" w:type="dxa"/>
            <w:vAlign w:val="center"/>
          </w:tcPr>
          <w:p w14:paraId="469B1447">
            <w:pPr>
              <w:spacing w:line="480" w:lineRule="exact"/>
              <w:rPr>
                <w:rFonts w:ascii="宋体" w:hAnsi="宋体"/>
                <w:color w:val="auto"/>
                <w:sz w:val="24"/>
                <w:highlight w:val="none"/>
              </w:rPr>
            </w:pPr>
            <w:r>
              <w:rPr>
                <w:rFonts w:hint="eastAsia" w:ascii="宋体" w:hAnsi="宋体"/>
                <w:color w:val="auto"/>
                <w:sz w:val="24"/>
                <w:highlight w:val="none"/>
              </w:rPr>
              <w:t>员工总人数</w:t>
            </w:r>
          </w:p>
        </w:tc>
        <w:tc>
          <w:tcPr>
            <w:tcW w:w="2624" w:type="dxa"/>
            <w:vAlign w:val="center"/>
          </w:tcPr>
          <w:p w14:paraId="5A6F147F">
            <w:pPr>
              <w:spacing w:line="480" w:lineRule="exact"/>
              <w:rPr>
                <w:rFonts w:ascii="宋体" w:hAnsi="宋体"/>
                <w:color w:val="auto"/>
                <w:sz w:val="24"/>
                <w:highlight w:val="none"/>
              </w:rPr>
            </w:pPr>
          </w:p>
        </w:tc>
      </w:tr>
      <w:tr w14:paraId="7AAF72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68DF8DDC">
            <w:pPr>
              <w:spacing w:line="480" w:lineRule="exact"/>
              <w:jc w:val="center"/>
              <w:rPr>
                <w:rFonts w:ascii="宋体" w:hAnsi="宋体"/>
                <w:color w:val="auto"/>
                <w:sz w:val="24"/>
                <w:highlight w:val="none"/>
              </w:rPr>
            </w:pPr>
            <w:r>
              <w:rPr>
                <w:rFonts w:hint="eastAsia" w:ascii="宋体" w:hAnsi="宋体"/>
                <w:color w:val="auto"/>
                <w:sz w:val="24"/>
                <w:highlight w:val="none"/>
              </w:rPr>
              <w:t>营业执照号</w:t>
            </w:r>
          </w:p>
        </w:tc>
        <w:tc>
          <w:tcPr>
            <w:tcW w:w="7320" w:type="dxa"/>
            <w:gridSpan w:val="4"/>
            <w:vAlign w:val="center"/>
          </w:tcPr>
          <w:p w14:paraId="36077A83">
            <w:pPr>
              <w:spacing w:line="480" w:lineRule="exact"/>
              <w:jc w:val="center"/>
              <w:rPr>
                <w:rFonts w:ascii="宋体" w:hAnsi="宋体"/>
                <w:color w:val="auto"/>
                <w:sz w:val="24"/>
                <w:highlight w:val="none"/>
              </w:rPr>
            </w:pPr>
          </w:p>
        </w:tc>
      </w:tr>
      <w:tr w14:paraId="28D25D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75A16DC1">
            <w:pPr>
              <w:spacing w:line="480" w:lineRule="exact"/>
              <w:jc w:val="center"/>
              <w:rPr>
                <w:rFonts w:ascii="宋体" w:hAnsi="宋体"/>
                <w:color w:val="auto"/>
                <w:sz w:val="24"/>
                <w:highlight w:val="none"/>
              </w:rPr>
            </w:pPr>
            <w:r>
              <w:rPr>
                <w:rFonts w:hint="eastAsia" w:ascii="宋体" w:hAnsi="宋体"/>
                <w:color w:val="auto"/>
                <w:sz w:val="24"/>
                <w:highlight w:val="none"/>
              </w:rPr>
              <w:t>注册资本金</w:t>
            </w:r>
          </w:p>
        </w:tc>
        <w:tc>
          <w:tcPr>
            <w:tcW w:w="7320" w:type="dxa"/>
            <w:gridSpan w:val="4"/>
            <w:vAlign w:val="center"/>
          </w:tcPr>
          <w:p w14:paraId="1B83D76E">
            <w:pPr>
              <w:spacing w:line="480" w:lineRule="exact"/>
              <w:jc w:val="center"/>
              <w:rPr>
                <w:rFonts w:ascii="宋体" w:hAnsi="宋体"/>
                <w:color w:val="auto"/>
                <w:sz w:val="24"/>
                <w:highlight w:val="none"/>
              </w:rPr>
            </w:pPr>
          </w:p>
        </w:tc>
      </w:tr>
      <w:tr w14:paraId="664C1F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79CD8F41">
            <w:pPr>
              <w:spacing w:line="480" w:lineRule="exact"/>
              <w:jc w:val="center"/>
              <w:rPr>
                <w:rFonts w:ascii="宋体" w:hAnsi="宋体"/>
                <w:color w:val="auto"/>
                <w:sz w:val="24"/>
                <w:highlight w:val="none"/>
              </w:rPr>
            </w:pPr>
            <w:r>
              <w:rPr>
                <w:rFonts w:hint="eastAsia" w:ascii="宋体" w:hAnsi="宋体"/>
                <w:color w:val="auto"/>
                <w:sz w:val="24"/>
                <w:highlight w:val="none"/>
              </w:rPr>
              <w:t>开户银行</w:t>
            </w:r>
          </w:p>
        </w:tc>
        <w:tc>
          <w:tcPr>
            <w:tcW w:w="7320" w:type="dxa"/>
            <w:gridSpan w:val="4"/>
            <w:vAlign w:val="center"/>
          </w:tcPr>
          <w:p w14:paraId="744DF03E">
            <w:pPr>
              <w:spacing w:line="480" w:lineRule="exact"/>
              <w:jc w:val="center"/>
              <w:rPr>
                <w:rFonts w:ascii="宋体" w:hAnsi="宋体"/>
                <w:color w:val="auto"/>
                <w:sz w:val="24"/>
                <w:highlight w:val="none"/>
              </w:rPr>
            </w:pPr>
          </w:p>
        </w:tc>
      </w:tr>
      <w:tr w14:paraId="3CEF29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7F1B9377">
            <w:pPr>
              <w:spacing w:line="480" w:lineRule="exact"/>
              <w:jc w:val="center"/>
              <w:rPr>
                <w:rFonts w:ascii="宋体" w:hAnsi="宋体"/>
                <w:color w:val="auto"/>
                <w:sz w:val="24"/>
                <w:highlight w:val="none"/>
              </w:rPr>
            </w:pPr>
            <w:r>
              <w:rPr>
                <w:rFonts w:hint="eastAsia" w:ascii="宋体" w:hAnsi="宋体"/>
                <w:color w:val="auto"/>
                <w:sz w:val="24"/>
                <w:highlight w:val="none"/>
              </w:rPr>
              <w:t>账号</w:t>
            </w:r>
          </w:p>
        </w:tc>
        <w:tc>
          <w:tcPr>
            <w:tcW w:w="7320" w:type="dxa"/>
            <w:gridSpan w:val="4"/>
            <w:vAlign w:val="center"/>
          </w:tcPr>
          <w:p w14:paraId="04EB6C71">
            <w:pPr>
              <w:spacing w:line="480" w:lineRule="exact"/>
              <w:jc w:val="center"/>
              <w:rPr>
                <w:rFonts w:ascii="宋体" w:hAnsi="宋体"/>
                <w:color w:val="auto"/>
                <w:sz w:val="24"/>
                <w:highlight w:val="none"/>
              </w:rPr>
            </w:pPr>
          </w:p>
        </w:tc>
      </w:tr>
      <w:tr w14:paraId="52D43E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69A8CB9D">
            <w:pPr>
              <w:spacing w:line="480" w:lineRule="exact"/>
              <w:jc w:val="center"/>
              <w:rPr>
                <w:rFonts w:ascii="宋体" w:hAnsi="宋体"/>
                <w:color w:val="auto"/>
                <w:sz w:val="24"/>
                <w:highlight w:val="none"/>
              </w:rPr>
            </w:pPr>
            <w:r>
              <w:rPr>
                <w:rFonts w:hint="eastAsia" w:ascii="宋体" w:hAnsi="宋体"/>
                <w:color w:val="auto"/>
                <w:sz w:val="24"/>
                <w:highlight w:val="none"/>
              </w:rPr>
              <w:t>经营范围</w:t>
            </w:r>
          </w:p>
        </w:tc>
        <w:tc>
          <w:tcPr>
            <w:tcW w:w="7320" w:type="dxa"/>
            <w:gridSpan w:val="4"/>
            <w:vAlign w:val="center"/>
          </w:tcPr>
          <w:p w14:paraId="08F4C48A">
            <w:pPr>
              <w:spacing w:line="480" w:lineRule="exact"/>
              <w:jc w:val="center"/>
              <w:rPr>
                <w:rFonts w:ascii="宋体" w:hAnsi="宋体"/>
                <w:color w:val="auto"/>
                <w:sz w:val="24"/>
                <w:highlight w:val="none"/>
              </w:rPr>
            </w:pPr>
          </w:p>
        </w:tc>
      </w:tr>
      <w:tr w14:paraId="191B3E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8" w:hRule="exact"/>
          <w:jc w:val="center"/>
        </w:trPr>
        <w:tc>
          <w:tcPr>
            <w:tcW w:w="1843" w:type="dxa"/>
            <w:vAlign w:val="center"/>
          </w:tcPr>
          <w:p w14:paraId="15662033">
            <w:pPr>
              <w:spacing w:line="480" w:lineRule="exact"/>
              <w:jc w:val="center"/>
              <w:rPr>
                <w:rFonts w:ascii="宋体" w:hAnsi="宋体"/>
                <w:color w:val="auto"/>
                <w:sz w:val="24"/>
                <w:highlight w:val="none"/>
              </w:rPr>
            </w:pPr>
            <w:r>
              <w:rPr>
                <w:rFonts w:hint="eastAsia" w:ascii="宋体" w:hAnsi="宋体"/>
                <w:color w:val="auto"/>
                <w:sz w:val="24"/>
                <w:highlight w:val="none"/>
              </w:rPr>
              <w:t>备    注</w:t>
            </w:r>
          </w:p>
        </w:tc>
        <w:tc>
          <w:tcPr>
            <w:tcW w:w="7320" w:type="dxa"/>
            <w:gridSpan w:val="4"/>
            <w:vAlign w:val="center"/>
          </w:tcPr>
          <w:p w14:paraId="6570FEF3">
            <w:pPr>
              <w:spacing w:line="480" w:lineRule="exact"/>
              <w:jc w:val="center"/>
              <w:rPr>
                <w:rFonts w:ascii="宋体" w:hAnsi="宋体"/>
                <w:color w:val="auto"/>
                <w:sz w:val="24"/>
                <w:highlight w:val="none"/>
              </w:rPr>
            </w:pPr>
          </w:p>
        </w:tc>
      </w:tr>
    </w:tbl>
    <w:p w14:paraId="2D34A8E0">
      <w:pPr>
        <w:rPr>
          <w:color w:val="auto"/>
          <w:highlight w:val="none"/>
        </w:rPr>
      </w:pPr>
    </w:p>
    <w:p w14:paraId="004AC4ED">
      <w:pPr>
        <w:pStyle w:val="38"/>
        <w:spacing w:line="240" w:lineRule="auto"/>
        <w:ind w:firstLine="0" w:firstLineChars="0"/>
        <w:rPr>
          <w:rFonts w:ascii="宋体" w:hAnsi="宋体" w:cs="宋体"/>
          <w:color w:val="auto"/>
          <w:sz w:val="21"/>
          <w:szCs w:val="21"/>
          <w:highlight w:val="none"/>
        </w:rPr>
      </w:pPr>
      <w:r>
        <w:rPr>
          <w:rFonts w:hint="eastAsia" w:ascii="宋体" w:hAnsi="宋体" w:cs="宋体"/>
          <w:color w:val="auto"/>
          <w:sz w:val="21"/>
          <w:szCs w:val="21"/>
          <w:highlight w:val="none"/>
        </w:rPr>
        <w:t>注：</w:t>
      </w:r>
      <w:r>
        <w:rPr>
          <w:rFonts w:ascii="宋体" w:hAnsi="宋体" w:cs="宋体"/>
          <w:color w:val="auto"/>
          <w:sz w:val="21"/>
          <w:szCs w:val="21"/>
          <w:highlight w:val="none"/>
        </w:rPr>
        <w:t>1</w:t>
      </w:r>
      <w:r>
        <w:rPr>
          <w:rFonts w:hint="eastAsia" w:ascii="宋体" w:hAnsi="宋体" w:cs="宋体"/>
          <w:color w:val="auto"/>
          <w:sz w:val="21"/>
          <w:szCs w:val="21"/>
          <w:highlight w:val="none"/>
        </w:rPr>
        <w:t>、后附单位营业执照、开户许可证等相关资料复印件（扫描件）。</w:t>
      </w:r>
    </w:p>
    <w:p w14:paraId="7E78C83D">
      <w:pPr>
        <w:pStyle w:val="38"/>
        <w:spacing w:line="240" w:lineRule="auto"/>
        <w:ind w:firstLine="420"/>
        <w:rPr>
          <w:rFonts w:ascii="宋体" w:hAnsi="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、本表格中的具体内容投标人可根据实际情况进行修改，但应包含上述内容。</w:t>
      </w:r>
    </w:p>
    <w:p w14:paraId="2AA192BA">
      <w:pPr>
        <w:ind w:firstLine="420" w:firstLineChars="200"/>
        <w:rPr>
          <w:rFonts w:ascii="宋体" w:hAnsi="宋体"/>
          <w:color w:val="auto"/>
          <w:szCs w:val="21"/>
          <w:highlight w:val="none"/>
          <w:u w:val="single"/>
        </w:rPr>
      </w:pPr>
      <w:r>
        <w:rPr>
          <w:rFonts w:hint="eastAsia" w:ascii="宋体" w:hAnsi="宋体" w:cs="宋体"/>
          <w:color w:val="auto"/>
          <w:szCs w:val="21"/>
          <w:highlight w:val="none"/>
        </w:rPr>
        <w:t>3、此表所列情况应为投标人的真实情况。</w:t>
      </w:r>
    </w:p>
    <w:p w14:paraId="454FFD8C">
      <w:pPr>
        <w:pStyle w:val="6"/>
        <w:overflowPunct w:val="0"/>
        <w:spacing w:line="560" w:lineRule="exact"/>
        <w:rPr>
          <w:color w:val="auto"/>
          <w:sz w:val="24"/>
          <w:highlight w:val="none"/>
        </w:rPr>
      </w:pPr>
      <w:bookmarkStart w:id="139" w:name="_Toc29053"/>
      <w:r>
        <w:rPr>
          <w:rFonts w:hint="eastAsia"/>
          <w:color w:val="auto"/>
          <w:sz w:val="24"/>
          <w:highlight w:val="none"/>
        </w:rPr>
        <w:t>投标人(电子签章)：</w:t>
      </w:r>
      <w:r>
        <w:rPr>
          <w:rFonts w:hint="eastAsia" w:ascii="宋体" w:hAnsi="宋体"/>
          <w:color w:val="auto"/>
          <w:sz w:val="24"/>
          <w:highlight w:val="none"/>
          <w:u w:val="single"/>
        </w:rPr>
        <w:t xml:space="preserve">                </w:t>
      </w:r>
      <w:r>
        <w:rPr>
          <w:rFonts w:hint="eastAsia"/>
          <w:color w:val="auto"/>
          <w:sz w:val="24"/>
          <w:highlight w:val="none"/>
        </w:rPr>
        <w:t xml:space="preserve"> </w:t>
      </w:r>
    </w:p>
    <w:p w14:paraId="43645D11">
      <w:pPr>
        <w:pStyle w:val="6"/>
        <w:overflowPunct w:val="0"/>
        <w:spacing w:line="560" w:lineRule="exact"/>
        <w:rPr>
          <w:color w:val="auto"/>
          <w:sz w:val="24"/>
          <w:highlight w:val="none"/>
        </w:rPr>
      </w:pPr>
      <w:r>
        <w:rPr>
          <w:rFonts w:hint="eastAsia"/>
          <w:color w:val="auto"/>
          <w:sz w:val="24"/>
          <w:highlight w:val="none"/>
        </w:rPr>
        <w:t>法定代表人或委托代理人(电子签章或电子签名)：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color w:val="auto"/>
          <w:sz w:val="24"/>
          <w:highlight w:val="none"/>
        </w:rPr>
        <w:t xml:space="preserve"> </w:t>
      </w:r>
    </w:p>
    <w:p w14:paraId="28F43875">
      <w:pPr>
        <w:pStyle w:val="6"/>
        <w:overflowPunct w:val="0"/>
        <w:spacing w:line="560" w:lineRule="exact"/>
        <w:jc w:val="left"/>
        <w:rPr>
          <w:rFonts w:hint="eastAsia"/>
          <w:color w:val="auto"/>
          <w:highlight w:val="none"/>
          <w:lang w:eastAsia="zh-CN"/>
        </w:rPr>
        <w:sectPr>
          <w:footerReference r:id="rId10" w:type="first"/>
          <w:footerReference r:id="rId9" w:type="default"/>
          <w:pgSz w:w="11906" w:h="16838"/>
          <w:pgMar w:top="1247" w:right="1417" w:bottom="1247" w:left="141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color w:val="auto"/>
          <w:sz w:val="24"/>
          <w:highlight w:val="none"/>
        </w:rPr>
        <w:t>日    期：</w:t>
      </w:r>
      <w:r>
        <w:rPr>
          <w:rFonts w:hint="eastAsia"/>
          <w:color w:val="auto"/>
          <w:sz w:val="24"/>
          <w:highlight w:val="none"/>
          <w:u w:val="single"/>
        </w:rPr>
        <w:t xml:space="preserve">      </w:t>
      </w:r>
      <w:r>
        <w:rPr>
          <w:rFonts w:hint="eastAsia"/>
          <w:color w:val="auto"/>
          <w:sz w:val="24"/>
          <w:highlight w:val="none"/>
        </w:rPr>
        <w:t>年</w:t>
      </w:r>
      <w:r>
        <w:rPr>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color w:val="auto"/>
          <w:sz w:val="24"/>
          <w:highlight w:val="none"/>
          <w:u w:val="single"/>
        </w:rPr>
        <w:tab/>
      </w:r>
      <w:r>
        <w:rPr>
          <w:rFonts w:hint="eastAsia"/>
          <w:color w:val="auto"/>
          <w:sz w:val="24"/>
          <w:highlight w:val="none"/>
          <w:u w:val="single"/>
        </w:rPr>
        <w:t xml:space="preserve">   </w:t>
      </w:r>
      <w:r>
        <w:rPr>
          <w:rFonts w:hint="eastAsia"/>
          <w:color w:val="auto"/>
          <w:sz w:val="24"/>
          <w:highlight w:val="none"/>
        </w:rPr>
        <w:t>日</w:t>
      </w:r>
      <w:bookmarkStart w:id="140" w:name="_Toc9027"/>
    </w:p>
    <w:p w14:paraId="60201E0D">
      <w:pPr>
        <w:pStyle w:val="3"/>
        <w:jc w:val="center"/>
        <w:rPr>
          <w:rFonts w:hAnsi="宋体" w:cs="宋体"/>
          <w:color w:val="auto"/>
          <w:sz w:val="28"/>
          <w:highlight w:val="none"/>
        </w:rPr>
      </w:pPr>
      <w:r>
        <w:rPr>
          <w:rFonts w:hint="eastAsia" w:hAnsi="宋体" w:cs="宋体"/>
          <w:color w:val="auto"/>
          <w:sz w:val="28"/>
          <w:highlight w:val="none"/>
        </w:rPr>
        <w:t>（</w:t>
      </w:r>
      <w:r>
        <w:rPr>
          <w:rFonts w:hint="eastAsia" w:hAnsi="宋体" w:cs="宋体"/>
          <w:color w:val="auto"/>
          <w:sz w:val="28"/>
          <w:highlight w:val="none"/>
          <w:lang w:val="en-US" w:eastAsia="zh-CN"/>
        </w:rPr>
        <w:t>二</w:t>
      </w:r>
      <w:r>
        <w:rPr>
          <w:rFonts w:hint="eastAsia" w:hAnsi="宋体" w:cs="宋体"/>
          <w:color w:val="auto"/>
          <w:sz w:val="28"/>
          <w:highlight w:val="none"/>
        </w:rPr>
        <w:t>）具有履行合同所必需的设备和专业技术能力</w:t>
      </w:r>
      <w:bookmarkEnd w:id="139"/>
      <w:bookmarkEnd w:id="140"/>
    </w:p>
    <w:p w14:paraId="5F2C7E1C">
      <w:pPr>
        <w:jc w:val="center"/>
        <w:rPr>
          <w:color w:val="auto"/>
          <w:sz w:val="24"/>
          <w:highlight w:val="none"/>
        </w:rPr>
      </w:pPr>
      <w:r>
        <w:rPr>
          <w:rFonts w:hint="eastAsia"/>
          <w:color w:val="auto"/>
          <w:sz w:val="24"/>
          <w:highlight w:val="none"/>
        </w:rPr>
        <w:t>（提供书面声明，格式自拟或相关证明材料）</w:t>
      </w:r>
    </w:p>
    <w:p w14:paraId="225A019D">
      <w:pPr>
        <w:pStyle w:val="7"/>
        <w:rPr>
          <w:color w:val="auto"/>
          <w:sz w:val="24"/>
          <w:szCs w:val="24"/>
          <w:highlight w:val="none"/>
        </w:rPr>
      </w:pPr>
    </w:p>
    <w:p w14:paraId="6BD9480A">
      <w:pPr>
        <w:pStyle w:val="7"/>
        <w:rPr>
          <w:color w:val="auto"/>
          <w:sz w:val="24"/>
          <w:szCs w:val="24"/>
          <w:highlight w:val="none"/>
        </w:rPr>
      </w:pPr>
    </w:p>
    <w:p w14:paraId="77CFCECA">
      <w:pPr>
        <w:pStyle w:val="7"/>
        <w:rPr>
          <w:color w:val="auto"/>
          <w:sz w:val="24"/>
          <w:szCs w:val="24"/>
          <w:highlight w:val="none"/>
        </w:rPr>
      </w:pPr>
    </w:p>
    <w:p w14:paraId="10611211">
      <w:pPr>
        <w:pStyle w:val="7"/>
        <w:rPr>
          <w:color w:val="auto"/>
          <w:sz w:val="24"/>
          <w:szCs w:val="24"/>
          <w:highlight w:val="none"/>
        </w:rPr>
      </w:pPr>
    </w:p>
    <w:p w14:paraId="7CFDA485">
      <w:pPr>
        <w:pStyle w:val="7"/>
        <w:rPr>
          <w:color w:val="auto"/>
          <w:sz w:val="24"/>
          <w:szCs w:val="24"/>
          <w:highlight w:val="none"/>
        </w:rPr>
      </w:pPr>
    </w:p>
    <w:p w14:paraId="19D99BC7">
      <w:pPr>
        <w:pStyle w:val="7"/>
        <w:rPr>
          <w:color w:val="auto"/>
          <w:sz w:val="24"/>
          <w:szCs w:val="24"/>
          <w:highlight w:val="none"/>
        </w:rPr>
      </w:pPr>
    </w:p>
    <w:p w14:paraId="67775CC4">
      <w:pPr>
        <w:pStyle w:val="7"/>
        <w:rPr>
          <w:color w:val="auto"/>
          <w:sz w:val="24"/>
          <w:szCs w:val="24"/>
          <w:highlight w:val="none"/>
        </w:rPr>
      </w:pPr>
    </w:p>
    <w:p w14:paraId="4419F3F3">
      <w:pPr>
        <w:pStyle w:val="7"/>
        <w:rPr>
          <w:color w:val="auto"/>
          <w:sz w:val="24"/>
          <w:szCs w:val="24"/>
          <w:highlight w:val="none"/>
        </w:rPr>
      </w:pPr>
    </w:p>
    <w:p w14:paraId="20CC096D">
      <w:pPr>
        <w:pStyle w:val="7"/>
        <w:rPr>
          <w:color w:val="auto"/>
          <w:sz w:val="24"/>
          <w:szCs w:val="24"/>
          <w:highlight w:val="none"/>
        </w:rPr>
      </w:pPr>
    </w:p>
    <w:p w14:paraId="337E37FA">
      <w:pPr>
        <w:pStyle w:val="7"/>
        <w:rPr>
          <w:color w:val="auto"/>
          <w:sz w:val="24"/>
          <w:szCs w:val="24"/>
          <w:highlight w:val="none"/>
        </w:rPr>
      </w:pPr>
    </w:p>
    <w:p w14:paraId="5A47E840">
      <w:pPr>
        <w:pStyle w:val="7"/>
        <w:rPr>
          <w:color w:val="auto"/>
          <w:sz w:val="24"/>
          <w:szCs w:val="24"/>
          <w:highlight w:val="none"/>
        </w:rPr>
      </w:pPr>
    </w:p>
    <w:p w14:paraId="646176B3">
      <w:pPr>
        <w:pStyle w:val="7"/>
        <w:rPr>
          <w:color w:val="auto"/>
          <w:sz w:val="24"/>
          <w:szCs w:val="24"/>
          <w:highlight w:val="none"/>
        </w:rPr>
      </w:pPr>
    </w:p>
    <w:p w14:paraId="34CB1172">
      <w:pPr>
        <w:pStyle w:val="7"/>
        <w:rPr>
          <w:color w:val="auto"/>
          <w:sz w:val="24"/>
          <w:szCs w:val="24"/>
          <w:highlight w:val="none"/>
        </w:rPr>
      </w:pPr>
    </w:p>
    <w:p w14:paraId="7E514803">
      <w:pPr>
        <w:pStyle w:val="7"/>
        <w:rPr>
          <w:color w:val="auto"/>
          <w:sz w:val="24"/>
          <w:szCs w:val="24"/>
          <w:highlight w:val="none"/>
        </w:rPr>
      </w:pPr>
    </w:p>
    <w:p w14:paraId="40C686E4">
      <w:pPr>
        <w:pStyle w:val="7"/>
        <w:rPr>
          <w:color w:val="auto"/>
          <w:sz w:val="24"/>
          <w:szCs w:val="24"/>
          <w:highlight w:val="none"/>
        </w:rPr>
      </w:pPr>
    </w:p>
    <w:p w14:paraId="56CF0397">
      <w:pPr>
        <w:pStyle w:val="7"/>
        <w:rPr>
          <w:color w:val="auto"/>
          <w:sz w:val="24"/>
          <w:szCs w:val="24"/>
          <w:highlight w:val="none"/>
        </w:rPr>
      </w:pPr>
    </w:p>
    <w:p w14:paraId="4906C78B">
      <w:pPr>
        <w:pStyle w:val="7"/>
        <w:rPr>
          <w:color w:val="auto"/>
          <w:sz w:val="24"/>
          <w:szCs w:val="24"/>
          <w:highlight w:val="none"/>
        </w:rPr>
      </w:pPr>
    </w:p>
    <w:p w14:paraId="74DA92C4">
      <w:pPr>
        <w:pStyle w:val="7"/>
        <w:rPr>
          <w:color w:val="auto"/>
          <w:sz w:val="24"/>
          <w:szCs w:val="24"/>
          <w:highlight w:val="none"/>
        </w:rPr>
      </w:pPr>
    </w:p>
    <w:p w14:paraId="60EA714E">
      <w:pPr>
        <w:pStyle w:val="7"/>
        <w:rPr>
          <w:color w:val="auto"/>
          <w:sz w:val="24"/>
          <w:szCs w:val="24"/>
          <w:highlight w:val="none"/>
        </w:rPr>
      </w:pPr>
    </w:p>
    <w:p w14:paraId="70BFEFB8">
      <w:pPr>
        <w:pStyle w:val="7"/>
        <w:rPr>
          <w:color w:val="auto"/>
          <w:sz w:val="24"/>
          <w:szCs w:val="24"/>
          <w:highlight w:val="none"/>
        </w:rPr>
      </w:pPr>
    </w:p>
    <w:p w14:paraId="233ECF20">
      <w:pPr>
        <w:pStyle w:val="7"/>
        <w:rPr>
          <w:color w:val="auto"/>
          <w:sz w:val="24"/>
          <w:szCs w:val="24"/>
          <w:highlight w:val="none"/>
        </w:rPr>
      </w:pPr>
    </w:p>
    <w:p w14:paraId="51CAEA51">
      <w:pPr>
        <w:pStyle w:val="7"/>
        <w:rPr>
          <w:color w:val="auto"/>
          <w:sz w:val="24"/>
          <w:szCs w:val="24"/>
          <w:highlight w:val="none"/>
        </w:rPr>
      </w:pPr>
    </w:p>
    <w:p w14:paraId="3E2D2F39">
      <w:pPr>
        <w:pStyle w:val="7"/>
        <w:rPr>
          <w:color w:val="auto"/>
          <w:sz w:val="24"/>
          <w:szCs w:val="24"/>
          <w:highlight w:val="none"/>
        </w:rPr>
      </w:pPr>
    </w:p>
    <w:p w14:paraId="0D61C187">
      <w:pPr>
        <w:pStyle w:val="7"/>
        <w:rPr>
          <w:color w:val="auto"/>
          <w:sz w:val="24"/>
          <w:szCs w:val="24"/>
          <w:highlight w:val="none"/>
        </w:rPr>
      </w:pPr>
    </w:p>
    <w:p w14:paraId="028728E0">
      <w:pPr>
        <w:pStyle w:val="7"/>
        <w:rPr>
          <w:color w:val="auto"/>
          <w:sz w:val="24"/>
          <w:szCs w:val="24"/>
          <w:highlight w:val="none"/>
        </w:rPr>
      </w:pPr>
    </w:p>
    <w:p w14:paraId="14E63913">
      <w:pPr>
        <w:pStyle w:val="7"/>
        <w:rPr>
          <w:color w:val="auto"/>
          <w:sz w:val="24"/>
          <w:szCs w:val="24"/>
          <w:highlight w:val="none"/>
        </w:rPr>
      </w:pPr>
    </w:p>
    <w:p w14:paraId="12C0169C">
      <w:pPr>
        <w:pStyle w:val="7"/>
        <w:rPr>
          <w:color w:val="auto"/>
          <w:sz w:val="24"/>
          <w:szCs w:val="24"/>
          <w:highlight w:val="none"/>
        </w:rPr>
      </w:pPr>
    </w:p>
    <w:p w14:paraId="54CCBC4D">
      <w:pPr>
        <w:pStyle w:val="7"/>
        <w:rPr>
          <w:color w:val="auto"/>
          <w:sz w:val="24"/>
          <w:szCs w:val="24"/>
          <w:highlight w:val="none"/>
        </w:rPr>
      </w:pPr>
    </w:p>
    <w:p w14:paraId="4BAFA28C">
      <w:pPr>
        <w:pStyle w:val="7"/>
        <w:rPr>
          <w:color w:val="auto"/>
          <w:sz w:val="24"/>
          <w:szCs w:val="24"/>
          <w:highlight w:val="none"/>
        </w:rPr>
      </w:pPr>
    </w:p>
    <w:p w14:paraId="32BE0A9D">
      <w:pPr>
        <w:pStyle w:val="7"/>
        <w:rPr>
          <w:color w:val="auto"/>
          <w:sz w:val="24"/>
          <w:szCs w:val="24"/>
          <w:highlight w:val="none"/>
        </w:rPr>
      </w:pPr>
    </w:p>
    <w:p w14:paraId="36147C26">
      <w:pPr>
        <w:pStyle w:val="7"/>
        <w:rPr>
          <w:color w:val="auto"/>
          <w:sz w:val="24"/>
          <w:szCs w:val="24"/>
          <w:highlight w:val="none"/>
        </w:rPr>
      </w:pPr>
    </w:p>
    <w:p w14:paraId="1551E519">
      <w:pPr>
        <w:pStyle w:val="7"/>
        <w:rPr>
          <w:color w:val="auto"/>
          <w:sz w:val="24"/>
          <w:szCs w:val="24"/>
          <w:highlight w:val="none"/>
        </w:rPr>
      </w:pPr>
    </w:p>
    <w:p w14:paraId="0DE479F9">
      <w:pPr>
        <w:pStyle w:val="7"/>
        <w:rPr>
          <w:color w:val="auto"/>
          <w:sz w:val="24"/>
          <w:szCs w:val="24"/>
          <w:highlight w:val="none"/>
        </w:rPr>
      </w:pPr>
    </w:p>
    <w:p w14:paraId="7608ACEC">
      <w:pPr>
        <w:pStyle w:val="7"/>
        <w:rPr>
          <w:color w:val="auto"/>
          <w:sz w:val="24"/>
          <w:szCs w:val="24"/>
          <w:highlight w:val="none"/>
        </w:rPr>
      </w:pPr>
    </w:p>
    <w:p w14:paraId="5132DC01">
      <w:pPr>
        <w:pStyle w:val="7"/>
        <w:rPr>
          <w:color w:val="auto"/>
          <w:sz w:val="24"/>
          <w:szCs w:val="24"/>
          <w:highlight w:val="none"/>
        </w:rPr>
      </w:pPr>
    </w:p>
    <w:p w14:paraId="209F90DC">
      <w:pPr>
        <w:pStyle w:val="7"/>
        <w:rPr>
          <w:color w:val="auto"/>
          <w:sz w:val="24"/>
          <w:szCs w:val="24"/>
          <w:highlight w:val="none"/>
        </w:rPr>
      </w:pPr>
    </w:p>
    <w:p w14:paraId="206DAA69">
      <w:pPr>
        <w:pStyle w:val="7"/>
        <w:rPr>
          <w:color w:val="auto"/>
          <w:sz w:val="24"/>
          <w:szCs w:val="24"/>
          <w:highlight w:val="none"/>
        </w:rPr>
      </w:pPr>
    </w:p>
    <w:p w14:paraId="7DBD3311">
      <w:pPr>
        <w:pStyle w:val="7"/>
        <w:rPr>
          <w:color w:val="auto"/>
          <w:sz w:val="24"/>
          <w:szCs w:val="24"/>
          <w:highlight w:val="none"/>
        </w:rPr>
      </w:pPr>
    </w:p>
    <w:p w14:paraId="1E4CCE10">
      <w:pPr>
        <w:pStyle w:val="7"/>
        <w:rPr>
          <w:color w:val="auto"/>
          <w:sz w:val="24"/>
          <w:szCs w:val="24"/>
          <w:highlight w:val="none"/>
        </w:rPr>
      </w:pPr>
    </w:p>
    <w:p w14:paraId="5FC1DE03">
      <w:pPr>
        <w:pStyle w:val="7"/>
        <w:rPr>
          <w:color w:val="auto"/>
          <w:sz w:val="24"/>
          <w:szCs w:val="24"/>
          <w:highlight w:val="none"/>
        </w:rPr>
      </w:pPr>
    </w:p>
    <w:p w14:paraId="3B0DD011">
      <w:pPr>
        <w:pStyle w:val="3"/>
        <w:jc w:val="center"/>
        <w:rPr>
          <w:rFonts w:hAnsi="宋体" w:cs="宋体"/>
          <w:color w:val="auto"/>
          <w:sz w:val="28"/>
          <w:highlight w:val="none"/>
        </w:rPr>
      </w:pPr>
      <w:bookmarkStart w:id="141" w:name="_Toc5717"/>
      <w:bookmarkStart w:id="142" w:name="_Toc21467"/>
      <w:r>
        <w:rPr>
          <w:rFonts w:hint="eastAsia" w:hAnsi="宋体" w:cs="宋体"/>
          <w:color w:val="auto"/>
          <w:sz w:val="28"/>
          <w:highlight w:val="none"/>
        </w:rPr>
        <w:t>（</w:t>
      </w:r>
      <w:r>
        <w:rPr>
          <w:rFonts w:hint="eastAsia" w:hAnsi="宋体" w:cs="宋体"/>
          <w:color w:val="auto"/>
          <w:sz w:val="28"/>
          <w:highlight w:val="none"/>
          <w:lang w:eastAsia="zh-CN"/>
        </w:rPr>
        <w:t>三</w:t>
      </w:r>
      <w:r>
        <w:rPr>
          <w:rFonts w:hint="eastAsia" w:hAnsi="宋体" w:cs="宋体"/>
          <w:color w:val="auto"/>
          <w:sz w:val="28"/>
          <w:highlight w:val="none"/>
        </w:rPr>
        <w:t>）企业商业信誉良好</w:t>
      </w:r>
      <w:bookmarkEnd w:id="141"/>
      <w:bookmarkEnd w:id="142"/>
    </w:p>
    <w:p w14:paraId="4B3ADE2B">
      <w:pPr>
        <w:numPr>
          <w:ilvl w:val="0"/>
          <w:numId w:val="7"/>
        </w:num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没有被处于被责令停产，财产被冻结、接管、破产状态，近三年在经营活动中没有重大违法记录</w:t>
      </w:r>
      <w:r>
        <w:rPr>
          <w:rFonts w:hint="eastAsia" w:ascii="宋体" w:hAnsi="宋体" w:cs="宋体"/>
          <w:color w:val="auto"/>
          <w:sz w:val="24"/>
          <w:highlight w:val="none"/>
          <w:lang w:eastAsia="zh-CN"/>
        </w:rPr>
        <w:t>；</w:t>
      </w:r>
    </w:p>
    <w:p w14:paraId="516D59BB">
      <w:pPr>
        <w:numPr>
          <w:ilvl w:val="0"/>
          <w:numId w:val="7"/>
        </w:num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投标人在投标截止时间前未被列入“信用中国”网站(www.creditchina.gov.cn)失信被执行人、重大税收违法失信主体及中国政府采购网 (www.ccgp.gov.cn)“政府采购严重违法失信行为信息记录”</w:t>
      </w:r>
      <w:r>
        <w:rPr>
          <w:rFonts w:hint="eastAsia" w:ascii="宋体" w:hAnsi="宋体" w:eastAsia="宋体" w:cs="宋体"/>
          <w:color w:val="auto"/>
          <w:sz w:val="24"/>
          <w:highlight w:val="none"/>
        </w:rPr>
        <w:t>。</w:t>
      </w:r>
    </w:p>
    <w:p w14:paraId="450404CD">
      <w:pPr>
        <w:pStyle w:val="3"/>
        <w:jc w:val="center"/>
        <w:rPr>
          <w:rFonts w:hAnsi="宋体" w:cs="宋体"/>
          <w:color w:val="auto"/>
          <w:kern w:val="0"/>
          <w:highlight w:val="none"/>
        </w:rPr>
      </w:pPr>
      <w:bookmarkStart w:id="143" w:name="_Toc6130"/>
      <w:bookmarkStart w:id="144" w:name="_Toc18665"/>
      <w:bookmarkStart w:id="145" w:name="_Toc25131"/>
      <w:bookmarkStart w:id="146" w:name="_Toc21263"/>
      <w:bookmarkStart w:id="147" w:name="_Toc437"/>
      <w:bookmarkStart w:id="148" w:name="_Toc15954"/>
      <w:r>
        <w:rPr>
          <w:rFonts w:hint="eastAsia" w:hAnsi="宋体" w:cs="宋体"/>
          <w:color w:val="auto"/>
          <w:kern w:val="0"/>
          <w:sz w:val="28"/>
          <w:highlight w:val="none"/>
        </w:rPr>
        <w:t>附一：关于投标文件的声明</w:t>
      </w:r>
      <w:bookmarkEnd w:id="143"/>
      <w:bookmarkEnd w:id="144"/>
      <w:bookmarkEnd w:id="145"/>
      <w:bookmarkEnd w:id="146"/>
      <w:bookmarkEnd w:id="147"/>
      <w:bookmarkEnd w:id="148"/>
    </w:p>
    <w:p w14:paraId="72CEF9A1">
      <w:pPr>
        <w:rPr>
          <w:color w:val="auto"/>
          <w:highlight w:val="none"/>
        </w:rPr>
      </w:pPr>
    </w:p>
    <w:p w14:paraId="7AC59B95">
      <w:pPr>
        <w:rPr>
          <w:color w:val="auto"/>
          <w:highlight w:val="none"/>
        </w:rPr>
      </w:pPr>
    </w:p>
    <w:p w14:paraId="3EEC4A9D">
      <w:pPr>
        <w:pStyle w:val="6"/>
        <w:overflowPunct w:val="0"/>
        <w:spacing w:line="400" w:lineRule="exact"/>
        <w:rPr>
          <w:color w:val="auto"/>
          <w:szCs w:val="21"/>
          <w:highlight w:val="none"/>
        </w:rPr>
      </w:pPr>
      <w:r>
        <w:rPr>
          <w:rFonts w:hint="eastAsia"/>
          <w:color w:val="auto"/>
          <w:sz w:val="24"/>
          <w:szCs w:val="21"/>
          <w:highlight w:val="none"/>
          <w:u w:val="single"/>
        </w:rPr>
        <w:t>（招标人）</w:t>
      </w:r>
      <w:r>
        <w:rPr>
          <w:rFonts w:hint="eastAsia"/>
          <w:color w:val="auto"/>
          <w:szCs w:val="21"/>
          <w:highlight w:val="none"/>
        </w:rPr>
        <w:t>：</w:t>
      </w:r>
    </w:p>
    <w:p w14:paraId="5BC16355">
      <w:pPr>
        <w:pStyle w:val="6"/>
        <w:overflowPunct w:val="0"/>
        <w:spacing w:line="560" w:lineRule="exact"/>
        <w:ind w:firstLine="480"/>
        <w:rPr>
          <w:color w:val="auto"/>
          <w:sz w:val="24"/>
          <w:highlight w:val="none"/>
        </w:rPr>
      </w:pPr>
      <w:r>
        <w:rPr>
          <w:rFonts w:hint="eastAsia"/>
          <w:color w:val="auto"/>
          <w:sz w:val="24"/>
          <w:highlight w:val="none"/>
        </w:rPr>
        <w:t>公司愿就由贵单位组织实施的编号为</w:t>
      </w:r>
      <w:r>
        <w:rPr>
          <w:rFonts w:hint="eastAsia"/>
          <w:color w:val="auto"/>
          <w:sz w:val="24"/>
          <w:highlight w:val="none"/>
          <w:u w:val="single"/>
        </w:rPr>
        <w:t xml:space="preserve">  （项目编号）    </w:t>
      </w:r>
      <w:r>
        <w:rPr>
          <w:rFonts w:hint="eastAsia"/>
          <w:color w:val="auto"/>
          <w:sz w:val="24"/>
          <w:highlight w:val="none"/>
        </w:rPr>
        <w:t xml:space="preserve">的 </w:t>
      </w:r>
      <w:r>
        <w:rPr>
          <w:rFonts w:hint="eastAsia"/>
          <w:color w:val="auto"/>
          <w:sz w:val="24"/>
          <w:highlight w:val="none"/>
          <w:u w:val="single"/>
        </w:rPr>
        <w:t xml:space="preserve">    （项目名称）</w:t>
      </w:r>
      <w:r>
        <w:rPr>
          <w:rFonts w:hint="eastAsia"/>
          <w:color w:val="auto"/>
          <w:sz w:val="24"/>
          <w:highlight w:val="none"/>
          <w:u w:val="single"/>
          <w:lang w:eastAsia="zh-CN"/>
        </w:rPr>
        <w:t>（标段号）</w:t>
      </w:r>
      <w:r>
        <w:rPr>
          <w:rFonts w:hint="eastAsia"/>
          <w:color w:val="auto"/>
          <w:sz w:val="24"/>
          <w:highlight w:val="none"/>
          <w:u w:val="single"/>
        </w:rPr>
        <w:t xml:space="preserve"> </w:t>
      </w:r>
      <w:r>
        <w:rPr>
          <w:rFonts w:hint="eastAsia"/>
          <w:color w:val="auto"/>
          <w:sz w:val="24"/>
          <w:highlight w:val="none"/>
        </w:rPr>
        <w:t>采购活动进行投标。本公司郑重声明：</w:t>
      </w:r>
    </w:p>
    <w:p w14:paraId="291A527F">
      <w:pPr>
        <w:pStyle w:val="6"/>
        <w:overflowPunct w:val="0"/>
        <w:spacing w:line="560" w:lineRule="exact"/>
        <w:ind w:firstLine="480"/>
        <w:rPr>
          <w:rFonts w:ascii="宋体" w:hAnsi="宋体"/>
          <w:bCs/>
          <w:color w:val="auto"/>
          <w:sz w:val="24"/>
          <w:highlight w:val="none"/>
        </w:rPr>
      </w:pPr>
      <w:r>
        <w:rPr>
          <w:rFonts w:hint="eastAsia"/>
          <w:color w:val="auto"/>
          <w:sz w:val="24"/>
          <w:highlight w:val="none"/>
        </w:rPr>
        <w:t>1、本公司</w:t>
      </w:r>
      <w:r>
        <w:rPr>
          <w:rFonts w:hint="eastAsia" w:ascii="宋体" w:hAnsi="宋体"/>
          <w:bCs/>
          <w:color w:val="auto"/>
          <w:sz w:val="24"/>
          <w:highlight w:val="none"/>
        </w:rPr>
        <w:t>没有被处于被责令停产，财产被冻结、接管、破产状态，近三年在经营活动中没有重大违法记录。</w:t>
      </w:r>
    </w:p>
    <w:p w14:paraId="08A1BA7E">
      <w:pPr>
        <w:pStyle w:val="6"/>
        <w:overflowPunct w:val="0"/>
        <w:spacing w:line="560" w:lineRule="exact"/>
        <w:ind w:firstLine="480"/>
        <w:rPr>
          <w:rFonts w:ascii="宋体" w:hAnsi="宋体"/>
          <w:bCs/>
          <w:color w:val="auto"/>
          <w:sz w:val="24"/>
          <w:highlight w:val="none"/>
        </w:rPr>
      </w:pPr>
      <w:r>
        <w:rPr>
          <w:rFonts w:hint="eastAsia" w:ascii="宋体" w:hAnsi="宋体" w:cs="宋体"/>
          <w:color w:val="auto"/>
          <w:sz w:val="24"/>
          <w:highlight w:val="none"/>
        </w:rPr>
        <w:t>2、本公司</w:t>
      </w:r>
      <w:r>
        <w:rPr>
          <w:rFonts w:hint="eastAsia" w:ascii="宋体" w:hAnsi="宋体" w:cs="宋体"/>
          <w:color w:val="auto"/>
          <w:sz w:val="24"/>
          <w:highlight w:val="none"/>
          <w:lang w:val="en-US" w:eastAsia="zh-CN"/>
        </w:rPr>
        <w:t>未被列入“信用中国”网站(www.creditchina.gov.cn)失信被执行人、重大税收违法失信主体及中国政府采购网 (www.ccgp.gov.cn)“政府采购严重违法失信行为信息记录”。</w:t>
      </w:r>
    </w:p>
    <w:p w14:paraId="4E02E5CA">
      <w:pPr>
        <w:pStyle w:val="6"/>
        <w:overflowPunct w:val="0"/>
        <w:spacing w:line="560" w:lineRule="exact"/>
        <w:ind w:firstLine="480"/>
        <w:rPr>
          <w:color w:val="auto"/>
          <w:sz w:val="24"/>
          <w:highlight w:val="none"/>
        </w:rPr>
      </w:pPr>
      <w:r>
        <w:rPr>
          <w:rFonts w:hint="eastAsia" w:ascii="宋体" w:hAnsi="宋体"/>
          <w:bCs/>
          <w:color w:val="auto"/>
          <w:sz w:val="24"/>
          <w:highlight w:val="none"/>
        </w:rPr>
        <w:t>3、本公司</w:t>
      </w:r>
      <w:r>
        <w:rPr>
          <w:rFonts w:hint="eastAsia"/>
          <w:color w:val="auto"/>
          <w:sz w:val="24"/>
          <w:highlight w:val="none"/>
        </w:rPr>
        <w:t>所提交的投标文件中所有关于投标资格的文件、证明和陈述均是真实的、准确的。若与真实情况不符，本公司愿意承担由此而产生的一切后果。</w:t>
      </w:r>
    </w:p>
    <w:p w14:paraId="3FEE8A63">
      <w:pPr>
        <w:pStyle w:val="6"/>
        <w:overflowPunct w:val="0"/>
        <w:spacing w:line="560" w:lineRule="exact"/>
        <w:ind w:firstLine="480"/>
        <w:rPr>
          <w:color w:val="auto"/>
          <w:sz w:val="24"/>
          <w:highlight w:val="none"/>
        </w:rPr>
      </w:pPr>
      <w:r>
        <w:rPr>
          <w:rFonts w:hint="eastAsia"/>
          <w:color w:val="auto"/>
          <w:sz w:val="24"/>
          <w:highlight w:val="none"/>
        </w:rPr>
        <w:t>注：提供查询时间为本公告发布之日起至提交投标文件截止时间止的网站截图。</w:t>
      </w:r>
    </w:p>
    <w:p w14:paraId="67CD5F26">
      <w:pPr>
        <w:pStyle w:val="6"/>
        <w:overflowPunct w:val="0"/>
        <w:spacing w:line="560" w:lineRule="exact"/>
        <w:ind w:firstLine="480"/>
        <w:rPr>
          <w:color w:val="auto"/>
          <w:sz w:val="24"/>
          <w:highlight w:val="none"/>
        </w:rPr>
      </w:pPr>
    </w:p>
    <w:p w14:paraId="12C4C332">
      <w:pPr>
        <w:pStyle w:val="6"/>
        <w:overflowPunct w:val="0"/>
        <w:spacing w:line="560" w:lineRule="exact"/>
        <w:rPr>
          <w:color w:val="auto"/>
          <w:sz w:val="24"/>
          <w:highlight w:val="none"/>
        </w:rPr>
      </w:pPr>
      <w:r>
        <w:rPr>
          <w:rFonts w:hint="eastAsia"/>
          <w:color w:val="auto"/>
          <w:sz w:val="24"/>
          <w:highlight w:val="none"/>
        </w:rPr>
        <w:t>投标人(电子签章)：</w:t>
      </w:r>
      <w:r>
        <w:rPr>
          <w:rFonts w:hint="eastAsia" w:ascii="宋体" w:hAnsi="宋体"/>
          <w:color w:val="auto"/>
          <w:sz w:val="24"/>
          <w:highlight w:val="none"/>
          <w:u w:val="single"/>
        </w:rPr>
        <w:t xml:space="preserve">                </w:t>
      </w:r>
      <w:r>
        <w:rPr>
          <w:rFonts w:hint="eastAsia"/>
          <w:color w:val="auto"/>
          <w:sz w:val="24"/>
          <w:highlight w:val="none"/>
        </w:rPr>
        <w:t xml:space="preserve"> </w:t>
      </w:r>
    </w:p>
    <w:p w14:paraId="7E7CCBE5">
      <w:pPr>
        <w:pStyle w:val="6"/>
        <w:overflowPunct w:val="0"/>
        <w:spacing w:line="560" w:lineRule="exact"/>
        <w:rPr>
          <w:color w:val="auto"/>
          <w:sz w:val="24"/>
          <w:highlight w:val="none"/>
        </w:rPr>
      </w:pPr>
      <w:r>
        <w:rPr>
          <w:rFonts w:hint="eastAsia"/>
          <w:color w:val="auto"/>
          <w:sz w:val="24"/>
          <w:highlight w:val="none"/>
        </w:rPr>
        <w:t>法定代表人或委托代理人(电子签章或电子签名)：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color w:val="auto"/>
          <w:sz w:val="24"/>
          <w:highlight w:val="none"/>
        </w:rPr>
        <w:t xml:space="preserve"> </w:t>
      </w:r>
    </w:p>
    <w:p w14:paraId="2DC9F065">
      <w:pPr>
        <w:pStyle w:val="6"/>
        <w:overflowPunct w:val="0"/>
        <w:spacing w:line="560" w:lineRule="exact"/>
        <w:rPr>
          <w:rFonts w:ascii="宋体" w:hAnsi="宋体"/>
          <w:color w:val="auto"/>
          <w:sz w:val="24"/>
          <w:highlight w:val="none"/>
          <w:u w:val="single"/>
        </w:rPr>
      </w:pPr>
      <w:r>
        <w:rPr>
          <w:rFonts w:hint="eastAsia"/>
          <w:color w:val="auto"/>
          <w:sz w:val="24"/>
          <w:highlight w:val="none"/>
        </w:rPr>
        <w:t>日    期：</w:t>
      </w:r>
      <w:r>
        <w:rPr>
          <w:rFonts w:hint="eastAsia"/>
          <w:color w:val="auto"/>
          <w:sz w:val="24"/>
          <w:highlight w:val="none"/>
          <w:u w:val="single"/>
        </w:rPr>
        <w:t xml:space="preserve">      </w:t>
      </w:r>
      <w:r>
        <w:rPr>
          <w:rFonts w:hint="eastAsia"/>
          <w:color w:val="auto"/>
          <w:sz w:val="24"/>
          <w:highlight w:val="none"/>
        </w:rPr>
        <w:t>年</w:t>
      </w:r>
      <w:r>
        <w:rPr>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color w:val="auto"/>
          <w:sz w:val="24"/>
          <w:highlight w:val="none"/>
          <w:u w:val="single"/>
        </w:rPr>
        <w:tab/>
      </w:r>
      <w:r>
        <w:rPr>
          <w:rFonts w:hint="eastAsia"/>
          <w:color w:val="auto"/>
          <w:sz w:val="24"/>
          <w:highlight w:val="none"/>
          <w:u w:val="single"/>
        </w:rPr>
        <w:t xml:space="preserve">   </w:t>
      </w:r>
      <w:r>
        <w:rPr>
          <w:rFonts w:hint="eastAsia"/>
          <w:color w:val="auto"/>
          <w:sz w:val="24"/>
          <w:highlight w:val="none"/>
        </w:rPr>
        <w:t>日</w:t>
      </w:r>
    </w:p>
    <w:p w14:paraId="24EFC0DC">
      <w:pPr>
        <w:spacing w:before="240"/>
        <w:jc w:val="left"/>
        <w:rPr>
          <w:rFonts w:ascii="宋体" w:hAnsi="宋体"/>
          <w:color w:val="auto"/>
          <w:sz w:val="24"/>
          <w:highlight w:val="none"/>
          <w:u w:val="single"/>
        </w:rPr>
      </w:pPr>
    </w:p>
    <w:p w14:paraId="5A19599D">
      <w:pPr>
        <w:spacing w:before="240"/>
        <w:rPr>
          <w:rFonts w:ascii="宋体" w:hAnsi="宋体"/>
          <w:color w:val="auto"/>
          <w:sz w:val="24"/>
          <w:highlight w:val="none"/>
          <w:u w:val="single"/>
        </w:rPr>
      </w:pPr>
    </w:p>
    <w:p w14:paraId="2D3D3E93">
      <w:pPr>
        <w:pStyle w:val="3"/>
        <w:jc w:val="center"/>
        <w:rPr>
          <w:rFonts w:hAnsi="宋体"/>
          <w:color w:val="auto"/>
          <w:sz w:val="40"/>
          <w:highlight w:val="none"/>
          <w:u w:val="single"/>
        </w:rPr>
      </w:pPr>
      <w:r>
        <w:rPr>
          <w:rFonts w:hint="eastAsia" w:hAnsi="宋体"/>
          <w:color w:val="auto"/>
          <w:highlight w:val="none"/>
          <w:u w:val="single"/>
        </w:rPr>
        <w:br w:type="page"/>
      </w:r>
      <w:bookmarkStart w:id="149" w:name="_Toc8093"/>
      <w:bookmarkStart w:id="150" w:name="_Toc14465"/>
      <w:bookmarkStart w:id="151" w:name="_Toc519"/>
      <w:bookmarkStart w:id="152" w:name="_Toc18104"/>
      <w:bookmarkStart w:id="153" w:name="_Toc8815"/>
      <w:bookmarkStart w:id="154" w:name="_Toc25200"/>
      <w:r>
        <w:rPr>
          <w:rFonts w:hint="eastAsia" w:hAnsi="宋体" w:cs="宋体"/>
          <w:color w:val="auto"/>
          <w:kern w:val="0"/>
          <w:sz w:val="28"/>
          <w:highlight w:val="none"/>
        </w:rPr>
        <w:t>附二：履约情况说明</w:t>
      </w:r>
      <w:bookmarkEnd w:id="149"/>
      <w:bookmarkEnd w:id="150"/>
      <w:bookmarkEnd w:id="151"/>
      <w:bookmarkEnd w:id="152"/>
      <w:bookmarkEnd w:id="153"/>
      <w:bookmarkEnd w:id="154"/>
    </w:p>
    <w:p w14:paraId="75A97921">
      <w:pPr>
        <w:spacing w:line="600" w:lineRule="exact"/>
        <w:rPr>
          <w:rFonts w:ascii="宋体" w:hAnsi="宋体" w:cs="宋体"/>
          <w:color w:val="auto"/>
          <w:sz w:val="24"/>
          <w:highlight w:val="none"/>
        </w:rPr>
      </w:pPr>
      <w:r>
        <w:rPr>
          <w:rFonts w:ascii="宋体" w:hAnsi="宋体" w:cs="宋体"/>
          <w:color w:val="auto"/>
          <w:sz w:val="24"/>
          <w:highlight w:val="none"/>
        </w:rPr>
        <w:t>致：</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招标人</w:t>
      </w:r>
      <w:r>
        <w:rPr>
          <w:rFonts w:ascii="宋体" w:hAnsi="宋体" w:cs="宋体"/>
          <w:color w:val="auto"/>
          <w:sz w:val="24"/>
          <w:highlight w:val="none"/>
          <w:u w:val="single"/>
        </w:rPr>
        <w:t>名称）</w:t>
      </w:r>
    </w:p>
    <w:p w14:paraId="3C8A8B0F">
      <w:pPr>
        <w:spacing w:line="600" w:lineRule="exact"/>
        <w:ind w:firstLine="437"/>
        <w:rPr>
          <w:rFonts w:ascii="宋体" w:hAnsi="宋体" w:cs="宋体"/>
          <w:color w:val="auto"/>
          <w:sz w:val="24"/>
          <w:highlight w:val="none"/>
        </w:rPr>
      </w:pPr>
      <w:r>
        <w:rPr>
          <w:rFonts w:ascii="宋体" w:hAnsi="宋体" w:cs="宋体"/>
          <w:color w:val="auto"/>
          <w:sz w:val="24"/>
          <w:highlight w:val="none"/>
        </w:rPr>
        <w:t>我公司参加</w:t>
      </w:r>
      <w:r>
        <w:rPr>
          <w:rFonts w:ascii="宋体" w:hAnsi="宋体" w:cs="宋体"/>
          <w:color w:val="auto"/>
          <w:sz w:val="24"/>
          <w:highlight w:val="none"/>
          <w:u w:val="single"/>
        </w:rPr>
        <w:t xml:space="preserve">    （项目名称）</w:t>
      </w:r>
      <w:r>
        <w:rPr>
          <w:rFonts w:hint="eastAsia"/>
          <w:color w:val="auto"/>
          <w:sz w:val="24"/>
          <w:highlight w:val="none"/>
          <w:u w:val="single"/>
          <w:lang w:eastAsia="zh-CN"/>
        </w:rPr>
        <w:t>（标段号）</w:t>
      </w:r>
      <w:r>
        <w:rPr>
          <w:rFonts w:ascii="宋体" w:hAnsi="宋体" w:cs="宋体"/>
          <w:color w:val="auto"/>
          <w:sz w:val="24"/>
          <w:highlight w:val="none"/>
          <w:u w:val="single"/>
        </w:rPr>
        <w:t xml:space="preserve">     </w:t>
      </w:r>
      <w:r>
        <w:rPr>
          <w:rFonts w:ascii="宋体" w:hAnsi="宋体" w:cs="宋体"/>
          <w:color w:val="auto"/>
          <w:sz w:val="24"/>
          <w:highlight w:val="none"/>
        </w:rPr>
        <w:t>的</w:t>
      </w:r>
      <w:r>
        <w:rPr>
          <w:rFonts w:hint="eastAsia" w:ascii="宋体" w:hAnsi="宋体" w:cs="宋体"/>
          <w:color w:val="auto"/>
          <w:sz w:val="24"/>
          <w:highlight w:val="none"/>
        </w:rPr>
        <w:t>投标</w:t>
      </w:r>
      <w:r>
        <w:rPr>
          <w:rFonts w:ascii="宋体" w:hAnsi="宋体" w:cs="宋体"/>
          <w:color w:val="auto"/>
          <w:sz w:val="24"/>
          <w:highlight w:val="none"/>
        </w:rPr>
        <w:t>活动，当前我公司（此处填写“有”或“无”） 违约或不当履约引起的合同中止、纠纷、争议、仲裁和诉讼记录。（如有诉讼事件，</w:t>
      </w:r>
      <w:r>
        <w:rPr>
          <w:rFonts w:hint="eastAsia" w:ascii="宋体" w:hAnsi="宋体" w:cs="宋体"/>
          <w:color w:val="auto"/>
          <w:sz w:val="24"/>
          <w:highlight w:val="none"/>
        </w:rPr>
        <w:t>投标人</w:t>
      </w:r>
      <w:r>
        <w:rPr>
          <w:rFonts w:ascii="宋体" w:hAnsi="宋体" w:cs="宋体"/>
          <w:color w:val="auto"/>
          <w:sz w:val="24"/>
          <w:highlight w:val="none"/>
        </w:rPr>
        <w:t>须承诺涉及诉讼事件不影响本</w:t>
      </w:r>
      <w:r>
        <w:rPr>
          <w:rFonts w:hint="eastAsia" w:ascii="宋体" w:hAnsi="宋体" w:cs="宋体"/>
          <w:color w:val="auto"/>
          <w:sz w:val="24"/>
          <w:highlight w:val="none"/>
        </w:rPr>
        <w:t>投标人</w:t>
      </w:r>
      <w:r>
        <w:rPr>
          <w:rFonts w:ascii="宋体" w:hAnsi="宋体" w:cs="宋体"/>
          <w:color w:val="auto"/>
          <w:sz w:val="24"/>
          <w:highlight w:val="none"/>
        </w:rPr>
        <w:t>在本</w:t>
      </w:r>
      <w:r>
        <w:rPr>
          <w:rFonts w:hint="eastAsia" w:ascii="宋体" w:hAnsi="宋体" w:cs="宋体"/>
          <w:color w:val="auto"/>
          <w:sz w:val="24"/>
          <w:highlight w:val="none"/>
        </w:rPr>
        <w:t>次</w:t>
      </w:r>
      <w:r>
        <w:rPr>
          <w:rFonts w:ascii="宋体" w:hAnsi="宋体" w:cs="宋体"/>
          <w:color w:val="auto"/>
          <w:sz w:val="24"/>
          <w:highlight w:val="none"/>
        </w:rPr>
        <w:t>项目的履约能力）。</w:t>
      </w:r>
    </w:p>
    <w:p w14:paraId="4928585B">
      <w:pPr>
        <w:pStyle w:val="7"/>
        <w:rPr>
          <w:rFonts w:hAnsi="宋体" w:cs="宋体"/>
          <w:color w:val="auto"/>
          <w:sz w:val="24"/>
          <w:szCs w:val="24"/>
          <w:highlight w:val="none"/>
        </w:rPr>
      </w:pPr>
    </w:p>
    <w:p w14:paraId="12381D13">
      <w:pPr>
        <w:pStyle w:val="7"/>
        <w:rPr>
          <w:rFonts w:hAnsi="宋体" w:cs="宋体"/>
          <w:color w:val="auto"/>
          <w:sz w:val="24"/>
          <w:szCs w:val="24"/>
          <w:highlight w:val="none"/>
        </w:rPr>
      </w:pPr>
    </w:p>
    <w:p w14:paraId="36B62E90">
      <w:pPr>
        <w:pStyle w:val="7"/>
        <w:rPr>
          <w:rFonts w:hAnsi="宋体" w:cs="宋体"/>
          <w:color w:val="auto"/>
          <w:sz w:val="24"/>
          <w:szCs w:val="24"/>
          <w:highlight w:val="none"/>
        </w:rPr>
      </w:pPr>
    </w:p>
    <w:p w14:paraId="275B7995">
      <w:pPr>
        <w:pStyle w:val="7"/>
        <w:rPr>
          <w:rFonts w:hAnsi="宋体" w:cs="宋体"/>
          <w:color w:val="auto"/>
          <w:sz w:val="24"/>
          <w:szCs w:val="24"/>
          <w:highlight w:val="none"/>
        </w:rPr>
      </w:pPr>
    </w:p>
    <w:p w14:paraId="33D3A016">
      <w:pPr>
        <w:pStyle w:val="7"/>
        <w:rPr>
          <w:rFonts w:hAnsi="宋体" w:cs="宋体"/>
          <w:color w:val="auto"/>
          <w:sz w:val="24"/>
          <w:szCs w:val="24"/>
          <w:highlight w:val="none"/>
        </w:rPr>
      </w:pPr>
    </w:p>
    <w:p w14:paraId="58FBD21E">
      <w:pPr>
        <w:pStyle w:val="7"/>
        <w:rPr>
          <w:rFonts w:hAnsi="宋体" w:cs="宋体"/>
          <w:color w:val="auto"/>
          <w:sz w:val="24"/>
          <w:szCs w:val="24"/>
          <w:highlight w:val="none"/>
        </w:rPr>
      </w:pPr>
    </w:p>
    <w:p w14:paraId="16A68795">
      <w:pPr>
        <w:pStyle w:val="7"/>
        <w:rPr>
          <w:rFonts w:hAnsi="宋体" w:cs="宋体"/>
          <w:color w:val="auto"/>
          <w:sz w:val="24"/>
          <w:szCs w:val="24"/>
          <w:highlight w:val="none"/>
        </w:rPr>
      </w:pPr>
    </w:p>
    <w:p w14:paraId="1B53B38B">
      <w:pPr>
        <w:pStyle w:val="7"/>
        <w:rPr>
          <w:rFonts w:hAnsi="宋体" w:cs="宋体"/>
          <w:color w:val="auto"/>
          <w:sz w:val="24"/>
          <w:szCs w:val="24"/>
          <w:highlight w:val="none"/>
        </w:rPr>
      </w:pPr>
    </w:p>
    <w:p w14:paraId="295C9991">
      <w:pPr>
        <w:pStyle w:val="6"/>
        <w:overflowPunct w:val="0"/>
        <w:spacing w:line="560" w:lineRule="exact"/>
        <w:rPr>
          <w:color w:val="auto"/>
          <w:sz w:val="24"/>
          <w:highlight w:val="none"/>
        </w:rPr>
      </w:pPr>
      <w:r>
        <w:rPr>
          <w:rFonts w:hint="eastAsia"/>
          <w:color w:val="auto"/>
          <w:sz w:val="24"/>
          <w:highlight w:val="none"/>
        </w:rPr>
        <w:t>投标人(电子签章)：</w:t>
      </w:r>
      <w:r>
        <w:rPr>
          <w:rFonts w:hint="eastAsia" w:ascii="宋体" w:hAnsi="宋体"/>
          <w:color w:val="auto"/>
          <w:sz w:val="24"/>
          <w:highlight w:val="none"/>
          <w:u w:val="single"/>
        </w:rPr>
        <w:t xml:space="preserve">                </w:t>
      </w:r>
      <w:r>
        <w:rPr>
          <w:rFonts w:hint="eastAsia"/>
          <w:color w:val="auto"/>
          <w:sz w:val="24"/>
          <w:highlight w:val="none"/>
        </w:rPr>
        <w:t xml:space="preserve"> </w:t>
      </w:r>
    </w:p>
    <w:p w14:paraId="6E7EDC64">
      <w:pPr>
        <w:pStyle w:val="6"/>
        <w:overflowPunct w:val="0"/>
        <w:spacing w:line="560" w:lineRule="exact"/>
        <w:rPr>
          <w:color w:val="auto"/>
          <w:sz w:val="24"/>
          <w:highlight w:val="none"/>
        </w:rPr>
      </w:pPr>
      <w:r>
        <w:rPr>
          <w:rFonts w:hint="eastAsia"/>
          <w:color w:val="auto"/>
          <w:sz w:val="24"/>
          <w:highlight w:val="none"/>
        </w:rPr>
        <w:t>法定代表人或委托代理人(电子签章或电子签名)：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color w:val="auto"/>
          <w:sz w:val="24"/>
          <w:highlight w:val="none"/>
        </w:rPr>
        <w:t xml:space="preserve"> </w:t>
      </w:r>
    </w:p>
    <w:p w14:paraId="55A1FA6F">
      <w:pPr>
        <w:pStyle w:val="6"/>
        <w:overflowPunct w:val="0"/>
        <w:spacing w:line="560" w:lineRule="exact"/>
        <w:rPr>
          <w:rFonts w:ascii="宋体" w:hAnsi="宋体"/>
          <w:color w:val="auto"/>
          <w:sz w:val="24"/>
          <w:highlight w:val="none"/>
          <w:u w:val="single"/>
        </w:rPr>
      </w:pPr>
      <w:r>
        <w:rPr>
          <w:rFonts w:hint="eastAsia"/>
          <w:color w:val="auto"/>
          <w:sz w:val="24"/>
          <w:highlight w:val="none"/>
        </w:rPr>
        <w:t>日    期：</w:t>
      </w:r>
      <w:r>
        <w:rPr>
          <w:rFonts w:hint="eastAsia"/>
          <w:color w:val="auto"/>
          <w:sz w:val="24"/>
          <w:highlight w:val="none"/>
          <w:u w:val="single"/>
        </w:rPr>
        <w:t xml:space="preserve">      </w:t>
      </w:r>
      <w:r>
        <w:rPr>
          <w:rFonts w:hint="eastAsia"/>
          <w:color w:val="auto"/>
          <w:sz w:val="24"/>
          <w:highlight w:val="none"/>
        </w:rPr>
        <w:t>年</w:t>
      </w:r>
      <w:r>
        <w:rPr>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color w:val="auto"/>
          <w:sz w:val="24"/>
          <w:highlight w:val="none"/>
          <w:u w:val="single"/>
        </w:rPr>
        <w:tab/>
      </w:r>
      <w:r>
        <w:rPr>
          <w:rFonts w:hint="eastAsia"/>
          <w:color w:val="auto"/>
          <w:sz w:val="24"/>
          <w:highlight w:val="none"/>
          <w:u w:val="single"/>
        </w:rPr>
        <w:t xml:space="preserve">   </w:t>
      </w:r>
      <w:r>
        <w:rPr>
          <w:rFonts w:hint="eastAsia"/>
          <w:color w:val="auto"/>
          <w:sz w:val="24"/>
          <w:highlight w:val="none"/>
        </w:rPr>
        <w:t>日</w:t>
      </w:r>
    </w:p>
    <w:p w14:paraId="7B6DD611">
      <w:pPr>
        <w:pStyle w:val="7"/>
        <w:rPr>
          <w:color w:val="auto"/>
          <w:highlight w:val="none"/>
        </w:rPr>
      </w:pPr>
    </w:p>
    <w:p w14:paraId="06FF7F29">
      <w:pPr>
        <w:pStyle w:val="7"/>
        <w:rPr>
          <w:color w:val="auto"/>
          <w:highlight w:val="none"/>
        </w:rPr>
      </w:pPr>
    </w:p>
    <w:p w14:paraId="3F64DF7F">
      <w:pPr>
        <w:pStyle w:val="7"/>
        <w:rPr>
          <w:color w:val="auto"/>
          <w:highlight w:val="none"/>
        </w:rPr>
      </w:pPr>
    </w:p>
    <w:p w14:paraId="36710D11">
      <w:pPr>
        <w:pStyle w:val="7"/>
        <w:rPr>
          <w:color w:val="auto"/>
          <w:highlight w:val="none"/>
        </w:rPr>
      </w:pPr>
    </w:p>
    <w:p w14:paraId="5E398B18">
      <w:pPr>
        <w:pStyle w:val="7"/>
        <w:rPr>
          <w:color w:val="auto"/>
          <w:highlight w:val="none"/>
        </w:rPr>
      </w:pPr>
    </w:p>
    <w:p w14:paraId="6AC5186B">
      <w:pPr>
        <w:pStyle w:val="7"/>
        <w:rPr>
          <w:color w:val="auto"/>
          <w:highlight w:val="none"/>
        </w:rPr>
      </w:pPr>
    </w:p>
    <w:p w14:paraId="1D50E1FF">
      <w:pPr>
        <w:pStyle w:val="7"/>
        <w:rPr>
          <w:color w:val="auto"/>
          <w:highlight w:val="none"/>
        </w:rPr>
      </w:pPr>
    </w:p>
    <w:p w14:paraId="0E71EB54">
      <w:pPr>
        <w:pStyle w:val="7"/>
        <w:rPr>
          <w:color w:val="auto"/>
          <w:highlight w:val="none"/>
        </w:rPr>
      </w:pPr>
    </w:p>
    <w:p w14:paraId="571B6D65">
      <w:pPr>
        <w:pStyle w:val="7"/>
        <w:rPr>
          <w:color w:val="auto"/>
          <w:highlight w:val="none"/>
        </w:rPr>
      </w:pPr>
    </w:p>
    <w:p w14:paraId="51567143">
      <w:pPr>
        <w:pStyle w:val="7"/>
        <w:rPr>
          <w:color w:val="auto"/>
          <w:highlight w:val="none"/>
        </w:rPr>
      </w:pPr>
    </w:p>
    <w:p w14:paraId="247DE2DE">
      <w:pPr>
        <w:pStyle w:val="7"/>
        <w:rPr>
          <w:color w:val="auto"/>
          <w:highlight w:val="none"/>
        </w:rPr>
      </w:pPr>
    </w:p>
    <w:p w14:paraId="25090936">
      <w:pPr>
        <w:pStyle w:val="7"/>
        <w:rPr>
          <w:color w:val="auto"/>
          <w:highlight w:val="none"/>
        </w:rPr>
      </w:pPr>
    </w:p>
    <w:p w14:paraId="0A64AAD6">
      <w:pPr>
        <w:pStyle w:val="7"/>
        <w:rPr>
          <w:color w:val="auto"/>
          <w:highlight w:val="none"/>
        </w:rPr>
      </w:pPr>
    </w:p>
    <w:p w14:paraId="2B99A3AD">
      <w:pPr>
        <w:pStyle w:val="7"/>
        <w:rPr>
          <w:color w:val="auto"/>
          <w:highlight w:val="none"/>
        </w:rPr>
      </w:pPr>
    </w:p>
    <w:p w14:paraId="714C3BB1">
      <w:pPr>
        <w:pStyle w:val="7"/>
        <w:rPr>
          <w:color w:val="auto"/>
          <w:highlight w:val="none"/>
        </w:rPr>
      </w:pPr>
    </w:p>
    <w:p w14:paraId="56AA9A71">
      <w:pPr>
        <w:pStyle w:val="7"/>
        <w:rPr>
          <w:color w:val="auto"/>
          <w:highlight w:val="none"/>
        </w:rPr>
      </w:pPr>
    </w:p>
    <w:p w14:paraId="5E8E2D0A">
      <w:pPr>
        <w:pStyle w:val="7"/>
        <w:rPr>
          <w:color w:val="auto"/>
          <w:highlight w:val="none"/>
        </w:rPr>
      </w:pPr>
    </w:p>
    <w:p w14:paraId="25A1DE2D">
      <w:pPr>
        <w:pStyle w:val="7"/>
        <w:rPr>
          <w:color w:val="auto"/>
          <w:highlight w:val="none"/>
        </w:rPr>
      </w:pPr>
    </w:p>
    <w:p w14:paraId="4B3FBF62">
      <w:pPr>
        <w:rPr>
          <w:color w:val="auto"/>
          <w:highlight w:val="none"/>
        </w:rPr>
      </w:pPr>
      <w:r>
        <w:rPr>
          <w:color w:val="auto"/>
          <w:highlight w:val="none"/>
        </w:rPr>
        <w:br w:type="page"/>
      </w:r>
    </w:p>
    <w:p w14:paraId="315AB7BB">
      <w:pPr>
        <w:rPr>
          <w:color w:val="auto"/>
        </w:rPr>
      </w:pPr>
    </w:p>
    <w:p w14:paraId="4B07A86A">
      <w:pPr>
        <w:pStyle w:val="3"/>
        <w:jc w:val="center"/>
        <w:rPr>
          <w:rFonts w:hAnsi="宋体" w:cs="宋体"/>
          <w:color w:val="auto"/>
          <w:sz w:val="28"/>
          <w:highlight w:val="none"/>
        </w:rPr>
      </w:pPr>
      <w:bookmarkStart w:id="155" w:name="_Toc716"/>
      <w:bookmarkStart w:id="156" w:name="_Toc25512"/>
      <w:r>
        <w:rPr>
          <w:rFonts w:hint="eastAsia" w:hAnsi="宋体" w:cs="宋体"/>
          <w:color w:val="auto"/>
          <w:sz w:val="28"/>
          <w:highlight w:val="none"/>
        </w:rPr>
        <w:t>（</w:t>
      </w:r>
      <w:r>
        <w:rPr>
          <w:rFonts w:hint="eastAsia" w:hAnsi="宋体" w:cs="宋体"/>
          <w:color w:val="auto"/>
          <w:sz w:val="28"/>
          <w:highlight w:val="none"/>
          <w:lang w:val="en-US" w:eastAsia="zh-CN"/>
        </w:rPr>
        <w:t>四</w:t>
      </w:r>
      <w:r>
        <w:rPr>
          <w:rFonts w:hint="eastAsia" w:hAnsi="宋体" w:cs="宋体"/>
          <w:color w:val="auto"/>
          <w:sz w:val="28"/>
          <w:highlight w:val="none"/>
        </w:rPr>
        <w:t>）具有良好的商业信誉和健全的财务会计制度</w:t>
      </w:r>
      <w:bookmarkEnd w:id="155"/>
      <w:bookmarkEnd w:id="156"/>
    </w:p>
    <w:p w14:paraId="7917B427">
      <w:pPr>
        <w:pStyle w:val="7"/>
        <w:rPr>
          <w:rFonts w:hAnsi="宋体" w:cs="宋体"/>
          <w:color w:val="auto"/>
          <w:sz w:val="24"/>
          <w:highlight w:val="none"/>
        </w:rPr>
      </w:pPr>
    </w:p>
    <w:p w14:paraId="778657F2">
      <w:pPr>
        <w:pStyle w:val="7"/>
        <w:jc w:val="center"/>
        <w:rPr>
          <w:rFonts w:hAnsi="宋体" w:cs="宋体"/>
          <w:color w:val="auto"/>
          <w:sz w:val="24"/>
          <w:highlight w:val="none"/>
        </w:rPr>
      </w:pPr>
      <w:r>
        <w:rPr>
          <w:rFonts w:hint="eastAsia" w:hAnsi="宋体" w:cs="宋体"/>
          <w:color w:val="auto"/>
          <w:sz w:val="24"/>
          <w:highlight w:val="none"/>
        </w:rPr>
        <w:t>（提供相关证明材料，格式自拟）</w:t>
      </w:r>
    </w:p>
    <w:p w14:paraId="200DDCEF">
      <w:pPr>
        <w:pStyle w:val="7"/>
        <w:rPr>
          <w:rFonts w:hAnsi="宋体" w:cs="宋体"/>
          <w:color w:val="auto"/>
          <w:sz w:val="24"/>
          <w:highlight w:val="none"/>
        </w:rPr>
      </w:pPr>
    </w:p>
    <w:p w14:paraId="09D2F528">
      <w:pPr>
        <w:pStyle w:val="7"/>
        <w:rPr>
          <w:rFonts w:hAnsi="宋体" w:cs="宋体"/>
          <w:color w:val="auto"/>
          <w:sz w:val="24"/>
          <w:highlight w:val="none"/>
        </w:rPr>
      </w:pPr>
    </w:p>
    <w:p w14:paraId="629FBC46">
      <w:pPr>
        <w:pStyle w:val="7"/>
        <w:rPr>
          <w:rFonts w:hAnsi="宋体" w:cs="宋体"/>
          <w:color w:val="auto"/>
          <w:sz w:val="24"/>
          <w:highlight w:val="none"/>
        </w:rPr>
      </w:pPr>
    </w:p>
    <w:p w14:paraId="54D585DF">
      <w:pPr>
        <w:pStyle w:val="7"/>
        <w:rPr>
          <w:rFonts w:hAnsi="宋体" w:cs="宋体"/>
          <w:color w:val="auto"/>
          <w:sz w:val="24"/>
          <w:highlight w:val="none"/>
        </w:rPr>
      </w:pPr>
    </w:p>
    <w:p w14:paraId="07686AE7">
      <w:pPr>
        <w:pStyle w:val="7"/>
        <w:rPr>
          <w:rFonts w:hAnsi="宋体" w:cs="宋体"/>
          <w:color w:val="auto"/>
          <w:sz w:val="24"/>
          <w:highlight w:val="none"/>
        </w:rPr>
      </w:pPr>
    </w:p>
    <w:p w14:paraId="7BEF8494">
      <w:pPr>
        <w:pStyle w:val="7"/>
        <w:rPr>
          <w:rFonts w:hAnsi="宋体" w:cs="宋体"/>
          <w:color w:val="auto"/>
          <w:sz w:val="24"/>
          <w:highlight w:val="none"/>
        </w:rPr>
      </w:pPr>
    </w:p>
    <w:p w14:paraId="71AB1BC4">
      <w:pPr>
        <w:pStyle w:val="7"/>
        <w:rPr>
          <w:rFonts w:hAnsi="宋体" w:cs="宋体"/>
          <w:color w:val="auto"/>
          <w:sz w:val="24"/>
          <w:highlight w:val="none"/>
        </w:rPr>
      </w:pPr>
    </w:p>
    <w:p w14:paraId="2DCD1F6B">
      <w:pPr>
        <w:pStyle w:val="7"/>
        <w:rPr>
          <w:rFonts w:hAnsi="宋体" w:cs="宋体"/>
          <w:color w:val="auto"/>
          <w:sz w:val="24"/>
          <w:highlight w:val="none"/>
        </w:rPr>
      </w:pPr>
    </w:p>
    <w:p w14:paraId="08B0A908">
      <w:pPr>
        <w:pStyle w:val="7"/>
        <w:rPr>
          <w:rFonts w:hAnsi="宋体" w:cs="宋体"/>
          <w:color w:val="auto"/>
          <w:sz w:val="24"/>
          <w:highlight w:val="none"/>
        </w:rPr>
      </w:pPr>
    </w:p>
    <w:p w14:paraId="027422E4">
      <w:pPr>
        <w:pStyle w:val="7"/>
        <w:rPr>
          <w:rFonts w:hAnsi="宋体" w:cs="宋体"/>
          <w:color w:val="auto"/>
          <w:sz w:val="24"/>
          <w:highlight w:val="none"/>
        </w:rPr>
      </w:pPr>
    </w:p>
    <w:p w14:paraId="629257BE">
      <w:pPr>
        <w:pStyle w:val="7"/>
        <w:rPr>
          <w:rFonts w:hAnsi="宋体" w:cs="宋体"/>
          <w:color w:val="auto"/>
          <w:sz w:val="24"/>
          <w:highlight w:val="none"/>
        </w:rPr>
      </w:pPr>
    </w:p>
    <w:p w14:paraId="7A690EC5">
      <w:pPr>
        <w:pStyle w:val="7"/>
        <w:rPr>
          <w:rFonts w:hAnsi="宋体" w:cs="宋体"/>
          <w:color w:val="auto"/>
          <w:sz w:val="24"/>
          <w:highlight w:val="none"/>
        </w:rPr>
      </w:pPr>
    </w:p>
    <w:p w14:paraId="52215365">
      <w:pPr>
        <w:pStyle w:val="7"/>
        <w:rPr>
          <w:rFonts w:hAnsi="宋体" w:cs="宋体"/>
          <w:color w:val="auto"/>
          <w:sz w:val="24"/>
          <w:highlight w:val="none"/>
        </w:rPr>
      </w:pPr>
    </w:p>
    <w:p w14:paraId="59E0364D">
      <w:pPr>
        <w:pStyle w:val="7"/>
        <w:rPr>
          <w:rFonts w:hAnsi="宋体" w:cs="宋体"/>
          <w:color w:val="auto"/>
          <w:sz w:val="24"/>
          <w:highlight w:val="none"/>
        </w:rPr>
      </w:pPr>
    </w:p>
    <w:p w14:paraId="10BAB07C">
      <w:pPr>
        <w:pStyle w:val="7"/>
        <w:rPr>
          <w:rFonts w:hAnsi="宋体" w:cs="宋体"/>
          <w:color w:val="auto"/>
          <w:sz w:val="24"/>
          <w:highlight w:val="none"/>
        </w:rPr>
      </w:pPr>
    </w:p>
    <w:p w14:paraId="4356B02F">
      <w:pPr>
        <w:pStyle w:val="7"/>
        <w:rPr>
          <w:rFonts w:hAnsi="宋体" w:cs="宋体"/>
          <w:color w:val="auto"/>
          <w:sz w:val="24"/>
          <w:highlight w:val="none"/>
        </w:rPr>
      </w:pPr>
    </w:p>
    <w:p w14:paraId="3929EB7B">
      <w:pPr>
        <w:pStyle w:val="7"/>
        <w:rPr>
          <w:rFonts w:hAnsi="宋体" w:cs="宋体"/>
          <w:color w:val="auto"/>
          <w:sz w:val="24"/>
          <w:highlight w:val="none"/>
        </w:rPr>
      </w:pPr>
    </w:p>
    <w:p w14:paraId="74F01356">
      <w:pPr>
        <w:pStyle w:val="7"/>
        <w:rPr>
          <w:rFonts w:hAnsi="宋体" w:cs="宋体"/>
          <w:color w:val="auto"/>
          <w:sz w:val="24"/>
          <w:highlight w:val="none"/>
        </w:rPr>
      </w:pPr>
    </w:p>
    <w:p w14:paraId="724B2B6D">
      <w:pPr>
        <w:pStyle w:val="7"/>
        <w:rPr>
          <w:rFonts w:hAnsi="宋体" w:cs="宋体"/>
          <w:color w:val="auto"/>
          <w:sz w:val="24"/>
          <w:highlight w:val="none"/>
        </w:rPr>
      </w:pPr>
    </w:p>
    <w:p w14:paraId="7479B5D4">
      <w:pPr>
        <w:pStyle w:val="7"/>
        <w:rPr>
          <w:rFonts w:hAnsi="宋体" w:cs="宋体"/>
          <w:color w:val="auto"/>
          <w:sz w:val="24"/>
          <w:highlight w:val="none"/>
        </w:rPr>
      </w:pPr>
    </w:p>
    <w:p w14:paraId="0842D02A">
      <w:pPr>
        <w:pStyle w:val="7"/>
        <w:rPr>
          <w:rFonts w:hAnsi="宋体" w:cs="宋体"/>
          <w:color w:val="auto"/>
          <w:sz w:val="24"/>
          <w:highlight w:val="none"/>
        </w:rPr>
      </w:pPr>
    </w:p>
    <w:p w14:paraId="71357539">
      <w:pPr>
        <w:pStyle w:val="7"/>
        <w:rPr>
          <w:rFonts w:hAnsi="宋体" w:cs="宋体"/>
          <w:color w:val="auto"/>
          <w:sz w:val="24"/>
          <w:highlight w:val="none"/>
        </w:rPr>
      </w:pPr>
    </w:p>
    <w:p w14:paraId="6186E3EB">
      <w:pPr>
        <w:pStyle w:val="7"/>
        <w:rPr>
          <w:rFonts w:hAnsi="宋体" w:cs="宋体"/>
          <w:color w:val="auto"/>
          <w:sz w:val="24"/>
          <w:highlight w:val="none"/>
        </w:rPr>
      </w:pPr>
    </w:p>
    <w:p w14:paraId="6E58D67E">
      <w:pPr>
        <w:pStyle w:val="7"/>
        <w:rPr>
          <w:rFonts w:hAnsi="宋体" w:cs="宋体"/>
          <w:color w:val="auto"/>
          <w:sz w:val="24"/>
          <w:highlight w:val="none"/>
        </w:rPr>
      </w:pPr>
    </w:p>
    <w:p w14:paraId="0108FFE3">
      <w:pPr>
        <w:pStyle w:val="7"/>
        <w:rPr>
          <w:rFonts w:hAnsi="宋体" w:cs="宋体"/>
          <w:color w:val="auto"/>
          <w:sz w:val="24"/>
          <w:highlight w:val="none"/>
        </w:rPr>
      </w:pPr>
    </w:p>
    <w:p w14:paraId="5504A26E">
      <w:pPr>
        <w:pStyle w:val="7"/>
        <w:rPr>
          <w:rFonts w:hAnsi="宋体" w:cs="宋体"/>
          <w:color w:val="auto"/>
          <w:sz w:val="24"/>
          <w:highlight w:val="none"/>
        </w:rPr>
      </w:pPr>
    </w:p>
    <w:p w14:paraId="4175B0CF">
      <w:pPr>
        <w:pStyle w:val="7"/>
        <w:rPr>
          <w:rFonts w:hAnsi="宋体" w:cs="宋体"/>
          <w:color w:val="auto"/>
          <w:sz w:val="24"/>
          <w:highlight w:val="none"/>
        </w:rPr>
      </w:pPr>
    </w:p>
    <w:p w14:paraId="02A8B22B">
      <w:pPr>
        <w:pStyle w:val="7"/>
        <w:rPr>
          <w:rFonts w:hAnsi="宋体" w:cs="宋体"/>
          <w:color w:val="auto"/>
          <w:sz w:val="24"/>
          <w:highlight w:val="none"/>
        </w:rPr>
      </w:pPr>
    </w:p>
    <w:p w14:paraId="3080285A">
      <w:pPr>
        <w:pStyle w:val="7"/>
        <w:rPr>
          <w:rFonts w:hAnsi="宋体" w:cs="宋体"/>
          <w:color w:val="auto"/>
          <w:sz w:val="24"/>
          <w:highlight w:val="none"/>
        </w:rPr>
      </w:pPr>
    </w:p>
    <w:p w14:paraId="0931738A">
      <w:pPr>
        <w:pStyle w:val="7"/>
        <w:rPr>
          <w:rFonts w:hAnsi="宋体" w:cs="宋体"/>
          <w:color w:val="auto"/>
          <w:sz w:val="24"/>
          <w:highlight w:val="none"/>
        </w:rPr>
      </w:pPr>
    </w:p>
    <w:p w14:paraId="18234C21">
      <w:pPr>
        <w:pStyle w:val="7"/>
        <w:rPr>
          <w:rFonts w:hAnsi="宋体" w:cs="宋体"/>
          <w:color w:val="auto"/>
          <w:sz w:val="24"/>
          <w:highlight w:val="none"/>
        </w:rPr>
      </w:pPr>
    </w:p>
    <w:p w14:paraId="449F786F">
      <w:pPr>
        <w:pStyle w:val="7"/>
        <w:rPr>
          <w:rFonts w:hAnsi="宋体" w:cs="宋体"/>
          <w:color w:val="auto"/>
          <w:sz w:val="24"/>
          <w:highlight w:val="none"/>
        </w:rPr>
      </w:pPr>
    </w:p>
    <w:p w14:paraId="2B42A430">
      <w:pPr>
        <w:pStyle w:val="7"/>
        <w:rPr>
          <w:rFonts w:hAnsi="宋体" w:cs="宋体"/>
          <w:color w:val="auto"/>
          <w:sz w:val="24"/>
          <w:highlight w:val="none"/>
        </w:rPr>
      </w:pPr>
    </w:p>
    <w:p w14:paraId="467FE187">
      <w:pPr>
        <w:pStyle w:val="7"/>
        <w:rPr>
          <w:rFonts w:hAnsi="宋体" w:cs="宋体"/>
          <w:color w:val="auto"/>
          <w:sz w:val="24"/>
          <w:highlight w:val="none"/>
        </w:rPr>
      </w:pPr>
    </w:p>
    <w:p w14:paraId="21EBA83C">
      <w:pPr>
        <w:pStyle w:val="7"/>
        <w:rPr>
          <w:rFonts w:hAnsi="宋体" w:cs="宋体"/>
          <w:color w:val="auto"/>
          <w:sz w:val="24"/>
          <w:highlight w:val="none"/>
        </w:rPr>
      </w:pPr>
    </w:p>
    <w:p w14:paraId="081BB29A">
      <w:pPr>
        <w:pStyle w:val="7"/>
        <w:rPr>
          <w:rFonts w:hAnsi="宋体" w:cs="宋体"/>
          <w:color w:val="auto"/>
          <w:sz w:val="24"/>
          <w:highlight w:val="none"/>
        </w:rPr>
      </w:pPr>
    </w:p>
    <w:p w14:paraId="43459CAF">
      <w:pPr>
        <w:pStyle w:val="7"/>
        <w:rPr>
          <w:rFonts w:hAnsi="宋体" w:cs="宋体"/>
          <w:color w:val="auto"/>
          <w:sz w:val="24"/>
          <w:highlight w:val="none"/>
        </w:rPr>
      </w:pPr>
    </w:p>
    <w:p w14:paraId="039858A5">
      <w:pPr>
        <w:pStyle w:val="7"/>
        <w:rPr>
          <w:rFonts w:hAnsi="宋体" w:cs="宋体"/>
          <w:color w:val="auto"/>
          <w:sz w:val="24"/>
          <w:highlight w:val="none"/>
        </w:rPr>
      </w:pPr>
    </w:p>
    <w:p w14:paraId="4EE2DF3B">
      <w:pPr>
        <w:pStyle w:val="7"/>
        <w:rPr>
          <w:rFonts w:hAnsi="宋体" w:cs="宋体"/>
          <w:color w:val="auto"/>
          <w:sz w:val="24"/>
          <w:highlight w:val="none"/>
        </w:rPr>
      </w:pPr>
    </w:p>
    <w:p w14:paraId="5A920172">
      <w:pPr>
        <w:pStyle w:val="7"/>
        <w:rPr>
          <w:rFonts w:hAnsi="宋体" w:cs="宋体"/>
          <w:color w:val="auto"/>
          <w:sz w:val="24"/>
          <w:highlight w:val="none"/>
        </w:rPr>
      </w:pPr>
    </w:p>
    <w:p w14:paraId="376EB3E0">
      <w:pPr>
        <w:pStyle w:val="7"/>
        <w:rPr>
          <w:rFonts w:hAnsi="宋体" w:cs="宋体"/>
          <w:color w:val="auto"/>
          <w:sz w:val="24"/>
          <w:highlight w:val="none"/>
        </w:rPr>
      </w:pPr>
    </w:p>
    <w:p w14:paraId="2A804E97">
      <w:pPr>
        <w:pStyle w:val="3"/>
        <w:jc w:val="center"/>
        <w:rPr>
          <w:rFonts w:hAnsi="宋体" w:cs="宋体"/>
          <w:color w:val="auto"/>
          <w:sz w:val="28"/>
          <w:highlight w:val="none"/>
        </w:rPr>
      </w:pPr>
      <w:bookmarkStart w:id="157" w:name="_Toc477"/>
      <w:bookmarkStart w:id="158" w:name="_Toc6342"/>
      <w:r>
        <w:rPr>
          <w:rFonts w:hint="eastAsia" w:hAnsi="宋体" w:cs="宋体"/>
          <w:color w:val="auto"/>
          <w:sz w:val="28"/>
          <w:highlight w:val="none"/>
        </w:rPr>
        <w:t>（</w:t>
      </w:r>
      <w:r>
        <w:rPr>
          <w:rFonts w:hint="eastAsia" w:hAnsi="宋体" w:cs="宋体"/>
          <w:color w:val="auto"/>
          <w:sz w:val="28"/>
          <w:highlight w:val="none"/>
          <w:lang w:val="en-US" w:eastAsia="zh-CN"/>
        </w:rPr>
        <w:t>五</w:t>
      </w:r>
      <w:r>
        <w:rPr>
          <w:rFonts w:hint="eastAsia" w:hAnsi="宋体" w:cs="宋体"/>
          <w:color w:val="auto"/>
          <w:sz w:val="28"/>
          <w:highlight w:val="none"/>
        </w:rPr>
        <w:t>）</w:t>
      </w:r>
      <w:bookmarkEnd w:id="157"/>
      <w:bookmarkEnd w:id="158"/>
      <w:r>
        <w:rPr>
          <w:rFonts w:hint="eastAsia" w:hAnsi="宋体" w:cs="宋体"/>
          <w:color w:val="auto"/>
          <w:sz w:val="28"/>
          <w:highlight w:val="none"/>
        </w:rPr>
        <w:t>具有依法缴纳税收和社会保障资金的良好记录</w:t>
      </w:r>
    </w:p>
    <w:p w14:paraId="32FCBD35">
      <w:pPr>
        <w:pStyle w:val="7"/>
        <w:rPr>
          <w:rFonts w:hAnsi="宋体" w:cs="宋体"/>
          <w:color w:val="auto"/>
          <w:sz w:val="24"/>
          <w:highlight w:val="none"/>
        </w:rPr>
      </w:pPr>
    </w:p>
    <w:p w14:paraId="457DA096">
      <w:pPr>
        <w:pStyle w:val="7"/>
        <w:jc w:val="center"/>
        <w:rPr>
          <w:rFonts w:hAnsi="宋体" w:cs="宋体"/>
          <w:color w:val="auto"/>
          <w:sz w:val="24"/>
          <w:highlight w:val="none"/>
        </w:rPr>
      </w:pPr>
      <w:r>
        <w:rPr>
          <w:rFonts w:hint="eastAsia" w:hAnsi="宋体" w:cs="宋体"/>
          <w:color w:val="auto"/>
          <w:sz w:val="24"/>
          <w:highlight w:val="none"/>
        </w:rPr>
        <w:t>（提供相关证明材料，格式自拟）</w:t>
      </w:r>
    </w:p>
    <w:p w14:paraId="6A9EE7B8">
      <w:pPr>
        <w:pStyle w:val="7"/>
        <w:rPr>
          <w:rFonts w:hAnsi="宋体" w:cs="宋体"/>
          <w:color w:val="auto"/>
          <w:sz w:val="24"/>
          <w:highlight w:val="none"/>
        </w:rPr>
      </w:pPr>
    </w:p>
    <w:p w14:paraId="6C89160F">
      <w:pPr>
        <w:pStyle w:val="7"/>
        <w:rPr>
          <w:rFonts w:hAnsi="宋体" w:cs="宋体"/>
          <w:color w:val="auto"/>
          <w:sz w:val="24"/>
          <w:highlight w:val="none"/>
        </w:rPr>
      </w:pPr>
    </w:p>
    <w:p w14:paraId="566F97DB">
      <w:pPr>
        <w:pStyle w:val="7"/>
        <w:rPr>
          <w:rFonts w:hAnsi="宋体" w:cs="宋体"/>
          <w:color w:val="auto"/>
          <w:sz w:val="24"/>
          <w:highlight w:val="none"/>
        </w:rPr>
      </w:pPr>
    </w:p>
    <w:p w14:paraId="0BE2F563">
      <w:pPr>
        <w:pStyle w:val="7"/>
        <w:rPr>
          <w:rFonts w:hAnsi="宋体" w:cs="宋体"/>
          <w:color w:val="auto"/>
          <w:sz w:val="24"/>
          <w:highlight w:val="none"/>
        </w:rPr>
      </w:pPr>
    </w:p>
    <w:p w14:paraId="1EB69F26">
      <w:pPr>
        <w:pStyle w:val="7"/>
        <w:rPr>
          <w:rFonts w:hAnsi="宋体" w:cs="宋体"/>
          <w:color w:val="auto"/>
          <w:sz w:val="24"/>
          <w:highlight w:val="none"/>
        </w:rPr>
      </w:pPr>
    </w:p>
    <w:p w14:paraId="55A3F799">
      <w:pPr>
        <w:pStyle w:val="7"/>
        <w:rPr>
          <w:rFonts w:hAnsi="宋体" w:cs="宋体"/>
          <w:color w:val="auto"/>
          <w:sz w:val="24"/>
          <w:highlight w:val="none"/>
        </w:rPr>
      </w:pPr>
    </w:p>
    <w:p w14:paraId="5A9F12F2">
      <w:pPr>
        <w:pStyle w:val="7"/>
        <w:rPr>
          <w:rFonts w:hAnsi="宋体" w:cs="宋体"/>
          <w:color w:val="auto"/>
          <w:sz w:val="24"/>
          <w:highlight w:val="none"/>
        </w:rPr>
      </w:pPr>
    </w:p>
    <w:p w14:paraId="0732C90B">
      <w:pPr>
        <w:pStyle w:val="7"/>
        <w:rPr>
          <w:rFonts w:hAnsi="宋体" w:cs="宋体"/>
          <w:color w:val="auto"/>
          <w:sz w:val="24"/>
          <w:highlight w:val="none"/>
        </w:rPr>
      </w:pPr>
    </w:p>
    <w:p w14:paraId="10ED563C">
      <w:pPr>
        <w:pStyle w:val="7"/>
        <w:rPr>
          <w:rFonts w:hAnsi="宋体" w:cs="宋体"/>
          <w:color w:val="auto"/>
          <w:sz w:val="24"/>
          <w:highlight w:val="none"/>
        </w:rPr>
      </w:pPr>
    </w:p>
    <w:p w14:paraId="6164B6FB">
      <w:pPr>
        <w:pStyle w:val="7"/>
        <w:rPr>
          <w:rFonts w:hAnsi="宋体" w:cs="宋体"/>
          <w:color w:val="auto"/>
          <w:sz w:val="24"/>
          <w:highlight w:val="none"/>
        </w:rPr>
      </w:pPr>
    </w:p>
    <w:p w14:paraId="346318BD">
      <w:pPr>
        <w:pStyle w:val="7"/>
        <w:rPr>
          <w:rFonts w:hAnsi="宋体" w:cs="宋体"/>
          <w:color w:val="auto"/>
          <w:sz w:val="24"/>
          <w:highlight w:val="none"/>
        </w:rPr>
      </w:pPr>
    </w:p>
    <w:p w14:paraId="2B3AFC1F">
      <w:pPr>
        <w:pStyle w:val="7"/>
        <w:rPr>
          <w:rFonts w:hAnsi="宋体" w:cs="宋体"/>
          <w:color w:val="auto"/>
          <w:sz w:val="24"/>
          <w:highlight w:val="none"/>
        </w:rPr>
      </w:pPr>
    </w:p>
    <w:p w14:paraId="360ED155">
      <w:pPr>
        <w:pStyle w:val="7"/>
        <w:rPr>
          <w:rFonts w:hAnsi="宋体" w:cs="宋体"/>
          <w:color w:val="auto"/>
          <w:sz w:val="24"/>
          <w:highlight w:val="none"/>
        </w:rPr>
      </w:pPr>
    </w:p>
    <w:p w14:paraId="60ABC8A8">
      <w:pPr>
        <w:pStyle w:val="7"/>
        <w:rPr>
          <w:rFonts w:hAnsi="宋体" w:cs="宋体"/>
          <w:color w:val="auto"/>
          <w:sz w:val="24"/>
          <w:highlight w:val="none"/>
        </w:rPr>
      </w:pPr>
    </w:p>
    <w:p w14:paraId="21D20CE5">
      <w:pPr>
        <w:pStyle w:val="7"/>
        <w:rPr>
          <w:rFonts w:hAnsi="宋体" w:cs="宋体"/>
          <w:color w:val="auto"/>
          <w:sz w:val="24"/>
          <w:highlight w:val="none"/>
        </w:rPr>
      </w:pPr>
    </w:p>
    <w:p w14:paraId="47EB9E99">
      <w:pPr>
        <w:pStyle w:val="7"/>
        <w:rPr>
          <w:rFonts w:hAnsi="宋体" w:cs="宋体"/>
          <w:color w:val="auto"/>
          <w:sz w:val="24"/>
          <w:highlight w:val="none"/>
        </w:rPr>
      </w:pPr>
    </w:p>
    <w:p w14:paraId="07B68538">
      <w:pPr>
        <w:pStyle w:val="7"/>
        <w:rPr>
          <w:rFonts w:hAnsi="宋体" w:cs="宋体"/>
          <w:color w:val="auto"/>
          <w:sz w:val="24"/>
          <w:highlight w:val="none"/>
        </w:rPr>
      </w:pPr>
    </w:p>
    <w:p w14:paraId="4EB3AB44">
      <w:pPr>
        <w:pStyle w:val="7"/>
        <w:rPr>
          <w:rFonts w:hAnsi="宋体" w:cs="宋体"/>
          <w:color w:val="auto"/>
          <w:sz w:val="24"/>
          <w:highlight w:val="none"/>
        </w:rPr>
      </w:pPr>
    </w:p>
    <w:p w14:paraId="55E4436F">
      <w:pPr>
        <w:pStyle w:val="7"/>
        <w:rPr>
          <w:rFonts w:hAnsi="宋体" w:cs="宋体"/>
          <w:color w:val="auto"/>
          <w:sz w:val="24"/>
          <w:highlight w:val="none"/>
        </w:rPr>
      </w:pPr>
    </w:p>
    <w:p w14:paraId="15E9D684">
      <w:pPr>
        <w:pStyle w:val="7"/>
        <w:rPr>
          <w:rFonts w:hAnsi="宋体" w:cs="宋体"/>
          <w:color w:val="auto"/>
          <w:sz w:val="24"/>
          <w:highlight w:val="none"/>
        </w:rPr>
      </w:pPr>
    </w:p>
    <w:p w14:paraId="1D39FA33">
      <w:pPr>
        <w:pStyle w:val="7"/>
        <w:rPr>
          <w:rFonts w:hAnsi="宋体" w:cs="宋体"/>
          <w:color w:val="auto"/>
          <w:sz w:val="24"/>
          <w:highlight w:val="none"/>
        </w:rPr>
      </w:pPr>
    </w:p>
    <w:p w14:paraId="5CE68014">
      <w:pPr>
        <w:pStyle w:val="7"/>
        <w:rPr>
          <w:rFonts w:hAnsi="宋体" w:cs="宋体"/>
          <w:color w:val="auto"/>
          <w:sz w:val="24"/>
          <w:highlight w:val="none"/>
        </w:rPr>
      </w:pPr>
    </w:p>
    <w:p w14:paraId="6A89F13D">
      <w:pPr>
        <w:pStyle w:val="7"/>
        <w:rPr>
          <w:rFonts w:hAnsi="宋体" w:cs="宋体"/>
          <w:color w:val="auto"/>
          <w:sz w:val="24"/>
          <w:highlight w:val="none"/>
        </w:rPr>
      </w:pPr>
    </w:p>
    <w:p w14:paraId="3F6F11E8">
      <w:pPr>
        <w:pStyle w:val="7"/>
        <w:rPr>
          <w:rFonts w:hAnsi="宋体" w:cs="宋体"/>
          <w:color w:val="auto"/>
          <w:sz w:val="24"/>
          <w:highlight w:val="none"/>
        </w:rPr>
      </w:pPr>
    </w:p>
    <w:p w14:paraId="4AD74EB2">
      <w:pPr>
        <w:pStyle w:val="7"/>
        <w:rPr>
          <w:rFonts w:hAnsi="宋体" w:cs="宋体"/>
          <w:color w:val="auto"/>
          <w:sz w:val="24"/>
          <w:highlight w:val="none"/>
        </w:rPr>
      </w:pPr>
    </w:p>
    <w:p w14:paraId="3EA5E57A">
      <w:pPr>
        <w:pStyle w:val="7"/>
        <w:rPr>
          <w:rFonts w:hAnsi="宋体" w:cs="宋体"/>
          <w:color w:val="auto"/>
          <w:sz w:val="24"/>
          <w:highlight w:val="none"/>
        </w:rPr>
      </w:pPr>
    </w:p>
    <w:p w14:paraId="0641E966">
      <w:pPr>
        <w:pStyle w:val="7"/>
        <w:rPr>
          <w:rFonts w:hAnsi="宋体" w:cs="宋体"/>
          <w:color w:val="auto"/>
          <w:sz w:val="24"/>
          <w:highlight w:val="none"/>
        </w:rPr>
      </w:pPr>
    </w:p>
    <w:p w14:paraId="1EE3E766">
      <w:pPr>
        <w:pStyle w:val="7"/>
        <w:rPr>
          <w:rFonts w:hAnsi="宋体" w:cs="宋体"/>
          <w:color w:val="auto"/>
          <w:sz w:val="24"/>
          <w:highlight w:val="none"/>
        </w:rPr>
      </w:pPr>
    </w:p>
    <w:p w14:paraId="7B05CC94">
      <w:pPr>
        <w:pStyle w:val="7"/>
        <w:rPr>
          <w:rFonts w:hAnsi="宋体" w:cs="宋体"/>
          <w:color w:val="auto"/>
          <w:sz w:val="24"/>
          <w:highlight w:val="none"/>
        </w:rPr>
      </w:pPr>
    </w:p>
    <w:p w14:paraId="00FCF7BC">
      <w:pPr>
        <w:pStyle w:val="7"/>
        <w:rPr>
          <w:rFonts w:hAnsi="宋体" w:cs="宋体"/>
          <w:color w:val="auto"/>
          <w:sz w:val="24"/>
          <w:highlight w:val="none"/>
        </w:rPr>
      </w:pPr>
    </w:p>
    <w:p w14:paraId="3FB6AD2C">
      <w:pPr>
        <w:pStyle w:val="7"/>
        <w:rPr>
          <w:rFonts w:hAnsi="宋体" w:cs="宋体"/>
          <w:color w:val="auto"/>
          <w:sz w:val="24"/>
          <w:highlight w:val="none"/>
        </w:rPr>
      </w:pPr>
    </w:p>
    <w:p w14:paraId="61D1D0F4">
      <w:pPr>
        <w:pStyle w:val="7"/>
        <w:rPr>
          <w:rFonts w:hAnsi="宋体" w:cs="宋体"/>
          <w:color w:val="auto"/>
          <w:sz w:val="24"/>
          <w:highlight w:val="none"/>
        </w:rPr>
      </w:pPr>
    </w:p>
    <w:p w14:paraId="6E0E56A7">
      <w:pPr>
        <w:pStyle w:val="7"/>
        <w:rPr>
          <w:rFonts w:hAnsi="宋体" w:cs="宋体"/>
          <w:color w:val="auto"/>
          <w:sz w:val="24"/>
          <w:highlight w:val="none"/>
        </w:rPr>
      </w:pPr>
    </w:p>
    <w:p w14:paraId="04D2670A">
      <w:pPr>
        <w:pStyle w:val="7"/>
        <w:rPr>
          <w:rFonts w:hAnsi="宋体" w:cs="宋体"/>
          <w:color w:val="auto"/>
          <w:sz w:val="24"/>
          <w:highlight w:val="none"/>
        </w:rPr>
      </w:pPr>
    </w:p>
    <w:p w14:paraId="34DB0688">
      <w:pPr>
        <w:pStyle w:val="7"/>
        <w:rPr>
          <w:rFonts w:hAnsi="宋体" w:cs="宋体"/>
          <w:color w:val="auto"/>
          <w:sz w:val="24"/>
          <w:highlight w:val="none"/>
        </w:rPr>
      </w:pPr>
    </w:p>
    <w:p w14:paraId="12D69D72">
      <w:pPr>
        <w:pStyle w:val="7"/>
        <w:rPr>
          <w:rFonts w:hAnsi="宋体" w:cs="宋体"/>
          <w:color w:val="auto"/>
          <w:sz w:val="24"/>
          <w:highlight w:val="none"/>
        </w:rPr>
      </w:pPr>
    </w:p>
    <w:p w14:paraId="48497279">
      <w:pPr>
        <w:pStyle w:val="7"/>
        <w:rPr>
          <w:rFonts w:hAnsi="宋体" w:cs="宋体"/>
          <w:color w:val="auto"/>
          <w:sz w:val="24"/>
          <w:highlight w:val="none"/>
        </w:rPr>
      </w:pPr>
    </w:p>
    <w:p w14:paraId="4F785E2E">
      <w:pPr>
        <w:pStyle w:val="7"/>
        <w:rPr>
          <w:rFonts w:hAnsi="宋体" w:cs="宋体"/>
          <w:color w:val="auto"/>
          <w:sz w:val="24"/>
          <w:highlight w:val="none"/>
        </w:rPr>
      </w:pPr>
    </w:p>
    <w:p w14:paraId="53ACAF3D">
      <w:pPr>
        <w:pStyle w:val="7"/>
        <w:rPr>
          <w:rFonts w:hAnsi="宋体" w:cs="宋体"/>
          <w:color w:val="auto"/>
          <w:sz w:val="24"/>
          <w:highlight w:val="none"/>
        </w:rPr>
      </w:pPr>
    </w:p>
    <w:p w14:paraId="391597D1">
      <w:pPr>
        <w:keepNext/>
        <w:keepLines/>
        <w:widowControl w:val="0"/>
        <w:spacing w:before="260" w:after="260" w:line="460" w:lineRule="exact"/>
        <w:jc w:val="center"/>
        <w:outlineLvl w:val="1"/>
        <w:rPr>
          <w:rFonts w:ascii="仿宋_GB2312" w:eastAsia="仿宋_GB2312"/>
          <w:b/>
          <w:color w:val="auto"/>
          <w:spacing w:val="6"/>
          <w:sz w:val="30"/>
          <w:szCs w:val="30"/>
          <w:highlight w:val="none"/>
        </w:rPr>
      </w:pPr>
      <w:bookmarkStart w:id="159" w:name="_Toc31437"/>
      <w:bookmarkStart w:id="160" w:name="_Toc22700"/>
      <w:bookmarkStart w:id="161" w:name="_Toc4398"/>
      <w:r>
        <w:rPr>
          <w:rFonts w:hint="eastAsia" w:ascii="宋体" w:hAnsi="宋体" w:cs="宋体"/>
          <w:b/>
          <w:color w:val="auto"/>
          <w:kern w:val="2"/>
          <w:sz w:val="28"/>
          <w:szCs w:val="24"/>
          <w:highlight w:val="none"/>
          <w:lang w:val="en-US" w:eastAsia="zh-CN" w:bidi="ar-SA"/>
        </w:rPr>
        <w:t>（六）</w:t>
      </w:r>
      <w:r>
        <w:rPr>
          <w:rFonts w:hint="eastAsia" w:ascii="宋体" w:hAnsi="宋体" w:eastAsia="宋体" w:cs="宋体"/>
          <w:b/>
          <w:color w:val="auto"/>
          <w:kern w:val="2"/>
          <w:sz w:val="28"/>
          <w:szCs w:val="24"/>
          <w:highlight w:val="none"/>
          <w:lang w:val="en-US" w:eastAsia="zh-CN" w:bidi="ar-SA"/>
        </w:rPr>
        <w:t>中小企业声明函</w:t>
      </w:r>
      <w:bookmarkEnd w:id="159"/>
      <w:bookmarkEnd w:id="160"/>
      <w:bookmarkEnd w:id="161"/>
    </w:p>
    <w:p w14:paraId="339288CB">
      <w:pPr>
        <w:widowControl/>
        <w:spacing w:line="46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lang w:bidi="ar"/>
        </w:rPr>
        <w:t>本公司</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郑重声明，根据《政府采购促进中小企业发展管理办法》（财库﹝2020﹞46 号）的规定，本公司</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参加</w:t>
      </w:r>
      <w:r>
        <w:rPr>
          <w:rFonts w:hint="eastAsia" w:ascii="宋体" w:hAnsi="宋体" w:cs="宋体"/>
          <w:color w:val="auto"/>
          <w:kern w:val="0"/>
          <w:sz w:val="24"/>
          <w:highlight w:val="none"/>
          <w:u w:val="single"/>
          <w:lang w:bidi="ar"/>
        </w:rPr>
        <w:t xml:space="preserve">   （单位名称）   </w:t>
      </w:r>
      <w:r>
        <w:rPr>
          <w:rFonts w:hint="eastAsia" w:ascii="宋体" w:hAnsi="宋体" w:cs="宋体"/>
          <w:color w:val="auto"/>
          <w:kern w:val="0"/>
          <w:sz w:val="24"/>
          <w:highlight w:val="none"/>
          <w:lang w:bidi="ar"/>
        </w:rPr>
        <w:t>的</w:t>
      </w:r>
      <w:r>
        <w:rPr>
          <w:rFonts w:hint="eastAsia" w:ascii="宋体" w:hAnsi="宋体" w:cs="宋体"/>
          <w:color w:val="auto"/>
          <w:kern w:val="0"/>
          <w:sz w:val="24"/>
          <w:highlight w:val="none"/>
          <w:u w:val="single"/>
          <w:lang w:bidi="ar"/>
        </w:rPr>
        <w:t xml:space="preserve">   （项目名称）</w:t>
      </w:r>
      <w:r>
        <w:rPr>
          <w:rFonts w:hint="eastAsia"/>
          <w:color w:val="auto"/>
          <w:sz w:val="24"/>
          <w:highlight w:val="none"/>
          <w:u w:val="single"/>
          <w:lang w:eastAsia="zh-CN"/>
        </w:rPr>
        <w:t>（标段号）</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采购活动，服务全部由符合政策要求的中小企业承接。相关企业（含联合体中的中小企业、签订分包意向协议的中小企业）的具体情况如下：</w:t>
      </w:r>
    </w:p>
    <w:p w14:paraId="3D38AECE">
      <w:pPr>
        <w:widowControl/>
        <w:spacing w:line="460" w:lineRule="exact"/>
        <w:jc w:val="left"/>
        <w:rPr>
          <w:rFonts w:ascii="宋体" w:hAnsi="宋体" w:cs="宋体"/>
          <w:color w:val="auto"/>
          <w:sz w:val="24"/>
          <w:highlight w:val="none"/>
        </w:rPr>
      </w:pPr>
      <w:r>
        <w:rPr>
          <w:rFonts w:hint="eastAsia" w:ascii="宋体" w:hAnsi="宋体" w:cs="宋体"/>
          <w:color w:val="auto"/>
          <w:kern w:val="0"/>
          <w:sz w:val="24"/>
          <w:highlight w:val="none"/>
          <w:lang w:bidi="ar"/>
        </w:rPr>
        <w:t>1.</w:t>
      </w:r>
      <w:r>
        <w:rPr>
          <w:rFonts w:hint="eastAsia" w:ascii="宋体" w:hAnsi="宋体" w:cs="宋体"/>
          <w:color w:val="auto"/>
          <w:kern w:val="0"/>
          <w:sz w:val="24"/>
          <w:highlight w:val="none"/>
          <w:u w:val="single"/>
          <w:lang w:bidi="ar"/>
        </w:rPr>
        <w:t xml:space="preserve"> （标的名称） </w:t>
      </w:r>
      <w:r>
        <w:rPr>
          <w:rFonts w:hint="eastAsia" w:ascii="宋体" w:hAnsi="宋体" w:cs="宋体"/>
          <w:color w:val="auto"/>
          <w:kern w:val="0"/>
          <w:sz w:val="24"/>
          <w:highlight w:val="none"/>
          <w:lang w:bidi="ar"/>
        </w:rPr>
        <w:t>，属于</w:t>
      </w:r>
      <w:r>
        <w:rPr>
          <w:rFonts w:hint="eastAsia" w:ascii="宋体" w:hAnsi="宋体" w:cs="宋体"/>
          <w:color w:val="auto"/>
          <w:kern w:val="0"/>
          <w:sz w:val="24"/>
          <w:highlight w:val="none"/>
          <w:u w:val="single"/>
          <w:lang w:bidi="ar"/>
        </w:rPr>
        <w:t>（采购文件中明确的所属行业）</w:t>
      </w:r>
      <w:r>
        <w:rPr>
          <w:rFonts w:hint="eastAsia" w:ascii="宋体" w:hAnsi="宋体" w:cs="宋体"/>
          <w:color w:val="auto"/>
          <w:kern w:val="0"/>
          <w:sz w:val="24"/>
          <w:highlight w:val="none"/>
          <w:lang w:bidi="ar"/>
        </w:rPr>
        <w:t>；承建（承接）企业为</w:t>
      </w:r>
      <w:r>
        <w:rPr>
          <w:rFonts w:hint="eastAsia" w:ascii="宋体" w:hAnsi="宋体" w:cs="宋体"/>
          <w:color w:val="auto"/>
          <w:kern w:val="0"/>
          <w:sz w:val="24"/>
          <w:highlight w:val="none"/>
          <w:u w:val="single"/>
          <w:lang w:bidi="ar"/>
        </w:rPr>
        <w:t xml:space="preserve">   （企业名称）   </w:t>
      </w:r>
      <w:r>
        <w:rPr>
          <w:rFonts w:hint="eastAsia" w:ascii="宋体" w:hAnsi="宋体" w:cs="宋体"/>
          <w:color w:val="auto"/>
          <w:kern w:val="0"/>
          <w:sz w:val="24"/>
          <w:highlight w:val="none"/>
          <w:lang w:bidi="ar"/>
        </w:rPr>
        <w:t>，从业人员</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人，营业收入为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万元，资产总额为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w:t>
      </w:r>
      <w:r>
        <w:rPr>
          <w:rFonts w:hint="eastAsia" w:ascii="宋体" w:hAnsi="宋体" w:cs="宋体"/>
          <w:color w:val="auto"/>
          <w:kern w:val="0"/>
          <w:sz w:val="24"/>
          <w:highlight w:val="none"/>
          <w:vertAlign w:val="superscript"/>
          <w:lang w:bidi="ar"/>
        </w:rPr>
        <w:t>1</w:t>
      </w:r>
      <w:r>
        <w:rPr>
          <w:rFonts w:hint="eastAsia" w:ascii="宋体" w:hAnsi="宋体" w:cs="宋体"/>
          <w:color w:val="auto"/>
          <w:kern w:val="0"/>
          <w:sz w:val="24"/>
          <w:highlight w:val="none"/>
          <w:lang w:bidi="ar"/>
        </w:rPr>
        <w:t>，属于</w:t>
      </w:r>
      <w:r>
        <w:rPr>
          <w:rFonts w:hint="eastAsia" w:ascii="宋体" w:hAnsi="宋体" w:cs="宋体"/>
          <w:color w:val="auto"/>
          <w:kern w:val="0"/>
          <w:sz w:val="24"/>
          <w:highlight w:val="none"/>
          <w:u w:val="single"/>
          <w:lang w:bidi="ar"/>
        </w:rPr>
        <w:t>（中型企业、小型企业、微型企业）</w:t>
      </w:r>
      <w:r>
        <w:rPr>
          <w:rFonts w:hint="eastAsia" w:ascii="宋体" w:hAnsi="宋体" w:cs="宋体"/>
          <w:color w:val="auto"/>
          <w:kern w:val="0"/>
          <w:sz w:val="24"/>
          <w:highlight w:val="none"/>
          <w:lang w:bidi="ar"/>
        </w:rPr>
        <w:t>；</w:t>
      </w:r>
    </w:p>
    <w:p w14:paraId="487C1D00">
      <w:pPr>
        <w:widowControl/>
        <w:spacing w:line="460" w:lineRule="exact"/>
        <w:jc w:val="left"/>
        <w:rPr>
          <w:rFonts w:ascii="宋体" w:hAnsi="宋体" w:cs="宋体"/>
          <w:color w:val="auto"/>
          <w:sz w:val="24"/>
          <w:highlight w:val="none"/>
        </w:rPr>
      </w:pPr>
      <w:r>
        <w:rPr>
          <w:rFonts w:hint="eastAsia" w:ascii="宋体" w:hAnsi="宋体" w:cs="宋体"/>
          <w:color w:val="auto"/>
          <w:kern w:val="0"/>
          <w:sz w:val="24"/>
          <w:highlight w:val="none"/>
          <w:lang w:bidi="ar"/>
        </w:rPr>
        <w:t>2</w:t>
      </w:r>
      <w:r>
        <w:rPr>
          <w:rFonts w:hint="eastAsia" w:ascii="宋体" w:hAnsi="宋体" w:cs="宋体"/>
          <w:color w:val="auto"/>
          <w:kern w:val="0"/>
          <w:sz w:val="24"/>
          <w:highlight w:val="none"/>
          <w:u w:val="single"/>
          <w:lang w:bidi="ar"/>
        </w:rPr>
        <w:t xml:space="preserve">. （标的名称） </w:t>
      </w:r>
      <w:r>
        <w:rPr>
          <w:rFonts w:hint="eastAsia" w:ascii="宋体" w:hAnsi="宋体" w:cs="宋体"/>
          <w:color w:val="auto"/>
          <w:kern w:val="0"/>
          <w:sz w:val="24"/>
          <w:highlight w:val="none"/>
          <w:lang w:bidi="ar"/>
        </w:rPr>
        <w:t>，属于</w:t>
      </w:r>
      <w:r>
        <w:rPr>
          <w:rFonts w:hint="eastAsia" w:ascii="宋体" w:hAnsi="宋体" w:cs="宋体"/>
          <w:color w:val="auto"/>
          <w:kern w:val="0"/>
          <w:sz w:val="24"/>
          <w:highlight w:val="none"/>
          <w:u w:val="single"/>
          <w:lang w:bidi="ar"/>
        </w:rPr>
        <w:t>（采购文件中明确的所属行业）</w:t>
      </w:r>
      <w:r>
        <w:rPr>
          <w:rFonts w:hint="eastAsia" w:ascii="宋体" w:hAnsi="宋体" w:cs="宋体"/>
          <w:color w:val="auto"/>
          <w:kern w:val="0"/>
          <w:sz w:val="24"/>
          <w:highlight w:val="none"/>
          <w:lang w:bidi="ar"/>
        </w:rPr>
        <w:t>；承建（承接）企业为</w:t>
      </w:r>
      <w:r>
        <w:rPr>
          <w:rFonts w:hint="eastAsia" w:ascii="宋体" w:hAnsi="宋体" w:cs="宋体"/>
          <w:color w:val="auto"/>
          <w:kern w:val="0"/>
          <w:sz w:val="24"/>
          <w:highlight w:val="none"/>
          <w:u w:val="single"/>
          <w:lang w:bidi="ar"/>
        </w:rPr>
        <w:t>（企业名称）</w:t>
      </w:r>
      <w:r>
        <w:rPr>
          <w:rFonts w:hint="eastAsia" w:ascii="宋体" w:hAnsi="宋体" w:cs="宋体"/>
          <w:color w:val="auto"/>
          <w:kern w:val="0"/>
          <w:sz w:val="24"/>
          <w:highlight w:val="none"/>
          <w:lang w:bidi="ar"/>
        </w:rPr>
        <w:t>，从业人员</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人，营业收入为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万元，资产总额为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万元，属于</w:t>
      </w:r>
      <w:r>
        <w:rPr>
          <w:rFonts w:hint="eastAsia" w:ascii="宋体" w:hAnsi="宋体" w:cs="宋体"/>
          <w:color w:val="auto"/>
          <w:kern w:val="0"/>
          <w:sz w:val="24"/>
          <w:highlight w:val="none"/>
          <w:u w:val="single"/>
          <w:lang w:bidi="ar"/>
        </w:rPr>
        <w:t>（中型企业、小型企业、微型企业）</w:t>
      </w:r>
      <w:r>
        <w:rPr>
          <w:rFonts w:hint="eastAsia" w:ascii="宋体" w:hAnsi="宋体" w:cs="宋体"/>
          <w:color w:val="auto"/>
          <w:kern w:val="0"/>
          <w:sz w:val="24"/>
          <w:highlight w:val="none"/>
          <w:lang w:bidi="ar"/>
        </w:rPr>
        <w:t>；</w:t>
      </w:r>
    </w:p>
    <w:p w14:paraId="5EB699F1">
      <w:pPr>
        <w:widowControl/>
        <w:spacing w:line="460" w:lineRule="exact"/>
        <w:jc w:val="left"/>
        <w:rPr>
          <w:rFonts w:ascii="宋体" w:hAnsi="宋体" w:cs="宋体"/>
          <w:color w:val="auto"/>
          <w:sz w:val="24"/>
          <w:highlight w:val="none"/>
        </w:rPr>
      </w:pPr>
      <w:r>
        <w:rPr>
          <w:rFonts w:hint="eastAsia" w:ascii="宋体" w:hAnsi="宋体" w:cs="宋体"/>
          <w:color w:val="auto"/>
          <w:kern w:val="0"/>
          <w:sz w:val="24"/>
          <w:highlight w:val="none"/>
          <w:lang w:bidi="ar"/>
        </w:rPr>
        <w:t>……</w:t>
      </w:r>
    </w:p>
    <w:p w14:paraId="17945871">
      <w:pPr>
        <w:widowControl/>
        <w:spacing w:line="460" w:lineRule="exact"/>
        <w:jc w:val="left"/>
        <w:rPr>
          <w:rFonts w:ascii="宋体" w:hAnsi="宋体" w:cs="宋体"/>
          <w:color w:val="auto"/>
          <w:sz w:val="24"/>
          <w:highlight w:val="none"/>
        </w:rPr>
      </w:pPr>
      <w:r>
        <w:rPr>
          <w:rFonts w:hint="eastAsia" w:ascii="宋体" w:hAnsi="宋体" w:cs="宋体"/>
          <w:color w:val="auto"/>
          <w:kern w:val="0"/>
          <w:sz w:val="24"/>
          <w:highlight w:val="none"/>
          <w:lang w:bidi="ar"/>
        </w:rPr>
        <w:t>以上企业，不属于大企业的分支机构，不存在控股股东为大企业的情形，也不存在与大企业的负责人为同一人的情形。</w:t>
      </w:r>
    </w:p>
    <w:p w14:paraId="1B7D8FC2">
      <w:pPr>
        <w:widowControl/>
        <w:spacing w:line="460" w:lineRule="exact"/>
        <w:jc w:val="left"/>
        <w:rPr>
          <w:rFonts w:ascii="宋体" w:hAnsi="宋体" w:cs="宋体"/>
          <w:color w:val="auto"/>
          <w:sz w:val="24"/>
          <w:highlight w:val="none"/>
        </w:rPr>
      </w:pPr>
      <w:r>
        <w:rPr>
          <w:rFonts w:hint="eastAsia" w:ascii="宋体" w:hAnsi="宋体" w:cs="宋体"/>
          <w:color w:val="auto"/>
          <w:kern w:val="0"/>
          <w:sz w:val="24"/>
          <w:highlight w:val="none"/>
          <w:lang w:bidi="ar"/>
        </w:rPr>
        <w:t>本企业对上述声明内容的真实性负责。如有虚假，将依法承担相应责任。</w:t>
      </w:r>
    </w:p>
    <w:p w14:paraId="24A99CF2">
      <w:pPr>
        <w:widowControl/>
        <w:spacing w:line="460" w:lineRule="exact"/>
        <w:jc w:val="left"/>
        <w:rPr>
          <w:rFonts w:ascii="宋体" w:hAnsi="宋体" w:cs="宋体"/>
          <w:color w:val="auto"/>
          <w:kern w:val="0"/>
          <w:sz w:val="24"/>
          <w:highlight w:val="none"/>
          <w:lang w:bidi="ar"/>
        </w:rPr>
      </w:pPr>
    </w:p>
    <w:p w14:paraId="084D80C7">
      <w:pPr>
        <w:spacing w:line="500" w:lineRule="exact"/>
        <w:jc w:val="left"/>
        <w:rPr>
          <w:rFonts w:ascii="宋体" w:hAnsi="宋体"/>
          <w:color w:val="auto"/>
          <w:sz w:val="24"/>
          <w:highlight w:val="none"/>
          <w:u w:val="single"/>
        </w:rPr>
      </w:pPr>
      <w:r>
        <w:rPr>
          <w:rFonts w:hint="eastAsia" w:ascii="宋体" w:hAnsi="宋体" w:cs="宋体"/>
          <w:color w:val="auto"/>
          <w:kern w:val="0"/>
          <w:sz w:val="24"/>
          <w:highlight w:val="none"/>
          <w:lang w:bidi="ar"/>
        </w:rPr>
        <w:t xml:space="preserve">                                                </w:t>
      </w:r>
      <w:r>
        <w:rPr>
          <w:rFonts w:hint="eastAsia" w:ascii="宋体" w:hAnsi="宋体"/>
          <w:bCs/>
          <w:color w:val="auto"/>
          <w:sz w:val="24"/>
          <w:highlight w:val="none"/>
        </w:rPr>
        <w:t>投标人(电子签章)</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p>
    <w:p w14:paraId="7CC367E5">
      <w:pPr>
        <w:spacing w:line="500" w:lineRule="exact"/>
        <w:ind w:firstLine="2880" w:firstLineChars="1200"/>
        <w:jc w:val="left"/>
        <w:rPr>
          <w:rFonts w:ascii="宋体" w:hAnsi="宋体"/>
          <w:color w:val="auto"/>
          <w:sz w:val="24"/>
          <w:szCs w:val="20"/>
          <w:highlight w:val="none"/>
          <w:u w:val="single"/>
        </w:rPr>
      </w:pPr>
      <w:r>
        <w:rPr>
          <w:rFonts w:hint="eastAsia" w:ascii="宋体" w:hAnsi="宋体"/>
          <w:bCs/>
          <w:color w:val="auto"/>
          <w:sz w:val="24"/>
          <w:szCs w:val="20"/>
          <w:highlight w:val="none"/>
        </w:rPr>
        <w:t>法定代表人(电子签章或电子签名)</w:t>
      </w:r>
      <w:r>
        <w:rPr>
          <w:rFonts w:hint="eastAsia" w:ascii="宋体" w:hAnsi="宋体"/>
          <w:color w:val="auto"/>
          <w:sz w:val="24"/>
          <w:szCs w:val="20"/>
          <w:highlight w:val="none"/>
        </w:rPr>
        <w:t xml:space="preserve">： </w:t>
      </w:r>
      <w:r>
        <w:rPr>
          <w:rFonts w:hint="eastAsia" w:ascii="宋体" w:hAnsi="宋体"/>
          <w:color w:val="auto"/>
          <w:sz w:val="24"/>
          <w:szCs w:val="20"/>
          <w:highlight w:val="none"/>
          <w:u w:val="single"/>
        </w:rPr>
        <w:t xml:space="preserve">                  </w:t>
      </w:r>
    </w:p>
    <w:p w14:paraId="765E9F3F">
      <w:pPr>
        <w:widowControl/>
        <w:spacing w:line="460" w:lineRule="exact"/>
        <w:jc w:val="right"/>
        <w:rPr>
          <w:rFonts w:ascii="宋体" w:hAnsi="宋体" w:cs="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77313701">
      <w:pPr>
        <w:bidi w:val="0"/>
        <w:rPr>
          <w:rFonts w:hint="eastAsia" w:ascii="宋体" w:hAnsi="宋体" w:eastAsia="宋体" w:cs="宋体"/>
          <w:color w:val="auto"/>
          <w:kern w:val="0"/>
          <w:sz w:val="21"/>
          <w:szCs w:val="21"/>
          <w:highlight w:val="none"/>
          <w:vertAlign w:val="superscript"/>
          <w:lang w:bidi="ar"/>
        </w:rPr>
      </w:pPr>
    </w:p>
    <w:p w14:paraId="7F280CDB">
      <w:pPr>
        <w:pStyle w:val="7"/>
        <w:rPr>
          <w:rFonts w:hAnsi="宋体" w:cs="宋体"/>
          <w:color w:val="auto"/>
          <w:sz w:val="24"/>
          <w:highlight w:val="none"/>
        </w:rPr>
      </w:pPr>
      <w:r>
        <w:rPr>
          <w:rFonts w:hint="eastAsia" w:ascii="宋体" w:hAnsi="宋体" w:cs="宋体"/>
          <w:b/>
          <w:bCs/>
          <w:color w:val="auto"/>
          <w:kern w:val="0"/>
          <w:sz w:val="21"/>
          <w:szCs w:val="21"/>
          <w:highlight w:val="none"/>
          <w:lang w:eastAsia="zh-CN" w:bidi="ar"/>
        </w:rPr>
        <w:t>（</w:t>
      </w:r>
      <w:r>
        <w:rPr>
          <w:rFonts w:hint="eastAsia" w:ascii="宋体" w:hAnsi="宋体" w:cs="宋体"/>
          <w:b/>
          <w:bCs/>
          <w:color w:val="auto"/>
          <w:kern w:val="0"/>
          <w:sz w:val="21"/>
          <w:szCs w:val="21"/>
          <w:highlight w:val="none"/>
          <w:lang w:val="en-US" w:eastAsia="zh-CN" w:bidi="ar"/>
        </w:rPr>
        <w:t>注：</w:t>
      </w:r>
      <w:r>
        <w:rPr>
          <w:rFonts w:hint="eastAsia" w:ascii="宋体" w:hAnsi="宋体" w:eastAsia="宋体" w:cs="宋体"/>
          <w:b/>
          <w:bCs/>
          <w:color w:val="auto"/>
          <w:kern w:val="0"/>
          <w:sz w:val="21"/>
          <w:szCs w:val="21"/>
          <w:highlight w:val="none"/>
          <w:lang w:bidi="ar"/>
        </w:rPr>
        <w:t>从业人员、营业收入、资产总额填报上一年度数据，无上一年度数据的新成立企业可不填报。</w:t>
      </w:r>
      <w:r>
        <w:rPr>
          <w:rFonts w:hint="eastAsia" w:ascii="宋体" w:hAnsi="宋体" w:cs="宋体"/>
          <w:b/>
          <w:bCs/>
          <w:color w:val="auto"/>
          <w:kern w:val="0"/>
          <w:sz w:val="21"/>
          <w:szCs w:val="21"/>
          <w:highlight w:val="none"/>
          <w:lang w:eastAsia="zh-CN" w:bidi="ar"/>
        </w:rPr>
        <w:t>）</w:t>
      </w:r>
    </w:p>
    <w:p w14:paraId="48C4F0EC">
      <w:pPr>
        <w:rPr>
          <w:rFonts w:hint="eastAsia" w:hAnsi="宋体" w:cs="宋体"/>
          <w:color w:val="auto"/>
          <w:sz w:val="28"/>
          <w:highlight w:val="none"/>
        </w:rPr>
      </w:pPr>
      <w:bookmarkStart w:id="162" w:name="_Toc23065"/>
      <w:bookmarkStart w:id="163" w:name="_Toc107998820"/>
      <w:bookmarkStart w:id="164" w:name="_Toc107998362"/>
      <w:r>
        <w:rPr>
          <w:rFonts w:hint="eastAsia" w:hAnsi="宋体" w:cs="宋体"/>
          <w:color w:val="auto"/>
          <w:sz w:val="28"/>
          <w:highlight w:val="none"/>
        </w:rPr>
        <w:br w:type="page"/>
      </w:r>
    </w:p>
    <w:p w14:paraId="519EDD36">
      <w:pPr>
        <w:pStyle w:val="3"/>
        <w:jc w:val="center"/>
        <w:rPr>
          <w:rFonts w:hAnsi="宋体" w:cs="宋体"/>
          <w:color w:val="auto"/>
          <w:sz w:val="28"/>
          <w:highlight w:val="none"/>
        </w:rPr>
      </w:pPr>
      <w:r>
        <w:rPr>
          <w:rFonts w:hint="eastAsia" w:hAnsi="宋体" w:cs="宋体"/>
          <w:color w:val="auto"/>
          <w:sz w:val="28"/>
          <w:highlight w:val="none"/>
        </w:rPr>
        <w:t>（</w:t>
      </w:r>
      <w:r>
        <w:rPr>
          <w:rFonts w:hint="eastAsia" w:hAnsi="宋体" w:cs="宋体"/>
          <w:color w:val="auto"/>
          <w:sz w:val="28"/>
          <w:highlight w:val="none"/>
          <w:lang w:val="en-US" w:eastAsia="zh-CN"/>
        </w:rPr>
        <w:t>七</w:t>
      </w:r>
      <w:r>
        <w:rPr>
          <w:rFonts w:hint="eastAsia" w:hAnsi="宋体" w:cs="宋体"/>
          <w:color w:val="auto"/>
          <w:sz w:val="28"/>
          <w:highlight w:val="none"/>
        </w:rPr>
        <w:t>）其他材料</w:t>
      </w:r>
      <w:bookmarkEnd w:id="162"/>
      <w:bookmarkEnd w:id="163"/>
      <w:bookmarkEnd w:id="164"/>
    </w:p>
    <w:p w14:paraId="243F1EFB">
      <w:pPr>
        <w:ind w:left="315" w:leftChars="150"/>
        <w:jc w:val="center"/>
        <w:rPr>
          <w:rFonts w:ascii="宋体" w:hAnsi="宋体" w:cs="宋体"/>
          <w:color w:val="auto"/>
          <w:sz w:val="28"/>
          <w:szCs w:val="28"/>
          <w:highlight w:val="none"/>
        </w:rPr>
      </w:pPr>
      <w:r>
        <w:rPr>
          <w:rFonts w:hint="eastAsia" w:ascii="宋体" w:hAnsi="宋体" w:cs="宋体"/>
          <w:color w:val="auto"/>
          <w:sz w:val="28"/>
          <w:szCs w:val="28"/>
          <w:highlight w:val="none"/>
        </w:rPr>
        <w:t>招标文件其他部分要求提供的证明材料或投标人认为有必要提交的其他声明、补充承诺、证明资料等。</w:t>
      </w:r>
    </w:p>
    <w:p w14:paraId="71799ED5">
      <w:pPr>
        <w:pStyle w:val="7"/>
        <w:rPr>
          <w:rFonts w:hAnsi="宋体" w:cs="宋体"/>
          <w:color w:val="auto"/>
          <w:sz w:val="24"/>
          <w:highlight w:val="none"/>
        </w:rPr>
      </w:pPr>
    </w:p>
    <w:p w14:paraId="2023C617">
      <w:pPr>
        <w:pStyle w:val="7"/>
        <w:rPr>
          <w:rFonts w:hAnsi="宋体" w:cs="宋体"/>
          <w:color w:val="auto"/>
          <w:sz w:val="24"/>
          <w:highlight w:val="none"/>
        </w:rPr>
      </w:pPr>
    </w:p>
    <w:p w14:paraId="377AF4AB">
      <w:pPr>
        <w:pStyle w:val="7"/>
        <w:rPr>
          <w:rFonts w:hAnsi="宋体" w:cs="宋体"/>
          <w:color w:val="auto"/>
          <w:sz w:val="24"/>
          <w:highlight w:val="none"/>
        </w:rPr>
      </w:pPr>
    </w:p>
    <w:p w14:paraId="6D3D545B">
      <w:pPr>
        <w:pStyle w:val="7"/>
        <w:rPr>
          <w:rFonts w:hAnsi="宋体" w:cs="宋体"/>
          <w:color w:val="auto"/>
          <w:sz w:val="24"/>
          <w:highlight w:val="none"/>
        </w:rPr>
      </w:pPr>
    </w:p>
    <w:p w14:paraId="70BC04D9">
      <w:pPr>
        <w:pStyle w:val="7"/>
        <w:rPr>
          <w:rFonts w:hAnsi="宋体" w:cs="宋体"/>
          <w:color w:val="auto"/>
          <w:sz w:val="24"/>
          <w:highlight w:val="none"/>
        </w:rPr>
      </w:pPr>
    </w:p>
    <w:p w14:paraId="4A821445">
      <w:pPr>
        <w:pStyle w:val="7"/>
        <w:rPr>
          <w:rFonts w:hAnsi="宋体" w:cs="宋体"/>
          <w:color w:val="auto"/>
          <w:sz w:val="24"/>
          <w:highlight w:val="none"/>
        </w:rPr>
      </w:pPr>
    </w:p>
    <w:p w14:paraId="7F16D4A5">
      <w:pPr>
        <w:pStyle w:val="7"/>
        <w:rPr>
          <w:rFonts w:hAnsi="宋体" w:cs="宋体"/>
          <w:color w:val="auto"/>
          <w:sz w:val="24"/>
          <w:highlight w:val="none"/>
        </w:rPr>
      </w:pPr>
    </w:p>
    <w:p w14:paraId="1EC8F8E7">
      <w:pPr>
        <w:pStyle w:val="7"/>
        <w:rPr>
          <w:rFonts w:hAnsi="宋体" w:cs="宋体"/>
          <w:color w:val="auto"/>
          <w:sz w:val="24"/>
          <w:highlight w:val="none"/>
        </w:rPr>
      </w:pPr>
    </w:p>
    <w:p w14:paraId="27E1FBFB">
      <w:pPr>
        <w:pStyle w:val="7"/>
        <w:rPr>
          <w:rFonts w:hAnsi="宋体" w:cs="宋体"/>
          <w:color w:val="auto"/>
          <w:sz w:val="24"/>
          <w:highlight w:val="none"/>
        </w:rPr>
      </w:pPr>
    </w:p>
    <w:p w14:paraId="2C8B5F01">
      <w:pPr>
        <w:pStyle w:val="7"/>
        <w:rPr>
          <w:rFonts w:hAnsi="宋体" w:cs="宋体"/>
          <w:color w:val="auto"/>
          <w:sz w:val="24"/>
          <w:highlight w:val="none"/>
        </w:rPr>
      </w:pPr>
    </w:p>
    <w:p w14:paraId="6367D878">
      <w:pPr>
        <w:pStyle w:val="7"/>
        <w:rPr>
          <w:rFonts w:hAnsi="宋体" w:cs="宋体"/>
          <w:color w:val="auto"/>
          <w:sz w:val="24"/>
          <w:highlight w:val="none"/>
        </w:rPr>
      </w:pPr>
    </w:p>
    <w:p w14:paraId="4EA12889">
      <w:pPr>
        <w:pStyle w:val="7"/>
        <w:rPr>
          <w:rFonts w:hAnsi="宋体" w:cs="宋体"/>
          <w:color w:val="auto"/>
          <w:sz w:val="24"/>
          <w:highlight w:val="none"/>
        </w:rPr>
      </w:pPr>
    </w:p>
    <w:p w14:paraId="185D3ECD">
      <w:pPr>
        <w:pStyle w:val="7"/>
        <w:rPr>
          <w:rFonts w:hAnsi="宋体" w:cs="宋体"/>
          <w:color w:val="auto"/>
          <w:sz w:val="24"/>
          <w:highlight w:val="none"/>
        </w:rPr>
      </w:pPr>
    </w:p>
    <w:p w14:paraId="2D9F685C">
      <w:pPr>
        <w:pStyle w:val="7"/>
        <w:rPr>
          <w:rFonts w:hAnsi="宋体" w:cs="宋体"/>
          <w:color w:val="auto"/>
          <w:sz w:val="24"/>
          <w:highlight w:val="none"/>
        </w:rPr>
      </w:pPr>
    </w:p>
    <w:p w14:paraId="1A9F84D0">
      <w:pPr>
        <w:pStyle w:val="7"/>
        <w:rPr>
          <w:rFonts w:hAnsi="宋体" w:cs="宋体"/>
          <w:color w:val="auto"/>
          <w:sz w:val="24"/>
          <w:highlight w:val="none"/>
        </w:rPr>
      </w:pPr>
    </w:p>
    <w:p w14:paraId="16CDF9A1">
      <w:pPr>
        <w:pStyle w:val="7"/>
        <w:rPr>
          <w:rFonts w:hAnsi="宋体" w:cs="宋体"/>
          <w:color w:val="auto"/>
          <w:sz w:val="24"/>
          <w:highlight w:val="none"/>
        </w:rPr>
      </w:pPr>
    </w:p>
    <w:p w14:paraId="4347491E">
      <w:pPr>
        <w:pStyle w:val="7"/>
        <w:rPr>
          <w:rFonts w:hAnsi="宋体" w:cs="宋体"/>
          <w:color w:val="auto"/>
          <w:sz w:val="24"/>
          <w:highlight w:val="none"/>
        </w:rPr>
      </w:pPr>
    </w:p>
    <w:p w14:paraId="2AE0965D">
      <w:pPr>
        <w:pStyle w:val="7"/>
        <w:rPr>
          <w:rFonts w:hAnsi="宋体" w:cs="宋体"/>
          <w:color w:val="auto"/>
          <w:sz w:val="24"/>
          <w:highlight w:val="none"/>
        </w:rPr>
      </w:pPr>
    </w:p>
    <w:p w14:paraId="39EAA0D7">
      <w:pPr>
        <w:pStyle w:val="7"/>
        <w:rPr>
          <w:rFonts w:hAnsi="宋体" w:cs="宋体"/>
          <w:color w:val="auto"/>
          <w:sz w:val="24"/>
          <w:highlight w:val="none"/>
        </w:rPr>
      </w:pPr>
    </w:p>
    <w:p w14:paraId="7B2E3E6C">
      <w:pPr>
        <w:pStyle w:val="7"/>
        <w:rPr>
          <w:rFonts w:hAnsi="宋体" w:cs="宋体"/>
          <w:color w:val="auto"/>
          <w:sz w:val="24"/>
          <w:highlight w:val="none"/>
        </w:rPr>
      </w:pPr>
    </w:p>
    <w:p w14:paraId="6DE0EFC7">
      <w:pPr>
        <w:pStyle w:val="7"/>
        <w:rPr>
          <w:rFonts w:hAnsi="宋体" w:cs="宋体"/>
          <w:color w:val="auto"/>
          <w:sz w:val="24"/>
          <w:highlight w:val="none"/>
        </w:rPr>
      </w:pPr>
    </w:p>
    <w:p w14:paraId="59689F63">
      <w:pPr>
        <w:pStyle w:val="7"/>
        <w:rPr>
          <w:rFonts w:hAnsi="宋体" w:cs="宋体"/>
          <w:color w:val="auto"/>
          <w:sz w:val="24"/>
          <w:highlight w:val="none"/>
        </w:rPr>
      </w:pPr>
    </w:p>
    <w:p w14:paraId="47272B02">
      <w:pPr>
        <w:pStyle w:val="7"/>
        <w:rPr>
          <w:rFonts w:hAnsi="宋体" w:cs="宋体"/>
          <w:color w:val="auto"/>
          <w:sz w:val="24"/>
          <w:highlight w:val="none"/>
        </w:rPr>
      </w:pPr>
    </w:p>
    <w:p w14:paraId="633FEA33">
      <w:pPr>
        <w:pStyle w:val="7"/>
        <w:rPr>
          <w:rFonts w:hAnsi="宋体" w:cs="宋体"/>
          <w:color w:val="auto"/>
          <w:sz w:val="24"/>
          <w:highlight w:val="none"/>
        </w:rPr>
      </w:pPr>
    </w:p>
    <w:p w14:paraId="58FCFF6B">
      <w:pPr>
        <w:pStyle w:val="7"/>
        <w:rPr>
          <w:rFonts w:hAnsi="宋体" w:cs="宋体"/>
          <w:color w:val="auto"/>
          <w:sz w:val="24"/>
          <w:highlight w:val="none"/>
        </w:rPr>
      </w:pPr>
    </w:p>
    <w:p w14:paraId="50243AE5">
      <w:pPr>
        <w:pStyle w:val="7"/>
        <w:rPr>
          <w:rFonts w:hAnsi="宋体" w:cs="宋体"/>
          <w:color w:val="auto"/>
          <w:sz w:val="24"/>
          <w:highlight w:val="none"/>
        </w:rPr>
      </w:pPr>
    </w:p>
    <w:p w14:paraId="6EF849C6">
      <w:pPr>
        <w:pStyle w:val="7"/>
        <w:rPr>
          <w:rFonts w:hAnsi="宋体" w:cs="宋体"/>
          <w:color w:val="auto"/>
          <w:sz w:val="24"/>
          <w:highlight w:val="none"/>
        </w:rPr>
      </w:pPr>
    </w:p>
    <w:p w14:paraId="0D34A95D">
      <w:pPr>
        <w:pStyle w:val="7"/>
        <w:rPr>
          <w:rFonts w:hAnsi="宋体" w:cs="宋体"/>
          <w:color w:val="auto"/>
          <w:sz w:val="24"/>
          <w:highlight w:val="none"/>
        </w:rPr>
      </w:pPr>
    </w:p>
    <w:p w14:paraId="72B8E440">
      <w:pPr>
        <w:pStyle w:val="7"/>
        <w:rPr>
          <w:rFonts w:hAnsi="宋体" w:cs="宋体"/>
          <w:color w:val="auto"/>
          <w:sz w:val="24"/>
          <w:highlight w:val="none"/>
        </w:rPr>
      </w:pPr>
    </w:p>
    <w:p w14:paraId="0085AB9E">
      <w:pPr>
        <w:pStyle w:val="7"/>
        <w:rPr>
          <w:rFonts w:hAnsi="宋体" w:cs="宋体"/>
          <w:color w:val="auto"/>
          <w:sz w:val="24"/>
          <w:highlight w:val="none"/>
        </w:rPr>
      </w:pPr>
    </w:p>
    <w:p w14:paraId="385E0D47">
      <w:pPr>
        <w:pStyle w:val="7"/>
        <w:rPr>
          <w:rFonts w:hAnsi="宋体" w:cs="宋体"/>
          <w:color w:val="auto"/>
          <w:sz w:val="24"/>
          <w:highlight w:val="none"/>
        </w:rPr>
      </w:pPr>
    </w:p>
    <w:p w14:paraId="306A2FE0">
      <w:pPr>
        <w:pStyle w:val="7"/>
        <w:rPr>
          <w:rFonts w:hAnsi="宋体" w:cs="宋体"/>
          <w:color w:val="auto"/>
          <w:sz w:val="24"/>
          <w:highlight w:val="none"/>
        </w:rPr>
      </w:pPr>
    </w:p>
    <w:p w14:paraId="74109AC9">
      <w:pPr>
        <w:pStyle w:val="7"/>
        <w:rPr>
          <w:rFonts w:hAnsi="宋体" w:cs="宋体"/>
          <w:color w:val="auto"/>
          <w:sz w:val="24"/>
          <w:highlight w:val="none"/>
        </w:rPr>
      </w:pPr>
    </w:p>
    <w:p w14:paraId="51ACDD54">
      <w:pPr>
        <w:pStyle w:val="7"/>
        <w:rPr>
          <w:rFonts w:hAnsi="宋体" w:cs="宋体"/>
          <w:color w:val="auto"/>
          <w:sz w:val="24"/>
          <w:highlight w:val="none"/>
        </w:rPr>
      </w:pPr>
    </w:p>
    <w:p w14:paraId="0324E88B">
      <w:pPr>
        <w:pStyle w:val="7"/>
        <w:rPr>
          <w:rFonts w:hAnsi="宋体" w:cs="宋体"/>
          <w:color w:val="auto"/>
          <w:sz w:val="24"/>
          <w:highlight w:val="none"/>
        </w:rPr>
      </w:pPr>
    </w:p>
    <w:p w14:paraId="11009436">
      <w:pPr>
        <w:pStyle w:val="7"/>
        <w:rPr>
          <w:rFonts w:hAnsi="宋体" w:cs="宋体"/>
          <w:color w:val="auto"/>
          <w:sz w:val="24"/>
          <w:highlight w:val="none"/>
        </w:rPr>
      </w:pPr>
    </w:p>
    <w:p w14:paraId="6BFCF86B">
      <w:pPr>
        <w:pStyle w:val="7"/>
        <w:rPr>
          <w:rFonts w:hAnsi="宋体" w:cs="宋体"/>
          <w:color w:val="auto"/>
          <w:sz w:val="24"/>
          <w:highlight w:val="none"/>
        </w:rPr>
      </w:pPr>
    </w:p>
    <w:p w14:paraId="2D1A3D8E">
      <w:pPr>
        <w:pStyle w:val="7"/>
        <w:rPr>
          <w:rFonts w:hAnsi="宋体" w:cs="宋体"/>
          <w:color w:val="auto"/>
          <w:sz w:val="24"/>
          <w:highlight w:val="none"/>
        </w:rPr>
      </w:pPr>
    </w:p>
    <w:p w14:paraId="08760683">
      <w:pPr>
        <w:pStyle w:val="3"/>
        <w:numPr>
          <w:ilvl w:val="0"/>
          <w:numId w:val="0"/>
        </w:numPr>
        <w:jc w:val="center"/>
        <w:rPr>
          <w:rFonts w:hAnsi="宋体" w:cs="宋体"/>
          <w:color w:val="auto"/>
          <w:kern w:val="0"/>
          <w:sz w:val="30"/>
          <w:szCs w:val="30"/>
          <w:highlight w:val="none"/>
        </w:rPr>
      </w:pPr>
      <w:bookmarkStart w:id="165" w:name="_Toc21257"/>
      <w:bookmarkStart w:id="166" w:name="_Toc23907"/>
      <w:r>
        <w:rPr>
          <w:rFonts w:hint="eastAsia" w:ascii="宋体" w:hAnsi="宋体" w:eastAsia="宋体" w:cs="宋体"/>
          <w:b/>
          <w:color w:val="auto"/>
          <w:kern w:val="0"/>
          <w:sz w:val="30"/>
          <w:szCs w:val="30"/>
          <w:highlight w:val="none"/>
          <w:lang w:val="en-US" w:eastAsia="zh-CN" w:bidi="ar-SA"/>
        </w:rPr>
        <w:t>二、</w:t>
      </w:r>
      <w:r>
        <w:rPr>
          <w:rFonts w:hint="eastAsia" w:hAnsi="宋体" w:cs="宋体"/>
          <w:color w:val="auto"/>
          <w:kern w:val="0"/>
          <w:sz w:val="30"/>
          <w:szCs w:val="30"/>
          <w:highlight w:val="none"/>
        </w:rPr>
        <w:t>投标文件商务部分</w:t>
      </w:r>
      <w:bookmarkEnd w:id="165"/>
      <w:bookmarkEnd w:id="166"/>
    </w:p>
    <w:p w14:paraId="22B3C53B">
      <w:pPr>
        <w:pStyle w:val="3"/>
        <w:jc w:val="center"/>
        <w:rPr>
          <w:rFonts w:ascii="Times New Roman"/>
          <w:bCs/>
          <w:color w:val="auto"/>
          <w:kern w:val="0"/>
          <w:sz w:val="28"/>
          <w:highlight w:val="none"/>
        </w:rPr>
      </w:pPr>
      <w:bookmarkStart w:id="167" w:name="_Toc10449"/>
      <w:bookmarkStart w:id="168" w:name="_Toc7530"/>
      <w:r>
        <w:rPr>
          <w:rFonts w:hint="eastAsia" w:ascii="Times New Roman"/>
          <w:bCs/>
          <w:color w:val="auto"/>
          <w:kern w:val="0"/>
          <w:sz w:val="28"/>
          <w:highlight w:val="none"/>
        </w:rPr>
        <w:t>（一）投标报价（唱标）一览表</w:t>
      </w:r>
      <w:bookmarkEnd w:id="167"/>
      <w:bookmarkEnd w:id="168"/>
    </w:p>
    <w:bookmarkEnd w:id="118"/>
    <w:bookmarkEnd w:id="119"/>
    <w:bookmarkEnd w:id="120"/>
    <w:bookmarkEnd w:id="121"/>
    <w:bookmarkEnd w:id="122"/>
    <w:bookmarkEnd w:id="123"/>
    <w:bookmarkEnd w:id="124"/>
    <w:bookmarkEnd w:id="125"/>
    <w:bookmarkEnd w:id="126"/>
    <w:p w14:paraId="26CFC1D7">
      <w:pPr>
        <w:spacing w:line="360" w:lineRule="auto"/>
        <w:jc w:val="left"/>
        <w:rPr>
          <w:rFonts w:hint="eastAsia" w:ascii="宋体" w:hAnsi="宋体"/>
          <w:color w:val="auto"/>
          <w:sz w:val="24"/>
          <w:highlight w:val="none"/>
        </w:rPr>
      </w:pPr>
      <w:r>
        <w:rPr>
          <w:rFonts w:hint="eastAsia" w:ascii="宋体" w:hAnsi="宋体"/>
          <w:color w:val="auto"/>
          <w:sz w:val="24"/>
          <w:highlight w:val="none"/>
        </w:rPr>
        <w:t>项目编号：</w:t>
      </w:r>
    </w:p>
    <w:p w14:paraId="5D3CAC8C">
      <w:pPr>
        <w:spacing w:line="36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kern w:val="0"/>
          <w:sz w:val="24"/>
          <w:szCs w:val="24"/>
          <w:highlight w:val="none"/>
          <w:lang w:val="en-US" w:eastAsia="zh-CN"/>
        </w:rPr>
        <w:t>项目</w:t>
      </w:r>
      <w:r>
        <w:rPr>
          <w:rFonts w:hint="eastAsia" w:ascii="宋体" w:hAnsi="宋体" w:eastAsia="宋体" w:cs="宋体"/>
          <w:b w:val="0"/>
          <w:bCs w:val="0"/>
          <w:color w:val="auto"/>
          <w:kern w:val="0"/>
          <w:sz w:val="24"/>
          <w:szCs w:val="24"/>
          <w:highlight w:val="none"/>
          <w:lang w:val="en-US" w:eastAsia="zh-CN"/>
        </w:rPr>
        <w:t>名称</w:t>
      </w:r>
      <w:r>
        <w:rPr>
          <w:rFonts w:hint="eastAsia" w:ascii="宋体" w:hAnsi="宋体" w:cs="宋体"/>
          <w:b w:val="0"/>
          <w:bCs w:val="0"/>
          <w:color w:val="auto"/>
          <w:kern w:val="0"/>
          <w:sz w:val="24"/>
          <w:szCs w:val="24"/>
          <w:highlight w:val="none"/>
          <w:lang w:val="en-US" w:eastAsia="zh-CN"/>
        </w:rPr>
        <w:t>：</w:t>
      </w:r>
      <w:r>
        <w:rPr>
          <w:rFonts w:hint="eastAsia" w:ascii="宋体" w:hAnsi="宋体" w:cs="宋体"/>
          <w:color w:val="auto"/>
          <w:sz w:val="24"/>
          <w:highlight w:val="none"/>
          <w:lang w:eastAsia="zh-CN"/>
        </w:rPr>
        <w:t>玉溪一中拔尖创新人才培养项目之小初高贯通数学竞赛培训课程（二次）</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标段</w:t>
      </w:r>
    </w:p>
    <w:tbl>
      <w:tblPr>
        <w:tblStyle w:val="27"/>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0"/>
        <w:gridCol w:w="7756"/>
      </w:tblGrid>
      <w:tr w14:paraId="0D95C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4" w:hRule="atLeast"/>
          <w:jc w:val="center"/>
        </w:trPr>
        <w:tc>
          <w:tcPr>
            <w:tcW w:w="1920" w:type="dxa"/>
            <w:vAlign w:val="center"/>
          </w:tcPr>
          <w:p w14:paraId="3C4C8B9D">
            <w:pPr>
              <w:jc w:val="center"/>
              <w:rPr>
                <w:rFonts w:ascii="宋体" w:hAnsi="宋体"/>
                <w:b w:val="0"/>
                <w:bCs w:val="0"/>
                <w:color w:val="auto"/>
                <w:sz w:val="24"/>
                <w:highlight w:val="none"/>
              </w:rPr>
            </w:pPr>
            <w:r>
              <w:rPr>
                <w:rFonts w:hint="eastAsia" w:ascii="宋体" w:hAnsi="宋体"/>
                <w:b w:val="0"/>
                <w:bCs w:val="0"/>
                <w:color w:val="auto"/>
                <w:sz w:val="24"/>
                <w:highlight w:val="none"/>
              </w:rPr>
              <w:t>项目名称</w:t>
            </w:r>
          </w:p>
        </w:tc>
        <w:tc>
          <w:tcPr>
            <w:tcW w:w="7756" w:type="dxa"/>
            <w:vAlign w:val="center"/>
          </w:tcPr>
          <w:p w14:paraId="775AA91D">
            <w:pPr>
              <w:rPr>
                <w:rFonts w:hint="default" w:ascii="宋体" w:hAnsi="宋体"/>
                <w:color w:val="auto"/>
                <w:sz w:val="24"/>
                <w:highlight w:val="none"/>
                <w:lang w:val="en-US"/>
              </w:rPr>
            </w:pPr>
            <w:r>
              <w:rPr>
                <w:rFonts w:hint="eastAsia" w:ascii="宋体" w:hAnsi="宋体" w:cs="宋体"/>
                <w:color w:val="auto"/>
                <w:sz w:val="24"/>
                <w:highlight w:val="none"/>
                <w:lang w:eastAsia="zh-CN"/>
              </w:rPr>
              <w:t>玉溪一中拔尖创新人才培养项目之小初高贯通数学竞赛培训课程（二次）</w:t>
            </w:r>
          </w:p>
        </w:tc>
      </w:tr>
      <w:tr w14:paraId="02E80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7" w:hRule="atLeast"/>
          <w:jc w:val="center"/>
        </w:trPr>
        <w:tc>
          <w:tcPr>
            <w:tcW w:w="1920" w:type="dxa"/>
            <w:vAlign w:val="center"/>
          </w:tcPr>
          <w:p w14:paraId="473A4690">
            <w:pPr>
              <w:pStyle w:val="11"/>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投标报价</w:t>
            </w:r>
          </w:p>
        </w:tc>
        <w:tc>
          <w:tcPr>
            <w:tcW w:w="7756" w:type="dxa"/>
            <w:vAlign w:val="center"/>
          </w:tcPr>
          <w:p w14:paraId="61EA4721">
            <w:pPr>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小写：</w:t>
            </w:r>
          </w:p>
          <w:p w14:paraId="73FD2690">
            <w:pPr>
              <w:rPr>
                <w:rFonts w:hint="default" w:ascii="宋体" w:hAnsi="宋体" w:cs="宋体"/>
                <w:color w:val="auto"/>
                <w:highlight w:val="none"/>
                <w:lang w:val="en-US" w:eastAsia="zh-CN"/>
              </w:rPr>
            </w:pPr>
            <w:r>
              <w:rPr>
                <w:rFonts w:hint="eastAsia" w:ascii="宋体" w:hAnsi="宋体" w:cs="宋体"/>
                <w:color w:val="auto"/>
                <w:sz w:val="24"/>
                <w:szCs w:val="32"/>
                <w:highlight w:val="none"/>
                <w:lang w:val="en-US" w:eastAsia="zh-CN"/>
              </w:rPr>
              <w:t>大写：</w:t>
            </w:r>
          </w:p>
        </w:tc>
      </w:tr>
      <w:tr w14:paraId="38E1D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4" w:hRule="atLeast"/>
          <w:jc w:val="center"/>
        </w:trPr>
        <w:tc>
          <w:tcPr>
            <w:tcW w:w="1920" w:type="dxa"/>
            <w:vAlign w:val="center"/>
          </w:tcPr>
          <w:p w14:paraId="0E02B880">
            <w:pPr>
              <w:tabs>
                <w:tab w:val="left" w:pos="480"/>
              </w:tabs>
              <w:autoSpaceDE w:val="0"/>
              <w:autoSpaceDN w:val="0"/>
              <w:adjustRightInd w:val="0"/>
              <w:jc w:val="center"/>
              <w:rPr>
                <w:rFonts w:ascii="宋体" w:hAnsi="宋体"/>
                <w:b w:val="0"/>
                <w:bCs w:val="0"/>
                <w:color w:val="auto"/>
                <w:sz w:val="24"/>
                <w:highlight w:val="none"/>
              </w:rPr>
            </w:pPr>
            <w:r>
              <w:rPr>
                <w:rFonts w:hint="eastAsia" w:ascii="宋体" w:hAnsi="宋体"/>
                <w:b w:val="0"/>
                <w:bCs w:val="0"/>
                <w:color w:val="auto"/>
                <w:sz w:val="24"/>
                <w:highlight w:val="none"/>
              </w:rPr>
              <w:t>合同履行期限</w:t>
            </w:r>
          </w:p>
        </w:tc>
        <w:tc>
          <w:tcPr>
            <w:tcW w:w="7756" w:type="dxa"/>
            <w:vAlign w:val="center"/>
          </w:tcPr>
          <w:p w14:paraId="3C7DE282">
            <w:pPr>
              <w:widowControl/>
              <w:adjustRightInd w:val="0"/>
              <w:snapToGrid w:val="0"/>
              <w:rPr>
                <w:rFonts w:ascii="宋体" w:hAnsi="宋体"/>
                <w:color w:val="auto"/>
                <w:sz w:val="24"/>
                <w:highlight w:val="none"/>
              </w:rPr>
            </w:pPr>
          </w:p>
        </w:tc>
      </w:tr>
      <w:tr w14:paraId="4773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4" w:hRule="atLeast"/>
          <w:jc w:val="center"/>
        </w:trPr>
        <w:tc>
          <w:tcPr>
            <w:tcW w:w="1920" w:type="dxa"/>
            <w:vAlign w:val="center"/>
          </w:tcPr>
          <w:p w14:paraId="34721080">
            <w:pPr>
              <w:tabs>
                <w:tab w:val="left" w:pos="480"/>
              </w:tabs>
              <w:autoSpaceDE w:val="0"/>
              <w:autoSpaceDN w:val="0"/>
              <w:adjustRightInd w:val="0"/>
              <w:jc w:val="center"/>
              <w:rPr>
                <w:rFonts w:hint="eastAsia" w:ascii="宋体" w:hAnsi="宋体"/>
                <w:b w:val="0"/>
                <w:bCs w:val="0"/>
                <w:color w:val="auto"/>
                <w:sz w:val="24"/>
                <w:highlight w:val="none"/>
              </w:rPr>
            </w:pPr>
            <w:r>
              <w:rPr>
                <w:rFonts w:hint="eastAsia" w:ascii="宋体" w:hAnsi="宋体"/>
                <w:b w:val="0"/>
                <w:bCs w:val="0"/>
                <w:color w:val="auto"/>
                <w:sz w:val="24"/>
                <w:highlight w:val="none"/>
              </w:rPr>
              <w:t>质量承诺</w:t>
            </w:r>
          </w:p>
        </w:tc>
        <w:tc>
          <w:tcPr>
            <w:tcW w:w="7756" w:type="dxa"/>
            <w:vAlign w:val="center"/>
          </w:tcPr>
          <w:p w14:paraId="6F33C9DC">
            <w:pPr>
              <w:widowControl/>
              <w:adjustRightInd w:val="0"/>
              <w:snapToGrid w:val="0"/>
              <w:rPr>
                <w:rFonts w:ascii="宋体" w:hAnsi="宋体"/>
                <w:color w:val="auto"/>
                <w:sz w:val="24"/>
                <w:highlight w:val="none"/>
              </w:rPr>
            </w:pPr>
          </w:p>
        </w:tc>
      </w:tr>
      <w:tr w14:paraId="1DE23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4" w:hRule="atLeast"/>
          <w:jc w:val="center"/>
        </w:trPr>
        <w:tc>
          <w:tcPr>
            <w:tcW w:w="1920" w:type="dxa"/>
            <w:vAlign w:val="center"/>
          </w:tcPr>
          <w:p w14:paraId="0B6DD89D">
            <w:pPr>
              <w:jc w:val="center"/>
              <w:rPr>
                <w:rFonts w:ascii="宋体" w:hAnsi="宋体"/>
                <w:b w:val="0"/>
                <w:bCs w:val="0"/>
                <w:color w:val="auto"/>
                <w:sz w:val="24"/>
                <w:highlight w:val="none"/>
              </w:rPr>
            </w:pPr>
            <w:r>
              <w:rPr>
                <w:rFonts w:hint="eastAsia" w:ascii="宋体" w:hAnsi="宋体"/>
                <w:b w:val="0"/>
                <w:bCs w:val="0"/>
                <w:color w:val="auto"/>
                <w:sz w:val="24"/>
                <w:highlight w:val="none"/>
              </w:rPr>
              <w:t>投标保证金</w:t>
            </w:r>
          </w:p>
        </w:tc>
        <w:tc>
          <w:tcPr>
            <w:tcW w:w="7756" w:type="dxa"/>
            <w:vAlign w:val="center"/>
          </w:tcPr>
          <w:p w14:paraId="728FD73B">
            <w:pPr>
              <w:jc w:val="center"/>
              <w:rPr>
                <w:rFonts w:hAnsi="宋体"/>
                <w:color w:val="auto"/>
                <w:sz w:val="24"/>
                <w:highlight w:val="none"/>
                <w:lang w:val="zh-CN"/>
              </w:rPr>
            </w:pPr>
            <w:r>
              <w:rPr>
                <w:rFonts w:hint="eastAsia" w:ascii="宋体" w:hAnsi="宋体"/>
                <w:color w:val="auto"/>
                <w:sz w:val="24"/>
                <w:highlight w:val="none"/>
              </w:rPr>
              <w:t>人民币</w:t>
            </w:r>
            <w:r>
              <w:rPr>
                <w:rFonts w:hint="eastAsia" w:ascii="宋体" w:hAnsi="宋体"/>
                <w:color w:val="auto"/>
                <w:sz w:val="24"/>
                <w:highlight w:val="none"/>
                <w:u w:val="single"/>
              </w:rPr>
              <w:t xml:space="preserve">    </w:t>
            </w:r>
            <w:r>
              <w:rPr>
                <w:rFonts w:hint="eastAsia" w:ascii="宋体" w:hAnsi="宋体"/>
                <w:color w:val="auto"/>
                <w:sz w:val="24"/>
                <w:highlight w:val="none"/>
              </w:rPr>
              <w:t>元</w:t>
            </w:r>
          </w:p>
        </w:tc>
      </w:tr>
      <w:tr w14:paraId="0372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4" w:hRule="atLeast"/>
          <w:jc w:val="center"/>
        </w:trPr>
        <w:tc>
          <w:tcPr>
            <w:tcW w:w="1920" w:type="dxa"/>
            <w:vAlign w:val="center"/>
          </w:tcPr>
          <w:p w14:paraId="75027E9E">
            <w:pPr>
              <w:jc w:val="center"/>
              <w:rPr>
                <w:rFonts w:ascii="宋体" w:hAnsi="宋体"/>
                <w:b w:val="0"/>
                <w:bCs w:val="0"/>
                <w:color w:val="auto"/>
                <w:sz w:val="24"/>
                <w:highlight w:val="none"/>
              </w:rPr>
            </w:pPr>
            <w:r>
              <w:rPr>
                <w:rFonts w:hint="eastAsia" w:ascii="宋体" w:hAnsi="宋体"/>
                <w:b w:val="0"/>
                <w:bCs w:val="0"/>
                <w:color w:val="auto"/>
                <w:sz w:val="24"/>
                <w:highlight w:val="none"/>
              </w:rPr>
              <w:t>备注</w:t>
            </w:r>
          </w:p>
        </w:tc>
        <w:tc>
          <w:tcPr>
            <w:tcW w:w="7756" w:type="dxa"/>
            <w:vAlign w:val="center"/>
          </w:tcPr>
          <w:p w14:paraId="76C1ED08">
            <w:pPr>
              <w:tabs>
                <w:tab w:val="left" w:pos="480"/>
              </w:tabs>
              <w:autoSpaceDE w:val="0"/>
              <w:autoSpaceDN w:val="0"/>
              <w:adjustRightInd w:val="0"/>
              <w:jc w:val="left"/>
              <w:rPr>
                <w:rFonts w:hAnsi="宋体"/>
                <w:color w:val="auto"/>
                <w:sz w:val="24"/>
                <w:highlight w:val="none"/>
              </w:rPr>
            </w:pPr>
          </w:p>
        </w:tc>
      </w:tr>
    </w:tbl>
    <w:p w14:paraId="1E54E41D">
      <w:pPr>
        <w:spacing w:line="360" w:lineRule="auto"/>
        <w:jc w:val="left"/>
        <w:rPr>
          <w:rFonts w:ascii="宋体" w:hAnsi="宋体"/>
          <w:b/>
          <w:color w:val="auto"/>
          <w:sz w:val="24"/>
          <w:highlight w:val="none"/>
        </w:rPr>
      </w:pPr>
    </w:p>
    <w:p w14:paraId="554D3D1B">
      <w:pPr>
        <w:spacing w:line="360" w:lineRule="auto"/>
        <w:jc w:val="left"/>
        <w:rPr>
          <w:rFonts w:ascii="宋体" w:hAnsi="宋体"/>
          <w:b/>
          <w:color w:val="auto"/>
          <w:sz w:val="24"/>
          <w:highlight w:val="none"/>
        </w:rPr>
      </w:pPr>
    </w:p>
    <w:p w14:paraId="6608FDAF">
      <w:pPr>
        <w:rPr>
          <w:rFonts w:ascii="宋体" w:hAnsi="宋体"/>
          <w:color w:val="auto"/>
          <w:sz w:val="24"/>
          <w:highlight w:val="none"/>
        </w:rPr>
      </w:pPr>
    </w:p>
    <w:p w14:paraId="33CB00AE">
      <w:pPr>
        <w:rPr>
          <w:rFonts w:ascii="宋体" w:hAnsi="宋体"/>
          <w:color w:val="auto"/>
          <w:sz w:val="24"/>
          <w:highlight w:val="none"/>
        </w:rPr>
      </w:pPr>
    </w:p>
    <w:p w14:paraId="4786F997">
      <w:pPr>
        <w:pStyle w:val="6"/>
        <w:overflowPunct w:val="0"/>
        <w:spacing w:line="560" w:lineRule="exact"/>
        <w:rPr>
          <w:color w:val="auto"/>
          <w:sz w:val="24"/>
          <w:highlight w:val="none"/>
        </w:rPr>
      </w:pPr>
      <w:r>
        <w:rPr>
          <w:rFonts w:hint="eastAsia"/>
          <w:color w:val="auto"/>
          <w:sz w:val="24"/>
          <w:highlight w:val="none"/>
        </w:rPr>
        <w:t>投标人（盖章）：</w:t>
      </w:r>
      <w:r>
        <w:rPr>
          <w:rFonts w:hint="eastAsia" w:ascii="宋体" w:hAnsi="宋体"/>
          <w:color w:val="auto"/>
          <w:sz w:val="24"/>
          <w:highlight w:val="none"/>
          <w:u w:val="single"/>
        </w:rPr>
        <w:t xml:space="preserve">                </w:t>
      </w:r>
      <w:r>
        <w:rPr>
          <w:rFonts w:hint="eastAsia"/>
          <w:color w:val="auto"/>
          <w:sz w:val="24"/>
          <w:highlight w:val="none"/>
        </w:rPr>
        <w:t xml:space="preserve"> </w:t>
      </w:r>
    </w:p>
    <w:p w14:paraId="53A5BC88">
      <w:pPr>
        <w:pStyle w:val="6"/>
        <w:overflowPunct w:val="0"/>
        <w:spacing w:line="560" w:lineRule="exact"/>
        <w:rPr>
          <w:color w:val="auto"/>
          <w:sz w:val="24"/>
          <w:highlight w:val="none"/>
        </w:rPr>
      </w:pPr>
      <w:r>
        <w:rPr>
          <w:rFonts w:hint="eastAsia"/>
          <w:color w:val="auto"/>
          <w:sz w:val="24"/>
          <w:highlight w:val="none"/>
        </w:rPr>
        <w:t>法定代表人或委托代理人（签字或盖章）：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color w:val="auto"/>
          <w:sz w:val="24"/>
          <w:highlight w:val="none"/>
        </w:rPr>
        <w:t xml:space="preserve"> </w:t>
      </w:r>
    </w:p>
    <w:p w14:paraId="5E56CBEC">
      <w:pPr>
        <w:pStyle w:val="6"/>
        <w:overflowPunct w:val="0"/>
        <w:spacing w:line="560" w:lineRule="exact"/>
        <w:rPr>
          <w:rFonts w:ascii="宋体" w:hAnsi="宋体"/>
          <w:color w:val="auto"/>
          <w:sz w:val="24"/>
          <w:highlight w:val="none"/>
          <w:u w:val="single"/>
        </w:rPr>
      </w:pPr>
      <w:r>
        <w:rPr>
          <w:rFonts w:hint="eastAsia"/>
          <w:color w:val="auto"/>
          <w:sz w:val="24"/>
          <w:highlight w:val="none"/>
        </w:rPr>
        <w:t>日    期：</w:t>
      </w:r>
      <w:r>
        <w:rPr>
          <w:rFonts w:hint="eastAsia"/>
          <w:color w:val="auto"/>
          <w:sz w:val="24"/>
          <w:highlight w:val="none"/>
          <w:u w:val="single"/>
        </w:rPr>
        <w:t xml:space="preserve">      </w:t>
      </w:r>
      <w:r>
        <w:rPr>
          <w:rFonts w:hint="eastAsia"/>
          <w:color w:val="auto"/>
          <w:sz w:val="24"/>
          <w:highlight w:val="none"/>
        </w:rPr>
        <w:t>年</w:t>
      </w:r>
      <w:r>
        <w:rPr>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color w:val="auto"/>
          <w:sz w:val="24"/>
          <w:highlight w:val="none"/>
          <w:u w:val="single"/>
        </w:rPr>
        <w:tab/>
      </w:r>
      <w:r>
        <w:rPr>
          <w:rFonts w:hint="eastAsia"/>
          <w:color w:val="auto"/>
          <w:sz w:val="24"/>
          <w:highlight w:val="none"/>
          <w:u w:val="single"/>
        </w:rPr>
        <w:t xml:space="preserve">   </w:t>
      </w:r>
      <w:r>
        <w:rPr>
          <w:rFonts w:hint="eastAsia"/>
          <w:color w:val="auto"/>
          <w:sz w:val="24"/>
          <w:highlight w:val="none"/>
        </w:rPr>
        <w:t>日</w:t>
      </w:r>
    </w:p>
    <w:p w14:paraId="0AF7B411">
      <w:pPr>
        <w:pStyle w:val="3"/>
        <w:jc w:val="center"/>
        <w:rPr>
          <w:color w:val="auto"/>
          <w:kern w:val="0"/>
          <w:highlight w:val="none"/>
        </w:rPr>
      </w:pPr>
      <w:r>
        <w:rPr>
          <w:rFonts w:hint="eastAsia"/>
          <w:color w:val="auto"/>
          <w:highlight w:val="none"/>
        </w:rPr>
        <w:br w:type="page"/>
      </w:r>
      <w:bookmarkStart w:id="169" w:name="_Toc15701"/>
      <w:bookmarkStart w:id="170" w:name="_Toc11039"/>
      <w:bookmarkStart w:id="171" w:name="_Toc27446"/>
      <w:bookmarkStart w:id="172" w:name="_Toc21202"/>
      <w:bookmarkStart w:id="173" w:name="_Toc6884"/>
      <w:r>
        <w:rPr>
          <w:rFonts w:hint="eastAsia" w:ascii="Times New Roman"/>
          <w:bCs/>
          <w:color w:val="auto"/>
          <w:kern w:val="0"/>
          <w:sz w:val="28"/>
          <w:highlight w:val="none"/>
        </w:rPr>
        <w:t>（二）投标函</w:t>
      </w:r>
      <w:bookmarkEnd w:id="169"/>
      <w:bookmarkEnd w:id="170"/>
      <w:bookmarkEnd w:id="171"/>
      <w:bookmarkEnd w:id="172"/>
      <w:bookmarkEnd w:id="173"/>
    </w:p>
    <w:p w14:paraId="1D797F4C">
      <w:pPr>
        <w:spacing w:after="120" w:line="400" w:lineRule="exact"/>
        <w:jc w:val="left"/>
        <w:rPr>
          <w:rFonts w:ascii="宋体" w:hAnsi="宋体"/>
          <w:b/>
          <w:bCs/>
          <w:color w:val="auto"/>
          <w:sz w:val="24"/>
          <w:highlight w:val="none"/>
        </w:rPr>
      </w:pPr>
      <w:r>
        <w:rPr>
          <w:rFonts w:hint="eastAsia" w:ascii="宋体" w:hAnsi="宋体"/>
          <w:b/>
          <w:bCs/>
          <w:color w:val="auto"/>
          <w:sz w:val="24"/>
          <w:highlight w:val="none"/>
        </w:rPr>
        <w:t>致</w:t>
      </w:r>
      <w:r>
        <w:rPr>
          <w:rFonts w:hint="eastAsia" w:ascii="宋体" w:hAnsi="宋体"/>
          <w:bCs/>
          <w:color w:val="auto"/>
          <w:sz w:val="24"/>
          <w:highlight w:val="none"/>
          <w:u w:val="single"/>
        </w:rPr>
        <w:t>（招标人）</w:t>
      </w:r>
      <w:r>
        <w:rPr>
          <w:rFonts w:hint="eastAsia" w:ascii="宋体" w:hAnsi="宋体"/>
          <w:b/>
          <w:bCs/>
          <w:color w:val="auto"/>
          <w:sz w:val="24"/>
          <w:highlight w:val="none"/>
        </w:rPr>
        <w:t>：</w:t>
      </w:r>
    </w:p>
    <w:p w14:paraId="7161DA9F">
      <w:pPr>
        <w:spacing w:line="360" w:lineRule="auto"/>
        <w:ind w:firstLine="510"/>
        <w:jc w:val="left"/>
        <w:rPr>
          <w:rFonts w:ascii="宋体" w:hAnsi="宋体"/>
          <w:color w:val="auto"/>
          <w:sz w:val="24"/>
          <w:highlight w:val="none"/>
        </w:rPr>
      </w:pPr>
    </w:p>
    <w:p w14:paraId="1ABF3E2E">
      <w:pPr>
        <w:pStyle w:val="15"/>
        <w:numPr>
          <w:ilvl w:val="0"/>
          <w:numId w:val="8"/>
        </w:numPr>
        <w:spacing w:line="480" w:lineRule="exact"/>
        <w:ind w:firstLine="480" w:firstLineChars="200"/>
        <w:jc w:val="left"/>
        <w:rPr>
          <w:rFonts w:hAnsi="宋体"/>
          <w:bCs/>
          <w:color w:val="auto"/>
          <w:sz w:val="24"/>
          <w:szCs w:val="24"/>
          <w:highlight w:val="none"/>
        </w:rPr>
      </w:pPr>
      <w:r>
        <w:rPr>
          <w:rFonts w:hint="eastAsia" w:hAnsi="宋体"/>
          <w:color w:val="auto"/>
          <w:sz w:val="24"/>
          <w:szCs w:val="24"/>
          <w:highlight w:val="none"/>
        </w:rPr>
        <w:t>我方已仔细研究了</w:t>
      </w:r>
      <w:r>
        <w:rPr>
          <w:rFonts w:hint="eastAsia" w:hAnsi="宋体"/>
          <w:color w:val="auto"/>
          <w:sz w:val="24"/>
          <w:highlight w:val="none"/>
          <w:u w:val="single"/>
        </w:rPr>
        <w:t>（项目名称</w:t>
      </w:r>
      <w:r>
        <w:rPr>
          <w:rFonts w:hint="eastAsia" w:hAnsi="宋体"/>
          <w:color w:val="auto"/>
          <w:sz w:val="24"/>
          <w:highlight w:val="none"/>
          <w:u w:val="single"/>
          <w:lang w:eastAsia="zh-CN"/>
        </w:rPr>
        <w:t>、标段号</w:t>
      </w:r>
      <w:r>
        <w:rPr>
          <w:rFonts w:hint="eastAsia" w:hAnsi="宋体"/>
          <w:color w:val="auto"/>
          <w:sz w:val="24"/>
          <w:highlight w:val="none"/>
          <w:u w:val="single"/>
        </w:rPr>
        <w:t>）（项目编号）</w:t>
      </w:r>
      <w:r>
        <w:rPr>
          <w:rFonts w:hint="eastAsia" w:hAnsi="宋体"/>
          <w:color w:val="auto"/>
          <w:sz w:val="24"/>
          <w:szCs w:val="24"/>
          <w:highlight w:val="none"/>
        </w:rPr>
        <w:t>招标文件的全部内容，</w:t>
      </w:r>
      <w:r>
        <w:rPr>
          <w:rFonts w:hint="eastAsia" w:hAnsi="宋体"/>
          <w:bCs/>
          <w:color w:val="auto"/>
          <w:sz w:val="24"/>
          <w:szCs w:val="24"/>
          <w:highlight w:val="none"/>
        </w:rPr>
        <w:t>愿以</w:t>
      </w:r>
      <w:r>
        <w:rPr>
          <w:rFonts w:hint="eastAsia" w:hAnsi="宋体"/>
          <w:bCs/>
          <w:color w:val="auto"/>
          <w:sz w:val="24"/>
          <w:szCs w:val="24"/>
          <w:highlight w:val="none"/>
          <w:u w:val="single"/>
        </w:rPr>
        <w:t xml:space="preserve">       </w:t>
      </w:r>
      <w:r>
        <w:rPr>
          <w:rFonts w:hint="eastAsia" w:hAnsi="宋体"/>
          <w:bCs/>
          <w:color w:val="auto"/>
          <w:sz w:val="24"/>
          <w:highlight w:val="none"/>
        </w:rPr>
        <w:t>为</w:t>
      </w:r>
      <w:r>
        <w:rPr>
          <w:rFonts w:hint="eastAsia" w:hAnsi="宋体"/>
          <w:bCs/>
          <w:color w:val="auto"/>
          <w:sz w:val="24"/>
          <w:szCs w:val="24"/>
          <w:highlight w:val="none"/>
        </w:rPr>
        <w:t>投标报价，</w:t>
      </w:r>
      <w:r>
        <w:rPr>
          <w:rFonts w:hint="eastAsia" w:hAnsi="宋体"/>
          <w:color w:val="auto"/>
          <w:sz w:val="24"/>
          <w:szCs w:val="24"/>
          <w:highlight w:val="none"/>
        </w:rPr>
        <w:t>保证按招标文件的规定和投标文件的承诺以及合同约定完成本项目的所有内容</w:t>
      </w:r>
      <w:r>
        <w:rPr>
          <w:rFonts w:hint="eastAsia" w:hAnsi="宋体"/>
          <w:bCs/>
          <w:color w:val="auto"/>
          <w:sz w:val="24"/>
          <w:szCs w:val="24"/>
          <w:highlight w:val="none"/>
        </w:rPr>
        <w:t>。</w:t>
      </w:r>
    </w:p>
    <w:p w14:paraId="71867031">
      <w:pPr>
        <w:pStyle w:val="15"/>
        <w:spacing w:line="480" w:lineRule="exact"/>
        <w:ind w:firstLine="480" w:firstLineChars="200"/>
        <w:jc w:val="left"/>
        <w:rPr>
          <w:rFonts w:hAnsi="宋体"/>
          <w:color w:val="auto"/>
          <w:sz w:val="24"/>
          <w:szCs w:val="24"/>
          <w:highlight w:val="none"/>
        </w:rPr>
      </w:pPr>
      <w:r>
        <w:rPr>
          <w:rFonts w:hint="eastAsia"/>
          <w:color w:val="auto"/>
          <w:sz w:val="24"/>
          <w:szCs w:val="24"/>
          <w:highlight w:val="none"/>
        </w:rPr>
        <w:t>2、</w:t>
      </w:r>
      <w:r>
        <w:rPr>
          <w:rFonts w:hint="eastAsia" w:hAnsi="宋体"/>
          <w:color w:val="auto"/>
          <w:sz w:val="24"/>
          <w:szCs w:val="24"/>
          <w:highlight w:val="none"/>
        </w:rPr>
        <w:t>我方承诺在招标文件规定的投标有效期（90日历天）内不撤销投标文件。</w:t>
      </w:r>
    </w:p>
    <w:p w14:paraId="42DAB372">
      <w:pPr>
        <w:pStyle w:val="15"/>
        <w:spacing w:line="480" w:lineRule="exact"/>
        <w:ind w:firstLine="480" w:firstLineChars="200"/>
        <w:jc w:val="left"/>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、如我方中标，我方承诺：</w:t>
      </w:r>
    </w:p>
    <w:p w14:paraId="3A5815DA">
      <w:pPr>
        <w:spacing w:line="480" w:lineRule="exact"/>
        <w:ind w:firstLine="960" w:firstLineChars="400"/>
        <w:jc w:val="left"/>
        <w:rPr>
          <w:rFonts w:ascii="宋体" w:hAnsi="宋体"/>
          <w:color w:val="auto"/>
          <w:sz w:val="24"/>
          <w:highlight w:val="none"/>
        </w:rPr>
      </w:pPr>
      <w:r>
        <w:rPr>
          <w:rFonts w:hint="eastAsia" w:ascii="宋体" w:hAnsi="宋体"/>
          <w:color w:val="auto"/>
          <w:sz w:val="24"/>
          <w:highlight w:val="none"/>
        </w:rPr>
        <w:t>（1）在收到中标通知书后，在中标通知书规定的期限内与你方签订合同；</w:t>
      </w:r>
    </w:p>
    <w:p w14:paraId="3040AD53">
      <w:pPr>
        <w:spacing w:line="480" w:lineRule="exact"/>
        <w:ind w:firstLine="960" w:firstLineChars="400"/>
        <w:jc w:val="left"/>
        <w:rPr>
          <w:rFonts w:ascii="宋体" w:hAnsi="宋体"/>
          <w:color w:val="auto"/>
          <w:sz w:val="24"/>
          <w:highlight w:val="none"/>
        </w:rPr>
      </w:pPr>
      <w:r>
        <w:rPr>
          <w:rFonts w:hint="eastAsia" w:ascii="宋体" w:hAnsi="宋体"/>
          <w:color w:val="auto"/>
          <w:sz w:val="24"/>
          <w:highlight w:val="none"/>
        </w:rPr>
        <w:t>（2）在签订合同时不向你方提出附加条件；</w:t>
      </w:r>
    </w:p>
    <w:p w14:paraId="5A31BF70">
      <w:pPr>
        <w:spacing w:line="480" w:lineRule="exact"/>
        <w:ind w:firstLine="960" w:firstLineChars="400"/>
        <w:jc w:val="left"/>
        <w:rPr>
          <w:rFonts w:ascii="宋体" w:hAnsi="宋体"/>
          <w:color w:val="auto"/>
          <w:sz w:val="24"/>
          <w:highlight w:val="none"/>
        </w:rPr>
      </w:pPr>
      <w:r>
        <w:rPr>
          <w:rFonts w:hint="eastAsia" w:ascii="宋体" w:hAnsi="宋体"/>
          <w:color w:val="auto"/>
          <w:sz w:val="24"/>
          <w:highlight w:val="none"/>
        </w:rPr>
        <w:t>（3）在合同约定的期限内完成合同规定的全部义务。</w:t>
      </w:r>
    </w:p>
    <w:p w14:paraId="66C78469">
      <w:pPr>
        <w:pStyle w:val="15"/>
        <w:spacing w:line="480" w:lineRule="exact"/>
        <w:ind w:firstLine="480" w:firstLineChars="200"/>
        <w:jc w:val="left"/>
        <w:rPr>
          <w:rFonts w:hAnsi="宋体"/>
          <w:color w:val="auto"/>
          <w:sz w:val="24"/>
          <w:szCs w:val="24"/>
          <w:highlight w:val="none"/>
        </w:rPr>
      </w:pPr>
      <w:r>
        <w:rPr>
          <w:rFonts w:hAnsi="宋体"/>
          <w:color w:val="auto"/>
          <w:sz w:val="24"/>
          <w:szCs w:val="24"/>
          <w:highlight w:val="none"/>
        </w:rPr>
        <w:t>4、如果在投标文件有效期内撤回投标或者有其他违约行为，我方的投标保证金可被贵方全部或部分没收。</w:t>
      </w:r>
    </w:p>
    <w:p w14:paraId="0FE40B47">
      <w:pPr>
        <w:pStyle w:val="15"/>
        <w:spacing w:line="480" w:lineRule="exact"/>
        <w:ind w:firstLine="480" w:firstLineChars="200"/>
        <w:jc w:val="left"/>
        <w:rPr>
          <w:rFonts w:hAnsi="宋体"/>
          <w:color w:val="auto"/>
          <w:sz w:val="24"/>
          <w:szCs w:val="24"/>
          <w:highlight w:val="none"/>
        </w:rPr>
      </w:pPr>
      <w:r>
        <w:rPr>
          <w:rFonts w:hAnsi="宋体"/>
          <w:color w:val="auto"/>
          <w:sz w:val="24"/>
          <w:szCs w:val="24"/>
          <w:highlight w:val="none"/>
        </w:rPr>
        <w:t>5、我方完全理解贵方不一定要接受最低报价的投标人为中标人的行为。</w:t>
      </w:r>
    </w:p>
    <w:p w14:paraId="279A1C9F">
      <w:pPr>
        <w:pStyle w:val="15"/>
        <w:spacing w:line="480" w:lineRule="exact"/>
        <w:ind w:firstLine="480" w:firstLineChars="200"/>
        <w:jc w:val="left"/>
        <w:rPr>
          <w:rFonts w:hAnsi="宋体"/>
          <w:color w:val="auto"/>
          <w:sz w:val="24"/>
          <w:szCs w:val="24"/>
          <w:highlight w:val="none"/>
        </w:rPr>
      </w:pPr>
      <w:r>
        <w:rPr>
          <w:rFonts w:hAnsi="宋体"/>
          <w:color w:val="auto"/>
          <w:sz w:val="24"/>
          <w:szCs w:val="24"/>
          <w:highlight w:val="none"/>
        </w:rPr>
        <w:t>6、同意应贵方要求提供与本投标有关的任何数据或资料。</w:t>
      </w:r>
    </w:p>
    <w:p w14:paraId="5D49763A">
      <w:pPr>
        <w:pStyle w:val="15"/>
        <w:spacing w:line="480" w:lineRule="exact"/>
        <w:ind w:firstLine="480" w:firstLineChars="200"/>
        <w:rPr>
          <w:rFonts w:hAnsi="宋体"/>
          <w:color w:val="auto"/>
          <w:sz w:val="24"/>
          <w:szCs w:val="24"/>
          <w:highlight w:val="none"/>
        </w:rPr>
      </w:pPr>
      <w:r>
        <w:rPr>
          <w:rFonts w:hint="eastAsia" w:hAnsi="宋体"/>
          <w:color w:val="auto"/>
          <w:sz w:val="24"/>
          <w:szCs w:val="24"/>
          <w:highlight w:val="none"/>
        </w:rPr>
        <w:t>7、其他服务承诺和优惠承诺（由投标人自行承诺）：</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w:t>
      </w:r>
    </w:p>
    <w:p w14:paraId="4ABEB511">
      <w:pPr>
        <w:pStyle w:val="15"/>
        <w:spacing w:line="480" w:lineRule="exact"/>
        <w:ind w:firstLine="480" w:firstLineChars="200"/>
        <w:rPr>
          <w:rFonts w:hAnsi="宋体"/>
          <w:color w:val="auto"/>
          <w:sz w:val="24"/>
          <w:szCs w:val="24"/>
          <w:highlight w:val="none"/>
        </w:rPr>
      </w:pPr>
      <w:r>
        <w:rPr>
          <w:rFonts w:hAnsi="宋体"/>
          <w:color w:val="auto"/>
          <w:sz w:val="24"/>
          <w:szCs w:val="24"/>
          <w:highlight w:val="none"/>
        </w:rPr>
        <w:t>与本投标有关的正式通讯地址为：</w:t>
      </w:r>
    </w:p>
    <w:p w14:paraId="10555A45">
      <w:pPr>
        <w:pStyle w:val="15"/>
        <w:spacing w:line="480" w:lineRule="exact"/>
        <w:ind w:firstLine="480" w:firstLineChars="200"/>
        <w:rPr>
          <w:rFonts w:hAnsi="宋体"/>
          <w:color w:val="auto"/>
          <w:sz w:val="24"/>
          <w:szCs w:val="24"/>
          <w:highlight w:val="none"/>
        </w:rPr>
      </w:pPr>
      <w:r>
        <w:rPr>
          <w:rFonts w:hAnsi="宋体"/>
          <w:color w:val="auto"/>
          <w:sz w:val="24"/>
          <w:szCs w:val="24"/>
          <w:highlight w:val="none"/>
        </w:rPr>
        <w:t>地址：</w:t>
      </w:r>
      <w:r>
        <w:rPr>
          <w:rFonts w:hAnsi="宋体"/>
          <w:color w:val="auto"/>
          <w:sz w:val="24"/>
          <w:szCs w:val="24"/>
          <w:highlight w:val="none"/>
          <w:u w:val="single"/>
        </w:rPr>
        <w:t xml:space="preserve">                              </w:t>
      </w:r>
      <w:r>
        <w:rPr>
          <w:rFonts w:hAnsi="宋体"/>
          <w:color w:val="auto"/>
          <w:sz w:val="24"/>
          <w:szCs w:val="24"/>
          <w:highlight w:val="none"/>
        </w:rPr>
        <w:t xml:space="preserve">   邮政编码：</w:t>
      </w:r>
      <w:r>
        <w:rPr>
          <w:rFonts w:hAnsi="宋体"/>
          <w:color w:val="auto"/>
          <w:sz w:val="24"/>
          <w:szCs w:val="24"/>
          <w:highlight w:val="none"/>
          <w:u w:val="single"/>
        </w:rPr>
        <w:t xml:space="preserve">             </w:t>
      </w:r>
    </w:p>
    <w:p w14:paraId="18F5855A">
      <w:pPr>
        <w:pStyle w:val="15"/>
        <w:spacing w:line="480" w:lineRule="exact"/>
        <w:ind w:firstLine="480" w:firstLineChars="200"/>
        <w:rPr>
          <w:rFonts w:hAnsi="宋体"/>
          <w:color w:val="auto"/>
          <w:sz w:val="24"/>
          <w:szCs w:val="24"/>
          <w:highlight w:val="none"/>
        </w:rPr>
      </w:pPr>
      <w:r>
        <w:rPr>
          <w:rFonts w:hAnsi="宋体"/>
          <w:color w:val="auto"/>
          <w:sz w:val="24"/>
          <w:szCs w:val="24"/>
          <w:highlight w:val="none"/>
        </w:rPr>
        <w:t>电话：</w:t>
      </w:r>
      <w:r>
        <w:rPr>
          <w:rFonts w:hAnsi="宋体"/>
          <w:color w:val="auto"/>
          <w:sz w:val="24"/>
          <w:szCs w:val="24"/>
          <w:highlight w:val="none"/>
          <w:u w:val="single"/>
        </w:rPr>
        <w:t xml:space="preserve">                             </w:t>
      </w:r>
      <w:r>
        <w:rPr>
          <w:rFonts w:hAnsi="宋体"/>
          <w:color w:val="auto"/>
          <w:sz w:val="24"/>
          <w:szCs w:val="24"/>
          <w:highlight w:val="none"/>
        </w:rPr>
        <w:t xml:space="preserve">  帐    号：</w:t>
      </w:r>
      <w:r>
        <w:rPr>
          <w:rFonts w:hAnsi="宋体"/>
          <w:color w:val="auto"/>
          <w:sz w:val="24"/>
          <w:szCs w:val="24"/>
          <w:highlight w:val="none"/>
          <w:u w:val="single"/>
        </w:rPr>
        <w:t xml:space="preserve">               </w:t>
      </w:r>
      <w:r>
        <w:rPr>
          <w:rFonts w:hAnsi="宋体"/>
          <w:color w:val="auto"/>
          <w:sz w:val="24"/>
          <w:szCs w:val="24"/>
          <w:highlight w:val="none"/>
        </w:rPr>
        <w:t xml:space="preserve"> </w:t>
      </w:r>
    </w:p>
    <w:p w14:paraId="0A85B15E">
      <w:pPr>
        <w:pStyle w:val="15"/>
        <w:spacing w:line="480" w:lineRule="exact"/>
        <w:ind w:firstLine="480" w:firstLineChars="200"/>
        <w:rPr>
          <w:rFonts w:hAnsi="宋体"/>
          <w:color w:val="auto"/>
          <w:sz w:val="24"/>
          <w:szCs w:val="24"/>
          <w:highlight w:val="none"/>
          <w:u w:val="single"/>
        </w:rPr>
      </w:pPr>
      <w:r>
        <w:rPr>
          <w:rFonts w:hAnsi="宋体"/>
          <w:color w:val="auto"/>
          <w:sz w:val="24"/>
          <w:szCs w:val="24"/>
          <w:highlight w:val="none"/>
        </w:rPr>
        <w:t>开户名称：</w:t>
      </w:r>
      <w:r>
        <w:rPr>
          <w:rFonts w:hAnsi="宋体"/>
          <w:color w:val="auto"/>
          <w:sz w:val="24"/>
          <w:szCs w:val="24"/>
          <w:highlight w:val="none"/>
          <w:u w:val="single"/>
        </w:rPr>
        <w:t xml:space="preserve">                       </w:t>
      </w:r>
      <w:r>
        <w:rPr>
          <w:rFonts w:hAnsi="宋体"/>
          <w:color w:val="auto"/>
          <w:sz w:val="24"/>
          <w:szCs w:val="24"/>
          <w:highlight w:val="none"/>
        </w:rPr>
        <w:t xml:space="preserve"> 开户银行：</w:t>
      </w:r>
      <w:r>
        <w:rPr>
          <w:rFonts w:hAnsi="宋体"/>
          <w:color w:val="auto"/>
          <w:sz w:val="24"/>
          <w:szCs w:val="24"/>
          <w:highlight w:val="none"/>
          <w:u w:val="single"/>
        </w:rPr>
        <w:t xml:space="preserve">                    </w:t>
      </w:r>
    </w:p>
    <w:p w14:paraId="3E101524">
      <w:pPr>
        <w:spacing w:line="360" w:lineRule="auto"/>
        <w:jc w:val="left"/>
        <w:rPr>
          <w:rFonts w:ascii="宋体" w:hAnsi="宋体"/>
          <w:color w:val="auto"/>
          <w:sz w:val="24"/>
          <w:highlight w:val="none"/>
        </w:rPr>
      </w:pPr>
    </w:p>
    <w:p w14:paraId="25FE7C1B">
      <w:pPr>
        <w:pStyle w:val="15"/>
        <w:spacing w:line="480" w:lineRule="exact"/>
        <w:ind w:firstLine="480" w:firstLineChars="200"/>
        <w:rPr>
          <w:rFonts w:hAnsi="宋体"/>
          <w:color w:val="auto"/>
          <w:sz w:val="24"/>
          <w:szCs w:val="24"/>
          <w:highlight w:val="none"/>
        </w:rPr>
      </w:pPr>
      <w:bookmarkStart w:id="174" w:name="_Toc22547"/>
      <w:bookmarkStart w:id="175" w:name="_Toc29294"/>
      <w:bookmarkStart w:id="176" w:name="_Toc14824"/>
      <w:bookmarkStart w:id="177" w:name="_Toc10867"/>
      <w:bookmarkStart w:id="178" w:name="_Toc32030"/>
      <w:bookmarkStart w:id="179" w:name="_Toc29726"/>
    </w:p>
    <w:p w14:paraId="587893E5">
      <w:pPr>
        <w:pStyle w:val="6"/>
        <w:overflowPunct w:val="0"/>
        <w:spacing w:line="560" w:lineRule="exact"/>
        <w:rPr>
          <w:color w:val="auto"/>
          <w:sz w:val="24"/>
          <w:highlight w:val="none"/>
        </w:rPr>
      </w:pPr>
      <w:r>
        <w:rPr>
          <w:rFonts w:hint="eastAsia"/>
          <w:color w:val="auto"/>
          <w:sz w:val="24"/>
          <w:highlight w:val="none"/>
        </w:rPr>
        <w:t>投标人(电子签章)：</w:t>
      </w:r>
      <w:r>
        <w:rPr>
          <w:rFonts w:hint="eastAsia" w:ascii="宋体" w:hAnsi="宋体"/>
          <w:color w:val="auto"/>
          <w:sz w:val="24"/>
          <w:highlight w:val="none"/>
          <w:u w:val="single"/>
        </w:rPr>
        <w:t xml:space="preserve">                </w:t>
      </w:r>
      <w:r>
        <w:rPr>
          <w:rFonts w:hint="eastAsia"/>
          <w:color w:val="auto"/>
          <w:sz w:val="24"/>
          <w:highlight w:val="none"/>
        </w:rPr>
        <w:t xml:space="preserve"> </w:t>
      </w:r>
    </w:p>
    <w:p w14:paraId="661D3D43">
      <w:pPr>
        <w:pStyle w:val="6"/>
        <w:overflowPunct w:val="0"/>
        <w:spacing w:line="560" w:lineRule="exact"/>
        <w:rPr>
          <w:color w:val="auto"/>
          <w:sz w:val="24"/>
          <w:highlight w:val="none"/>
        </w:rPr>
      </w:pPr>
      <w:r>
        <w:rPr>
          <w:rFonts w:hint="eastAsia"/>
          <w:color w:val="auto"/>
          <w:sz w:val="24"/>
          <w:highlight w:val="none"/>
        </w:rPr>
        <w:t>法定代表人或委托代理人(电子签章或电子签名)：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color w:val="auto"/>
          <w:sz w:val="24"/>
          <w:highlight w:val="none"/>
        </w:rPr>
        <w:t xml:space="preserve"> </w:t>
      </w:r>
    </w:p>
    <w:p w14:paraId="0AB17B60">
      <w:pPr>
        <w:pStyle w:val="6"/>
        <w:overflowPunct w:val="0"/>
        <w:spacing w:line="560" w:lineRule="exact"/>
        <w:jc w:val="left"/>
        <w:rPr>
          <w:rFonts w:hint="eastAsia" w:eastAsia="宋体"/>
          <w:color w:val="auto"/>
          <w:highlight w:val="none"/>
          <w:lang w:val="en-US" w:eastAsia="zh-CN"/>
        </w:rPr>
        <w:sectPr>
          <w:footerReference r:id="rId12" w:type="first"/>
          <w:footerReference r:id="rId11" w:type="default"/>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color w:val="auto"/>
          <w:sz w:val="24"/>
          <w:highlight w:val="none"/>
        </w:rPr>
        <w:t>日    期：</w:t>
      </w:r>
      <w:r>
        <w:rPr>
          <w:rFonts w:hint="eastAsia"/>
          <w:color w:val="auto"/>
          <w:sz w:val="24"/>
          <w:highlight w:val="none"/>
          <w:u w:val="single"/>
        </w:rPr>
        <w:t xml:space="preserve">      </w:t>
      </w:r>
      <w:r>
        <w:rPr>
          <w:rFonts w:hint="eastAsia"/>
          <w:color w:val="auto"/>
          <w:sz w:val="24"/>
          <w:highlight w:val="none"/>
        </w:rPr>
        <w:t>年</w:t>
      </w:r>
      <w:r>
        <w:rPr>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color w:val="auto"/>
          <w:sz w:val="24"/>
          <w:highlight w:val="none"/>
          <w:u w:val="single"/>
        </w:rPr>
        <w:tab/>
      </w:r>
      <w:r>
        <w:rPr>
          <w:rFonts w:hint="eastAsia"/>
          <w:color w:val="auto"/>
          <w:sz w:val="24"/>
          <w:highlight w:val="none"/>
          <w:u w:val="single"/>
        </w:rPr>
        <w:t xml:space="preserve">   </w:t>
      </w:r>
      <w:r>
        <w:rPr>
          <w:rFonts w:hint="eastAsia"/>
          <w:color w:val="auto"/>
          <w:sz w:val="24"/>
          <w:highlight w:val="none"/>
          <w:u w:val="single"/>
          <w:lang w:val="en-US" w:eastAsia="zh-CN"/>
        </w:rPr>
        <w:t>日</w:t>
      </w:r>
    </w:p>
    <w:bookmarkEnd w:id="174"/>
    <w:bookmarkEnd w:id="175"/>
    <w:p w14:paraId="110D9A82">
      <w:pPr>
        <w:rPr>
          <w:color w:val="auto"/>
          <w:highlight w:val="none"/>
        </w:rPr>
      </w:pPr>
    </w:p>
    <w:bookmarkEnd w:id="176"/>
    <w:bookmarkEnd w:id="177"/>
    <w:bookmarkEnd w:id="178"/>
    <w:bookmarkEnd w:id="179"/>
    <w:p w14:paraId="668356BF">
      <w:pPr>
        <w:pStyle w:val="4"/>
        <w:tabs>
          <w:tab w:val="left" w:pos="900"/>
        </w:tabs>
        <w:jc w:val="center"/>
        <w:rPr>
          <w:color w:val="auto"/>
          <w:sz w:val="28"/>
          <w:highlight w:val="none"/>
        </w:rPr>
      </w:pPr>
      <w:bookmarkStart w:id="180" w:name="_Toc15822"/>
      <w:r>
        <w:rPr>
          <w:rFonts w:hint="eastAsia"/>
          <w:color w:val="auto"/>
          <w:sz w:val="28"/>
          <w:highlight w:val="none"/>
        </w:rPr>
        <w:t>（</w:t>
      </w:r>
      <w:r>
        <w:rPr>
          <w:rFonts w:hint="eastAsia"/>
          <w:color w:val="auto"/>
          <w:sz w:val="28"/>
          <w:highlight w:val="none"/>
          <w:lang w:eastAsia="zh-CN"/>
        </w:rPr>
        <w:t>三</w:t>
      </w:r>
      <w:r>
        <w:rPr>
          <w:rFonts w:hint="eastAsia"/>
          <w:color w:val="auto"/>
          <w:sz w:val="28"/>
          <w:highlight w:val="none"/>
        </w:rPr>
        <w:t>）</w:t>
      </w:r>
      <w:bookmarkEnd w:id="180"/>
      <w:r>
        <w:rPr>
          <w:rFonts w:hint="eastAsia"/>
          <w:color w:val="auto"/>
          <w:sz w:val="28"/>
          <w:highlight w:val="none"/>
        </w:rPr>
        <w:t>投标保证书</w:t>
      </w:r>
    </w:p>
    <w:p w14:paraId="0C1F51E5">
      <w:pPr>
        <w:jc w:val="center"/>
        <w:rPr>
          <w:color w:val="auto"/>
          <w:highlight w:val="none"/>
        </w:rPr>
      </w:pPr>
    </w:p>
    <w:p w14:paraId="38205DFC">
      <w:pPr>
        <w:spacing w:line="360" w:lineRule="auto"/>
        <w:jc w:val="left"/>
        <w:rPr>
          <w:color w:val="auto"/>
          <w:sz w:val="24"/>
          <w:highlight w:val="none"/>
          <w:u w:val="single"/>
        </w:rPr>
      </w:pPr>
      <w:r>
        <w:rPr>
          <w:rFonts w:hint="eastAsia"/>
          <w:color w:val="auto"/>
          <w:sz w:val="24"/>
          <w:highlight w:val="none"/>
        </w:rPr>
        <w:t>致：</w:t>
      </w:r>
      <w:r>
        <w:rPr>
          <w:rFonts w:hint="eastAsia"/>
          <w:color w:val="auto"/>
          <w:sz w:val="24"/>
          <w:highlight w:val="none"/>
          <w:u w:val="single"/>
        </w:rPr>
        <w:t>（招标人、招标代理机构）</w:t>
      </w:r>
    </w:p>
    <w:p w14:paraId="23EFA7A7">
      <w:pPr>
        <w:pStyle w:val="15"/>
        <w:spacing w:line="360" w:lineRule="auto"/>
        <w:ind w:firstLine="480" w:firstLineChars="200"/>
        <w:rPr>
          <w:color w:val="auto"/>
          <w:sz w:val="24"/>
          <w:highlight w:val="none"/>
        </w:rPr>
      </w:pPr>
      <w:r>
        <w:rPr>
          <w:rFonts w:hint="eastAsia"/>
          <w:color w:val="auto"/>
          <w:sz w:val="24"/>
          <w:highlight w:val="none"/>
        </w:rPr>
        <w:t>我方自愿参加</w:t>
      </w:r>
      <w:r>
        <w:rPr>
          <w:rFonts w:hint="eastAsia" w:hAnsi="宋体"/>
          <w:color w:val="auto"/>
          <w:sz w:val="24"/>
          <w:highlight w:val="none"/>
          <w:u w:val="single"/>
        </w:rPr>
        <w:t>（项目名称</w:t>
      </w:r>
      <w:r>
        <w:rPr>
          <w:rFonts w:hint="eastAsia" w:hAnsi="宋体"/>
          <w:color w:val="auto"/>
          <w:sz w:val="24"/>
          <w:highlight w:val="none"/>
          <w:u w:val="single"/>
          <w:lang w:eastAsia="zh-CN"/>
        </w:rPr>
        <w:t>、标段号</w:t>
      </w:r>
      <w:r>
        <w:rPr>
          <w:rFonts w:hint="eastAsia" w:hAnsi="宋体"/>
          <w:color w:val="auto"/>
          <w:sz w:val="24"/>
          <w:highlight w:val="none"/>
          <w:u w:val="single"/>
        </w:rPr>
        <w:t>）（项目编号）</w:t>
      </w:r>
      <w:r>
        <w:rPr>
          <w:rFonts w:hint="eastAsia"/>
          <w:color w:val="auto"/>
          <w:sz w:val="24"/>
          <w:highlight w:val="none"/>
        </w:rPr>
        <w:t>的投标，并按招标文件要求缴纳投标保证金，金额为¥</w:t>
      </w:r>
      <w:r>
        <w:rPr>
          <w:color w:val="auto"/>
          <w:sz w:val="24"/>
          <w:highlight w:val="none"/>
          <w:u w:val="single"/>
        </w:rPr>
        <w:t xml:space="preserve">             </w:t>
      </w:r>
      <w:r>
        <w:rPr>
          <w:rFonts w:hint="eastAsia"/>
          <w:color w:val="auto"/>
          <w:sz w:val="24"/>
          <w:highlight w:val="none"/>
        </w:rPr>
        <w:t>元（大写：人民币</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元）。</w:t>
      </w:r>
    </w:p>
    <w:p w14:paraId="36CAFB67">
      <w:pPr>
        <w:pStyle w:val="15"/>
        <w:spacing w:line="360" w:lineRule="auto"/>
        <w:ind w:firstLine="482" w:firstLineChars="200"/>
        <w:rPr>
          <w:color w:val="auto"/>
          <w:sz w:val="24"/>
          <w:highlight w:val="none"/>
        </w:rPr>
      </w:pPr>
      <w:r>
        <w:rPr>
          <w:rFonts w:hint="eastAsia" w:hAnsi="宋体"/>
          <w:b/>
          <w:bCs/>
          <w:color w:val="auto"/>
          <w:sz w:val="24"/>
          <w:szCs w:val="24"/>
          <w:highlight w:val="none"/>
        </w:rPr>
        <w:t>注：后附保证金缴纳凭证（回执）扫描件加盖电子公章。</w:t>
      </w:r>
    </w:p>
    <w:p w14:paraId="3F9EB301">
      <w:pPr>
        <w:spacing w:line="360" w:lineRule="auto"/>
        <w:ind w:firstLine="480" w:firstLineChars="200"/>
        <w:jc w:val="left"/>
        <w:rPr>
          <w:color w:val="auto"/>
          <w:sz w:val="24"/>
          <w:highlight w:val="none"/>
        </w:rPr>
      </w:pPr>
      <w:r>
        <w:rPr>
          <w:rFonts w:hint="eastAsia"/>
          <w:color w:val="auto"/>
          <w:sz w:val="24"/>
          <w:highlight w:val="none"/>
        </w:rPr>
        <w:t>一旦发生下述行为，我单位（或公司）将放弃追索保证金的权利：</w:t>
      </w:r>
    </w:p>
    <w:p w14:paraId="6E07E4A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（1）投标人在规定的投标有效期内撤销或修改其投标文件；</w:t>
      </w:r>
    </w:p>
    <w:p w14:paraId="2F8C2A9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（2）中标人在收到中标通知书后，无正当理由拒签合同协议书或未按招标文件规定提交履约担保。</w:t>
      </w:r>
    </w:p>
    <w:p w14:paraId="1DFC06A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（3）投标人无故不参加投标或者出现不廉洁行为的；</w:t>
      </w:r>
    </w:p>
    <w:p w14:paraId="3B636D0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（4）投标人采用不正当的手段骗取中标的；</w:t>
      </w:r>
    </w:p>
    <w:p w14:paraId="6258602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（5）被相关管理部门认定投标人有串通投标行为的。</w:t>
      </w:r>
    </w:p>
    <w:p w14:paraId="7D3BD77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（6）将中标项目转让给他人或在投标文件中未说明且未经招标采购单位同意，将中标项目分包给他人的。</w:t>
      </w:r>
    </w:p>
    <w:p w14:paraId="2A09673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）拒绝履行合同义务的。</w:t>
      </w:r>
    </w:p>
    <w:p w14:paraId="44A6C47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8</w:t>
      </w:r>
      <w:r>
        <w:rPr>
          <w:rFonts w:hint="eastAsia" w:ascii="宋体" w:hAnsi="宋体"/>
          <w:color w:val="auto"/>
          <w:sz w:val="24"/>
          <w:highlight w:val="none"/>
        </w:rPr>
        <w:t>）其他严重扰乱招投标程序的。</w:t>
      </w:r>
    </w:p>
    <w:p w14:paraId="279306F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本保证书自开标日起</w:t>
      </w:r>
      <w:r>
        <w:rPr>
          <w:rFonts w:ascii="宋体" w:hAnsi="宋体"/>
          <w:color w:val="auto"/>
          <w:sz w:val="24"/>
          <w:highlight w:val="none"/>
        </w:rPr>
        <w:t>90</w:t>
      </w:r>
      <w:r>
        <w:rPr>
          <w:rFonts w:hint="eastAsia" w:ascii="宋体" w:hAnsi="宋体"/>
          <w:color w:val="auto"/>
          <w:sz w:val="24"/>
          <w:highlight w:val="none"/>
        </w:rPr>
        <w:t>日有效，除非贵方提前终止或解除本保证书</w:t>
      </w:r>
    </w:p>
    <w:p w14:paraId="65CE0EE6">
      <w:pPr>
        <w:pStyle w:val="15"/>
        <w:spacing w:line="360" w:lineRule="auto"/>
        <w:ind w:firstLine="480" w:firstLineChars="200"/>
        <w:rPr>
          <w:rFonts w:hAnsi="宋体"/>
          <w:color w:val="auto"/>
          <w:sz w:val="24"/>
          <w:szCs w:val="24"/>
          <w:highlight w:val="none"/>
        </w:rPr>
      </w:pPr>
    </w:p>
    <w:p w14:paraId="6FC0C505">
      <w:pPr>
        <w:pStyle w:val="15"/>
        <w:spacing w:line="360" w:lineRule="auto"/>
        <w:ind w:firstLine="480" w:firstLineChars="200"/>
        <w:rPr>
          <w:rFonts w:hAnsi="宋体"/>
          <w:color w:val="auto"/>
          <w:sz w:val="24"/>
          <w:szCs w:val="24"/>
          <w:highlight w:val="none"/>
        </w:rPr>
      </w:pPr>
    </w:p>
    <w:p w14:paraId="04FF6ED0">
      <w:pPr>
        <w:pStyle w:val="6"/>
        <w:overflowPunct w:val="0"/>
        <w:spacing w:line="560" w:lineRule="exact"/>
        <w:rPr>
          <w:color w:val="auto"/>
          <w:sz w:val="24"/>
          <w:highlight w:val="none"/>
        </w:rPr>
      </w:pPr>
      <w:r>
        <w:rPr>
          <w:rFonts w:hint="eastAsia"/>
          <w:color w:val="auto"/>
          <w:sz w:val="24"/>
          <w:highlight w:val="none"/>
        </w:rPr>
        <w:t>投标人(电子签章)：</w:t>
      </w:r>
      <w:r>
        <w:rPr>
          <w:rFonts w:hint="eastAsia" w:ascii="宋体" w:hAnsi="宋体"/>
          <w:color w:val="auto"/>
          <w:sz w:val="24"/>
          <w:highlight w:val="none"/>
          <w:u w:val="single"/>
        </w:rPr>
        <w:t xml:space="preserve">                </w:t>
      </w:r>
      <w:r>
        <w:rPr>
          <w:rFonts w:hint="eastAsia"/>
          <w:color w:val="auto"/>
          <w:sz w:val="24"/>
          <w:highlight w:val="none"/>
        </w:rPr>
        <w:t xml:space="preserve"> </w:t>
      </w:r>
    </w:p>
    <w:p w14:paraId="4F415F66">
      <w:pPr>
        <w:pStyle w:val="6"/>
        <w:overflowPunct w:val="0"/>
        <w:spacing w:line="560" w:lineRule="exact"/>
        <w:rPr>
          <w:color w:val="auto"/>
          <w:sz w:val="24"/>
          <w:highlight w:val="none"/>
        </w:rPr>
      </w:pPr>
      <w:r>
        <w:rPr>
          <w:rFonts w:hint="eastAsia"/>
          <w:color w:val="auto"/>
          <w:sz w:val="24"/>
          <w:highlight w:val="none"/>
        </w:rPr>
        <w:t>法定代表人或委托代理人(电子签章或电子签名)：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color w:val="auto"/>
          <w:sz w:val="24"/>
          <w:highlight w:val="none"/>
        </w:rPr>
        <w:t xml:space="preserve"> </w:t>
      </w:r>
    </w:p>
    <w:p w14:paraId="0A4D3CF6">
      <w:pPr>
        <w:pStyle w:val="6"/>
        <w:overflowPunct w:val="0"/>
        <w:spacing w:line="560" w:lineRule="exact"/>
        <w:jc w:val="left"/>
        <w:rPr>
          <w:rFonts w:hint="eastAsia" w:eastAsia="宋体"/>
          <w:color w:val="auto"/>
          <w:highlight w:val="none"/>
          <w:lang w:val="en-US" w:eastAsia="zh-CN"/>
        </w:rPr>
        <w:sectPr>
          <w:footerReference r:id="rId14" w:type="first"/>
          <w:footerReference r:id="rId13" w:type="default"/>
          <w:pgSz w:w="11906" w:h="16838"/>
          <w:pgMar w:top="1247" w:right="1417" w:bottom="1247" w:left="141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color w:val="auto"/>
          <w:sz w:val="24"/>
          <w:highlight w:val="none"/>
        </w:rPr>
        <w:t>日    期：</w:t>
      </w:r>
      <w:r>
        <w:rPr>
          <w:rFonts w:hint="eastAsia"/>
          <w:color w:val="auto"/>
          <w:sz w:val="24"/>
          <w:highlight w:val="none"/>
          <w:u w:val="single"/>
        </w:rPr>
        <w:t xml:space="preserve">      </w:t>
      </w:r>
      <w:r>
        <w:rPr>
          <w:rFonts w:hint="eastAsia"/>
          <w:color w:val="auto"/>
          <w:sz w:val="24"/>
          <w:highlight w:val="none"/>
        </w:rPr>
        <w:t>年</w:t>
      </w:r>
      <w:r>
        <w:rPr>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color w:val="auto"/>
          <w:sz w:val="24"/>
          <w:highlight w:val="none"/>
          <w:u w:val="single"/>
        </w:rPr>
        <w:tab/>
      </w:r>
      <w:r>
        <w:rPr>
          <w:rFonts w:hint="eastAsia"/>
          <w:color w:val="auto"/>
          <w:sz w:val="24"/>
          <w:highlight w:val="none"/>
          <w:u w:val="single"/>
        </w:rPr>
        <w:t xml:space="preserve">   </w:t>
      </w:r>
      <w:r>
        <w:rPr>
          <w:rFonts w:hint="eastAsia"/>
          <w:color w:val="auto"/>
          <w:sz w:val="24"/>
          <w:highlight w:val="none"/>
          <w:u w:val="single"/>
          <w:lang w:val="en-US" w:eastAsia="zh-CN"/>
        </w:rPr>
        <w:t>日</w:t>
      </w:r>
    </w:p>
    <w:p w14:paraId="64FF3141">
      <w:pPr>
        <w:spacing w:line="360" w:lineRule="auto"/>
        <w:jc w:val="both"/>
        <w:rPr>
          <w:rFonts w:ascii="宋体" w:hAnsi="宋体"/>
          <w:bCs/>
          <w:color w:val="auto"/>
          <w:szCs w:val="21"/>
          <w:highlight w:val="none"/>
        </w:rPr>
      </w:pPr>
    </w:p>
    <w:p w14:paraId="5AD2B36F">
      <w:pPr>
        <w:spacing w:line="360" w:lineRule="auto"/>
        <w:ind w:left="397" w:leftChars="189"/>
        <w:jc w:val="center"/>
        <w:rPr>
          <w:rFonts w:ascii="宋体" w:hAnsi="宋体"/>
          <w:b/>
          <w:color w:val="auto"/>
          <w:sz w:val="24"/>
          <w:highlight w:val="none"/>
        </w:rPr>
      </w:pPr>
    </w:p>
    <w:p w14:paraId="74F4C22A">
      <w:pPr>
        <w:pStyle w:val="3"/>
        <w:jc w:val="center"/>
        <w:rPr>
          <w:color w:val="auto"/>
          <w:kern w:val="0"/>
          <w:sz w:val="28"/>
          <w:highlight w:val="none"/>
        </w:rPr>
      </w:pPr>
      <w:bookmarkStart w:id="181" w:name="_Toc7016"/>
      <w:bookmarkStart w:id="182" w:name="_Toc5809"/>
      <w:bookmarkStart w:id="183" w:name="_Toc32333"/>
      <w:bookmarkStart w:id="184" w:name="_Toc16484"/>
      <w:bookmarkStart w:id="185" w:name="_Toc4415"/>
      <w:r>
        <w:rPr>
          <w:rFonts w:hint="eastAsia" w:hAnsi="宋体" w:cs="宋体"/>
          <w:color w:val="auto"/>
          <w:kern w:val="0"/>
          <w:sz w:val="28"/>
          <w:highlight w:val="none"/>
        </w:rPr>
        <w:t>（</w:t>
      </w:r>
      <w:r>
        <w:rPr>
          <w:rFonts w:hint="eastAsia" w:hAnsi="宋体" w:cs="宋体"/>
          <w:color w:val="auto"/>
          <w:kern w:val="0"/>
          <w:sz w:val="28"/>
          <w:highlight w:val="none"/>
          <w:lang w:val="en-US" w:eastAsia="zh-CN"/>
        </w:rPr>
        <w:t>四</w:t>
      </w:r>
      <w:r>
        <w:rPr>
          <w:rFonts w:hint="eastAsia" w:hAnsi="宋体" w:cs="宋体"/>
          <w:color w:val="auto"/>
          <w:kern w:val="0"/>
          <w:sz w:val="28"/>
          <w:highlight w:val="none"/>
        </w:rPr>
        <w:t>）法定代表人身份证明书</w:t>
      </w:r>
      <w:bookmarkEnd w:id="181"/>
      <w:bookmarkEnd w:id="182"/>
      <w:bookmarkEnd w:id="183"/>
      <w:bookmarkEnd w:id="184"/>
      <w:bookmarkEnd w:id="185"/>
    </w:p>
    <w:p w14:paraId="058E1DC5">
      <w:pPr>
        <w:jc w:val="left"/>
        <w:rPr>
          <w:rFonts w:ascii="宋体" w:hAnsi="宋体"/>
          <w:b/>
          <w:bCs/>
          <w:color w:val="auto"/>
          <w:sz w:val="36"/>
          <w:szCs w:val="36"/>
          <w:highlight w:val="none"/>
        </w:rPr>
      </w:pPr>
    </w:p>
    <w:p w14:paraId="353A6A1F">
      <w:pPr>
        <w:spacing w:line="360" w:lineRule="auto"/>
        <w:ind w:firstLine="612"/>
        <w:jc w:val="left"/>
        <w:rPr>
          <w:rFonts w:ascii="宋体" w:hAnsi="宋体"/>
          <w:color w:val="auto"/>
          <w:sz w:val="24"/>
          <w:highlight w:val="none"/>
        </w:rPr>
      </w:pPr>
      <w:r>
        <w:rPr>
          <w:rFonts w:hint="eastAsia" w:ascii="宋体" w:hAnsi="宋体"/>
          <w:color w:val="auto"/>
          <w:sz w:val="24"/>
          <w:highlight w:val="none"/>
        </w:rPr>
        <w:t>单位名称：</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790CB331">
      <w:pPr>
        <w:spacing w:line="360" w:lineRule="auto"/>
        <w:ind w:firstLine="610"/>
        <w:jc w:val="left"/>
        <w:rPr>
          <w:rFonts w:ascii="宋体" w:hAnsi="宋体"/>
          <w:color w:val="auto"/>
          <w:sz w:val="24"/>
          <w:highlight w:val="none"/>
          <w:u w:val="single"/>
        </w:rPr>
      </w:pPr>
      <w:r>
        <w:rPr>
          <w:rFonts w:hint="eastAsia" w:ascii="宋体" w:hAnsi="宋体"/>
          <w:color w:val="auto"/>
          <w:sz w:val="24"/>
          <w:highlight w:val="none"/>
        </w:rPr>
        <w:t>单位性质：</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22F98B89">
      <w:pPr>
        <w:spacing w:line="360" w:lineRule="auto"/>
        <w:ind w:firstLine="610"/>
        <w:jc w:val="left"/>
        <w:rPr>
          <w:rFonts w:ascii="宋体" w:hAnsi="宋体"/>
          <w:color w:val="auto"/>
          <w:sz w:val="24"/>
          <w:highlight w:val="none"/>
          <w:u w:val="single"/>
        </w:rPr>
      </w:pPr>
      <w:r>
        <w:rPr>
          <w:rFonts w:hint="eastAsia" w:ascii="宋体" w:hAnsi="宋体"/>
          <w:color w:val="auto"/>
          <w:sz w:val="24"/>
          <w:highlight w:val="none"/>
        </w:rPr>
        <w:t>地    址：</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 xml:space="preserve">  </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 xml:space="preserve">       </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0E5E0DD9">
      <w:pPr>
        <w:spacing w:line="360" w:lineRule="auto"/>
        <w:ind w:firstLine="610"/>
        <w:jc w:val="left"/>
        <w:rPr>
          <w:rFonts w:ascii="宋体" w:hAnsi="宋体"/>
          <w:color w:val="auto"/>
          <w:sz w:val="24"/>
          <w:highlight w:val="none"/>
        </w:rPr>
      </w:pPr>
      <w:r>
        <w:rPr>
          <w:rFonts w:hint="eastAsia" w:ascii="宋体" w:hAnsi="宋体"/>
          <w:color w:val="auto"/>
          <w:sz w:val="24"/>
          <w:highlight w:val="none"/>
        </w:rPr>
        <w:t>成立时间：</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11352E1E">
      <w:pPr>
        <w:spacing w:line="360" w:lineRule="auto"/>
        <w:ind w:firstLine="610"/>
        <w:jc w:val="left"/>
        <w:rPr>
          <w:rFonts w:ascii="宋体" w:hAnsi="宋体"/>
          <w:color w:val="auto"/>
          <w:sz w:val="24"/>
          <w:highlight w:val="none"/>
          <w:u w:val="single"/>
        </w:rPr>
      </w:pPr>
      <w:r>
        <w:rPr>
          <w:rFonts w:hint="eastAsia" w:ascii="宋体" w:hAnsi="宋体"/>
          <w:color w:val="auto"/>
          <w:sz w:val="24"/>
          <w:highlight w:val="none"/>
        </w:rPr>
        <w:t>经营期限：</w:t>
      </w:r>
      <w:r>
        <w:rPr>
          <w:rFonts w:hint="eastAsia" w:ascii="宋体" w:hAnsi="宋体"/>
          <w:color w:val="auto"/>
          <w:sz w:val="24"/>
          <w:highlight w:val="none"/>
          <w:u w:val="single"/>
        </w:rPr>
        <w:tab/>
      </w:r>
      <w:r>
        <w:rPr>
          <w:rFonts w:hint="eastAsia" w:ascii="宋体" w:hAnsi="宋体"/>
          <w:color w:val="auto"/>
          <w:sz w:val="24"/>
          <w:highlight w:val="none"/>
          <w:u w:val="single"/>
        </w:rPr>
        <w:t xml:space="preserve">                            </w:t>
      </w:r>
      <w:r>
        <w:rPr>
          <w:rFonts w:hint="eastAsia" w:ascii="宋体" w:hAnsi="宋体"/>
          <w:color w:val="auto"/>
          <w:sz w:val="24"/>
          <w:highlight w:val="none"/>
          <w:u w:val="single"/>
        </w:rPr>
        <w:tab/>
      </w:r>
    </w:p>
    <w:p w14:paraId="21B338DD">
      <w:pPr>
        <w:spacing w:line="360" w:lineRule="auto"/>
        <w:ind w:firstLine="610"/>
        <w:jc w:val="left"/>
        <w:rPr>
          <w:rFonts w:ascii="宋体" w:hAnsi="宋体"/>
          <w:color w:val="auto"/>
          <w:sz w:val="24"/>
          <w:highlight w:val="none"/>
          <w:u w:val="single"/>
        </w:rPr>
      </w:pPr>
      <w:r>
        <w:rPr>
          <w:rFonts w:hint="eastAsia" w:ascii="宋体" w:hAnsi="宋体"/>
          <w:color w:val="auto"/>
          <w:sz w:val="24"/>
          <w:highlight w:val="none"/>
        </w:rPr>
        <w:t>姓    名：</w:t>
      </w:r>
      <w:r>
        <w:rPr>
          <w:rFonts w:hint="eastAsia" w:ascii="宋体" w:hAnsi="宋体"/>
          <w:color w:val="auto"/>
          <w:sz w:val="24"/>
          <w:highlight w:val="none"/>
          <w:u w:val="single"/>
        </w:rPr>
        <w:t xml:space="preserve">        </w:t>
      </w:r>
      <w:r>
        <w:rPr>
          <w:rFonts w:hint="eastAsia" w:ascii="宋体" w:hAnsi="宋体"/>
          <w:color w:val="auto"/>
          <w:sz w:val="24"/>
          <w:highlight w:val="none"/>
        </w:rPr>
        <w:t>性别：</w:t>
      </w:r>
      <w:r>
        <w:rPr>
          <w:rFonts w:hint="eastAsia" w:ascii="宋体" w:hAnsi="宋体"/>
          <w:color w:val="auto"/>
          <w:sz w:val="24"/>
          <w:highlight w:val="none"/>
          <w:u w:val="single"/>
        </w:rPr>
        <w:t xml:space="preserve">    </w:t>
      </w:r>
      <w:r>
        <w:rPr>
          <w:rFonts w:hint="eastAsia" w:ascii="宋体" w:hAnsi="宋体"/>
          <w:color w:val="auto"/>
          <w:sz w:val="24"/>
          <w:highlight w:val="none"/>
        </w:rPr>
        <w:t>年龄：</w:t>
      </w:r>
      <w:r>
        <w:rPr>
          <w:rFonts w:hint="eastAsia" w:ascii="宋体" w:hAnsi="宋体"/>
          <w:color w:val="auto"/>
          <w:sz w:val="24"/>
          <w:highlight w:val="none"/>
          <w:u w:val="single"/>
        </w:rPr>
        <w:t xml:space="preserve">     </w:t>
      </w:r>
      <w:r>
        <w:rPr>
          <w:rFonts w:hint="eastAsia" w:ascii="宋体" w:hAnsi="宋体"/>
          <w:color w:val="auto"/>
          <w:sz w:val="24"/>
          <w:highlight w:val="none"/>
        </w:rPr>
        <w:t>职务：</w:t>
      </w:r>
      <w:r>
        <w:rPr>
          <w:rFonts w:hint="eastAsia" w:ascii="宋体" w:hAnsi="宋体"/>
          <w:color w:val="auto"/>
          <w:sz w:val="24"/>
          <w:highlight w:val="none"/>
          <w:u w:val="single"/>
        </w:rPr>
        <w:tab/>
      </w:r>
      <w:r>
        <w:rPr>
          <w:rFonts w:hint="eastAsia" w:ascii="宋体" w:hAnsi="宋体"/>
          <w:color w:val="auto"/>
          <w:sz w:val="24"/>
          <w:highlight w:val="none"/>
          <w:u w:val="single"/>
        </w:rPr>
        <w:tab/>
      </w:r>
    </w:p>
    <w:p w14:paraId="7776BF97">
      <w:pPr>
        <w:spacing w:line="360" w:lineRule="auto"/>
        <w:ind w:firstLine="610"/>
        <w:jc w:val="lef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 xml:space="preserve">     （单位名称）    </w:t>
      </w:r>
      <w:r>
        <w:rPr>
          <w:rFonts w:hint="eastAsia" w:ascii="宋体" w:hAnsi="宋体"/>
          <w:color w:val="auto"/>
          <w:sz w:val="24"/>
          <w:highlight w:val="none"/>
        </w:rPr>
        <w:t>的法定代表人。</w:t>
      </w:r>
    </w:p>
    <w:p w14:paraId="25719D93">
      <w:pPr>
        <w:spacing w:line="360" w:lineRule="auto"/>
        <w:ind w:firstLine="610"/>
        <w:jc w:val="left"/>
        <w:rPr>
          <w:rFonts w:ascii="宋体" w:hAnsi="宋体"/>
          <w:color w:val="auto"/>
          <w:sz w:val="24"/>
          <w:highlight w:val="none"/>
        </w:rPr>
      </w:pPr>
    </w:p>
    <w:p w14:paraId="30EBE807">
      <w:pPr>
        <w:spacing w:line="360" w:lineRule="auto"/>
        <w:ind w:firstLine="610"/>
        <w:jc w:val="left"/>
        <w:rPr>
          <w:rFonts w:ascii="宋体" w:hAnsi="宋体"/>
          <w:color w:val="auto"/>
          <w:sz w:val="24"/>
          <w:highlight w:val="none"/>
        </w:rPr>
      </w:pPr>
      <w:r>
        <w:rPr>
          <w:rFonts w:hint="eastAsia" w:ascii="宋体" w:hAnsi="宋体"/>
          <w:color w:val="auto"/>
          <w:sz w:val="24"/>
          <w:highlight w:val="none"/>
        </w:rPr>
        <w:t>特此证明。</w:t>
      </w:r>
    </w:p>
    <w:p w14:paraId="55E64833">
      <w:pPr>
        <w:spacing w:line="360" w:lineRule="auto"/>
        <w:ind w:firstLine="610"/>
        <w:rPr>
          <w:rFonts w:ascii="宋体" w:hAnsi="宋体" w:cs="宋体"/>
          <w:b/>
          <w:color w:val="auto"/>
          <w:sz w:val="24"/>
          <w:highlight w:val="none"/>
        </w:rPr>
      </w:pPr>
    </w:p>
    <w:p w14:paraId="12BD4AA6">
      <w:pPr>
        <w:spacing w:line="360" w:lineRule="auto"/>
        <w:ind w:firstLine="610"/>
        <w:rPr>
          <w:rFonts w:ascii="宋体" w:hAnsi="宋体"/>
          <w:b/>
          <w:color w:val="auto"/>
          <w:sz w:val="24"/>
          <w:highlight w:val="none"/>
        </w:rPr>
      </w:pPr>
      <w:r>
        <w:rPr>
          <w:rFonts w:hint="eastAsia" w:ascii="宋体" w:hAnsi="宋体" w:cs="宋体"/>
          <w:b/>
          <w:color w:val="auto"/>
          <w:sz w:val="24"/>
          <w:highlight w:val="none"/>
        </w:rPr>
        <w:t>附：法定代表人有效身份证正面、背面复印件（扫描件）。</w:t>
      </w:r>
    </w:p>
    <w:tbl>
      <w:tblPr>
        <w:tblStyle w:val="27"/>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969"/>
      </w:tblGrid>
      <w:tr w14:paraId="2078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jc w:val="center"/>
        </w:trPr>
        <w:tc>
          <w:tcPr>
            <w:tcW w:w="3969" w:type="dxa"/>
            <w:tcBorders>
              <w:right w:val="single" w:color="auto" w:sz="4" w:space="0"/>
            </w:tcBorders>
            <w:vAlign w:val="center"/>
          </w:tcPr>
          <w:p w14:paraId="24678941">
            <w:pPr>
              <w:spacing w:line="360" w:lineRule="auto"/>
              <w:jc w:val="center"/>
              <w:rPr>
                <w:rFonts w:ascii="宋体" w:hAnsi="宋体"/>
                <w:color w:val="auto"/>
                <w:sz w:val="24"/>
                <w:highlight w:val="none"/>
              </w:rPr>
            </w:pPr>
          </w:p>
        </w:tc>
        <w:tc>
          <w:tcPr>
            <w:tcW w:w="708" w:type="dxa"/>
            <w:tcBorders>
              <w:top w:val="nil"/>
              <w:left w:val="single" w:color="auto" w:sz="4" w:space="0"/>
              <w:bottom w:val="nil"/>
              <w:right w:val="single" w:color="auto" w:sz="4" w:space="0"/>
            </w:tcBorders>
          </w:tcPr>
          <w:p w14:paraId="2F59E883">
            <w:pPr>
              <w:spacing w:line="360" w:lineRule="auto"/>
              <w:jc w:val="center"/>
              <w:rPr>
                <w:rFonts w:ascii="宋体" w:hAnsi="宋体"/>
                <w:color w:val="auto"/>
                <w:sz w:val="24"/>
                <w:highlight w:val="none"/>
              </w:rPr>
            </w:pPr>
          </w:p>
        </w:tc>
        <w:tc>
          <w:tcPr>
            <w:tcW w:w="3969" w:type="dxa"/>
            <w:tcBorders>
              <w:left w:val="single" w:color="auto" w:sz="4" w:space="0"/>
            </w:tcBorders>
            <w:vAlign w:val="center"/>
          </w:tcPr>
          <w:p w14:paraId="19765436">
            <w:pPr>
              <w:spacing w:line="360" w:lineRule="auto"/>
              <w:jc w:val="center"/>
              <w:rPr>
                <w:rFonts w:ascii="宋体" w:hAnsi="宋体"/>
                <w:color w:val="auto"/>
                <w:sz w:val="24"/>
                <w:highlight w:val="none"/>
              </w:rPr>
            </w:pPr>
          </w:p>
        </w:tc>
      </w:tr>
    </w:tbl>
    <w:p w14:paraId="7CDF7DEB">
      <w:pPr>
        <w:spacing w:line="360" w:lineRule="auto"/>
        <w:ind w:left="1680" w:firstLine="420"/>
        <w:rPr>
          <w:rFonts w:ascii="宋体" w:hAnsi="宋体"/>
          <w:b/>
          <w:bCs/>
          <w:color w:val="auto"/>
          <w:sz w:val="24"/>
          <w:highlight w:val="none"/>
          <w:u w:val="single"/>
        </w:rPr>
      </w:pPr>
    </w:p>
    <w:p w14:paraId="1B9E5A85">
      <w:pPr>
        <w:spacing w:line="360" w:lineRule="auto"/>
        <w:ind w:firstLine="610"/>
        <w:jc w:val="left"/>
        <w:rPr>
          <w:rFonts w:ascii="宋体" w:hAnsi="宋体"/>
          <w:color w:val="auto"/>
          <w:sz w:val="24"/>
          <w:highlight w:val="none"/>
        </w:rPr>
      </w:pPr>
    </w:p>
    <w:p w14:paraId="19BF9B6D">
      <w:pPr>
        <w:tabs>
          <w:tab w:val="left" w:pos="720"/>
          <w:tab w:val="left" w:pos="900"/>
        </w:tabs>
        <w:spacing w:line="360" w:lineRule="auto"/>
        <w:ind w:firstLine="4560" w:firstLineChars="1900"/>
        <w:jc w:val="left"/>
        <w:rPr>
          <w:rFonts w:ascii="宋体" w:hAnsi="宋体"/>
          <w:color w:val="auto"/>
          <w:sz w:val="24"/>
          <w:highlight w:val="none"/>
        </w:rPr>
      </w:pPr>
    </w:p>
    <w:p w14:paraId="483DCC5E">
      <w:pPr>
        <w:spacing w:line="360" w:lineRule="auto"/>
        <w:rPr>
          <w:rFonts w:ascii="宋体" w:hAnsi="宋体"/>
          <w:color w:val="auto"/>
          <w:sz w:val="24"/>
          <w:highlight w:val="none"/>
        </w:rPr>
      </w:pPr>
      <w:r>
        <w:rPr>
          <w:rFonts w:hint="eastAsia" w:ascii="宋体" w:hAnsi="宋体"/>
          <w:color w:val="auto"/>
          <w:sz w:val="24"/>
          <w:highlight w:val="none"/>
        </w:rPr>
        <w:t>投标人(电子签章)</w:t>
      </w:r>
      <w:r>
        <w:rPr>
          <w:rFonts w:ascii="宋体" w:hAnsi="宋体"/>
          <w:color w:val="auto"/>
          <w:sz w:val="24"/>
          <w:highlight w:val="none"/>
        </w:rPr>
        <w:t>：</w:t>
      </w:r>
      <w:r>
        <w:rPr>
          <w:rFonts w:hint="eastAsia" w:ascii="宋体" w:hAnsi="宋体"/>
          <w:color w:val="auto"/>
          <w:sz w:val="24"/>
          <w:highlight w:val="none"/>
          <w:u w:val="single"/>
        </w:rPr>
        <w:t xml:space="preserve">                     </w:t>
      </w:r>
    </w:p>
    <w:p w14:paraId="7234747E">
      <w:pPr>
        <w:tabs>
          <w:tab w:val="left" w:pos="720"/>
          <w:tab w:val="left" w:pos="900"/>
        </w:tabs>
        <w:spacing w:line="360" w:lineRule="auto"/>
        <w:jc w:val="left"/>
        <w:rPr>
          <w:rFonts w:ascii="宋体" w:hAnsi="宋体"/>
          <w:b/>
          <w:bCs/>
          <w:color w:val="auto"/>
          <w:sz w:val="28"/>
          <w:szCs w:val="28"/>
          <w:highlight w:val="none"/>
        </w:rPr>
      </w:pPr>
      <w:r>
        <w:rPr>
          <w:rFonts w:hint="eastAsia" w:ascii="宋体" w:hAnsi="宋体"/>
          <w:color w:val="auto"/>
          <w:sz w:val="24"/>
          <w:szCs w:val="28"/>
          <w:highlight w:val="none"/>
        </w:rPr>
        <w:t>日期：________年_____月_____日</w:t>
      </w:r>
    </w:p>
    <w:p w14:paraId="12431C00">
      <w:pPr>
        <w:pStyle w:val="3"/>
        <w:jc w:val="center"/>
        <w:rPr>
          <w:color w:val="auto"/>
          <w:kern w:val="0"/>
          <w:sz w:val="28"/>
          <w:highlight w:val="none"/>
        </w:rPr>
      </w:pPr>
      <w:r>
        <w:rPr>
          <w:rFonts w:hint="eastAsia" w:hAnsi="宋体"/>
          <w:b w:val="0"/>
          <w:color w:val="auto"/>
          <w:highlight w:val="none"/>
        </w:rPr>
        <w:br w:type="page"/>
      </w:r>
      <w:bookmarkStart w:id="186" w:name="_Toc31293"/>
      <w:bookmarkStart w:id="187" w:name="_Toc30889"/>
      <w:bookmarkStart w:id="188" w:name="_Toc3244"/>
      <w:bookmarkStart w:id="189" w:name="_Toc31752"/>
      <w:bookmarkStart w:id="190" w:name="_Toc15757"/>
      <w:r>
        <w:rPr>
          <w:rFonts w:hint="eastAsia" w:hAnsi="宋体" w:cs="宋体"/>
          <w:color w:val="auto"/>
          <w:kern w:val="0"/>
          <w:sz w:val="28"/>
          <w:highlight w:val="none"/>
        </w:rPr>
        <w:t>（</w:t>
      </w:r>
      <w:r>
        <w:rPr>
          <w:rFonts w:hint="eastAsia" w:hAnsi="宋体" w:cs="宋体"/>
          <w:color w:val="auto"/>
          <w:kern w:val="0"/>
          <w:sz w:val="28"/>
          <w:highlight w:val="none"/>
          <w:lang w:val="en-US" w:eastAsia="zh-CN"/>
        </w:rPr>
        <w:t>五</w:t>
      </w:r>
      <w:r>
        <w:rPr>
          <w:rFonts w:hint="eastAsia" w:hAnsi="宋体" w:cs="宋体"/>
          <w:color w:val="auto"/>
          <w:kern w:val="0"/>
          <w:sz w:val="28"/>
          <w:highlight w:val="none"/>
        </w:rPr>
        <w:t>）法定代表人授权委托书</w:t>
      </w:r>
      <w:bookmarkEnd w:id="186"/>
      <w:bookmarkEnd w:id="187"/>
      <w:bookmarkEnd w:id="188"/>
      <w:bookmarkEnd w:id="189"/>
      <w:bookmarkEnd w:id="190"/>
    </w:p>
    <w:p w14:paraId="0CC52C24">
      <w:pPr>
        <w:spacing w:line="500" w:lineRule="exact"/>
        <w:jc w:val="left"/>
        <w:rPr>
          <w:rFonts w:ascii="宋体" w:hAnsi="宋体"/>
          <w:color w:val="auto"/>
          <w:sz w:val="24"/>
          <w:highlight w:val="none"/>
        </w:rPr>
      </w:pPr>
    </w:p>
    <w:p w14:paraId="45A44DD7">
      <w:pPr>
        <w:spacing w:line="500" w:lineRule="exact"/>
        <w:ind w:firstLine="480" w:firstLineChars="200"/>
        <w:jc w:val="left"/>
        <w:rPr>
          <w:rFonts w:ascii="宋体" w:hAnsi="宋体"/>
          <w:b w:val="0"/>
          <w:bCs w:val="0"/>
          <w:color w:val="auto"/>
          <w:sz w:val="24"/>
          <w:highlight w:val="none"/>
        </w:rPr>
      </w:pPr>
      <w:r>
        <w:rPr>
          <w:rFonts w:hint="eastAsia" w:ascii="宋体" w:hAnsi="宋体"/>
          <w:b w:val="0"/>
          <w:bCs w:val="0"/>
          <w:color w:val="auto"/>
          <w:sz w:val="24"/>
          <w:highlight w:val="none"/>
        </w:rPr>
        <w:t>本授权委托书声明：我</w:t>
      </w:r>
      <w:r>
        <w:rPr>
          <w:rFonts w:hint="eastAsia" w:ascii="宋体" w:hAnsi="宋体"/>
          <w:b w:val="0"/>
          <w:bCs w:val="0"/>
          <w:color w:val="auto"/>
          <w:sz w:val="24"/>
          <w:highlight w:val="none"/>
          <w:u w:val="single"/>
        </w:rPr>
        <w:t xml:space="preserve">        </w:t>
      </w:r>
      <w:r>
        <w:rPr>
          <w:rFonts w:hint="eastAsia" w:ascii="宋体" w:hAnsi="宋体"/>
          <w:b w:val="0"/>
          <w:bCs w:val="0"/>
          <w:color w:val="auto"/>
          <w:sz w:val="24"/>
          <w:highlight w:val="none"/>
        </w:rPr>
        <w:t>(姓名)系</w:t>
      </w:r>
      <w:r>
        <w:rPr>
          <w:rFonts w:hint="eastAsia" w:ascii="宋体" w:hAnsi="宋体"/>
          <w:b w:val="0"/>
          <w:bCs w:val="0"/>
          <w:color w:val="auto"/>
          <w:sz w:val="24"/>
          <w:highlight w:val="none"/>
          <w:u w:val="single"/>
        </w:rPr>
        <w:t xml:space="preserve">                       </w:t>
      </w:r>
      <w:r>
        <w:rPr>
          <w:rFonts w:hint="eastAsia" w:ascii="宋体" w:hAnsi="宋体"/>
          <w:b w:val="0"/>
          <w:bCs w:val="0"/>
          <w:color w:val="auto"/>
          <w:sz w:val="24"/>
          <w:highlight w:val="none"/>
        </w:rPr>
        <w:t xml:space="preserve">(投标人名称)的法定代表人，现授权委托我单位的 </w:t>
      </w:r>
      <w:r>
        <w:rPr>
          <w:rFonts w:hint="eastAsia" w:ascii="宋体" w:hAnsi="宋体"/>
          <w:b w:val="0"/>
          <w:bCs w:val="0"/>
          <w:color w:val="auto"/>
          <w:sz w:val="24"/>
          <w:highlight w:val="none"/>
          <w:u w:val="single"/>
        </w:rPr>
        <w:t xml:space="preserve">         </w:t>
      </w:r>
      <w:r>
        <w:rPr>
          <w:rFonts w:hint="eastAsia" w:ascii="宋体" w:hAnsi="宋体"/>
          <w:b w:val="0"/>
          <w:bCs w:val="0"/>
          <w:color w:val="auto"/>
          <w:sz w:val="24"/>
          <w:highlight w:val="none"/>
        </w:rPr>
        <w:t>(姓名)为我公司代理人，以公司名义参加</w:t>
      </w:r>
      <w:r>
        <w:rPr>
          <w:rFonts w:hint="eastAsia" w:ascii="宋体" w:hAnsi="宋体"/>
          <w:b w:val="0"/>
          <w:bCs w:val="0"/>
          <w:color w:val="auto"/>
          <w:sz w:val="24"/>
          <w:szCs w:val="36"/>
          <w:highlight w:val="none"/>
          <w:u w:val="single"/>
        </w:rPr>
        <w:t xml:space="preserve">  （项目名称）</w:t>
      </w:r>
      <w:r>
        <w:rPr>
          <w:rFonts w:hint="eastAsia" w:ascii="宋体" w:hAnsi="宋体"/>
          <w:b w:val="0"/>
          <w:bCs w:val="0"/>
          <w:color w:val="auto"/>
          <w:sz w:val="24"/>
          <w:szCs w:val="36"/>
          <w:highlight w:val="none"/>
          <w:u w:val="single"/>
          <w:lang w:eastAsia="zh-CN"/>
        </w:rPr>
        <w:t>（</w:t>
      </w:r>
      <w:r>
        <w:rPr>
          <w:rFonts w:hint="eastAsia" w:ascii="宋体" w:hAnsi="宋体"/>
          <w:b w:val="0"/>
          <w:bCs w:val="0"/>
          <w:color w:val="auto"/>
          <w:sz w:val="24"/>
          <w:szCs w:val="36"/>
          <w:highlight w:val="none"/>
          <w:u w:val="single"/>
          <w:lang w:val="en-US" w:eastAsia="zh-CN"/>
        </w:rPr>
        <w:t>标段号</w:t>
      </w:r>
      <w:r>
        <w:rPr>
          <w:rFonts w:hint="eastAsia" w:ascii="宋体" w:hAnsi="宋体"/>
          <w:b w:val="0"/>
          <w:bCs w:val="0"/>
          <w:color w:val="auto"/>
          <w:sz w:val="24"/>
          <w:szCs w:val="36"/>
          <w:highlight w:val="none"/>
          <w:u w:val="single"/>
          <w:lang w:eastAsia="zh-CN"/>
        </w:rPr>
        <w:t>）</w:t>
      </w:r>
      <w:r>
        <w:rPr>
          <w:rFonts w:hint="eastAsia" w:ascii="宋体" w:hAnsi="宋体"/>
          <w:b w:val="0"/>
          <w:bCs w:val="0"/>
          <w:color w:val="auto"/>
          <w:sz w:val="24"/>
          <w:szCs w:val="36"/>
          <w:highlight w:val="none"/>
          <w:u w:val="single"/>
        </w:rPr>
        <w:t xml:space="preserve"> </w:t>
      </w:r>
      <w:r>
        <w:rPr>
          <w:rFonts w:hint="eastAsia" w:ascii="宋体" w:hAnsi="宋体"/>
          <w:b w:val="0"/>
          <w:bCs w:val="0"/>
          <w:color w:val="auto"/>
          <w:sz w:val="24"/>
          <w:highlight w:val="none"/>
        </w:rPr>
        <w:t>（项目编号：</w:t>
      </w:r>
      <w:r>
        <w:rPr>
          <w:rFonts w:hint="eastAsia" w:ascii="宋体" w:hAnsi="宋体"/>
          <w:b w:val="0"/>
          <w:bCs w:val="0"/>
          <w:color w:val="auto"/>
          <w:sz w:val="24"/>
          <w:highlight w:val="none"/>
          <w:u w:val="single"/>
          <w:lang w:val="zh-CN"/>
        </w:rPr>
        <w:t xml:space="preserve">           </w:t>
      </w:r>
      <w:r>
        <w:rPr>
          <w:rFonts w:hint="eastAsia" w:ascii="宋体" w:hAnsi="宋体"/>
          <w:b w:val="0"/>
          <w:bCs w:val="0"/>
          <w:color w:val="auto"/>
          <w:sz w:val="24"/>
          <w:highlight w:val="none"/>
        </w:rPr>
        <w:t>）的投标活动。代理人在投标、合同签订过程中所签署的一切文件和处理与之有关的一切事务，我均予以承认。</w:t>
      </w:r>
    </w:p>
    <w:p w14:paraId="48F7E8A0">
      <w:pPr>
        <w:spacing w:line="500" w:lineRule="exact"/>
        <w:ind w:firstLine="420"/>
        <w:jc w:val="left"/>
        <w:rPr>
          <w:rFonts w:ascii="宋体" w:hAnsi="宋体"/>
          <w:b w:val="0"/>
          <w:bCs w:val="0"/>
          <w:color w:val="auto"/>
          <w:sz w:val="24"/>
          <w:highlight w:val="none"/>
        </w:rPr>
      </w:pPr>
    </w:p>
    <w:p w14:paraId="5EA55C30">
      <w:pPr>
        <w:spacing w:line="500" w:lineRule="exact"/>
        <w:jc w:val="left"/>
        <w:rPr>
          <w:rFonts w:ascii="宋体" w:hAnsi="宋体"/>
          <w:b w:val="0"/>
          <w:bCs w:val="0"/>
          <w:color w:val="auto"/>
          <w:sz w:val="24"/>
          <w:highlight w:val="none"/>
        </w:rPr>
      </w:pPr>
      <w:r>
        <w:rPr>
          <w:rFonts w:hint="eastAsia" w:ascii="宋体" w:hAnsi="宋体"/>
          <w:b w:val="0"/>
          <w:bCs w:val="0"/>
          <w:color w:val="auto"/>
          <w:sz w:val="24"/>
          <w:highlight w:val="none"/>
        </w:rPr>
        <w:t>代理人：</w:t>
      </w:r>
      <w:r>
        <w:rPr>
          <w:rFonts w:hint="eastAsia" w:ascii="宋体" w:hAnsi="宋体"/>
          <w:b w:val="0"/>
          <w:bCs w:val="0"/>
          <w:color w:val="auto"/>
          <w:sz w:val="24"/>
          <w:highlight w:val="none"/>
          <w:u w:val="single"/>
        </w:rPr>
        <w:t xml:space="preserve">            </w:t>
      </w:r>
      <w:r>
        <w:rPr>
          <w:rFonts w:hint="eastAsia" w:ascii="宋体" w:hAnsi="宋体"/>
          <w:b w:val="0"/>
          <w:bCs w:val="0"/>
          <w:color w:val="auto"/>
          <w:sz w:val="24"/>
          <w:highlight w:val="none"/>
        </w:rPr>
        <w:t xml:space="preserve">    性别：</w:t>
      </w:r>
      <w:r>
        <w:rPr>
          <w:rFonts w:hint="eastAsia" w:ascii="宋体" w:hAnsi="宋体"/>
          <w:b w:val="0"/>
          <w:bCs w:val="0"/>
          <w:color w:val="auto"/>
          <w:sz w:val="24"/>
          <w:highlight w:val="none"/>
          <w:u w:val="single"/>
        </w:rPr>
        <w:t xml:space="preserve">             </w:t>
      </w:r>
      <w:r>
        <w:rPr>
          <w:rFonts w:hint="eastAsia" w:ascii="宋体" w:hAnsi="宋体"/>
          <w:b w:val="0"/>
          <w:bCs w:val="0"/>
          <w:color w:val="auto"/>
          <w:sz w:val="24"/>
          <w:highlight w:val="none"/>
        </w:rPr>
        <w:t xml:space="preserve">         年龄：</w:t>
      </w:r>
      <w:r>
        <w:rPr>
          <w:rFonts w:hint="eastAsia" w:ascii="宋体" w:hAnsi="宋体"/>
          <w:b w:val="0"/>
          <w:bCs w:val="0"/>
          <w:color w:val="auto"/>
          <w:sz w:val="24"/>
          <w:highlight w:val="none"/>
          <w:u w:val="single"/>
        </w:rPr>
        <w:t xml:space="preserve">          </w:t>
      </w:r>
    </w:p>
    <w:p w14:paraId="190A7C97">
      <w:pPr>
        <w:spacing w:line="500" w:lineRule="exact"/>
        <w:jc w:val="left"/>
        <w:rPr>
          <w:rFonts w:ascii="宋体" w:hAnsi="宋体"/>
          <w:b w:val="0"/>
          <w:bCs w:val="0"/>
          <w:color w:val="auto"/>
          <w:sz w:val="24"/>
          <w:highlight w:val="none"/>
        </w:rPr>
      </w:pPr>
      <w:r>
        <w:rPr>
          <w:rFonts w:hint="eastAsia" w:ascii="宋体" w:hAnsi="宋体"/>
          <w:b w:val="0"/>
          <w:bCs w:val="0"/>
          <w:color w:val="auto"/>
          <w:sz w:val="24"/>
          <w:highlight w:val="none"/>
        </w:rPr>
        <w:t>部门：</w:t>
      </w:r>
      <w:r>
        <w:rPr>
          <w:rFonts w:hint="eastAsia" w:ascii="宋体" w:hAnsi="宋体"/>
          <w:b w:val="0"/>
          <w:bCs w:val="0"/>
          <w:color w:val="auto"/>
          <w:sz w:val="24"/>
          <w:highlight w:val="none"/>
          <w:u w:val="single"/>
        </w:rPr>
        <w:t xml:space="preserve">             </w:t>
      </w:r>
      <w:r>
        <w:rPr>
          <w:rFonts w:hint="eastAsia" w:ascii="宋体" w:hAnsi="宋体"/>
          <w:b w:val="0"/>
          <w:bCs w:val="0"/>
          <w:color w:val="auto"/>
          <w:sz w:val="24"/>
          <w:highlight w:val="none"/>
        </w:rPr>
        <w:t xml:space="preserve">             职务：</w:t>
      </w:r>
      <w:r>
        <w:rPr>
          <w:rFonts w:hint="eastAsia" w:ascii="宋体" w:hAnsi="宋体"/>
          <w:b w:val="0"/>
          <w:bCs w:val="0"/>
          <w:color w:val="auto"/>
          <w:sz w:val="24"/>
          <w:highlight w:val="none"/>
          <w:u w:val="single"/>
        </w:rPr>
        <w:t xml:space="preserve">             </w:t>
      </w:r>
    </w:p>
    <w:p w14:paraId="4EFDE09C">
      <w:pPr>
        <w:spacing w:line="500" w:lineRule="exact"/>
        <w:jc w:val="left"/>
        <w:rPr>
          <w:rFonts w:ascii="宋体" w:hAnsi="宋体"/>
          <w:color w:val="auto"/>
          <w:sz w:val="24"/>
          <w:highlight w:val="none"/>
        </w:rPr>
      </w:pPr>
    </w:p>
    <w:p w14:paraId="4E2CCE1C">
      <w:pPr>
        <w:spacing w:line="500" w:lineRule="exact"/>
        <w:jc w:val="left"/>
        <w:rPr>
          <w:rFonts w:ascii="宋体" w:hAnsi="宋体"/>
          <w:color w:val="auto"/>
          <w:sz w:val="24"/>
          <w:highlight w:val="none"/>
        </w:rPr>
      </w:pPr>
      <w:r>
        <w:rPr>
          <w:rFonts w:hint="eastAsia" w:ascii="宋体" w:hAnsi="宋体"/>
          <w:color w:val="auto"/>
          <w:sz w:val="24"/>
          <w:highlight w:val="none"/>
        </w:rPr>
        <w:t>代理人无转委</w:t>
      </w:r>
      <w:r>
        <w:rPr>
          <w:rFonts w:hint="eastAsia" w:ascii="宋体" w:hAnsi="宋体"/>
          <w:color w:val="auto"/>
          <w:sz w:val="24"/>
          <w:highlight w:val="none"/>
          <w:lang w:val="en-US" w:eastAsia="zh-CN"/>
        </w:rPr>
        <w:t>托</w:t>
      </w:r>
      <w:r>
        <w:rPr>
          <w:rFonts w:hint="eastAsia" w:ascii="宋体" w:hAnsi="宋体"/>
          <w:color w:val="auto"/>
          <w:sz w:val="24"/>
          <w:highlight w:val="none"/>
        </w:rPr>
        <w:t>权。特此委托。</w:t>
      </w:r>
    </w:p>
    <w:p w14:paraId="12D24E12">
      <w:pPr>
        <w:spacing w:line="500" w:lineRule="exact"/>
        <w:jc w:val="left"/>
        <w:rPr>
          <w:rFonts w:ascii="宋体" w:hAnsi="宋体"/>
          <w:color w:val="auto"/>
          <w:sz w:val="24"/>
          <w:highlight w:val="none"/>
        </w:rPr>
      </w:pPr>
    </w:p>
    <w:p w14:paraId="0608DDE1">
      <w:pPr>
        <w:pStyle w:val="24"/>
        <w:spacing w:beforeAutospacing="0" w:afterAutospacing="0" w:line="360" w:lineRule="auto"/>
        <w:rPr>
          <w:color w:val="auto"/>
          <w:highlight w:val="none"/>
        </w:rPr>
      </w:pPr>
      <w:r>
        <w:rPr>
          <w:rFonts w:hint="eastAsia"/>
          <w:color w:val="auto"/>
          <w:highlight w:val="none"/>
        </w:rPr>
        <w:t>附：委托代理人有效身份证正面、背面复印件（扫描件）。</w:t>
      </w:r>
    </w:p>
    <w:tbl>
      <w:tblPr>
        <w:tblStyle w:val="27"/>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969"/>
      </w:tblGrid>
      <w:tr w14:paraId="36CAF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jc w:val="center"/>
        </w:trPr>
        <w:tc>
          <w:tcPr>
            <w:tcW w:w="3969" w:type="dxa"/>
            <w:tcBorders>
              <w:right w:val="single" w:color="auto" w:sz="4" w:space="0"/>
            </w:tcBorders>
            <w:vAlign w:val="center"/>
          </w:tcPr>
          <w:p w14:paraId="4B5E0192">
            <w:pPr>
              <w:spacing w:line="360" w:lineRule="auto"/>
              <w:jc w:val="center"/>
              <w:rPr>
                <w:rFonts w:ascii="宋体" w:hAnsi="宋体"/>
                <w:color w:val="auto"/>
                <w:sz w:val="24"/>
                <w:highlight w:val="none"/>
              </w:rPr>
            </w:pPr>
          </w:p>
        </w:tc>
        <w:tc>
          <w:tcPr>
            <w:tcW w:w="708" w:type="dxa"/>
            <w:tcBorders>
              <w:top w:val="nil"/>
              <w:left w:val="single" w:color="auto" w:sz="4" w:space="0"/>
              <w:bottom w:val="nil"/>
              <w:right w:val="single" w:color="auto" w:sz="4" w:space="0"/>
            </w:tcBorders>
          </w:tcPr>
          <w:p w14:paraId="181FA0B6">
            <w:pPr>
              <w:spacing w:line="360" w:lineRule="auto"/>
              <w:jc w:val="center"/>
              <w:rPr>
                <w:rFonts w:ascii="宋体" w:hAnsi="宋体"/>
                <w:color w:val="auto"/>
                <w:sz w:val="24"/>
                <w:highlight w:val="none"/>
              </w:rPr>
            </w:pPr>
          </w:p>
        </w:tc>
        <w:tc>
          <w:tcPr>
            <w:tcW w:w="3969" w:type="dxa"/>
            <w:tcBorders>
              <w:left w:val="single" w:color="auto" w:sz="4" w:space="0"/>
            </w:tcBorders>
            <w:vAlign w:val="center"/>
          </w:tcPr>
          <w:p w14:paraId="659E5746">
            <w:pPr>
              <w:spacing w:line="360" w:lineRule="auto"/>
              <w:jc w:val="center"/>
              <w:rPr>
                <w:rFonts w:ascii="宋体" w:hAnsi="宋体"/>
                <w:color w:val="auto"/>
                <w:sz w:val="24"/>
                <w:highlight w:val="none"/>
              </w:rPr>
            </w:pPr>
          </w:p>
        </w:tc>
      </w:tr>
    </w:tbl>
    <w:p w14:paraId="10A34BE3">
      <w:pPr>
        <w:spacing w:line="500" w:lineRule="exact"/>
        <w:jc w:val="left"/>
        <w:rPr>
          <w:rFonts w:ascii="宋体" w:hAnsi="宋体"/>
          <w:color w:val="auto"/>
          <w:sz w:val="24"/>
          <w:highlight w:val="none"/>
        </w:rPr>
      </w:pPr>
    </w:p>
    <w:p w14:paraId="2FF2A5CA">
      <w:pPr>
        <w:spacing w:line="500" w:lineRule="exact"/>
        <w:jc w:val="left"/>
        <w:rPr>
          <w:rFonts w:ascii="宋体" w:hAnsi="宋体"/>
          <w:color w:val="auto"/>
          <w:sz w:val="24"/>
          <w:highlight w:val="none"/>
        </w:rPr>
      </w:pPr>
    </w:p>
    <w:p w14:paraId="63A5A42C">
      <w:pPr>
        <w:spacing w:line="500" w:lineRule="exact"/>
        <w:jc w:val="left"/>
        <w:rPr>
          <w:rFonts w:ascii="宋体" w:hAnsi="宋体"/>
          <w:color w:val="auto"/>
          <w:sz w:val="24"/>
          <w:highlight w:val="none"/>
          <w:u w:val="single"/>
        </w:rPr>
      </w:pPr>
      <w:r>
        <w:rPr>
          <w:rFonts w:hint="eastAsia" w:ascii="宋体" w:hAnsi="宋体"/>
          <w:bCs/>
          <w:color w:val="auto"/>
          <w:sz w:val="24"/>
          <w:highlight w:val="none"/>
        </w:rPr>
        <w:t>投标人(电子签章)</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p>
    <w:p w14:paraId="6D59ABAD">
      <w:pPr>
        <w:spacing w:line="500" w:lineRule="exact"/>
        <w:jc w:val="left"/>
        <w:rPr>
          <w:rFonts w:ascii="宋体" w:hAnsi="宋体"/>
          <w:color w:val="auto"/>
          <w:sz w:val="24"/>
          <w:szCs w:val="20"/>
          <w:highlight w:val="none"/>
          <w:u w:val="single"/>
        </w:rPr>
      </w:pPr>
      <w:r>
        <w:rPr>
          <w:rFonts w:hint="eastAsia" w:ascii="宋体" w:hAnsi="宋体"/>
          <w:bCs/>
          <w:color w:val="auto"/>
          <w:sz w:val="24"/>
          <w:szCs w:val="20"/>
          <w:highlight w:val="none"/>
        </w:rPr>
        <w:t>法定代表人(电子签章或电子签名)</w:t>
      </w:r>
      <w:r>
        <w:rPr>
          <w:rFonts w:hint="eastAsia" w:ascii="宋体" w:hAnsi="宋体"/>
          <w:color w:val="auto"/>
          <w:sz w:val="24"/>
          <w:szCs w:val="20"/>
          <w:highlight w:val="none"/>
        </w:rPr>
        <w:t xml:space="preserve">： </w:t>
      </w:r>
      <w:r>
        <w:rPr>
          <w:rFonts w:hint="eastAsia" w:ascii="宋体" w:hAnsi="宋体"/>
          <w:color w:val="auto"/>
          <w:sz w:val="24"/>
          <w:szCs w:val="20"/>
          <w:highlight w:val="none"/>
          <w:u w:val="single"/>
        </w:rPr>
        <w:t xml:space="preserve">                  </w:t>
      </w:r>
    </w:p>
    <w:p w14:paraId="2EACFC8B">
      <w:pPr>
        <w:spacing w:line="500" w:lineRule="exact"/>
        <w:jc w:val="left"/>
        <w:rPr>
          <w:rFonts w:ascii="宋体" w:hAnsi="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4C44A4D8">
      <w:pPr>
        <w:pStyle w:val="13"/>
        <w:ind w:left="0" w:firstLine="0"/>
        <w:rPr>
          <w:color w:val="auto"/>
          <w:highlight w:val="none"/>
        </w:rPr>
      </w:pPr>
      <w:r>
        <w:rPr>
          <w:rFonts w:hint="eastAsia"/>
          <w:color w:val="auto"/>
          <w:sz w:val="24"/>
          <w:highlight w:val="none"/>
        </w:rPr>
        <w:br w:type="page"/>
      </w:r>
    </w:p>
    <w:p w14:paraId="2B501999">
      <w:pPr>
        <w:pStyle w:val="13"/>
        <w:ind w:left="0" w:firstLine="0"/>
        <w:rPr>
          <w:color w:val="auto"/>
          <w:highlight w:val="none"/>
        </w:rPr>
      </w:pPr>
    </w:p>
    <w:p w14:paraId="331E7E56">
      <w:pPr>
        <w:pStyle w:val="13"/>
        <w:rPr>
          <w:color w:val="auto"/>
          <w:highlight w:val="none"/>
        </w:rPr>
      </w:pPr>
    </w:p>
    <w:p w14:paraId="4FECB465">
      <w:pPr>
        <w:pStyle w:val="3"/>
        <w:numPr>
          <w:ilvl w:val="0"/>
          <w:numId w:val="0"/>
        </w:numPr>
        <w:jc w:val="center"/>
        <w:rPr>
          <w:rFonts w:hAnsi="宋体"/>
          <w:bCs/>
          <w:color w:val="auto"/>
          <w:sz w:val="32"/>
          <w:szCs w:val="28"/>
          <w:highlight w:val="none"/>
        </w:rPr>
      </w:pPr>
      <w:bookmarkStart w:id="191" w:name="_Toc16990"/>
      <w:bookmarkStart w:id="192" w:name="_Toc1706"/>
      <w:r>
        <w:rPr>
          <w:rFonts w:hint="eastAsia" w:ascii="宋体" w:hAnsi="宋体" w:eastAsia="宋体" w:cs="Times New Roman"/>
          <w:b/>
          <w:bCs/>
          <w:color w:val="auto"/>
          <w:kern w:val="2"/>
          <w:sz w:val="32"/>
          <w:szCs w:val="28"/>
          <w:highlight w:val="none"/>
          <w:lang w:val="en-US" w:eastAsia="zh-CN" w:bidi="ar-SA"/>
        </w:rPr>
        <w:t>三、</w:t>
      </w:r>
      <w:r>
        <w:rPr>
          <w:rFonts w:hint="eastAsia" w:hAnsi="宋体" w:cs="宋体"/>
          <w:color w:val="auto"/>
          <w:kern w:val="0"/>
          <w:sz w:val="30"/>
          <w:szCs w:val="30"/>
          <w:highlight w:val="none"/>
        </w:rPr>
        <w:t>投标文件技术部分</w:t>
      </w:r>
      <w:bookmarkEnd w:id="191"/>
      <w:bookmarkEnd w:id="192"/>
    </w:p>
    <w:p w14:paraId="24651DF5">
      <w:pPr>
        <w:widowControl/>
        <w:spacing w:line="360" w:lineRule="auto"/>
        <w:jc w:val="left"/>
        <w:rPr>
          <w:rFonts w:ascii="宋体" w:hAnsi="宋体" w:cs="宋体"/>
          <w:b/>
          <w:color w:val="auto"/>
          <w:sz w:val="24"/>
          <w:highlight w:val="none"/>
        </w:rPr>
      </w:pPr>
      <w:r>
        <w:rPr>
          <w:rFonts w:hint="eastAsia" w:ascii="宋体" w:hAnsi="宋体" w:cs="宋体"/>
          <w:b/>
          <w:color w:val="auto"/>
          <w:sz w:val="32"/>
          <w:highlight w:val="none"/>
        </w:rPr>
        <w:t>投标人根据自身实际情况，结合本项目实际情况，自行编制。</w:t>
      </w:r>
    </w:p>
    <w:p w14:paraId="3526D031">
      <w:pPr>
        <w:pStyle w:val="3"/>
        <w:spacing w:line="360" w:lineRule="auto"/>
        <w:jc w:val="both"/>
        <w:rPr>
          <w:rFonts w:hint="eastAsia" w:eastAsia="宋体"/>
          <w:b/>
          <w:bCs/>
          <w:color w:val="auto"/>
          <w:highlight w:val="none"/>
          <w:lang w:val="en-US" w:eastAsia="zh-CN"/>
        </w:rPr>
      </w:pPr>
      <w:bookmarkStart w:id="193" w:name="_Toc8992"/>
      <w:r>
        <w:rPr>
          <w:rFonts w:hint="eastAsia" w:hAnsi="宋体" w:cs="宋体"/>
          <w:color w:val="auto"/>
          <w:highlight w:val="none"/>
        </w:rPr>
        <w:t>技术部分一般包括（但不限于）下列内容：</w:t>
      </w:r>
      <w:bookmarkEnd w:id="193"/>
    </w:p>
    <w:p w14:paraId="51218B57">
      <w:pPr>
        <w:bidi w:val="0"/>
        <w:spacing w:line="360" w:lineRule="auto"/>
        <w:rPr>
          <w:rFonts w:hint="eastAsia" w:hAnsi="宋体"/>
          <w:i w:val="0"/>
          <w:iCs w:val="0"/>
          <w:color w:val="auto"/>
          <w:sz w:val="22"/>
          <w:szCs w:val="28"/>
          <w:highlight w:val="none"/>
          <w:u w:val="none"/>
          <w:lang w:val="en-US" w:eastAsia="zh-CN"/>
        </w:rPr>
      </w:pPr>
      <w:r>
        <w:rPr>
          <w:rFonts w:hint="eastAsia" w:hAnsi="宋体"/>
          <w:i w:val="0"/>
          <w:iCs w:val="0"/>
          <w:color w:val="auto"/>
          <w:sz w:val="22"/>
          <w:szCs w:val="28"/>
          <w:highlight w:val="none"/>
          <w:u w:val="none"/>
          <w:lang w:val="en-US" w:eastAsia="zh-CN"/>
        </w:rPr>
        <w:t>1、项目服务方案</w:t>
      </w:r>
    </w:p>
    <w:p w14:paraId="66127F2F">
      <w:pPr>
        <w:bidi w:val="0"/>
        <w:spacing w:line="360" w:lineRule="auto"/>
        <w:rPr>
          <w:rFonts w:hint="eastAsia" w:hAnsi="宋体"/>
          <w:i w:val="0"/>
          <w:iCs w:val="0"/>
          <w:color w:val="auto"/>
          <w:sz w:val="22"/>
          <w:szCs w:val="28"/>
          <w:highlight w:val="none"/>
          <w:u w:val="none"/>
          <w:lang w:val="en-US" w:eastAsia="zh-CN"/>
        </w:rPr>
      </w:pPr>
      <w:r>
        <w:rPr>
          <w:rFonts w:hint="eastAsia" w:hAnsi="宋体"/>
          <w:i w:val="0"/>
          <w:iCs w:val="0"/>
          <w:color w:val="auto"/>
          <w:sz w:val="22"/>
          <w:szCs w:val="28"/>
          <w:highlight w:val="none"/>
          <w:u w:val="none"/>
          <w:lang w:val="en-US" w:eastAsia="zh-CN"/>
        </w:rPr>
        <w:t>2、拟派项目人员配置及综合素质</w:t>
      </w:r>
    </w:p>
    <w:p w14:paraId="7B5C0078">
      <w:pPr>
        <w:bidi w:val="0"/>
        <w:spacing w:line="360" w:lineRule="auto"/>
        <w:rPr>
          <w:rFonts w:hint="eastAsia" w:hAnsi="宋体"/>
          <w:i w:val="0"/>
          <w:iCs w:val="0"/>
          <w:color w:val="auto"/>
          <w:sz w:val="22"/>
          <w:szCs w:val="28"/>
          <w:highlight w:val="none"/>
          <w:u w:val="none"/>
          <w:lang w:val="en-US" w:eastAsia="zh-CN"/>
        </w:rPr>
      </w:pPr>
      <w:r>
        <w:rPr>
          <w:rFonts w:hint="eastAsia" w:hAnsi="宋体"/>
          <w:i w:val="0"/>
          <w:iCs w:val="0"/>
          <w:color w:val="auto"/>
          <w:sz w:val="22"/>
          <w:szCs w:val="28"/>
          <w:highlight w:val="none"/>
          <w:u w:val="none"/>
          <w:lang w:val="en-US" w:eastAsia="zh-CN"/>
        </w:rPr>
        <w:t xml:space="preserve">3、服务质量承诺及保证措施 </w:t>
      </w:r>
    </w:p>
    <w:p w14:paraId="2E58ED08">
      <w:pPr>
        <w:bidi w:val="0"/>
        <w:spacing w:line="360" w:lineRule="auto"/>
        <w:rPr>
          <w:rFonts w:hint="eastAsia" w:hAnsi="宋体"/>
          <w:i w:val="0"/>
          <w:iCs w:val="0"/>
          <w:color w:val="auto"/>
          <w:sz w:val="22"/>
          <w:szCs w:val="28"/>
          <w:highlight w:val="none"/>
          <w:u w:val="none"/>
          <w:lang w:val="en-US" w:eastAsia="zh-CN"/>
        </w:rPr>
      </w:pPr>
      <w:r>
        <w:rPr>
          <w:rFonts w:hint="eastAsia" w:hAnsi="宋体"/>
          <w:i w:val="0"/>
          <w:iCs w:val="0"/>
          <w:color w:val="auto"/>
          <w:sz w:val="22"/>
          <w:szCs w:val="28"/>
          <w:highlight w:val="none"/>
          <w:u w:val="none"/>
          <w:lang w:val="en-US" w:eastAsia="zh-CN"/>
        </w:rPr>
        <w:t>4、售后服务能力、售后服务方案、承诺及保证</w:t>
      </w:r>
    </w:p>
    <w:p w14:paraId="780FE069">
      <w:pPr>
        <w:bidi w:val="0"/>
        <w:spacing w:line="360" w:lineRule="auto"/>
        <w:rPr>
          <w:rFonts w:hint="eastAsia" w:hAnsi="宋体"/>
          <w:i w:val="0"/>
          <w:iCs w:val="0"/>
          <w:color w:val="auto"/>
          <w:sz w:val="22"/>
          <w:szCs w:val="28"/>
          <w:highlight w:val="none"/>
          <w:u w:val="none"/>
          <w:lang w:val="en-US" w:eastAsia="zh-CN"/>
        </w:rPr>
      </w:pPr>
      <w:r>
        <w:rPr>
          <w:rFonts w:hint="eastAsia" w:hAnsi="宋体"/>
          <w:i w:val="0"/>
          <w:iCs w:val="0"/>
          <w:color w:val="auto"/>
          <w:sz w:val="22"/>
          <w:szCs w:val="28"/>
          <w:highlight w:val="none"/>
          <w:u w:val="none"/>
          <w:lang w:val="en-US" w:eastAsia="zh-CN"/>
        </w:rPr>
        <w:t>5、分析了解项目情况及重难点把握</w:t>
      </w:r>
    </w:p>
    <w:p w14:paraId="4F88F5EF">
      <w:pPr>
        <w:bidi w:val="0"/>
        <w:spacing w:line="360" w:lineRule="auto"/>
        <w:rPr>
          <w:rFonts w:hint="eastAsia" w:hAnsi="宋体"/>
          <w:i w:val="0"/>
          <w:iCs w:val="0"/>
          <w:color w:val="auto"/>
          <w:sz w:val="22"/>
          <w:szCs w:val="28"/>
          <w:highlight w:val="none"/>
          <w:u w:val="none"/>
          <w:lang w:val="en-US" w:eastAsia="zh-CN"/>
        </w:rPr>
      </w:pPr>
      <w:r>
        <w:rPr>
          <w:rFonts w:hint="eastAsia" w:hAnsi="宋体"/>
          <w:i w:val="0"/>
          <w:iCs w:val="0"/>
          <w:color w:val="auto"/>
          <w:sz w:val="22"/>
          <w:szCs w:val="28"/>
          <w:highlight w:val="none"/>
          <w:u w:val="none"/>
          <w:lang w:val="en-US" w:eastAsia="zh-CN"/>
        </w:rPr>
        <w:t>6、应急方案</w:t>
      </w:r>
    </w:p>
    <w:p w14:paraId="446F10BD">
      <w:pPr>
        <w:bidi w:val="0"/>
        <w:spacing w:line="360" w:lineRule="auto"/>
        <w:rPr>
          <w:rFonts w:hint="eastAsia" w:hAnsi="宋体"/>
          <w:i w:val="0"/>
          <w:iCs w:val="0"/>
          <w:color w:val="auto"/>
          <w:sz w:val="22"/>
          <w:szCs w:val="28"/>
          <w:highlight w:val="none"/>
          <w:u w:val="none"/>
          <w:lang w:val="en-US" w:eastAsia="zh-CN"/>
        </w:rPr>
      </w:pPr>
      <w:r>
        <w:rPr>
          <w:rFonts w:hint="eastAsia" w:hAnsi="宋体"/>
          <w:i w:val="0"/>
          <w:iCs w:val="0"/>
          <w:color w:val="auto"/>
          <w:sz w:val="22"/>
          <w:szCs w:val="28"/>
          <w:highlight w:val="none"/>
          <w:u w:val="none"/>
          <w:lang w:val="en-US" w:eastAsia="zh-CN"/>
        </w:rPr>
        <w:t>7、类似业绩</w:t>
      </w:r>
    </w:p>
    <w:p w14:paraId="5A7AE66D">
      <w:pPr>
        <w:rPr>
          <w:rFonts w:hint="eastAsia" w:hAnsi="宋体"/>
          <w:i w:val="0"/>
          <w:iCs w:val="0"/>
          <w:color w:val="auto"/>
          <w:sz w:val="22"/>
          <w:szCs w:val="28"/>
          <w:highlight w:val="none"/>
          <w:u w:val="none"/>
          <w:lang w:val="en-US" w:eastAsia="zh-CN"/>
        </w:rPr>
      </w:pPr>
      <w:r>
        <w:rPr>
          <w:rFonts w:hint="eastAsia" w:hAnsi="宋体"/>
          <w:i w:val="0"/>
          <w:iCs w:val="0"/>
          <w:color w:val="auto"/>
          <w:sz w:val="22"/>
          <w:szCs w:val="28"/>
          <w:highlight w:val="none"/>
          <w:u w:val="none"/>
          <w:lang w:val="en-US" w:eastAsia="zh-CN"/>
        </w:rPr>
        <w:br w:type="page"/>
      </w:r>
    </w:p>
    <w:p w14:paraId="0D1EE7B0">
      <w:pPr>
        <w:bidi w:val="0"/>
        <w:rPr>
          <w:b/>
          <w:bCs/>
          <w:color w:val="auto"/>
          <w:sz w:val="28"/>
          <w:szCs w:val="28"/>
          <w:highlight w:val="none"/>
        </w:rPr>
      </w:pPr>
      <w:r>
        <w:rPr>
          <w:rFonts w:hint="eastAsia"/>
          <w:b/>
          <w:bCs/>
          <w:color w:val="auto"/>
          <w:sz w:val="28"/>
          <w:szCs w:val="28"/>
          <w:highlight w:val="none"/>
        </w:rPr>
        <w:t>附：</w:t>
      </w:r>
    </w:p>
    <w:p w14:paraId="4082F70E">
      <w:pPr>
        <w:bidi w:val="0"/>
        <w:jc w:val="center"/>
        <w:rPr>
          <w:rFonts w:hint="eastAsia"/>
          <w:b/>
          <w:bCs/>
          <w:color w:val="auto"/>
          <w:sz w:val="28"/>
          <w:szCs w:val="28"/>
          <w:highlight w:val="none"/>
        </w:rPr>
      </w:pPr>
      <w:r>
        <w:rPr>
          <w:rFonts w:hint="eastAsia"/>
          <w:b/>
          <w:bCs/>
          <w:color w:val="auto"/>
          <w:sz w:val="28"/>
          <w:szCs w:val="28"/>
          <w:highlight w:val="none"/>
        </w:rPr>
        <w:t>（一）派往本项目组成员情况表</w:t>
      </w:r>
    </w:p>
    <w:tbl>
      <w:tblPr>
        <w:tblStyle w:val="27"/>
        <w:tblpPr w:leftFromText="180" w:rightFromText="180" w:vertAnchor="text" w:horzAnchor="margin" w:tblpXSpec="center" w:tblpY="9"/>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1065"/>
        <w:gridCol w:w="1005"/>
        <w:gridCol w:w="1320"/>
        <w:gridCol w:w="1890"/>
        <w:gridCol w:w="1170"/>
        <w:gridCol w:w="1478"/>
        <w:gridCol w:w="757"/>
      </w:tblGrid>
      <w:tr w14:paraId="31FC3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trPr>
        <w:tc>
          <w:tcPr>
            <w:tcW w:w="871" w:type="dxa"/>
            <w:tcBorders>
              <w:top w:val="single" w:color="auto" w:sz="4" w:space="0"/>
              <w:left w:val="single" w:color="auto" w:sz="4" w:space="0"/>
              <w:bottom w:val="single" w:color="auto" w:sz="4" w:space="0"/>
              <w:right w:val="single" w:color="auto" w:sz="4" w:space="0"/>
            </w:tcBorders>
            <w:noWrap w:val="0"/>
            <w:vAlign w:val="center"/>
          </w:tcPr>
          <w:p w14:paraId="27ADE222">
            <w:pPr>
              <w:spacing w:line="560" w:lineRule="exact"/>
              <w:jc w:val="center"/>
              <w:rPr>
                <w:rFonts w:hint="eastAsia" w:ascii="宋体" w:hAnsi="宋体" w:eastAsia="宋体"/>
                <w:snapToGrid w:val="0"/>
                <w:color w:val="auto"/>
                <w:kern w:val="0"/>
                <w:sz w:val="24"/>
                <w:szCs w:val="24"/>
                <w:highlight w:val="none"/>
                <w:lang w:val="en-US" w:eastAsia="zh-CN"/>
              </w:rPr>
            </w:pPr>
            <w:r>
              <w:rPr>
                <w:rFonts w:hint="eastAsia" w:ascii="宋体" w:hAnsi="宋体"/>
                <w:snapToGrid w:val="0"/>
                <w:color w:val="auto"/>
                <w:kern w:val="0"/>
                <w:sz w:val="24"/>
                <w:szCs w:val="24"/>
                <w:highlight w:val="none"/>
                <w:lang w:val="en-US" w:eastAsia="zh-CN"/>
              </w:rPr>
              <w:t>序号</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4ADC6B85">
            <w:pPr>
              <w:spacing w:line="560" w:lineRule="exact"/>
              <w:jc w:val="center"/>
              <w:rPr>
                <w:rFonts w:ascii="宋体"/>
                <w:snapToGrid w:val="0"/>
                <w:color w:val="auto"/>
                <w:kern w:val="0"/>
                <w:sz w:val="24"/>
                <w:szCs w:val="24"/>
                <w:highlight w:val="none"/>
              </w:rPr>
            </w:pPr>
            <w:r>
              <w:rPr>
                <w:rFonts w:hint="eastAsia" w:ascii="宋体" w:hAnsi="宋体"/>
                <w:snapToGrid w:val="0"/>
                <w:color w:val="auto"/>
                <w:kern w:val="0"/>
                <w:sz w:val="24"/>
                <w:szCs w:val="24"/>
                <w:highlight w:val="none"/>
              </w:rPr>
              <w:t>姓名</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B1D455D">
            <w:pPr>
              <w:spacing w:line="560" w:lineRule="exact"/>
              <w:jc w:val="center"/>
              <w:rPr>
                <w:rFonts w:ascii="宋体"/>
                <w:snapToGrid w:val="0"/>
                <w:color w:val="auto"/>
                <w:kern w:val="0"/>
                <w:sz w:val="24"/>
                <w:szCs w:val="24"/>
                <w:highlight w:val="none"/>
              </w:rPr>
            </w:pPr>
            <w:r>
              <w:rPr>
                <w:rFonts w:hint="eastAsia" w:ascii="宋体" w:hAnsi="宋体"/>
                <w:snapToGrid w:val="0"/>
                <w:color w:val="auto"/>
                <w:kern w:val="0"/>
                <w:sz w:val="24"/>
                <w:szCs w:val="24"/>
                <w:highlight w:val="none"/>
              </w:rPr>
              <w:t>年龄</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458AA8CB">
            <w:pPr>
              <w:spacing w:line="560" w:lineRule="exact"/>
              <w:jc w:val="center"/>
              <w:rPr>
                <w:rFonts w:hint="eastAsia" w:ascii="宋体" w:hAnsi="宋体" w:eastAsia="宋体"/>
                <w:snapToGrid w:val="0"/>
                <w:color w:val="auto"/>
                <w:kern w:val="0"/>
                <w:sz w:val="24"/>
                <w:szCs w:val="24"/>
                <w:highlight w:val="none"/>
                <w:lang w:val="en-US" w:eastAsia="zh-CN"/>
              </w:rPr>
            </w:pPr>
            <w:r>
              <w:rPr>
                <w:rFonts w:hint="eastAsia" w:ascii="宋体" w:hAnsi="宋体"/>
                <w:snapToGrid w:val="0"/>
                <w:color w:val="auto"/>
                <w:kern w:val="0"/>
                <w:sz w:val="24"/>
                <w:szCs w:val="24"/>
                <w:highlight w:val="none"/>
                <w:lang w:val="en-US" w:eastAsia="zh-CN"/>
              </w:rPr>
              <w:t>性别</w:t>
            </w:r>
          </w:p>
        </w:tc>
        <w:tc>
          <w:tcPr>
            <w:tcW w:w="1890" w:type="dxa"/>
            <w:tcBorders>
              <w:top w:val="single" w:color="auto" w:sz="4" w:space="0"/>
              <w:left w:val="single" w:color="auto" w:sz="4" w:space="0"/>
              <w:bottom w:val="single" w:color="auto" w:sz="4" w:space="0"/>
              <w:right w:val="single" w:color="auto" w:sz="4" w:space="0"/>
            </w:tcBorders>
            <w:noWrap w:val="0"/>
            <w:vAlign w:val="center"/>
          </w:tcPr>
          <w:p w14:paraId="1B1BC936">
            <w:pPr>
              <w:spacing w:line="560" w:lineRule="exact"/>
              <w:jc w:val="center"/>
              <w:rPr>
                <w:rFonts w:ascii="宋体"/>
                <w:snapToGrid w:val="0"/>
                <w:color w:val="auto"/>
                <w:kern w:val="0"/>
                <w:sz w:val="24"/>
                <w:szCs w:val="24"/>
                <w:highlight w:val="none"/>
              </w:rPr>
            </w:pPr>
            <w:r>
              <w:rPr>
                <w:rFonts w:hint="eastAsia" w:ascii="宋体" w:hAnsi="宋体"/>
                <w:snapToGrid w:val="0"/>
                <w:color w:val="auto"/>
                <w:kern w:val="0"/>
                <w:sz w:val="24"/>
                <w:szCs w:val="24"/>
                <w:highlight w:val="none"/>
              </w:rPr>
              <w:t>拟在本项目中担任的职务</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500BF2E">
            <w:pPr>
              <w:spacing w:line="560" w:lineRule="exact"/>
              <w:jc w:val="center"/>
              <w:rPr>
                <w:rFonts w:hint="eastAsia" w:ascii="宋体" w:hAnsi="宋体"/>
                <w:snapToGrid w:val="0"/>
                <w:color w:val="auto"/>
                <w:kern w:val="0"/>
                <w:sz w:val="24"/>
                <w:szCs w:val="24"/>
                <w:highlight w:val="none"/>
              </w:rPr>
            </w:pPr>
            <w:r>
              <w:rPr>
                <w:rFonts w:hint="eastAsia" w:ascii="宋体" w:hAnsi="宋体"/>
                <w:snapToGrid w:val="0"/>
                <w:color w:val="auto"/>
                <w:kern w:val="0"/>
                <w:sz w:val="24"/>
                <w:szCs w:val="24"/>
                <w:highlight w:val="none"/>
              </w:rPr>
              <w:t>职称</w:t>
            </w:r>
          </w:p>
          <w:p w14:paraId="2900CE94">
            <w:pPr>
              <w:spacing w:line="560" w:lineRule="exact"/>
              <w:jc w:val="center"/>
              <w:rPr>
                <w:rFonts w:hint="eastAsia" w:ascii="宋体"/>
                <w:snapToGrid w:val="0"/>
                <w:color w:val="auto"/>
                <w:kern w:val="0"/>
                <w:sz w:val="24"/>
                <w:szCs w:val="24"/>
                <w:highlight w:val="none"/>
              </w:rPr>
            </w:pPr>
            <w:r>
              <w:rPr>
                <w:rFonts w:hint="eastAsia" w:ascii="宋体" w:hAnsi="宋体"/>
                <w:snapToGrid w:val="0"/>
                <w:color w:val="auto"/>
                <w:kern w:val="0"/>
                <w:sz w:val="24"/>
                <w:szCs w:val="24"/>
                <w:highlight w:val="none"/>
              </w:rPr>
              <w:t>（若有）</w:t>
            </w:r>
          </w:p>
        </w:tc>
        <w:tc>
          <w:tcPr>
            <w:tcW w:w="1478" w:type="dxa"/>
            <w:tcBorders>
              <w:top w:val="single" w:color="auto" w:sz="4" w:space="0"/>
              <w:left w:val="single" w:color="auto" w:sz="4" w:space="0"/>
              <w:bottom w:val="single" w:color="auto" w:sz="4" w:space="0"/>
              <w:right w:val="single" w:color="auto" w:sz="4" w:space="0"/>
            </w:tcBorders>
            <w:noWrap w:val="0"/>
            <w:vAlign w:val="center"/>
          </w:tcPr>
          <w:p w14:paraId="33B07310">
            <w:pPr>
              <w:spacing w:line="560" w:lineRule="exact"/>
              <w:jc w:val="center"/>
              <w:rPr>
                <w:rFonts w:hint="eastAsia" w:ascii="宋体" w:hAnsi="宋体"/>
                <w:snapToGrid w:val="0"/>
                <w:color w:val="auto"/>
                <w:kern w:val="0"/>
                <w:sz w:val="24"/>
                <w:szCs w:val="24"/>
                <w:highlight w:val="none"/>
              </w:rPr>
            </w:pPr>
            <w:r>
              <w:rPr>
                <w:rFonts w:hint="eastAsia" w:ascii="宋体" w:hAnsi="宋体"/>
                <w:snapToGrid w:val="0"/>
                <w:color w:val="auto"/>
                <w:kern w:val="0"/>
                <w:sz w:val="24"/>
                <w:szCs w:val="24"/>
                <w:highlight w:val="none"/>
              </w:rPr>
              <w:t>相关证书</w:t>
            </w:r>
          </w:p>
          <w:p w14:paraId="01A509AE">
            <w:pPr>
              <w:spacing w:line="560" w:lineRule="exact"/>
              <w:jc w:val="center"/>
              <w:rPr>
                <w:rFonts w:ascii="宋体"/>
                <w:snapToGrid w:val="0"/>
                <w:color w:val="auto"/>
                <w:kern w:val="0"/>
                <w:sz w:val="24"/>
                <w:szCs w:val="24"/>
                <w:highlight w:val="none"/>
              </w:rPr>
            </w:pPr>
            <w:r>
              <w:rPr>
                <w:rFonts w:hint="eastAsia" w:ascii="宋体" w:hAnsi="宋体"/>
                <w:snapToGrid w:val="0"/>
                <w:color w:val="auto"/>
                <w:kern w:val="0"/>
                <w:sz w:val="24"/>
                <w:szCs w:val="24"/>
                <w:highlight w:val="none"/>
              </w:rPr>
              <w:t>（若有）</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4287E8C7">
            <w:pPr>
              <w:spacing w:line="560" w:lineRule="exact"/>
              <w:jc w:val="center"/>
              <w:rPr>
                <w:rFonts w:ascii="宋体"/>
                <w:snapToGrid w:val="0"/>
                <w:color w:val="auto"/>
                <w:kern w:val="0"/>
                <w:sz w:val="24"/>
                <w:szCs w:val="24"/>
                <w:highlight w:val="none"/>
              </w:rPr>
            </w:pPr>
            <w:r>
              <w:rPr>
                <w:rFonts w:hint="eastAsia" w:ascii="宋体" w:hAnsi="宋体"/>
                <w:snapToGrid w:val="0"/>
                <w:color w:val="auto"/>
                <w:kern w:val="0"/>
                <w:sz w:val="24"/>
                <w:szCs w:val="24"/>
                <w:highlight w:val="none"/>
              </w:rPr>
              <w:t>备注</w:t>
            </w:r>
          </w:p>
        </w:tc>
      </w:tr>
      <w:tr w14:paraId="7FC7C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06BEC10F">
            <w:pPr>
              <w:spacing w:line="560" w:lineRule="exact"/>
              <w:rPr>
                <w:rFonts w:ascii="宋体"/>
                <w:snapToGrid w:val="0"/>
                <w:color w:val="auto"/>
                <w:kern w:val="0"/>
                <w:sz w:val="24"/>
                <w:szCs w:val="24"/>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528CB308">
            <w:pPr>
              <w:spacing w:line="560" w:lineRule="exact"/>
              <w:rPr>
                <w:rFonts w:ascii="宋体"/>
                <w:snapToGrid w:val="0"/>
                <w:color w:val="auto"/>
                <w:kern w:val="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top"/>
          </w:tcPr>
          <w:p w14:paraId="44CF3854">
            <w:pPr>
              <w:spacing w:line="560" w:lineRule="exact"/>
              <w:rPr>
                <w:rFonts w:ascii="宋体"/>
                <w:snapToGrid w:val="0"/>
                <w:color w:val="auto"/>
                <w:kern w:val="0"/>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top"/>
          </w:tcPr>
          <w:p w14:paraId="0D8B3258">
            <w:pPr>
              <w:spacing w:line="560" w:lineRule="exact"/>
              <w:rPr>
                <w:rFonts w:ascii="宋体"/>
                <w:snapToGrid w:val="0"/>
                <w:color w:val="auto"/>
                <w:kern w:val="0"/>
                <w:sz w:val="24"/>
                <w:szCs w:val="24"/>
                <w:highlight w:val="none"/>
              </w:rPr>
            </w:pPr>
          </w:p>
        </w:tc>
        <w:tc>
          <w:tcPr>
            <w:tcW w:w="1890" w:type="dxa"/>
            <w:tcBorders>
              <w:top w:val="single" w:color="auto" w:sz="4" w:space="0"/>
              <w:left w:val="single" w:color="auto" w:sz="4" w:space="0"/>
              <w:bottom w:val="single" w:color="auto" w:sz="4" w:space="0"/>
              <w:right w:val="single" w:color="auto" w:sz="4" w:space="0"/>
            </w:tcBorders>
            <w:noWrap w:val="0"/>
            <w:vAlign w:val="top"/>
          </w:tcPr>
          <w:p w14:paraId="6EE56E0C">
            <w:pPr>
              <w:spacing w:line="560" w:lineRule="exact"/>
              <w:rPr>
                <w:rFonts w:ascii="宋体"/>
                <w:snapToGrid w:val="0"/>
                <w:color w:val="auto"/>
                <w:kern w:val="0"/>
                <w:sz w:val="24"/>
                <w:szCs w:val="24"/>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top"/>
          </w:tcPr>
          <w:p w14:paraId="43F5EB1E">
            <w:pPr>
              <w:spacing w:line="560" w:lineRule="exact"/>
              <w:rPr>
                <w:rFonts w:ascii="宋体"/>
                <w:snapToGrid w:val="0"/>
                <w:color w:val="auto"/>
                <w:kern w:val="0"/>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noWrap w:val="0"/>
            <w:vAlign w:val="top"/>
          </w:tcPr>
          <w:p w14:paraId="35F2D4D7">
            <w:pPr>
              <w:spacing w:line="560" w:lineRule="exact"/>
              <w:rPr>
                <w:rFonts w:ascii="宋体"/>
                <w:snapToGrid w:val="0"/>
                <w:color w:val="auto"/>
                <w:kern w:val="0"/>
                <w:sz w:val="24"/>
                <w:szCs w:val="2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top"/>
          </w:tcPr>
          <w:p w14:paraId="75E3D898">
            <w:pPr>
              <w:spacing w:line="560" w:lineRule="exact"/>
              <w:rPr>
                <w:rFonts w:ascii="宋体"/>
                <w:snapToGrid w:val="0"/>
                <w:color w:val="auto"/>
                <w:kern w:val="0"/>
                <w:sz w:val="24"/>
                <w:szCs w:val="24"/>
                <w:highlight w:val="none"/>
              </w:rPr>
            </w:pPr>
          </w:p>
        </w:tc>
      </w:tr>
      <w:tr w14:paraId="654A5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03CFA9A3">
            <w:pPr>
              <w:spacing w:line="560" w:lineRule="exact"/>
              <w:rPr>
                <w:rFonts w:ascii="宋体"/>
                <w:snapToGrid w:val="0"/>
                <w:color w:val="auto"/>
                <w:kern w:val="0"/>
                <w:sz w:val="24"/>
                <w:szCs w:val="24"/>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0550C58B">
            <w:pPr>
              <w:spacing w:line="560" w:lineRule="exact"/>
              <w:rPr>
                <w:rFonts w:ascii="宋体"/>
                <w:snapToGrid w:val="0"/>
                <w:color w:val="auto"/>
                <w:kern w:val="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top"/>
          </w:tcPr>
          <w:p w14:paraId="418B5E82">
            <w:pPr>
              <w:spacing w:line="560" w:lineRule="exact"/>
              <w:rPr>
                <w:rFonts w:ascii="宋体"/>
                <w:snapToGrid w:val="0"/>
                <w:color w:val="auto"/>
                <w:kern w:val="0"/>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top"/>
          </w:tcPr>
          <w:p w14:paraId="7D0D3B49">
            <w:pPr>
              <w:spacing w:line="560" w:lineRule="exact"/>
              <w:rPr>
                <w:rFonts w:ascii="宋体"/>
                <w:snapToGrid w:val="0"/>
                <w:color w:val="auto"/>
                <w:kern w:val="0"/>
                <w:sz w:val="24"/>
                <w:szCs w:val="24"/>
                <w:highlight w:val="none"/>
              </w:rPr>
            </w:pPr>
          </w:p>
        </w:tc>
        <w:tc>
          <w:tcPr>
            <w:tcW w:w="1890" w:type="dxa"/>
            <w:tcBorders>
              <w:top w:val="single" w:color="auto" w:sz="4" w:space="0"/>
              <w:left w:val="single" w:color="auto" w:sz="4" w:space="0"/>
              <w:bottom w:val="single" w:color="auto" w:sz="4" w:space="0"/>
              <w:right w:val="single" w:color="auto" w:sz="4" w:space="0"/>
            </w:tcBorders>
            <w:noWrap w:val="0"/>
            <w:vAlign w:val="top"/>
          </w:tcPr>
          <w:p w14:paraId="2EA6ED21">
            <w:pPr>
              <w:spacing w:line="560" w:lineRule="exact"/>
              <w:rPr>
                <w:rFonts w:ascii="宋体"/>
                <w:snapToGrid w:val="0"/>
                <w:color w:val="auto"/>
                <w:kern w:val="0"/>
                <w:sz w:val="24"/>
                <w:szCs w:val="24"/>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top"/>
          </w:tcPr>
          <w:p w14:paraId="4F0D176C">
            <w:pPr>
              <w:spacing w:line="560" w:lineRule="exact"/>
              <w:rPr>
                <w:rFonts w:ascii="宋体"/>
                <w:snapToGrid w:val="0"/>
                <w:color w:val="auto"/>
                <w:kern w:val="0"/>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noWrap w:val="0"/>
            <w:vAlign w:val="top"/>
          </w:tcPr>
          <w:p w14:paraId="1841ACBD">
            <w:pPr>
              <w:spacing w:line="560" w:lineRule="exact"/>
              <w:rPr>
                <w:rFonts w:ascii="宋体"/>
                <w:snapToGrid w:val="0"/>
                <w:color w:val="auto"/>
                <w:kern w:val="0"/>
                <w:sz w:val="24"/>
                <w:szCs w:val="2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top"/>
          </w:tcPr>
          <w:p w14:paraId="125ABE62">
            <w:pPr>
              <w:spacing w:line="560" w:lineRule="exact"/>
              <w:rPr>
                <w:rFonts w:ascii="宋体"/>
                <w:snapToGrid w:val="0"/>
                <w:color w:val="auto"/>
                <w:kern w:val="0"/>
                <w:sz w:val="24"/>
                <w:szCs w:val="24"/>
                <w:highlight w:val="none"/>
              </w:rPr>
            </w:pPr>
          </w:p>
        </w:tc>
      </w:tr>
      <w:tr w14:paraId="32E3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13F499AD">
            <w:pPr>
              <w:spacing w:line="560" w:lineRule="exact"/>
              <w:rPr>
                <w:rFonts w:ascii="宋体"/>
                <w:snapToGrid w:val="0"/>
                <w:color w:val="auto"/>
                <w:kern w:val="0"/>
                <w:sz w:val="24"/>
                <w:szCs w:val="24"/>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67C9EAFA">
            <w:pPr>
              <w:spacing w:line="560" w:lineRule="exact"/>
              <w:rPr>
                <w:rFonts w:ascii="宋体"/>
                <w:snapToGrid w:val="0"/>
                <w:color w:val="auto"/>
                <w:kern w:val="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top"/>
          </w:tcPr>
          <w:p w14:paraId="758A65AB">
            <w:pPr>
              <w:spacing w:line="560" w:lineRule="exact"/>
              <w:rPr>
                <w:rFonts w:ascii="宋体"/>
                <w:snapToGrid w:val="0"/>
                <w:color w:val="auto"/>
                <w:kern w:val="0"/>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top"/>
          </w:tcPr>
          <w:p w14:paraId="355C0323">
            <w:pPr>
              <w:spacing w:line="560" w:lineRule="exact"/>
              <w:rPr>
                <w:rFonts w:ascii="宋体"/>
                <w:snapToGrid w:val="0"/>
                <w:color w:val="auto"/>
                <w:kern w:val="0"/>
                <w:sz w:val="24"/>
                <w:szCs w:val="24"/>
                <w:highlight w:val="none"/>
              </w:rPr>
            </w:pPr>
          </w:p>
        </w:tc>
        <w:tc>
          <w:tcPr>
            <w:tcW w:w="1890" w:type="dxa"/>
            <w:tcBorders>
              <w:top w:val="single" w:color="auto" w:sz="4" w:space="0"/>
              <w:left w:val="single" w:color="auto" w:sz="4" w:space="0"/>
              <w:bottom w:val="single" w:color="auto" w:sz="4" w:space="0"/>
              <w:right w:val="single" w:color="auto" w:sz="4" w:space="0"/>
            </w:tcBorders>
            <w:noWrap w:val="0"/>
            <w:vAlign w:val="top"/>
          </w:tcPr>
          <w:p w14:paraId="319E255B">
            <w:pPr>
              <w:spacing w:line="560" w:lineRule="exact"/>
              <w:rPr>
                <w:rFonts w:ascii="宋体"/>
                <w:snapToGrid w:val="0"/>
                <w:color w:val="auto"/>
                <w:kern w:val="0"/>
                <w:sz w:val="24"/>
                <w:szCs w:val="24"/>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top"/>
          </w:tcPr>
          <w:p w14:paraId="6F1DB3D5">
            <w:pPr>
              <w:spacing w:line="560" w:lineRule="exact"/>
              <w:rPr>
                <w:rFonts w:ascii="宋体"/>
                <w:snapToGrid w:val="0"/>
                <w:color w:val="auto"/>
                <w:kern w:val="0"/>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noWrap w:val="0"/>
            <w:vAlign w:val="top"/>
          </w:tcPr>
          <w:p w14:paraId="7D7F7000">
            <w:pPr>
              <w:spacing w:line="560" w:lineRule="exact"/>
              <w:rPr>
                <w:rFonts w:ascii="宋体"/>
                <w:snapToGrid w:val="0"/>
                <w:color w:val="auto"/>
                <w:kern w:val="0"/>
                <w:sz w:val="24"/>
                <w:szCs w:val="2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top"/>
          </w:tcPr>
          <w:p w14:paraId="5E5E6546">
            <w:pPr>
              <w:spacing w:line="560" w:lineRule="exact"/>
              <w:rPr>
                <w:rFonts w:ascii="宋体"/>
                <w:snapToGrid w:val="0"/>
                <w:color w:val="auto"/>
                <w:kern w:val="0"/>
                <w:sz w:val="24"/>
                <w:szCs w:val="24"/>
                <w:highlight w:val="none"/>
              </w:rPr>
            </w:pPr>
          </w:p>
        </w:tc>
      </w:tr>
      <w:tr w14:paraId="731CA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417CA0FC">
            <w:pPr>
              <w:spacing w:line="560" w:lineRule="exact"/>
              <w:rPr>
                <w:rFonts w:ascii="宋体"/>
                <w:snapToGrid w:val="0"/>
                <w:color w:val="auto"/>
                <w:kern w:val="0"/>
                <w:sz w:val="24"/>
                <w:szCs w:val="24"/>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019DB687">
            <w:pPr>
              <w:spacing w:line="560" w:lineRule="exact"/>
              <w:rPr>
                <w:rFonts w:ascii="宋体"/>
                <w:snapToGrid w:val="0"/>
                <w:color w:val="auto"/>
                <w:kern w:val="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top"/>
          </w:tcPr>
          <w:p w14:paraId="68820B7C">
            <w:pPr>
              <w:spacing w:line="560" w:lineRule="exact"/>
              <w:rPr>
                <w:rFonts w:ascii="宋体"/>
                <w:snapToGrid w:val="0"/>
                <w:color w:val="auto"/>
                <w:kern w:val="0"/>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top"/>
          </w:tcPr>
          <w:p w14:paraId="78BFE414">
            <w:pPr>
              <w:spacing w:line="560" w:lineRule="exact"/>
              <w:rPr>
                <w:rFonts w:ascii="宋体"/>
                <w:snapToGrid w:val="0"/>
                <w:color w:val="auto"/>
                <w:kern w:val="0"/>
                <w:sz w:val="24"/>
                <w:szCs w:val="24"/>
                <w:highlight w:val="none"/>
              </w:rPr>
            </w:pPr>
          </w:p>
        </w:tc>
        <w:tc>
          <w:tcPr>
            <w:tcW w:w="1890" w:type="dxa"/>
            <w:tcBorders>
              <w:top w:val="single" w:color="auto" w:sz="4" w:space="0"/>
              <w:left w:val="single" w:color="auto" w:sz="4" w:space="0"/>
              <w:bottom w:val="single" w:color="auto" w:sz="4" w:space="0"/>
              <w:right w:val="single" w:color="auto" w:sz="4" w:space="0"/>
            </w:tcBorders>
            <w:noWrap w:val="0"/>
            <w:vAlign w:val="top"/>
          </w:tcPr>
          <w:p w14:paraId="57D59B82">
            <w:pPr>
              <w:spacing w:line="560" w:lineRule="exact"/>
              <w:rPr>
                <w:rFonts w:ascii="宋体"/>
                <w:snapToGrid w:val="0"/>
                <w:color w:val="auto"/>
                <w:kern w:val="0"/>
                <w:sz w:val="24"/>
                <w:szCs w:val="24"/>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top"/>
          </w:tcPr>
          <w:p w14:paraId="41374C6E">
            <w:pPr>
              <w:spacing w:line="560" w:lineRule="exact"/>
              <w:rPr>
                <w:rFonts w:ascii="宋体"/>
                <w:snapToGrid w:val="0"/>
                <w:color w:val="auto"/>
                <w:kern w:val="0"/>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noWrap w:val="0"/>
            <w:vAlign w:val="top"/>
          </w:tcPr>
          <w:p w14:paraId="07196B54">
            <w:pPr>
              <w:spacing w:line="560" w:lineRule="exact"/>
              <w:rPr>
                <w:rFonts w:ascii="宋体"/>
                <w:snapToGrid w:val="0"/>
                <w:color w:val="auto"/>
                <w:kern w:val="0"/>
                <w:sz w:val="24"/>
                <w:szCs w:val="2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top"/>
          </w:tcPr>
          <w:p w14:paraId="33EA987F">
            <w:pPr>
              <w:spacing w:line="560" w:lineRule="exact"/>
              <w:rPr>
                <w:rFonts w:ascii="宋体"/>
                <w:snapToGrid w:val="0"/>
                <w:color w:val="auto"/>
                <w:kern w:val="0"/>
                <w:sz w:val="24"/>
                <w:szCs w:val="24"/>
                <w:highlight w:val="none"/>
              </w:rPr>
            </w:pPr>
          </w:p>
        </w:tc>
      </w:tr>
      <w:tr w14:paraId="2ABD1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60A78AC7">
            <w:pPr>
              <w:spacing w:line="560" w:lineRule="exact"/>
              <w:rPr>
                <w:rFonts w:ascii="宋体"/>
                <w:snapToGrid w:val="0"/>
                <w:color w:val="auto"/>
                <w:kern w:val="0"/>
                <w:sz w:val="24"/>
                <w:szCs w:val="24"/>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4DD6F471">
            <w:pPr>
              <w:spacing w:line="560" w:lineRule="exact"/>
              <w:rPr>
                <w:rFonts w:ascii="宋体"/>
                <w:snapToGrid w:val="0"/>
                <w:color w:val="auto"/>
                <w:kern w:val="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top"/>
          </w:tcPr>
          <w:p w14:paraId="3FA3BAF1">
            <w:pPr>
              <w:spacing w:line="560" w:lineRule="exact"/>
              <w:rPr>
                <w:rFonts w:ascii="宋体"/>
                <w:snapToGrid w:val="0"/>
                <w:color w:val="auto"/>
                <w:kern w:val="0"/>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top"/>
          </w:tcPr>
          <w:p w14:paraId="08C65ED2">
            <w:pPr>
              <w:spacing w:line="560" w:lineRule="exact"/>
              <w:rPr>
                <w:rFonts w:ascii="宋体"/>
                <w:snapToGrid w:val="0"/>
                <w:color w:val="auto"/>
                <w:kern w:val="0"/>
                <w:sz w:val="24"/>
                <w:szCs w:val="24"/>
                <w:highlight w:val="none"/>
              </w:rPr>
            </w:pPr>
          </w:p>
        </w:tc>
        <w:tc>
          <w:tcPr>
            <w:tcW w:w="1890" w:type="dxa"/>
            <w:tcBorders>
              <w:top w:val="single" w:color="auto" w:sz="4" w:space="0"/>
              <w:left w:val="single" w:color="auto" w:sz="4" w:space="0"/>
              <w:bottom w:val="single" w:color="auto" w:sz="4" w:space="0"/>
              <w:right w:val="single" w:color="auto" w:sz="4" w:space="0"/>
            </w:tcBorders>
            <w:noWrap w:val="0"/>
            <w:vAlign w:val="top"/>
          </w:tcPr>
          <w:p w14:paraId="137C1713">
            <w:pPr>
              <w:spacing w:line="560" w:lineRule="exact"/>
              <w:rPr>
                <w:rFonts w:ascii="宋体"/>
                <w:snapToGrid w:val="0"/>
                <w:color w:val="auto"/>
                <w:kern w:val="0"/>
                <w:sz w:val="24"/>
                <w:szCs w:val="24"/>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top"/>
          </w:tcPr>
          <w:p w14:paraId="6EF316C6">
            <w:pPr>
              <w:spacing w:line="560" w:lineRule="exact"/>
              <w:rPr>
                <w:rFonts w:ascii="宋体"/>
                <w:snapToGrid w:val="0"/>
                <w:color w:val="auto"/>
                <w:kern w:val="0"/>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noWrap w:val="0"/>
            <w:vAlign w:val="top"/>
          </w:tcPr>
          <w:p w14:paraId="05831FA1">
            <w:pPr>
              <w:spacing w:line="560" w:lineRule="exact"/>
              <w:rPr>
                <w:rFonts w:ascii="宋体"/>
                <w:snapToGrid w:val="0"/>
                <w:color w:val="auto"/>
                <w:kern w:val="0"/>
                <w:sz w:val="24"/>
                <w:szCs w:val="2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top"/>
          </w:tcPr>
          <w:p w14:paraId="289F9AF3">
            <w:pPr>
              <w:spacing w:line="560" w:lineRule="exact"/>
              <w:rPr>
                <w:rFonts w:ascii="宋体"/>
                <w:snapToGrid w:val="0"/>
                <w:color w:val="auto"/>
                <w:kern w:val="0"/>
                <w:sz w:val="24"/>
                <w:szCs w:val="24"/>
                <w:highlight w:val="none"/>
              </w:rPr>
            </w:pPr>
          </w:p>
        </w:tc>
      </w:tr>
      <w:tr w14:paraId="34B7F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25AECFCC">
            <w:pPr>
              <w:spacing w:line="560" w:lineRule="exact"/>
              <w:rPr>
                <w:rFonts w:ascii="宋体"/>
                <w:snapToGrid w:val="0"/>
                <w:color w:val="auto"/>
                <w:kern w:val="0"/>
                <w:sz w:val="24"/>
                <w:szCs w:val="24"/>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7713E5E2">
            <w:pPr>
              <w:spacing w:line="560" w:lineRule="exact"/>
              <w:rPr>
                <w:rFonts w:ascii="宋体"/>
                <w:snapToGrid w:val="0"/>
                <w:color w:val="auto"/>
                <w:kern w:val="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top"/>
          </w:tcPr>
          <w:p w14:paraId="5302746F">
            <w:pPr>
              <w:spacing w:line="560" w:lineRule="exact"/>
              <w:rPr>
                <w:rFonts w:ascii="宋体"/>
                <w:snapToGrid w:val="0"/>
                <w:color w:val="auto"/>
                <w:kern w:val="0"/>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top"/>
          </w:tcPr>
          <w:p w14:paraId="3E2ABBE7">
            <w:pPr>
              <w:spacing w:line="560" w:lineRule="exact"/>
              <w:rPr>
                <w:rFonts w:ascii="宋体"/>
                <w:snapToGrid w:val="0"/>
                <w:color w:val="auto"/>
                <w:kern w:val="0"/>
                <w:sz w:val="24"/>
                <w:szCs w:val="24"/>
                <w:highlight w:val="none"/>
              </w:rPr>
            </w:pPr>
          </w:p>
        </w:tc>
        <w:tc>
          <w:tcPr>
            <w:tcW w:w="1890" w:type="dxa"/>
            <w:tcBorders>
              <w:top w:val="single" w:color="auto" w:sz="4" w:space="0"/>
              <w:left w:val="single" w:color="auto" w:sz="4" w:space="0"/>
              <w:bottom w:val="single" w:color="auto" w:sz="4" w:space="0"/>
              <w:right w:val="single" w:color="auto" w:sz="4" w:space="0"/>
            </w:tcBorders>
            <w:noWrap w:val="0"/>
            <w:vAlign w:val="top"/>
          </w:tcPr>
          <w:p w14:paraId="2981B80D">
            <w:pPr>
              <w:spacing w:line="560" w:lineRule="exact"/>
              <w:rPr>
                <w:rFonts w:ascii="宋体"/>
                <w:snapToGrid w:val="0"/>
                <w:color w:val="auto"/>
                <w:kern w:val="0"/>
                <w:sz w:val="24"/>
                <w:szCs w:val="24"/>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top"/>
          </w:tcPr>
          <w:p w14:paraId="085CB453">
            <w:pPr>
              <w:spacing w:line="560" w:lineRule="exact"/>
              <w:rPr>
                <w:rFonts w:ascii="宋体"/>
                <w:snapToGrid w:val="0"/>
                <w:color w:val="auto"/>
                <w:kern w:val="0"/>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noWrap w:val="0"/>
            <w:vAlign w:val="top"/>
          </w:tcPr>
          <w:p w14:paraId="3CF28B10">
            <w:pPr>
              <w:spacing w:line="560" w:lineRule="exact"/>
              <w:rPr>
                <w:rFonts w:ascii="宋体"/>
                <w:snapToGrid w:val="0"/>
                <w:color w:val="auto"/>
                <w:kern w:val="0"/>
                <w:sz w:val="24"/>
                <w:szCs w:val="24"/>
                <w:highlight w:val="none"/>
              </w:rPr>
            </w:pPr>
          </w:p>
        </w:tc>
        <w:tc>
          <w:tcPr>
            <w:tcW w:w="757" w:type="dxa"/>
            <w:tcBorders>
              <w:top w:val="single" w:color="auto" w:sz="4" w:space="0"/>
              <w:left w:val="single" w:color="auto" w:sz="4" w:space="0"/>
              <w:bottom w:val="single" w:color="auto" w:sz="4" w:space="0"/>
              <w:right w:val="single" w:color="auto" w:sz="4" w:space="0"/>
            </w:tcBorders>
            <w:noWrap w:val="0"/>
            <w:vAlign w:val="top"/>
          </w:tcPr>
          <w:p w14:paraId="19CD9531">
            <w:pPr>
              <w:spacing w:line="560" w:lineRule="exact"/>
              <w:rPr>
                <w:rFonts w:ascii="宋体"/>
                <w:snapToGrid w:val="0"/>
                <w:color w:val="auto"/>
                <w:kern w:val="0"/>
                <w:sz w:val="24"/>
                <w:szCs w:val="24"/>
                <w:highlight w:val="none"/>
              </w:rPr>
            </w:pPr>
          </w:p>
        </w:tc>
      </w:tr>
    </w:tbl>
    <w:p w14:paraId="421159A4">
      <w:pPr>
        <w:spacing w:line="560" w:lineRule="exact"/>
        <w:ind w:right="384" w:rightChars="183"/>
        <w:rPr>
          <w:rFonts w:hint="eastAsia"/>
          <w:snapToGrid w:val="0"/>
          <w:color w:val="auto"/>
          <w:kern w:val="0"/>
          <w:sz w:val="24"/>
          <w:szCs w:val="24"/>
          <w:highlight w:val="none"/>
        </w:rPr>
      </w:pPr>
      <w:r>
        <w:rPr>
          <w:rFonts w:hint="eastAsia"/>
          <w:snapToGrid w:val="0"/>
          <w:color w:val="auto"/>
          <w:kern w:val="0"/>
          <w:sz w:val="24"/>
          <w:szCs w:val="24"/>
          <w:highlight w:val="none"/>
        </w:rPr>
        <w:t>注：附人员相关证书（若有）等证明文件。</w:t>
      </w:r>
    </w:p>
    <w:p w14:paraId="3E2DA292">
      <w:pPr>
        <w:autoSpaceDE w:val="0"/>
        <w:autoSpaceDN w:val="0"/>
        <w:spacing w:line="360" w:lineRule="auto"/>
        <w:jc w:val="left"/>
        <w:rPr>
          <w:rFonts w:hint="eastAsia" w:ascii="宋体" w:hAnsi="宋体" w:cs="宋体"/>
          <w:color w:val="auto"/>
          <w:kern w:val="0"/>
          <w:sz w:val="24"/>
          <w:szCs w:val="24"/>
          <w:highlight w:val="none"/>
        </w:rPr>
      </w:pPr>
    </w:p>
    <w:p w14:paraId="19D44EFA">
      <w:pPr>
        <w:spacing w:line="460" w:lineRule="exact"/>
        <w:rPr>
          <w:rFonts w:hint="eastAsia" w:ascii="宋体" w:hAnsi="宋体"/>
          <w:color w:val="auto"/>
          <w:sz w:val="24"/>
          <w:highlight w:val="none"/>
        </w:rPr>
      </w:pPr>
    </w:p>
    <w:p w14:paraId="319A72F3">
      <w:pPr>
        <w:spacing w:line="500" w:lineRule="exact"/>
        <w:jc w:val="left"/>
        <w:rPr>
          <w:rFonts w:ascii="宋体" w:hAnsi="宋体"/>
          <w:color w:val="auto"/>
          <w:sz w:val="24"/>
          <w:highlight w:val="none"/>
          <w:u w:val="single"/>
        </w:rPr>
      </w:pPr>
      <w:r>
        <w:rPr>
          <w:rFonts w:hint="eastAsia" w:ascii="宋体" w:hAnsi="宋体"/>
          <w:bCs/>
          <w:color w:val="auto"/>
          <w:sz w:val="24"/>
          <w:highlight w:val="none"/>
        </w:rPr>
        <w:t>投标人(电子签章)</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p>
    <w:p w14:paraId="6FEA1906">
      <w:pPr>
        <w:spacing w:line="500" w:lineRule="exact"/>
        <w:jc w:val="left"/>
        <w:rPr>
          <w:rFonts w:ascii="宋体" w:hAnsi="宋体"/>
          <w:color w:val="auto"/>
          <w:sz w:val="24"/>
          <w:szCs w:val="20"/>
          <w:highlight w:val="none"/>
          <w:u w:val="single"/>
        </w:rPr>
      </w:pPr>
      <w:r>
        <w:rPr>
          <w:rFonts w:hint="eastAsia" w:ascii="宋体" w:hAnsi="宋体"/>
          <w:bCs/>
          <w:color w:val="auto"/>
          <w:sz w:val="24"/>
          <w:szCs w:val="20"/>
          <w:highlight w:val="none"/>
        </w:rPr>
        <w:t>法定代表人(电子签章或电子签名)</w:t>
      </w:r>
      <w:r>
        <w:rPr>
          <w:rFonts w:hint="eastAsia" w:ascii="宋体" w:hAnsi="宋体"/>
          <w:color w:val="auto"/>
          <w:sz w:val="24"/>
          <w:szCs w:val="20"/>
          <w:highlight w:val="none"/>
        </w:rPr>
        <w:t xml:space="preserve">： </w:t>
      </w:r>
      <w:r>
        <w:rPr>
          <w:rFonts w:hint="eastAsia" w:ascii="宋体" w:hAnsi="宋体"/>
          <w:color w:val="auto"/>
          <w:sz w:val="24"/>
          <w:szCs w:val="20"/>
          <w:highlight w:val="none"/>
          <w:u w:val="single"/>
        </w:rPr>
        <w:t xml:space="preserve">                  </w:t>
      </w:r>
    </w:p>
    <w:p w14:paraId="16242804">
      <w:pPr>
        <w:spacing w:line="480" w:lineRule="auto"/>
        <w:jc w:val="left"/>
        <w:rPr>
          <w:rFonts w:ascii="宋体" w:hAnsi="宋体"/>
          <w:b/>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72BCC001">
      <w:pPr>
        <w:widowControl/>
        <w:spacing w:line="460" w:lineRule="exact"/>
        <w:jc w:val="left"/>
        <w:rPr>
          <w:rFonts w:hint="eastAsia" w:ascii="宋体" w:hAnsi="宋体" w:eastAsia="宋体" w:cs="宋体"/>
          <w:b/>
          <w:bCs/>
          <w:color w:val="auto"/>
          <w:kern w:val="0"/>
          <w:sz w:val="30"/>
          <w:szCs w:val="30"/>
          <w:highlight w:val="none"/>
          <w:lang w:val="en-US" w:eastAsia="zh-CN"/>
        </w:rPr>
      </w:pPr>
      <w:r>
        <w:rPr>
          <w:rFonts w:hint="eastAsia" w:ascii="宋体" w:hAnsi="宋体"/>
          <w:color w:val="auto"/>
          <w:sz w:val="24"/>
          <w:highlight w:val="none"/>
          <w:u w:val="single"/>
        </w:rPr>
        <w:br w:type="page"/>
      </w:r>
    </w:p>
    <w:p w14:paraId="0AB341D0">
      <w:pPr>
        <w:bidi w:val="0"/>
        <w:jc w:val="center"/>
        <w:rPr>
          <w:rFonts w:hint="eastAsia"/>
          <w:b/>
          <w:bCs/>
          <w:color w:val="auto"/>
          <w:sz w:val="28"/>
          <w:szCs w:val="28"/>
          <w:highlight w:val="none"/>
        </w:rPr>
      </w:pPr>
      <w:bookmarkStart w:id="194" w:name="_Toc31242"/>
      <w:r>
        <w:rPr>
          <w:rFonts w:hint="eastAsia"/>
          <w:b/>
          <w:bCs/>
          <w:color w:val="auto"/>
          <w:sz w:val="28"/>
          <w:szCs w:val="28"/>
          <w:highlight w:val="none"/>
        </w:rPr>
        <w:t>（二）类似业绩情况表</w:t>
      </w:r>
    </w:p>
    <w:p w14:paraId="4D445EBC">
      <w:pPr>
        <w:widowControl w:val="0"/>
        <w:autoSpaceDE w:val="0"/>
        <w:autoSpaceDN w:val="0"/>
        <w:adjustRightInd w:val="0"/>
        <w:spacing w:line="360" w:lineRule="atLeast"/>
        <w:ind w:firstLine="420"/>
        <w:jc w:val="both"/>
        <w:textAlignment w:val="baseline"/>
        <w:rPr>
          <w:rFonts w:hint="eastAsia" w:ascii="宋体" w:hAnsi="Times New Roman" w:eastAsia="宋体" w:cs="Times New Roman"/>
          <w:color w:val="auto"/>
          <w:kern w:val="0"/>
          <w:sz w:val="24"/>
          <w:szCs w:val="20"/>
          <w:highlight w:val="none"/>
          <w:lang w:val="en-US" w:eastAsia="zh-CN" w:bidi="ar-SA"/>
        </w:rPr>
      </w:pPr>
    </w:p>
    <w:tbl>
      <w:tblPr>
        <w:tblStyle w:val="27"/>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1757"/>
        <w:gridCol w:w="2414"/>
        <w:gridCol w:w="1476"/>
        <w:gridCol w:w="1341"/>
        <w:gridCol w:w="938"/>
        <w:gridCol w:w="939"/>
      </w:tblGrid>
      <w:tr w14:paraId="4FA8E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5807F6A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1CAC8DA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2414" w:type="dxa"/>
            <w:tcBorders>
              <w:top w:val="single" w:color="auto" w:sz="4" w:space="0"/>
              <w:left w:val="single" w:color="auto" w:sz="4" w:space="0"/>
              <w:bottom w:val="single" w:color="auto" w:sz="4" w:space="0"/>
              <w:right w:val="single" w:color="auto" w:sz="4" w:space="0"/>
            </w:tcBorders>
            <w:noWrap w:val="0"/>
            <w:vAlign w:val="center"/>
          </w:tcPr>
          <w:p w14:paraId="153955B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委托单位</w:t>
            </w:r>
          </w:p>
        </w:tc>
        <w:tc>
          <w:tcPr>
            <w:tcW w:w="1476" w:type="dxa"/>
            <w:tcBorders>
              <w:top w:val="single" w:color="auto" w:sz="4" w:space="0"/>
              <w:left w:val="single" w:color="auto" w:sz="4" w:space="0"/>
              <w:bottom w:val="single" w:color="auto" w:sz="4" w:space="0"/>
              <w:right w:val="single" w:color="auto" w:sz="4" w:space="0"/>
            </w:tcBorders>
            <w:noWrap w:val="0"/>
            <w:vAlign w:val="top"/>
          </w:tcPr>
          <w:p w14:paraId="72B56FC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委托（合同签订）时间</w:t>
            </w:r>
          </w:p>
        </w:tc>
        <w:tc>
          <w:tcPr>
            <w:tcW w:w="1341" w:type="dxa"/>
            <w:tcBorders>
              <w:top w:val="single" w:color="auto" w:sz="4" w:space="0"/>
              <w:left w:val="single" w:color="auto" w:sz="4" w:space="0"/>
              <w:bottom w:val="single" w:color="auto" w:sz="4" w:space="0"/>
              <w:right w:val="single" w:color="auto" w:sz="4" w:space="0"/>
            </w:tcBorders>
            <w:noWrap w:val="0"/>
            <w:vAlign w:val="center"/>
          </w:tcPr>
          <w:p w14:paraId="63D9174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合同（服务）期限</w:t>
            </w:r>
          </w:p>
        </w:tc>
        <w:tc>
          <w:tcPr>
            <w:tcW w:w="938" w:type="dxa"/>
            <w:tcBorders>
              <w:top w:val="single" w:color="auto" w:sz="4" w:space="0"/>
              <w:left w:val="single" w:color="auto" w:sz="4" w:space="0"/>
              <w:bottom w:val="single" w:color="auto" w:sz="4" w:space="0"/>
              <w:right w:val="single" w:color="auto" w:sz="4" w:space="0"/>
            </w:tcBorders>
            <w:noWrap w:val="0"/>
            <w:vAlign w:val="center"/>
          </w:tcPr>
          <w:p w14:paraId="34B88294">
            <w:pPr>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合同金额</w:t>
            </w:r>
          </w:p>
        </w:tc>
        <w:tc>
          <w:tcPr>
            <w:tcW w:w="939" w:type="dxa"/>
            <w:tcBorders>
              <w:top w:val="single" w:color="auto" w:sz="4" w:space="0"/>
              <w:left w:val="single" w:color="auto" w:sz="4" w:space="0"/>
              <w:bottom w:val="single" w:color="auto" w:sz="4" w:space="0"/>
              <w:right w:val="single" w:color="auto" w:sz="4" w:space="0"/>
            </w:tcBorders>
            <w:noWrap w:val="0"/>
            <w:vAlign w:val="center"/>
          </w:tcPr>
          <w:p w14:paraId="38DFDED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04A40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38B34A81">
            <w:pPr>
              <w:spacing w:line="360" w:lineRule="auto"/>
              <w:rPr>
                <w:rFonts w:hint="eastAsia" w:ascii="宋体" w:hAnsi="宋体" w:cs="宋体"/>
                <w:color w:val="auto"/>
                <w:szCs w:val="24"/>
                <w:highlight w:val="none"/>
              </w:rPr>
            </w:pPr>
          </w:p>
        </w:tc>
        <w:tc>
          <w:tcPr>
            <w:tcW w:w="1757" w:type="dxa"/>
            <w:tcBorders>
              <w:top w:val="single" w:color="auto" w:sz="4" w:space="0"/>
              <w:left w:val="single" w:color="auto" w:sz="4" w:space="0"/>
              <w:bottom w:val="single" w:color="auto" w:sz="4" w:space="0"/>
              <w:right w:val="single" w:color="auto" w:sz="4" w:space="0"/>
            </w:tcBorders>
            <w:noWrap w:val="0"/>
            <w:vAlign w:val="center"/>
          </w:tcPr>
          <w:p w14:paraId="7836D79D">
            <w:pPr>
              <w:spacing w:line="360" w:lineRule="auto"/>
              <w:jc w:val="center"/>
              <w:rPr>
                <w:rFonts w:hint="eastAsia" w:ascii="宋体" w:hAnsi="宋体" w:cs="宋体"/>
                <w:color w:val="auto"/>
                <w:szCs w:val="21"/>
                <w:highlight w:val="none"/>
              </w:rPr>
            </w:pPr>
          </w:p>
        </w:tc>
        <w:tc>
          <w:tcPr>
            <w:tcW w:w="2414" w:type="dxa"/>
            <w:tcBorders>
              <w:top w:val="single" w:color="auto" w:sz="4" w:space="0"/>
              <w:left w:val="single" w:color="auto" w:sz="4" w:space="0"/>
              <w:bottom w:val="single" w:color="auto" w:sz="4" w:space="0"/>
              <w:right w:val="single" w:color="auto" w:sz="4" w:space="0"/>
            </w:tcBorders>
            <w:noWrap w:val="0"/>
            <w:vAlign w:val="center"/>
          </w:tcPr>
          <w:p w14:paraId="38300BFE">
            <w:pPr>
              <w:spacing w:line="360" w:lineRule="auto"/>
              <w:jc w:val="center"/>
              <w:rPr>
                <w:rFonts w:hint="eastAsia" w:ascii="宋体" w:hAnsi="宋体" w:cs="宋体"/>
                <w:color w:val="auto"/>
                <w:szCs w:val="21"/>
                <w:highlight w:val="none"/>
              </w:rPr>
            </w:pPr>
          </w:p>
        </w:tc>
        <w:tc>
          <w:tcPr>
            <w:tcW w:w="1476" w:type="dxa"/>
            <w:tcBorders>
              <w:top w:val="single" w:color="auto" w:sz="4" w:space="0"/>
              <w:left w:val="single" w:color="auto" w:sz="4" w:space="0"/>
              <w:bottom w:val="single" w:color="auto" w:sz="4" w:space="0"/>
              <w:right w:val="single" w:color="auto" w:sz="4" w:space="0"/>
            </w:tcBorders>
            <w:noWrap w:val="0"/>
            <w:vAlign w:val="top"/>
          </w:tcPr>
          <w:p w14:paraId="5575CC7F">
            <w:pPr>
              <w:spacing w:line="360" w:lineRule="auto"/>
              <w:rPr>
                <w:rFonts w:hint="eastAsia" w:ascii="宋体" w:hAnsi="宋体" w:cs="宋体"/>
                <w:color w:val="auto"/>
                <w:szCs w:val="21"/>
                <w:highlight w:val="none"/>
              </w:rPr>
            </w:pPr>
          </w:p>
        </w:tc>
        <w:tc>
          <w:tcPr>
            <w:tcW w:w="1341" w:type="dxa"/>
            <w:tcBorders>
              <w:top w:val="single" w:color="auto" w:sz="4" w:space="0"/>
              <w:left w:val="single" w:color="auto" w:sz="4" w:space="0"/>
              <w:bottom w:val="single" w:color="auto" w:sz="4" w:space="0"/>
              <w:right w:val="single" w:color="auto" w:sz="4" w:space="0"/>
            </w:tcBorders>
            <w:noWrap w:val="0"/>
            <w:vAlign w:val="top"/>
          </w:tcPr>
          <w:p w14:paraId="573B53B5">
            <w:pPr>
              <w:spacing w:line="360" w:lineRule="auto"/>
              <w:rPr>
                <w:rFonts w:hint="eastAsia" w:ascii="宋体" w:hAnsi="宋体" w:cs="宋体"/>
                <w:color w:val="auto"/>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65962008">
            <w:pPr>
              <w:spacing w:line="360" w:lineRule="auto"/>
              <w:rPr>
                <w:rFonts w:hint="eastAsia" w:ascii="宋体" w:hAnsi="宋体" w:cs="宋体"/>
                <w:color w:val="auto"/>
                <w:szCs w:val="21"/>
                <w:highlight w:val="none"/>
              </w:rPr>
            </w:pPr>
          </w:p>
        </w:tc>
        <w:tc>
          <w:tcPr>
            <w:tcW w:w="939" w:type="dxa"/>
            <w:tcBorders>
              <w:top w:val="single" w:color="auto" w:sz="4" w:space="0"/>
              <w:left w:val="single" w:color="auto" w:sz="4" w:space="0"/>
              <w:bottom w:val="single" w:color="auto" w:sz="4" w:space="0"/>
              <w:right w:val="single" w:color="auto" w:sz="4" w:space="0"/>
            </w:tcBorders>
            <w:noWrap w:val="0"/>
            <w:vAlign w:val="center"/>
          </w:tcPr>
          <w:p w14:paraId="1AD30C68">
            <w:pPr>
              <w:spacing w:line="360" w:lineRule="auto"/>
              <w:jc w:val="center"/>
              <w:rPr>
                <w:rFonts w:hint="eastAsia" w:ascii="宋体" w:hAnsi="宋体" w:cs="宋体"/>
                <w:color w:val="auto"/>
                <w:szCs w:val="21"/>
                <w:highlight w:val="none"/>
              </w:rPr>
            </w:pPr>
          </w:p>
        </w:tc>
      </w:tr>
      <w:tr w14:paraId="74683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14148986">
            <w:pPr>
              <w:spacing w:line="360" w:lineRule="auto"/>
              <w:rPr>
                <w:rFonts w:hint="eastAsia" w:ascii="宋体" w:hAnsi="宋体" w:cs="宋体"/>
                <w:color w:val="auto"/>
                <w:szCs w:val="24"/>
                <w:highlight w:val="none"/>
              </w:rPr>
            </w:pPr>
          </w:p>
        </w:tc>
        <w:tc>
          <w:tcPr>
            <w:tcW w:w="1757" w:type="dxa"/>
            <w:tcBorders>
              <w:top w:val="single" w:color="auto" w:sz="4" w:space="0"/>
              <w:left w:val="single" w:color="auto" w:sz="4" w:space="0"/>
              <w:bottom w:val="single" w:color="auto" w:sz="4" w:space="0"/>
              <w:right w:val="single" w:color="auto" w:sz="4" w:space="0"/>
            </w:tcBorders>
            <w:noWrap w:val="0"/>
            <w:vAlign w:val="center"/>
          </w:tcPr>
          <w:p w14:paraId="7ECAC2EA">
            <w:pPr>
              <w:spacing w:line="360" w:lineRule="auto"/>
              <w:jc w:val="center"/>
              <w:rPr>
                <w:rFonts w:hint="eastAsia" w:ascii="宋体" w:hAnsi="宋体" w:cs="宋体"/>
                <w:color w:val="auto"/>
                <w:szCs w:val="21"/>
                <w:highlight w:val="none"/>
              </w:rPr>
            </w:pPr>
          </w:p>
        </w:tc>
        <w:tc>
          <w:tcPr>
            <w:tcW w:w="2414" w:type="dxa"/>
            <w:tcBorders>
              <w:top w:val="single" w:color="auto" w:sz="4" w:space="0"/>
              <w:left w:val="single" w:color="auto" w:sz="4" w:space="0"/>
              <w:bottom w:val="single" w:color="auto" w:sz="4" w:space="0"/>
              <w:right w:val="single" w:color="auto" w:sz="4" w:space="0"/>
            </w:tcBorders>
            <w:noWrap w:val="0"/>
            <w:vAlign w:val="center"/>
          </w:tcPr>
          <w:p w14:paraId="1F6F1C37">
            <w:pPr>
              <w:spacing w:line="360" w:lineRule="auto"/>
              <w:jc w:val="center"/>
              <w:rPr>
                <w:rFonts w:hint="eastAsia" w:ascii="宋体" w:hAnsi="宋体" w:cs="宋体"/>
                <w:color w:val="auto"/>
                <w:szCs w:val="21"/>
                <w:highlight w:val="none"/>
              </w:rPr>
            </w:pPr>
          </w:p>
        </w:tc>
        <w:tc>
          <w:tcPr>
            <w:tcW w:w="1476" w:type="dxa"/>
            <w:tcBorders>
              <w:top w:val="single" w:color="auto" w:sz="4" w:space="0"/>
              <w:left w:val="single" w:color="auto" w:sz="4" w:space="0"/>
              <w:bottom w:val="single" w:color="auto" w:sz="4" w:space="0"/>
              <w:right w:val="single" w:color="auto" w:sz="4" w:space="0"/>
            </w:tcBorders>
            <w:noWrap w:val="0"/>
            <w:vAlign w:val="top"/>
          </w:tcPr>
          <w:p w14:paraId="13E7DD86">
            <w:pPr>
              <w:spacing w:line="360" w:lineRule="auto"/>
              <w:rPr>
                <w:rFonts w:hint="eastAsia" w:ascii="宋体" w:hAnsi="宋体" w:cs="宋体"/>
                <w:color w:val="auto"/>
                <w:szCs w:val="21"/>
                <w:highlight w:val="none"/>
              </w:rPr>
            </w:pPr>
          </w:p>
        </w:tc>
        <w:tc>
          <w:tcPr>
            <w:tcW w:w="1341" w:type="dxa"/>
            <w:tcBorders>
              <w:top w:val="single" w:color="auto" w:sz="4" w:space="0"/>
              <w:left w:val="single" w:color="auto" w:sz="4" w:space="0"/>
              <w:bottom w:val="single" w:color="auto" w:sz="4" w:space="0"/>
              <w:right w:val="single" w:color="auto" w:sz="4" w:space="0"/>
            </w:tcBorders>
            <w:noWrap w:val="0"/>
            <w:vAlign w:val="top"/>
          </w:tcPr>
          <w:p w14:paraId="438F16CF">
            <w:pPr>
              <w:spacing w:line="360" w:lineRule="auto"/>
              <w:rPr>
                <w:rFonts w:hint="eastAsia" w:ascii="宋体" w:hAnsi="宋体" w:cs="宋体"/>
                <w:color w:val="auto"/>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0E21F86E">
            <w:pPr>
              <w:spacing w:line="360" w:lineRule="auto"/>
              <w:rPr>
                <w:rFonts w:hint="eastAsia" w:ascii="宋体" w:hAnsi="宋体" w:cs="宋体"/>
                <w:color w:val="auto"/>
                <w:szCs w:val="21"/>
                <w:highlight w:val="none"/>
              </w:rPr>
            </w:pPr>
          </w:p>
        </w:tc>
        <w:tc>
          <w:tcPr>
            <w:tcW w:w="939" w:type="dxa"/>
            <w:tcBorders>
              <w:top w:val="single" w:color="auto" w:sz="4" w:space="0"/>
              <w:left w:val="single" w:color="auto" w:sz="4" w:space="0"/>
              <w:bottom w:val="single" w:color="auto" w:sz="4" w:space="0"/>
              <w:right w:val="single" w:color="auto" w:sz="4" w:space="0"/>
            </w:tcBorders>
            <w:noWrap w:val="0"/>
            <w:vAlign w:val="center"/>
          </w:tcPr>
          <w:p w14:paraId="00E3CDD8">
            <w:pPr>
              <w:spacing w:line="360" w:lineRule="auto"/>
              <w:jc w:val="center"/>
              <w:rPr>
                <w:rFonts w:hint="eastAsia" w:ascii="宋体" w:hAnsi="宋体" w:cs="宋体"/>
                <w:color w:val="auto"/>
                <w:szCs w:val="21"/>
                <w:highlight w:val="none"/>
              </w:rPr>
            </w:pPr>
          </w:p>
        </w:tc>
      </w:tr>
      <w:tr w14:paraId="6D837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3B4DB164">
            <w:pPr>
              <w:spacing w:line="360" w:lineRule="auto"/>
              <w:rPr>
                <w:rFonts w:hint="eastAsia" w:ascii="宋体" w:hAnsi="宋体" w:cs="宋体"/>
                <w:color w:val="auto"/>
                <w:szCs w:val="24"/>
                <w:highlight w:val="none"/>
              </w:rPr>
            </w:pPr>
          </w:p>
        </w:tc>
        <w:tc>
          <w:tcPr>
            <w:tcW w:w="1757" w:type="dxa"/>
            <w:tcBorders>
              <w:top w:val="single" w:color="auto" w:sz="4" w:space="0"/>
              <w:left w:val="single" w:color="auto" w:sz="4" w:space="0"/>
              <w:bottom w:val="single" w:color="auto" w:sz="4" w:space="0"/>
              <w:right w:val="single" w:color="auto" w:sz="4" w:space="0"/>
            </w:tcBorders>
            <w:noWrap w:val="0"/>
            <w:vAlign w:val="center"/>
          </w:tcPr>
          <w:p w14:paraId="3E502E26">
            <w:pPr>
              <w:spacing w:line="360" w:lineRule="auto"/>
              <w:jc w:val="center"/>
              <w:rPr>
                <w:rFonts w:hint="eastAsia" w:ascii="宋体" w:hAnsi="宋体" w:cs="宋体"/>
                <w:color w:val="auto"/>
                <w:szCs w:val="21"/>
                <w:highlight w:val="none"/>
              </w:rPr>
            </w:pPr>
          </w:p>
        </w:tc>
        <w:tc>
          <w:tcPr>
            <w:tcW w:w="2414" w:type="dxa"/>
            <w:tcBorders>
              <w:top w:val="single" w:color="auto" w:sz="4" w:space="0"/>
              <w:left w:val="single" w:color="auto" w:sz="4" w:space="0"/>
              <w:bottom w:val="single" w:color="auto" w:sz="4" w:space="0"/>
              <w:right w:val="single" w:color="auto" w:sz="4" w:space="0"/>
            </w:tcBorders>
            <w:noWrap w:val="0"/>
            <w:vAlign w:val="center"/>
          </w:tcPr>
          <w:p w14:paraId="01501B81">
            <w:pPr>
              <w:spacing w:line="360" w:lineRule="auto"/>
              <w:jc w:val="center"/>
              <w:rPr>
                <w:rFonts w:hint="eastAsia" w:ascii="宋体" w:hAnsi="宋体" w:cs="宋体"/>
                <w:color w:val="auto"/>
                <w:szCs w:val="21"/>
                <w:highlight w:val="none"/>
              </w:rPr>
            </w:pPr>
          </w:p>
        </w:tc>
        <w:tc>
          <w:tcPr>
            <w:tcW w:w="1476" w:type="dxa"/>
            <w:tcBorders>
              <w:top w:val="single" w:color="auto" w:sz="4" w:space="0"/>
              <w:left w:val="single" w:color="auto" w:sz="4" w:space="0"/>
              <w:bottom w:val="single" w:color="auto" w:sz="4" w:space="0"/>
              <w:right w:val="single" w:color="auto" w:sz="4" w:space="0"/>
            </w:tcBorders>
            <w:noWrap w:val="0"/>
            <w:vAlign w:val="top"/>
          </w:tcPr>
          <w:p w14:paraId="740FB35F">
            <w:pPr>
              <w:spacing w:line="360" w:lineRule="auto"/>
              <w:rPr>
                <w:rFonts w:hint="eastAsia" w:ascii="宋体" w:hAnsi="宋体" w:cs="宋体"/>
                <w:color w:val="auto"/>
                <w:szCs w:val="21"/>
                <w:highlight w:val="none"/>
              </w:rPr>
            </w:pPr>
          </w:p>
        </w:tc>
        <w:tc>
          <w:tcPr>
            <w:tcW w:w="1341" w:type="dxa"/>
            <w:tcBorders>
              <w:top w:val="single" w:color="auto" w:sz="4" w:space="0"/>
              <w:left w:val="single" w:color="auto" w:sz="4" w:space="0"/>
              <w:bottom w:val="single" w:color="auto" w:sz="4" w:space="0"/>
              <w:right w:val="single" w:color="auto" w:sz="4" w:space="0"/>
            </w:tcBorders>
            <w:noWrap w:val="0"/>
            <w:vAlign w:val="top"/>
          </w:tcPr>
          <w:p w14:paraId="43EB8424">
            <w:pPr>
              <w:spacing w:line="360" w:lineRule="auto"/>
              <w:rPr>
                <w:rFonts w:hint="eastAsia" w:ascii="宋体" w:hAnsi="宋体" w:cs="宋体"/>
                <w:color w:val="auto"/>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4FF038A1">
            <w:pPr>
              <w:spacing w:line="360" w:lineRule="auto"/>
              <w:rPr>
                <w:rFonts w:hint="eastAsia" w:ascii="宋体" w:hAnsi="宋体" w:cs="宋体"/>
                <w:color w:val="auto"/>
                <w:szCs w:val="21"/>
                <w:highlight w:val="none"/>
              </w:rPr>
            </w:pPr>
          </w:p>
        </w:tc>
        <w:tc>
          <w:tcPr>
            <w:tcW w:w="939" w:type="dxa"/>
            <w:tcBorders>
              <w:top w:val="single" w:color="auto" w:sz="4" w:space="0"/>
              <w:left w:val="single" w:color="auto" w:sz="4" w:space="0"/>
              <w:bottom w:val="single" w:color="auto" w:sz="4" w:space="0"/>
              <w:right w:val="single" w:color="auto" w:sz="4" w:space="0"/>
            </w:tcBorders>
            <w:noWrap w:val="0"/>
            <w:vAlign w:val="center"/>
          </w:tcPr>
          <w:p w14:paraId="583618EE">
            <w:pPr>
              <w:spacing w:line="360" w:lineRule="auto"/>
              <w:jc w:val="center"/>
              <w:rPr>
                <w:rFonts w:hint="eastAsia" w:ascii="宋体" w:hAnsi="宋体" w:cs="宋体"/>
                <w:color w:val="auto"/>
                <w:szCs w:val="21"/>
                <w:highlight w:val="none"/>
              </w:rPr>
            </w:pPr>
          </w:p>
        </w:tc>
      </w:tr>
      <w:tr w14:paraId="4C2AD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34D74923">
            <w:pPr>
              <w:spacing w:line="360" w:lineRule="auto"/>
              <w:rPr>
                <w:rFonts w:hint="eastAsia" w:ascii="宋体" w:hAnsi="宋体" w:cs="宋体"/>
                <w:color w:val="auto"/>
                <w:szCs w:val="24"/>
                <w:highlight w:val="none"/>
              </w:rPr>
            </w:pPr>
          </w:p>
        </w:tc>
        <w:tc>
          <w:tcPr>
            <w:tcW w:w="1757" w:type="dxa"/>
            <w:tcBorders>
              <w:top w:val="single" w:color="auto" w:sz="4" w:space="0"/>
              <w:left w:val="single" w:color="auto" w:sz="4" w:space="0"/>
              <w:bottom w:val="single" w:color="auto" w:sz="4" w:space="0"/>
              <w:right w:val="single" w:color="auto" w:sz="4" w:space="0"/>
            </w:tcBorders>
            <w:noWrap w:val="0"/>
            <w:vAlign w:val="center"/>
          </w:tcPr>
          <w:p w14:paraId="6B8AE7B5">
            <w:pPr>
              <w:spacing w:line="360" w:lineRule="auto"/>
              <w:jc w:val="center"/>
              <w:rPr>
                <w:rFonts w:hint="eastAsia" w:ascii="宋体" w:hAnsi="宋体" w:cs="宋体"/>
                <w:color w:val="auto"/>
                <w:szCs w:val="21"/>
                <w:highlight w:val="none"/>
              </w:rPr>
            </w:pPr>
          </w:p>
        </w:tc>
        <w:tc>
          <w:tcPr>
            <w:tcW w:w="2414" w:type="dxa"/>
            <w:tcBorders>
              <w:top w:val="single" w:color="auto" w:sz="4" w:space="0"/>
              <w:left w:val="single" w:color="auto" w:sz="4" w:space="0"/>
              <w:bottom w:val="single" w:color="auto" w:sz="4" w:space="0"/>
              <w:right w:val="single" w:color="auto" w:sz="4" w:space="0"/>
            </w:tcBorders>
            <w:noWrap w:val="0"/>
            <w:vAlign w:val="center"/>
          </w:tcPr>
          <w:p w14:paraId="624D5FA6">
            <w:pPr>
              <w:spacing w:line="360" w:lineRule="auto"/>
              <w:jc w:val="center"/>
              <w:rPr>
                <w:rFonts w:hint="eastAsia" w:ascii="宋体" w:hAnsi="宋体" w:cs="宋体"/>
                <w:color w:val="auto"/>
                <w:szCs w:val="21"/>
                <w:highlight w:val="none"/>
              </w:rPr>
            </w:pPr>
          </w:p>
        </w:tc>
        <w:tc>
          <w:tcPr>
            <w:tcW w:w="1476" w:type="dxa"/>
            <w:tcBorders>
              <w:top w:val="single" w:color="auto" w:sz="4" w:space="0"/>
              <w:left w:val="single" w:color="auto" w:sz="4" w:space="0"/>
              <w:bottom w:val="single" w:color="auto" w:sz="4" w:space="0"/>
              <w:right w:val="single" w:color="auto" w:sz="4" w:space="0"/>
            </w:tcBorders>
            <w:noWrap w:val="0"/>
            <w:vAlign w:val="top"/>
          </w:tcPr>
          <w:p w14:paraId="0AF4352B">
            <w:pPr>
              <w:spacing w:line="360" w:lineRule="auto"/>
              <w:rPr>
                <w:rFonts w:hint="eastAsia" w:ascii="宋体" w:hAnsi="宋体" w:cs="宋体"/>
                <w:color w:val="auto"/>
                <w:szCs w:val="21"/>
                <w:highlight w:val="none"/>
              </w:rPr>
            </w:pPr>
          </w:p>
        </w:tc>
        <w:tc>
          <w:tcPr>
            <w:tcW w:w="1341" w:type="dxa"/>
            <w:tcBorders>
              <w:top w:val="single" w:color="auto" w:sz="4" w:space="0"/>
              <w:left w:val="single" w:color="auto" w:sz="4" w:space="0"/>
              <w:bottom w:val="single" w:color="auto" w:sz="4" w:space="0"/>
              <w:right w:val="single" w:color="auto" w:sz="4" w:space="0"/>
            </w:tcBorders>
            <w:noWrap w:val="0"/>
            <w:vAlign w:val="top"/>
          </w:tcPr>
          <w:p w14:paraId="66790EC8">
            <w:pPr>
              <w:spacing w:line="360" w:lineRule="auto"/>
              <w:rPr>
                <w:rFonts w:hint="eastAsia" w:ascii="宋体" w:hAnsi="宋体" w:cs="宋体"/>
                <w:color w:val="auto"/>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2FF6B616">
            <w:pPr>
              <w:spacing w:line="360" w:lineRule="auto"/>
              <w:rPr>
                <w:rFonts w:hint="eastAsia" w:ascii="宋体" w:hAnsi="宋体" w:cs="宋体"/>
                <w:color w:val="auto"/>
                <w:szCs w:val="21"/>
                <w:highlight w:val="none"/>
              </w:rPr>
            </w:pPr>
          </w:p>
        </w:tc>
        <w:tc>
          <w:tcPr>
            <w:tcW w:w="939" w:type="dxa"/>
            <w:tcBorders>
              <w:top w:val="single" w:color="auto" w:sz="4" w:space="0"/>
              <w:left w:val="single" w:color="auto" w:sz="4" w:space="0"/>
              <w:bottom w:val="single" w:color="auto" w:sz="4" w:space="0"/>
              <w:right w:val="single" w:color="auto" w:sz="4" w:space="0"/>
            </w:tcBorders>
            <w:noWrap w:val="0"/>
            <w:vAlign w:val="center"/>
          </w:tcPr>
          <w:p w14:paraId="3497B521">
            <w:pPr>
              <w:spacing w:line="360" w:lineRule="auto"/>
              <w:jc w:val="center"/>
              <w:rPr>
                <w:rFonts w:hint="eastAsia" w:ascii="宋体" w:hAnsi="宋体" w:cs="宋体"/>
                <w:color w:val="auto"/>
                <w:szCs w:val="21"/>
                <w:highlight w:val="none"/>
              </w:rPr>
            </w:pPr>
          </w:p>
        </w:tc>
      </w:tr>
      <w:tr w14:paraId="36A1A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67EF0B00">
            <w:pPr>
              <w:spacing w:line="360" w:lineRule="auto"/>
              <w:rPr>
                <w:rFonts w:hint="eastAsia" w:ascii="宋体" w:hAnsi="宋体" w:cs="宋体"/>
                <w:color w:val="auto"/>
                <w:szCs w:val="24"/>
                <w:highlight w:val="none"/>
              </w:rPr>
            </w:pPr>
          </w:p>
        </w:tc>
        <w:tc>
          <w:tcPr>
            <w:tcW w:w="1757" w:type="dxa"/>
            <w:tcBorders>
              <w:top w:val="single" w:color="auto" w:sz="4" w:space="0"/>
              <w:left w:val="single" w:color="auto" w:sz="4" w:space="0"/>
              <w:bottom w:val="single" w:color="auto" w:sz="4" w:space="0"/>
              <w:right w:val="single" w:color="auto" w:sz="4" w:space="0"/>
            </w:tcBorders>
            <w:noWrap w:val="0"/>
            <w:vAlign w:val="center"/>
          </w:tcPr>
          <w:p w14:paraId="73AE087E">
            <w:pPr>
              <w:spacing w:line="360" w:lineRule="auto"/>
              <w:jc w:val="center"/>
              <w:rPr>
                <w:rFonts w:hint="eastAsia" w:ascii="宋体" w:hAnsi="宋体" w:cs="宋体"/>
                <w:color w:val="auto"/>
                <w:szCs w:val="21"/>
                <w:highlight w:val="none"/>
              </w:rPr>
            </w:pPr>
          </w:p>
        </w:tc>
        <w:tc>
          <w:tcPr>
            <w:tcW w:w="2414" w:type="dxa"/>
            <w:tcBorders>
              <w:top w:val="single" w:color="auto" w:sz="4" w:space="0"/>
              <w:left w:val="single" w:color="auto" w:sz="4" w:space="0"/>
              <w:bottom w:val="single" w:color="auto" w:sz="4" w:space="0"/>
              <w:right w:val="single" w:color="auto" w:sz="4" w:space="0"/>
            </w:tcBorders>
            <w:noWrap w:val="0"/>
            <w:vAlign w:val="center"/>
          </w:tcPr>
          <w:p w14:paraId="6944F4C7">
            <w:pPr>
              <w:spacing w:line="360" w:lineRule="auto"/>
              <w:jc w:val="center"/>
              <w:rPr>
                <w:rFonts w:hint="eastAsia" w:ascii="宋体" w:hAnsi="宋体" w:cs="宋体"/>
                <w:color w:val="auto"/>
                <w:szCs w:val="21"/>
                <w:highlight w:val="none"/>
              </w:rPr>
            </w:pPr>
          </w:p>
        </w:tc>
        <w:tc>
          <w:tcPr>
            <w:tcW w:w="1476" w:type="dxa"/>
            <w:tcBorders>
              <w:top w:val="single" w:color="auto" w:sz="4" w:space="0"/>
              <w:left w:val="single" w:color="auto" w:sz="4" w:space="0"/>
              <w:bottom w:val="single" w:color="auto" w:sz="4" w:space="0"/>
              <w:right w:val="single" w:color="auto" w:sz="4" w:space="0"/>
            </w:tcBorders>
            <w:noWrap w:val="0"/>
            <w:vAlign w:val="top"/>
          </w:tcPr>
          <w:p w14:paraId="345DBE01">
            <w:pPr>
              <w:spacing w:line="360" w:lineRule="auto"/>
              <w:rPr>
                <w:rFonts w:hint="eastAsia" w:ascii="宋体" w:hAnsi="宋体" w:cs="宋体"/>
                <w:color w:val="auto"/>
                <w:szCs w:val="21"/>
                <w:highlight w:val="none"/>
              </w:rPr>
            </w:pPr>
          </w:p>
        </w:tc>
        <w:tc>
          <w:tcPr>
            <w:tcW w:w="1341" w:type="dxa"/>
            <w:tcBorders>
              <w:top w:val="single" w:color="auto" w:sz="4" w:space="0"/>
              <w:left w:val="single" w:color="auto" w:sz="4" w:space="0"/>
              <w:bottom w:val="single" w:color="auto" w:sz="4" w:space="0"/>
              <w:right w:val="single" w:color="auto" w:sz="4" w:space="0"/>
            </w:tcBorders>
            <w:noWrap w:val="0"/>
            <w:vAlign w:val="top"/>
          </w:tcPr>
          <w:p w14:paraId="1BB4CD7D">
            <w:pPr>
              <w:spacing w:line="360" w:lineRule="auto"/>
              <w:rPr>
                <w:rFonts w:hint="eastAsia" w:ascii="宋体" w:hAnsi="宋体" w:cs="宋体"/>
                <w:color w:val="auto"/>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76977A66">
            <w:pPr>
              <w:spacing w:line="360" w:lineRule="auto"/>
              <w:rPr>
                <w:rFonts w:hint="eastAsia" w:ascii="宋体" w:hAnsi="宋体" w:cs="宋体"/>
                <w:color w:val="auto"/>
                <w:szCs w:val="21"/>
                <w:highlight w:val="none"/>
              </w:rPr>
            </w:pPr>
          </w:p>
        </w:tc>
        <w:tc>
          <w:tcPr>
            <w:tcW w:w="939" w:type="dxa"/>
            <w:tcBorders>
              <w:top w:val="single" w:color="auto" w:sz="4" w:space="0"/>
              <w:left w:val="single" w:color="auto" w:sz="4" w:space="0"/>
              <w:bottom w:val="single" w:color="auto" w:sz="4" w:space="0"/>
              <w:right w:val="single" w:color="auto" w:sz="4" w:space="0"/>
            </w:tcBorders>
            <w:noWrap w:val="0"/>
            <w:vAlign w:val="center"/>
          </w:tcPr>
          <w:p w14:paraId="3B03168B">
            <w:pPr>
              <w:spacing w:line="360" w:lineRule="auto"/>
              <w:jc w:val="center"/>
              <w:rPr>
                <w:rFonts w:hint="eastAsia" w:ascii="宋体" w:hAnsi="宋体" w:cs="宋体"/>
                <w:color w:val="auto"/>
                <w:szCs w:val="21"/>
                <w:highlight w:val="none"/>
              </w:rPr>
            </w:pPr>
          </w:p>
        </w:tc>
      </w:tr>
      <w:tr w14:paraId="29D25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792988FD">
            <w:pPr>
              <w:spacing w:line="360" w:lineRule="auto"/>
              <w:rPr>
                <w:rFonts w:hint="eastAsia" w:ascii="宋体" w:hAnsi="宋体" w:cs="宋体"/>
                <w:color w:val="auto"/>
                <w:szCs w:val="24"/>
                <w:highlight w:val="none"/>
              </w:rPr>
            </w:pPr>
          </w:p>
        </w:tc>
        <w:tc>
          <w:tcPr>
            <w:tcW w:w="1757" w:type="dxa"/>
            <w:tcBorders>
              <w:top w:val="single" w:color="auto" w:sz="4" w:space="0"/>
              <w:left w:val="single" w:color="auto" w:sz="4" w:space="0"/>
              <w:bottom w:val="single" w:color="auto" w:sz="4" w:space="0"/>
              <w:right w:val="single" w:color="auto" w:sz="4" w:space="0"/>
            </w:tcBorders>
            <w:noWrap w:val="0"/>
            <w:vAlign w:val="center"/>
          </w:tcPr>
          <w:p w14:paraId="13735A70">
            <w:pPr>
              <w:spacing w:line="360" w:lineRule="auto"/>
              <w:jc w:val="center"/>
              <w:rPr>
                <w:rFonts w:hint="eastAsia" w:ascii="宋体" w:hAnsi="宋体" w:cs="宋体"/>
                <w:color w:val="auto"/>
                <w:szCs w:val="21"/>
                <w:highlight w:val="none"/>
              </w:rPr>
            </w:pPr>
          </w:p>
        </w:tc>
        <w:tc>
          <w:tcPr>
            <w:tcW w:w="2414" w:type="dxa"/>
            <w:tcBorders>
              <w:top w:val="single" w:color="auto" w:sz="4" w:space="0"/>
              <w:left w:val="single" w:color="auto" w:sz="4" w:space="0"/>
              <w:bottom w:val="single" w:color="auto" w:sz="4" w:space="0"/>
              <w:right w:val="single" w:color="auto" w:sz="4" w:space="0"/>
            </w:tcBorders>
            <w:noWrap w:val="0"/>
            <w:vAlign w:val="center"/>
          </w:tcPr>
          <w:p w14:paraId="4D36F716">
            <w:pPr>
              <w:spacing w:line="360" w:lineRule="auto"/>
              <w:jc w:val="center"/>
              <w:rPr>
                <w:rFonts w:hint="eastAsia" w:ascii="宋体" w:hAnsi="宋体" w:cs="宋体"/>
                <w:color w:val="auto"/>
                <w:szCs w:val="21"/>
                <w:highlight w:val="none"/>
              </w:rPr>
            </w:pPr>
          </w:p>
        </w:tc>
        <w:tc>
          <w:tcPr>
            <w:tcW w:w="1476" w:type="dxa"/>
            <w:tcBorders>
              <w:top w:val="single" w:color="auto" w:sz="4" w:space="0"/>
              <w:left w:val="single" w:color="auto" w:sz="4" w:space="0"/>
              <w:bottom w:val="single" w:color="auto" w:sz="4" w:space="0"/>
              <w:right w:val="single" w:color="auto" w:sz="4" w:space="0"/>
            </w:tcBorders>
            <w:noWrap w:val="0"/>
            <w:vAlign w:val="top"/>
          </w:tcPr>
          <w:p w14:paraId="606C9477">
            <w:pPr>
              <w:spacing w:line="360" w:lineRule="auto"/>
              <w:rPr>
                <w:rFonts w:hint="eastAsia" w:ascii="宋体" w:hAnsi="宋体" w:cs="宋体"/>
                <w:color w:val="auto"/>
                <w:szCs w:val="21"/>
                <w:highlight w:val="none"/>
              </w:rPr>
            </w:pPr>
          </w:p>
        </w:tc>
        <w:tc>
          <w:tcPr>
            <w:tcW w:w="1341" w:type="dxa"/>
            <w:tcBorders>
              <w:top w:val="single" w:color="auto" w:sz="4" w:space="0"/>
              <w:left w:val="single" w:color="auto" w:sz="4" w:space="0"/>
              <w:bottom w:val="single" w:color="auto" w:sz="4" w:space="0"/>
              <w:right w:val="single" w:color="auto" w:sz="4" w:space="0"/>
            </w:tcBorders>
            <w:noWrap w:val="0"/>
            <w:vAlign w:val="top"/>
          </w:tcPr>
          <w:p w14:paraId="62B208BD">
            <w:pPr>
              <w:spacing w:line="360" w:lineRule="auto"/>
              <w:rPr>
                <w:rFonts w:hint="eastAsia" w:ascii="宋体" w:hAnsi="宋体" w:cs="宋体"/>
                <w:color w:val="auto"/>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3DF134B3">
            <w:pPr>
              <w:spacing w:line="360" w:lineRule="auto"/>
              <w:rPr>
                <w:rFonts w:hint="eastAsia" w:ascii="宋体" w:hAnsi="宋体" w:cs="宋体"/>
                <w:color w:val="auto"/>
                <w:szCs w:val="21"/>
                <w:highlight w:val="none"/>
              </w:rPr>
            </w:pPr>
          </w:p>
        </w:tc>
        <w:tc>
          <w:tcPr>
            <w:tcW w:w="939" w:type="dxa"/>
            <w:tcBorders>
              <w:top w:val="single" w:color="auto" w:sz="4" w:space="0"/>
              <w:left w:val="single" w:color="auto" w:sz="4" w:space="0"/>
              <w:bottom w:val="single" w:color="auto" w:sz="4" w:space="0"/>
              <w:right w:val="single" w:color="auto" w:sz="4" w:space="0"/>
            </w:tcBorders>
            <w:noWrap w:val="0"/>
            <w:vAlign w:val="center"/>
          </w:tcPr>
          <w:p w14:paraId="264163AA">
            <w:pPr>
              <w:spacing w:line="360" w:lineRule="auto"/>
              <w:jc w:val="center"/>
              <w:rPr>
                <w:rFonts w:hint="eastAsia" w:ascii="宋体" w:hAnsi="宋体" w:cs="宋体"/>
                <w:color w:val="auto"/>
                <w:szCs w:val="21"/>
                <w:highlight w:val="none"/>
              </w:rPr>
            </w:pPr>
          </w:p>
        </w:tc>
      </w:tr>
    </w:tbl>
    <w:p w14:paraId="706EDFFC">
      <w:pPr>
        <w:wordWrap w:val="0"/>
        <w:spacing w:line="360" w:lineRule="auto"/>
        <w:rPr>
          <w:rFonts w:hint="eastAsia" w:ascii="宋体" w:hAnsi="宋体" w:cs="宋体"/>
          <w:color w:val="auto"/>
          <w:sz w:val="16"/>
          <w:highlight w:val="none"/>
        </w:rPr>
      </w:pPr>
      <w:r>
        <w:rPr>
          <w:rFonts w:hint="eastAsia" w:ascii="宋体" w:hAnsi="宋体" w:eastAsia="宋体" w:cs="Times New Roman"/>
          <w:b/>
          <w:bCs/>
          <w:color w:val="auto"/>
          <w:sz w:val="24"/>
          <w:highlight w:val="none"/>
          <w:lang w:val="en-US" w:eastAsia="zh-CN"/>
        </w:rPr>
        <w:t>注：</w:t>
      </w:r>
      <w:r>
        <w:rPr>
          <w:rFonts w:hint="eastAsia" w:ascii="宋体" w:hAnsi="宋体" w:cs="Times New Roman"/>
          <w:b/>
          <w:bCs/>
          <w:color w:val="auto"/>
          <w:sz w:val="24"/>
          <w:highlight w:val="none"/>
          <w:lang w:val="en-US" w:eastAsia="zh-CN"/>
        </w:rPr>
        <w:t>附</w:t>
      </w:r>
      <w:r>
        <w:rPr>
          <w:rFonts w:hint="eastAsia" w:ascii="宋体" w:hAnsi="宋体" w:eastAsia="宋体" w:cs="Times New Roman"/>
          <w:b/>
          <w:bCs/>
          <w:color w:val="auto"/>
          <w:sz w:val="24"/>
          <w:highlight w:val="none"/>
          <w:lang w:val="en-US" w:eastAsia="zh-CN"/>
        </w:rPr>
        <w:t>证明材料（如合同或中标（成交）通知书或</w:t>
      </w:r>
      <w:r>
        <w:rPr>
          <w:rFonts w:hint="eastAsia" w:ascii="宋体" w:hAnsi="宋体" w:cs="Times New Roman"/>
          <w:b/>
          <w:bCs/>
          <w:color w:val="auto"/>
          <w:sz w:val="24"/>
          <w:highlight w:val="none"/>
          <w:lang w:val="en-US" w:eastAsia="zh-CN"/>
        </w:rPr>
        <w:t>其他有效</w:t>
      </w:r>
      <w:r>
        <w:rPr>
          <w:rFonts w:hint="eastAsia" w:ascii="宋体" w:hAnsi="宋体" w:eastAsia="宋体" w:cs="Times New Roman"/>
          <w:b/>
          <w:bCs/>
          <w:color w:val="auto"/>
          <w:sz w:val="24"/>
          <w:highlight w:val="none"/>
          <w:lang w:val="en-US" w:eastAsia="zh-CN"/>
        </w:rPr>
        <w:t>证明）复印件（扫描件）。</w:t>
      </w:r>
    </w:p>
    <w:p w14:paraId="6B90C299">
      <w:pPr>
        <w:spacing w:line="480" w:lineRule="auto"/>
        <w:rPr>
          <w:rFonts w:hint="eastAsia" w:ascii="宋体" w:hAnsi="宋体"/>
          <w:color w:val="auto"/>
          <w:sz w:val="24"/>
          <w:highlight w:val="none"/>
        </w:rPr>
      </w:pPr>
    </w:p>
    <w:p w14:paraId="65355F54">
      <w:pPr>
        <w:spacing w:line="500" w:lineRule="exact"/>
        <w:jc w:val="left"/>
        <w:rPr>
          <w:rFonts w:hint="eastAsia" w:ascii="宋体" w:hAnsi="宋体"/>
          <w:bCs/>
          <w:color w:val="auto"/>
          <w:sz w:val="24"/>
          <w:highlight w:val="none"/>
        </w:rPr>
      </w:pPr>
    </w:p>
    <w:p w14:paraId="01C0418A">
      <w:pPr>
        <w:spacing w:line="500" w:lineRule="exact"/>
        <w:jc w:val="left"/>
        <w:rPr>
          <w:rFonts w:hint="eastAsia" w:ascii="宋体" w:hAnsi="宋体"/>
          <w:bCs/>
          <w:color w:val="auto"/>
          <w:sz w:val="24"/>
          <w:highlight w:val="none"/>
        </w:rPr>
      </w:pPr>
    </w:p>
    <w:p w14:paraId="2B6131CB">
      <w:pPr>
        <w:spacing w:line="500" w:lineRule="exact"/>
        <w:jc w:val="left"/>
        <w:rPr>
          <w:rFonts w:ascii="宋体" w:hAnsi="宋体"/>
          <w:color w:val="auto"/>
          <w:sz w:val="24"/>
          <w:highlight w:val="none"/>
          <w:u w:val="single"/>
        </w:rPr>
      </w:pPr>
      <w:r>
        <w:rPr>
          <w:rFonts w:hint="eastAsia" w:ascii="宋体" w:hAnsi="宋体"/>
          <w:bCs/>
          <w:color w:val="auto"/>
          <w:sz w:val="24"/>
          <w:highlight w:val="none"/>
        </w:rPr>
        <w:t>投标人(电子签章)</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p>
    <w:p w14:paraId="7C50DE35">
      <w:pPr>
        <w:spacing w:line="500" w:lineRule="exact"/>
        <w:jc w:val="left"/>
        <w:rPr>
          <w:rFonts w:ascii="宋体" w:hAnsi="宋体"/>
          <w:color w:val="auto"/>
          <w:sz w:val="24"/>
          <w:szCs w:val="20"/>
          <w:highlight w:val="none"/>
          <w:u w:val="single"/>
        </w:rPr>
      </w:pPr>
      <w:r>
        <w:rPr>
          <w:rFonts w:hint="eastAsia" w:ascii="宋体" w:hAnsi="宋体"/>
          <w:bCs/>
          <w:color w:val="auto"/>
          <w:sz w:val="24"/>
          <w:szCs w:val="20"/>
          <w:highlight w:val="none"/>
        </w:rPr>
        <w:t>法定代表人(电子签章或电子签名)</w:t>
      </w:r>
      <w:r>
        <w:rPr>
          <w:rFonts w:hint="eastAsia" w:ascii="宋体" w:hAnsi="宋体"/>
          <w:color w:val="auto"/>
          <w:sz w:val="24"/>
          <w:szCs w:val="20"/>
          <w:highlight w:val="none"/>
        </w:rPr>
        <w:t xml:space="preserve">： </w:t>
      </w:r>
      <w:r>
        <w:rPr>
          <w:rFonts w:hint="eastAsia" w:ascii="宋体" w:hAnsi="宋体"/>
          <w:color w:val="auto"/>
          <w:sz w:val="24"/>
          <w:szCs w:val="20"/>
          <w:highlight w:val="none"/>
          <w:u w:val="single"/>
        </w:rPr>
        <w:t xml:space="preserve">                  </w:t>
      </w:r>
    </w:p>
    <w:p w14:paraId="7AA03F7F">
      <w:pPr>
        <w:spacing w:line="480" w:lineRule="auto"/>
        <w:jc w:val="left"/>
        <w:rPr>
          <w:rFonts w:hint="eastAsia" w:ascii="宋体" w:hAnsi="宋体" w:eastAsia="宋体" w:cs="宋体"/>
          <w:b/>
          <w:bCs/>
          <w:color w:val="auto"/>
          <w:kern w:val="0"/>
          <w:sz w:val="30"/>
          <w:szCs w:val="30"/>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557669AA">
      <w:pPr>
        <w:widowControl/>
        <w:numPr>
          <w:ilvl w:val="0"/>
          <w:numId w:val="0"/>
        </w:numPr>
        <w:spacing w:line="460" w:lineRule="exact"/>
        <w:ind w:leftChars="0"/>
        <w:jc w:val="center"/>
        <w:outlineLvl w:val="1"/>
        <w:rPr>
          <w:rFonts w:hint="eastAsia" w:ascii="宋体" w:hAnsi="宋体" w:eastAsia="宋体" w:cs="宋体"/>
          <w:b/>
          <w:bCs/>
          <w:color w:val="auto"/>
          <w:kern w:val="0"/>
          <w:sz w:val="30"/>
          <w:szCs w:val="30"/>
          <w:highlight w:val="none"/>
        </w:rPr>
        <w:sectPr>
          <w:pgSz w:w="11906" w:h="16838"/>
          <w:pgMar w:top="1247" w:right="1247" w:bottom="1247" w:left="124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406E8ED2">
      <w:pPr>
        <w:widowControl/>
        <w:numPr>
          <w:ilvl w:val="0"/>
          <w:numId w:val="0"/>
        </w:numPr>
        <w:spacing w:line="460" w:lineRule="exact"/>
        <w:ind w:leftChars="0"/>
        <w:jc w:val="center"/>
        <w:outlineLvl w:val="1"/>
        <w:rPr>
          <w:rFonts w:cs="宋体"/>
          <w:color w:val="auto"/>
          <w:sz w:val="28"/>
          <w:szCs w:val="28"/>
          <w:highlight w:val="none"/>
        </w:rPr>
      </w:pPr>
      <w:r>
        <w:rPr>
          <w:rFonts w:hint="eastAsia" w:ascii="宋体" w:hAnsi="宋体" w:eastAsia="宋体" w:cs="宋体"/>
          <w:b/>
          <w:bCs/>
          <w:color w:val="auto"/>
          <w:kern w:val="0"/>
          <w:sz w:val="30"/>
          <w:szCs w:val="30"/>
          <w:highlight w:val="none"/>
        </w:rPr>
        <w:t>四、其他相关证明资料</w:t>
      </w:r>
      <w:bookmarkEnd w:id="194"/>
    </w:p>
    <w:p w14:paraId="5DAE7029">
      <w:pPr>
        <w:spacing w:line="460" w:lineRule="exact"/>
        <w:ind w:firstLine="480" w:firstLineChars="200"/>
        <w:rPr>
          <w:rFonts w:hint="eastAsia" w:ascii="宋体" w:hAnsi="宋体" w:cs="宋体"/>
          <w:color w:val="auto"/>
          <w:sz w:val="24"/>
          <w:highlight w:val="none"/>
        </w:rPr>
      </w:pPr>
    </w:p>
    <w:p w14:paraId="5CD51055">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磋商文件其他部分要求提供的证明材料</w:t>
      </w:r>
      <w:r>
        <w:rPr>
          <w:rFonts w:hint="eastAsia" w:hAnsi="宋体" w:cs="宋体"/>
          <w:b/>
          <w:color w:val="auto"/>
          <w:sz w:val="24"/>
          <w:highlight w:val="none"/>
        </w:rPr>
        <w:t>或</w:t>
      </w:r>
      <w:r>
        <w:rPr>
          <w:rFonts w:hint="eastAsia" w:hAnsi="宋体" w:cs="宋体"/>
          <w:b/>
          <w:color w:val="auto"/>
          <w:sz w:val="24"/>
          <w:highlight w:val="none"/>
          <w:lang w:eastAsia="zh-CN"/>
        </w:rPr>
        <w:t>投标人</w:t>
      </w:r>
      <w:r>
        <w:rPr>
          <w:rFonts w:hint="eastAsia" w:hAnsi="宋体" w:cs="宋体"/>
          <w:b/>
          <w:color w:val="auto"/>
          <w:sz w:val="24"/>
          <w:highlight w:val="none"/>
        </w:rPr>
        <w:t>认为有必要提交的其他声明、补充承诺、证明资料等。</w:t>
      </w:r>
    </w:p>
    <w:p w14:paraId="1140976B">
      <w:pPr>
        <w:spacing w:line="460" w:lineRule="exact"/>
        <w:jc w:val="left"/>
        <w:rPr>
          <w:rFonts w:ascii="宋体"/>
          <w:color w:val="auto"/>
          <w:sz w:val="24"/>
          <w:highlight w:val="none"/>
        </w:rPr>
      </w:pPr>
    </w:p>
    <w:p w14:paraId="0A68972F">
      <w:pPr>
        <w:spacing w:line="460" w:lineRule="exact"/>
        <w:jc w:val="left"/>
        <w:rPr>
          <w:rFonts w:ascii="宋体"/>
          <w:color w:val="auto"/>
          <w:sz w:val="24"/>
          <w:highlight w:val="none"/>
        </w:rPr>
      </w:pPr>
    </w:p>
    <w:p w14:paraId="3CE84459">
      <w:pPr>
        <w:spacing w:line="460" w:lineRule="exact"/>
        <w:jc w:val="left"/>
        <w:rPr>
          <w:rFonts w:ascii="宋体"/>
          <w:color w:val="auto"/>
          <w:sz w:val="24"/>
          <w:highlight w:val="none"/>
        </w:rPr>
      </w:pPr>
    </w:p>
    <w:p w14:paraId="0601CB5B">
      <w:pPr>
        <w:spacing w:line="460" w:lineRule="exact"/>
        <w:jc w:val="left"/>
        <w:rPr>
          <w:rFonts w:ascii="宋体"/>
          <w:color w:val="auto"/>
          <w:sz w:val="24"/>
          <w:highlight w:val="none"/>
        </w:rPr>
      </w:pPr>
    </w:p>
    <w:bookmarkEnd w:id="127"/>
    <w:bookmarkEnd w:id="128"/>
    <w:bookmarkEnd w:id="129"/>
    <w:bookmarkEnd w:id="130"/>
    <w:bookmarkEnd w:id="131"/>
    <w:bookmarkEnd w:id="132"/>
    <w:bookmarkEnd w:id="133"/>
    <w:bookmarkEnd w:id="134"/>
    <w:bookmarkEnd w:id="135"/>
    <w:p w14:paraId="0512AB33">
      <w:pPr>
        <w:bidi w:val="0"/>
        <w:jc w:val="left"/>
        <w:outlineLvl w:val="1"/>
        <w:rPr>
          <w:rFonts w:hint="eastAsia"/>
          <w:color w:val="auto"/>
          <w:highlight w:val="none"/>
        </w:rPr>
        <w:sectPr>
          <w:footerReference r:id="rId15" w:type="default"/>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bookmarkStart w:id="195" w:name="_Toc340933732"/>
      <w:bookmarkStart w:id="196" w:name="_Toc16422"/>
    </w:p>
    <w:p w14:paraId="757B1C90">
      <w:pPr>
        <w:widowControl/>
        <w:numPr>
          <w:ilvl w:val="0"/>
          <w:numId w:val="0"/>
        </w:numPr>
        <w:spacing w:line="460" w:lineRule="exact"/>
        <w:ind w:leftChars="0"/>
        <w:jc w:val="center"/>
        <w:outlineLvl w:val="1"/>
        <w:rPr>
          <w:rFonts w:hint="eastAsia" w:ascii="宋体" w:hAnsi="宋体" w:eastAsia="宋体" w:cs="宋体"/>
          <w:b/>
          <w:bCs/>
          <w:color w:val="auto"/>
          <w:kern w:val="0"/>
          <w:sz w:val="30"/>
          <w:szCs w:val="30"/>
          <w:highlight w:val="none"/>
        </w:rPr>
      </w:pPr>
      <w:r>
        <w:rPr>
          <w:rFonts w:hint="eastAsia" w:ascii="宋体" w:hAnsi="宋体" w:eastAsia="宋体" w:cs="宋体"/>
          <w:b/>
          <w:bCs/>
          <w:color w:val="auto"/>
          <w:kern w:val="0"/>
          <w:sz w:val="30"/>
          <w:szCs w:val="30"/>
          <w:highlight w:val="none"/>
        </w:rPr>
        <w:t xml:space="preserve">第五章 </w:t>
      </w:r>
      <w:bookmarkEnd w:id="195"/>
      <w:bookmarkEnd w:id="196"/>
      <w:bookmarkStart w:id="197" w:name="_Toc340933733"/>
      <w:r>
        <w:rPr>
          <w:rFonts w:hint="eastAsia" w:ascii="宋体" w:hAnsi="宋体" w:eastAsia="宋体" w:cs="宋体"/>
          <w:b/>
          <w:bCs/>
          <w:color w:val="auto"/>
          <w:kern w:val="0"/>
          <w:sz w:val="30"/>
          <w:szCs w:val="30"/>
          <w:highlight w:val="none"/>
        </w:rPr>
        <w:t xml:space="preserve"> 资格审查</w:t>
      </w:r>
    </w:p>
    <w:p w14:paraId="6B1FECBA">
      <w:pPr>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公开招标采购项目开标结束后，招标人（和/或）招标代理机构依法对投标人的资格进行审查。</w:t>
      </w:r>
    </w:p>
    <w:p w14:paraId="7A30C317">
      <w:pPr>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投标文件出现不满足下列各项评审内容及标准要求之一的，则资格评审为不合格。合格投标人不足 3 家的，不得评标。</w:t>
      </w:r>
    </w:p>
    <w:p w14:paraId="4629C694">
      <w:pPr>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资格性审查条件：</w:t>
      </w:r>
    </w:p>
    <w:p w14:paraId="08193C01">
      <w:pPr>
        <w:spacing w:line="480" w:lineRule="exact"/>
        <w:jc w:val="left"/>
        <w:rPr>
          <w:rFonts w:ascii="宋体" w:hAnsi="宋体"/>
          <w:b/>
          <w:color w:val="auto"/>
          <w:sz w:val="28"/>
          <w:szCs w:val="28"/>
          <w:highlight w:val="none"/>
        </w:rPr>
      </w:pPr>
      <w:r>
        <w:rPr>
          <w:rFonts w:hint="eastAsia" w:ascii="宋体" w:hAnsi="宋体"/>
          <w:color w:val="auto"/>
          <w:sz w:val="24"/>
          <w:highlight w:val="none"/>
        </w:rPr>
        <w:t xml:space="preserve">    招标人依据法律法规和招标文件的规定，对投标文件中“证明投标人的资格文件”进行审查，以确定投标人是否具备投标资格。只有通过资格审查的投标文件才能进入评标。 </w:t>
      </w:r>
    </w:p>
    <w:tbl>
      <w:tblPr>
        <w:tblStyle w:val="27"/>
        <w:tblW w:w="916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92"/>
        <w:gridCol w:w="1996"/>
        <w:gridCol w:w="5981"/>
      </w:tblGrid>
      <w:tr w14:paraId="3834F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0" w:hRule="atLeast"/>
          <w:jc w:val="center"/>
        </w:trPr>
        <w:tc>
          <w:tcPr>
            <w:tcW w:w="1192" w:type="dxa"/>
            <w:vMerge w:val="restart"/>
            <w:vAlign w:val="center"/>
          </w:tcPr>
          <w:p w14:paraId="2B305B9E">
            <w:pPr>
              <w:spacing w:line="480" w:lineRule="exact"/>
              <w:jc w:val="center"/>
              <w:rPr>
                <w:rFonts w:ascii="宋体" w:hAnsi="宋体" w:cs="宋体"/>
                <w:color w:val="auto"/>
                <w:sz w:val="24"/>
                <w:highlight w:val="none"/>
              </w:rPr>
            </w:pPr>
            <w:r>
              <w:rPr>
                <w:rFonts w:hint="eastAsia" w:ascii="宋体" w:hAnsi="宋体" w:cs="宋体"/>
                <w:b/>
                <w:bCs/>
                <w:color w:val="auto"/>
                <w:sz w:val="24"/>
                <w:highlight w:val="none"/>
              </w:rPr>
              <w:t>资格评审标准</w:t>
            </w:r>
          </w:p>
        </w:tc>
        <w:tc>
          <w:tcPr>
            <w:tcW w:w="1996" w:type="dxa"/>
            <w:vAlign w:val="center"/>
          </w:tcPr>
          <w:p w14:paraId="5A4F870C">
            <w:pPr>
              <w:spacing w:line="480" w:lineRule="exact"/>
              <w:jc w:val="center"/>
              <w:rPr>
                <w:rFonts w:ascii="宋体" w:hAnsi="宋体" w:cs="宋体"/>
                <w:b/>
                <w:color w:val="auto"/>
                <w:sz w:val="24"/>
                <w:highlight w:val="none"/>
              </w:rPr>
            </w:pPr>
            <w:r>
              <w:rPr>
                <w:rFonts w:hint="eastAsia" w:ascii="宋体" w:hAnsi="宋体" w:cs="宋体"/>
                <w:b/>
                <w:color w:val="auto"/>
                <w:sz w:val="24"/>
                <w:highlight w:val="none"/>
              </w:rPr>
              <w:t>评 审 因 素</w:t>
            </w:r>
          </w:p>
        </w:tc>
        <w:tc>
          <w:tcPr>
            <w:tcW w:w="5981" w:type="dxa"/>
            <w:vAlign w:val="center"/>
          </w:tcPr>
          <w:p w14:paraId="3905FF11">
            <w:pPr>
              <w:spacing w:line="480" w:lineRule="exact"/>
              <w:jc w:val="center"/>
              <w:rPr>
                <w:rFonts w:ascii="宋体" w:hAnsi="宋体" w:cs="宋体"/>
                <w:b/>
                <w:color w:val="auto"/>
                <w:sz w:val="24"/>
                <w:highlight w:val="none"/>
              </w:rPr>
            </w:pPr>
            <w:r>
              <w:rPr>
                <w:rFonts w:hint="eastAsia" w:ascii="宋体" w:hAnsi="宋体" w:cs="宋体"/>
                <w:b/>
                <w:color w:val="auto"/>
                <w:sz w:val="24"/>
                <w:highlight w:val="none"/>
              </w:rPr>
              <w:t>评 审 标 准</w:t>
            </w:r>
          </w:p>
        </w:tc>
      </w:tr>
      <w:tr w14:paraId="72D22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95" w:hRule="atLeast"/>
          <w:jc w:val="center"/>
        </w:trPr>
        <w:tc>
          <w:tcPr>
            <w:tcW w:w="1192" w:type="dxa"/>
            <w:vMerge w:val="continue"/>
            <w:vAlign w:val="center"/>
          </w:tcPr>
          <w:p w14:paraId="4F9C7AAE">
            <w:pPr>
              <w:spacing w:line="480" w:lineRule="exact"/>
              <w:jc w:val="center"/>
              <w:rPr>
                <w:rFonts w:ascii="宋体" w:hAnsi="宋体" w:cs="宋体"/>
                <w:color w:val="auto"/>
                <w:sz w:val="24"/>
                <w:highlight w:val="none"/>
              </w:rPr>
            </w:pPr>
          </w:p>
        </w:tc>
        <w:tc>
          <w:tcPr>
            <w:tcW w:w="1996" w:type="dxa"/>
            <w:vAlign w:val="center"/>
          </w:tcPr>
          <w:p w14:paraId="41E44348">
            <w:pPr>
              <w:spacing w:line="480" w:lineRule="exact"/>
              <w:jc w:val="center"/>
              <w:rPr>
                <w:rFonts w:hAnsi="宋体" w:cs="宋体"/>
                <w:color w:val="auto"/>
                <w:sz w:val="24"/>
                <w:highlight w:val="none"/>
              </w:rPr>
            </w:pPr>
            <w:r>
              <w:rPr>
                <w:rFonts w:hint="eastAsia" w:ascii="宋体" w:hAnsi="宋体" w:cs="宋体"/>
                <w:color w:val="auto"/>
                <w:sz w:val="24"/>
                <w:highlight w:val="none"/>
              </w:rPr>
              <w:t>具有独立承担民事责任的能力</w:t>
            </w:r>
          </w:p>
        </w:tc>
        <w:tc>
          <w:tcPr>
            <w:tcW w:w="5981" w:type="dxa"/>
            <w:vAlign w:val="center"/>
          </w:tcPr>
          <w:p w14:paraId="3AE4FBFE">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经国家工商行政管理部门登记注册的独立企业（事业）法人或其他组织，能合法提供采购内容及其相应的服务能力，具备有效的营业执照（事业单位法人证书）或其他主体资格证明文件</w:t>
            </w:r>
            <w:r>
              <w:rPr>
                <w:rFonts w:hint="eastAsia" w:ascii="宋体" w:hAnsi="宋体" w:cs="宋体"/>
                <w:color w:val="auto"/>
                <w:kern w:val="0"/>
                <w:sz w:val="24"/>
                <w:highlight w:val="none"/>
              </w:rPr>
              <w:t>。</w:t>
            </w:r>
          </w:p>
          <w:p w14:paraId="53687F76">
            <w:pPr>
              <w:spacing w:line="480" w:lineRule="exact"/>
              <w:ind w:firstLine="482" w:firstLineChars="200"/>
              <w:jc w:val="left"/>
              <w:rPr>
                <w:rFonts w:ascii="宋体" w:hAnsi="宋体"/>
                <w:color w:val="auto"/>
                <w:sz w:val="24"/>
                <w:highlight w:val="none"/>
              </w:rPr>
            </w:pPr>
            <w:r>
              <w:rPr>
                <w:rFonts w:hint="eastAsia" w:ascii="宋体" w:hAnsi="宋体"/>
                <w:b/>
                <w:color w:val="auto"/>
                <w:sz w:val="24"/>
                <w:highlight w:val="none"/>
              </w:rPr>
              <w:t>审核材料：</w:t>
            </w:r>
            <w:r>
              <w:rPr>
                <w:rFonts w:hint="eastAsia" w:ascii="宋体" w:hAnsi="宋体"/>
                <w:color w:val="auto"/>
                <w:sz w:val="24"/>
                <w:highlight w:val="none"/>
              </w:rPr>
              <w:t>营业执照</w:t>
            </w:r>
            <w:r>
              <w:rPr>
                <w:rFonts w:hint="eastAsia" w:ascii="宋体" w:hAnsi="宋体" w:cs="宋体"/>
                <w:color w:val="auto"/>
                <w:sz w:val="24"/>
                <w:highlight w:val="none"/>
              </w:rPr>
              <w:t>（事业单位法人证书）</w:t>
            </w:r>
            <w:r>
              <w:rPr>
                <w:rFonts w:hint="eastAsia" w:ascii="宋体" w:hAnsi="宋体" w:cs="宋体"/>
                <w:color w:val="auto"/>
                <w:kern w:val="0"/>
                <w:sz w:val="24"/>
                <w:highlight w:val="none"/>
              </w:rPr>
              <w:t>或其他主体资格证明文件</w:t>
            </w:r>
            <w:r>
              <w:rPr>
                <w:rFonts w:hint="eastAsia" w:ascii="宋体" w:hAnsi="宋体"/>
                <w:color w:val="auto"/>
                <w:sz w:val="24"/>
                <w:highlight w:val="none"/>
              </w:rPr>
              <w:t>复印件（扫描件）加盖公章。</w:t>
            </w:r>
          </w:p>
          <w:p w14:paraId="5286B859">
            <w:pPr>
              <w:spacing w:line="480" w:lineRule="exact"/>
              <w:ind w:firstLine="482" w:firstLineChars="200"/>
              <w:jc w:val="left"/>
              <w:rPr>
                <w:rFonts w:hAnsi="宋体"/>
                <w:b/>
                <w:color w:val="auto"/>
                <w:sz w:val="24"/>
                <w:highlight w:val="none"/>
              </w:rPr>
            </w:pPr>
            <w:r>
              <w:rPr>
                <w:rFonts w:hint="eastAsia" w:ascii="宋体" w:hAnsi="宋体"/>
                <w:b/>
                <w:color w:val="auto"/>
                <w:sz w:val="24"/>
                <w:highlight w:val="none"/>
              </w:rPr>
              <w:t>是否需要核验原件：否。</w:t>
            </w:r>
          </w:p>
        </w:tc>
      </w:tr>
      <w:tr w14:paraId="083FB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27" w:hRule="atLeast"/>
          <w:jc w:val="center"/>
        </w:trPr>
        <w:tc>
          <w:tcPr>
            <w:tcW w:w="1192" w:type="dxa"/>
            <w:vMerge w:val="continue"/>
            <w:vAlign w:val="center"/>
          </w:tcPr>
          <w:p w14:paraId="736220F4">
            <w:pPr>
              <w:spacing w:line="480" w:lineRule="exact"/>
              <w:jc w:val="center"/>
              <w:rPr>
                <w:rFonts w:ascii="宋体" w:hAnsi="宋体" w:cs="宋体"/>
                <w:color w:val="auto"/>
                <w:sz w:val="24"/>
                <w:highlight w:val="none"/>
              </w:rPr>
            </w:pPr>
          </w:p>
        </w:tc>
        <w:tc>
          <w:tcPr>
            <w:tcW w:w="1996" w:type="dxa"/>
            <w:vAlign w:val="center"/>
          </w:tcPr>
          <w:p w14:paraId="7B7BC420">
            <w:pPr>
              <w:spacing w:line="480" w:lineRule="exact"/>
              <w:jc w:val="center"/>
              <w:rPr>
                <w:rFonts w:ascii="宋体" w:hAnsi="宋体" w:cs="宋体"/>
                <w:color w:val="auto"/>
                <w:sz w:val="24"/>
                <w:highlight w:val="none"/>
              </w:rPr>
            </w:pPr>
            <w:r>
              <w:rPr>
                <w:rFonts w:hint="eastAsia" w:ascii="宋体" w:hAnsi="宋体"/>
                <w:color w:val="auto"/>
                <w:sz w:val="24"/>
                <w:highlight w:val="none"/>
              </w:rPr>
              <w:t>具有履行合同所必须的设备和专业技术能力</w:t>
            </w:r>
          </w:p>
        </w:tc>
        <w:tc>
          <w:tcPr>
            <w:tcW w:w="5981" w:type="dxa"/>
            <w:vAlign w:val="center"/>
          </w:tcPr>
          <w:p w14:paraId="33BFF4DB">
            <w:pPr>
              <w:spacing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具有履行合同所必须的设备和专业技术能力。</w:t>
            </w:r>
          </w:p>
          <w:p w14:paraId="5B8D3D90">
            <w:pPr>
              <w:spacing w:line="480" w:lineRule="exact"/>
              <w:ind w:firstLine="482" w:firstLineChars="200"/>
              <w:jc w:val="left"/>
              <w:rPr>
                <w:rFonts w:ascii="宋体" w:hAnsi="宋体"/>
                <w:color w:val="auto"/>
                <w:sz w:val="24"/>
                <w:highlight w:val="none"/>
              </w:rPr>
            </w:pPr>
            <w:r>
              <w:rPr>
                <w:rFonts w:hint="eastAsia" w:ascii="宋体" w:hAnsi="宋体"/>
                <w:b/>
                <w:color w:val="auto"/>
                <w:sz w:val="24"/>
                <w:highlight w:val="none"/>
              </w:rPr>
              <w:t>审核材料：</w:t>
            </w:r>
            <w:r>
              <w:rPr>
                <w:rFonts w:hint="eastAsia" w:ascii="宋体" w:hAnsi="宋体"/>
                <w:color w:val="auto"/>
                <w:sz w:val="24"/>
                <w:highlight w:val="none"/>
              </w:rPr>
              <w:t>书面声明或相关证明材料扫描件（复印件）加盖公章。</w:t>
            </w:r>
          </w:p>
          <w:p w14:paraId="7A3B5A22">
            <w:pPr>
              <w:spacing w:line="480" w:lineRule="exact"/>
              <w:ind w:firstLine="482" w:firstLineChars="200"/>
              <w:jc w:val="left"/>
              <w:rPr>
                <w:rFonts w:ascii="宋体" w:hAnsi="宋体"/>
                <w:b/>
                <w:color w:val="auto"/>
                <w:sz w:val="24"/>
                <w:highlight w:val="none"/>
              </w:rPr>
            </w:pPr>
            <w:r>
              <w:rPr>
                <w:rFonts w:hint="eastAsia" w:ascii="宋体" w:hAnsi="宋体"/>
                <w:b/>
                <w:color w:val="auto"/>
                <w:sz w:val="24"/>
                <w:highlight w:val="none"/>
              </w:rPr>
              <w:t>是否需要核验原件：</w:t>
            </w:r>
            <w:r>
              <w:rPr>
                <w:rFonts w:ascii="宋体" w:hAnsi="宋体"/>
                <w:b/>
                <w:color w:val="auto"/>
                <w:sz w:val="24"/>
                <w:highlight w:val="none"/>
              </w:rPr>
              <w:t>否</w:t>
            </w:r>
            <w:r>
              <w:rPr>
                <w:rFonts w:hint="eastAsia" w:ascii="宋体" w:hAnsi="宋体"/>
                <w:b/>
                <w:color w:val="auto"/>
                <w:sz w:val="24"/>
                <w:highlight w:val="none"/>
              </w:rPr>
              <w:t>。</w:t>
            </w:r>
          </w:p>
        </w:tc>
      </w:tr>
      <w:tr w14:paraId="2DA99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47" w:hRule="atLeast"/>
          <w:jc w:val="center"/>
        </w:trPr>
        <w:tc>
          <w:tcPr>
            <w:tcW w:w="1192" w:type="dxa"/>
            <w:vMerge w:val="continue"/>
            <w:vAlign w:val="center"/>
          </w:tcPr>
          <w:p w14:paraId="14FA2D89">
            <w:pPr>
              <w:spacing w:line="480" w:lineRule="exact"/>
              <w:jc w:val="center"/>
              <w:rPr>
                <w:rFonts w:ascii="宋体" w:hAnsi="宋体" w:cs="宋体"/>
                <w:color w:val="auto"/>
                <w:sz w:val="24"/>
                <w:highlight w:val="none"/>
              </w:rPr>
            </w:pPr>
          </w:p>
        </w:tc>
        <w:tc>
          <w:tcPr>
            <w:tcW w:w="1996" w:type="dxa"/>
            <w:vAlign w:val="center"/>
          </w:tcPr>
          <w:p w14:paraId="195ABB0C">
            <w:pPr>
              <w:spacing w:line="480" w:lineRule="exact"/>
              <w:jc w:val="center"/>
              <w:rPr>
                <w:rFonts w:ascii="宋体" w:hAnsi="宋体" w:cs="宋体"/>
                <w:color w:val="auto"/>
                <w:sz w:val="24"/>
                <w:highlight w:val="none"/>
              </w:rPr>
            </w:pPr>
            <w:r>
              <w:rPr>
                <w:rFonts w:hint="eastAsia" w:ascii="宋体" w:hAnsi="宋体" w:cs="宋体"/>
                <w:color w:val="auto"/>
                <w:sz w:val="24"/>
                <w:highlight w:val="none"/>
              </w:rPr>
              <w:t>信誉良好</w:t>
            </w:r>
          </w:p>
        </w:tc>
        <w:tc>
          <w:tcPr>
            <w:tcW w:w="5981" w:type="dxa"/>
            <w:vAlign w:val="center"/>
          </w:tcPr>
          <w:p w14:paraId="5D8CD9D4">
            <w:pPr>
              <w:spacing w:line="480" w:lineRule="exact"/>
              <w:jc w:val="left"/>
              <w:rPr>
                <w:rFonts w:ascii="宋体" w:hAnsi="宋体" w:cs="宋体"/>
                <w:color w:val="auto"/>
                <w:sz w:val="24"/>
                <w:highlight w:val="none"/>
              </w:rPr>
            </w:pPr>
            <w:r>
              <w:rPr>
                <w:rFonts w:hint="eastAsia" w:ascii="宋体" w:hAnsi="宋体" w:cs="宋体"/>
                <w:color w:val="auto"/>
                <w:sz w:val="24"/>
                <w:highlight w:val="none"/>
              </w:rPr>
              <w:t xml:space="preserve">    1、没有被处于被责令停产，财产被冻结、接管、破产状态，近三年在经营活动中没有重大违</w:t>
            </w:r>
            <w:bookmarkStart w:id="302" w:name="_GoBack"/>
            <w:bookmarkEnd w:id="302"/>
            <w:r>
              <w:rPr>
                <w:rFonts w:hint="eastAsia" w:ascii="宋体" w:hAnsi="宋体" w:cs="宋体"/>
                <w:color w:val="auto"/>
                <w:sz w:val="24"/>
                <w:highlight w:val="none"/>
              </w:rPr>
              <w:t>法记录；</w:t>
            </w:r>
          </w:p>
          <w:p w14:paraId="17DCE15D">
            <w:pPr>
              <w:spacing w:line="480" w:lineRule="exact"/>
              <w:ind w:firstLine="480" w:firstLineChars="200"/>
              <w:jc w:val="left"/>
              <w:rPr>
                <w:color w:val="auto"/>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在投标截止时间前未被列入“信用中国”网站(www.creditchina.gov.cn)失信被执行人、重大税收违法失信主体及中国政府采购网 (www.ccgp.gov.cn)“政府采购严重违法失信行为信息记录”</w:t>
            </w:r>
            <w:r>
              <w:rPr>
                <w:rFonts w:hint="eastAsia" w:ascii="宋体" w:hAnsi="宋体"/>
                <w:color w:val="auto"/>
                <w:sz w:val="24"/>
                <w:highlight w:val="none"/>
              </w:rPr>
              <w:t>。</w:t>
            </w:r>
          </w:p>
          <w:p w14:paraId="098684F4">
            <w:pPr>
              <w:spacing w:line="480" w:lineRule="exact"/>
              <w:ind w:firstLine="482" w:firstLineChars="200"/>
              <w:jc w:val="left"/>
              <w:rPr>
                <w:rFonts w:ascii="宋体" w:hAnsi="宋体"/>
                <w:color w:val="auto"/>
                <w:sz w:val="24"/>
                <w:highlight w:val="none"/>
              </w:rPr>
            </w:pPr>
            <w:r>
              <w:rPr>
                <w:rFonts w:hint="eastAsia" w:ascii="宋体" w:hAnsi="宋体"/>
                <w:b/>
                <w:color w:val="auto"/>
                <w:sz w:val="24"/>
                <w:highlight w:val="none"/>
              </w:rPr>
              <w:t>审核材料：</w:t>
            </w:r>
            <w:r>
              <w:rPr>
                <w:rFonts w:hint="eastAsia" w:ascii="宋体" w:hAnsi="宋体"/>
                <w:color w:val="auto"/>
                <w:sz w:val="24"/>
                <w:highlight w:val="none"/>
              </w:rPr>
              <w:t>书面声明。</w:t>
            </w:r>
          </w:p>
          <w:p w14:paraId="0EF59593">
            <w:pPr>
              <w:spacing w:line="480" w:lineRule="exact"/>
              <w:ind w:firstLine="482" w:firstLineChars="200"/>
              <w:jc w:val="left"/>
              <w:rPr>
                <w:rFonts w:ascii="宋体" w:hAnsi="宋体"/>
                <w:b/>
                <w:color w:val="auto"/>
                <w:sz w:val="24"/>
                <w:highlight w:val="none"/>
              </w:rPr>
            </w:pPr>
            <w:r>
              <w:rPr>
                <w:rFonts w:hint="eastAsia" w:ascii="宋体" w:hAnsi="宋体"/>
                <w:b/>
                <w:color w:val="auto"/>
                <w:sz w:val="24"/>
                <w:highlight w:val="none"/>
              </w:rPr>
              <w:t>是否需要核验原件：</w:t>
            </w:r>
            <w:r>
              <w:rPr>
                <w:rFonts w:ascii="宋体" w:hAnsi="宋体"/>
                <w:color w:val="auto"/>
                <w:sz w:val="24"/>
                <w:highlight w:val="none"/>
              </w:rPr>
              <w:t>否</w:t>
            </w:r>
            <w:r>
              <w:rPr>
                <w:rFonts w:hint="eastAsia" w:ascii="宋体" w:hAnsi="宋体"/>
                <w:b/>
                <w:color w:val="auto"/>
                <w:sz w:val="24"/>
                <w:highlight w:val="none"/>
              </w:rPr>
              <w:t>。</w:t>
            </w:r>
          </w:p>
        </w:tc>
      </w:tr>
      <w:tr w14:paraId="4D150D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8" w:hRule="atLeast"/>
          <w:jc w:val="center"/>
        </w:trPr>
        <w:tc>
          <w:tcPr>
            <w:tcW w:w="1192" w:type="dxa"/>
            <w:vMerge w:val="continue"/>
            <w:vAlign w:val="center"/>
          </w:tcPr>
          <w:p w14:paraId="5C825742">
            <w:pPr>
              <w:spacing w:line="480" w:lineRule="exact"/>
              <w:jc w:val="center"/>
              <w:rPr>
                <w:rFonts w:ascii="宋体" w:hAnsi="宋体" w:cs="宋体"/>
                <w:color w:val="auto"/>
                <w:sz w:val="24"/>
                <w:highlight w:val="none"/>
              </w:rPr>
            </w:pPr>
          </w:p>
        </w:tc>
        <w:tc>
          <w:tcPr>
            <w:tcW w:w="1996" w:type="dxa"/>
            <w:vAlign w:val="center"/>
          </w:tcPr>
          <w:p w14:paraId="09BB4DA8">
            <w:pPr>
              <w:spacing w:line="480" w:lineRule="exact"/>
              <w:jc w:val="center"/>
              <w:rPr>
                <w:rFonts w:ascii="宋体" w:hAnsi="宋体"/>
                <w:color w:val="auto"/>
                <w:sz w:val="24"/>
                <w:highlight w:val="none"/>
              </w:rPr>
            </w:pPr>
            <w:r>
              <w:rPr>
                <w:rFonts w:hint="eastAsia" w:ascii="宋体" w:hAnsi="宋体" w:cs="宋体"/>
                <w:color w:val="auto"/>
                <w:sz w:val="24"/>
                <w:highlight w:val="none"/>
              </w:rPr>
              <w:t>具有良好的商业信誉和健全的财务会计制度</w:t>
            </w:r>
          </w:p>
        </w:tc>
        <w:tc>
          <w:tcPr>
            <w:tcW w:w="5981" w:type="dxa"/>
            <w:vAlign w:val="center"/>
          </w:tcPr>
          <w:p w14:paraId="77011E52">
            <w:pPr>
              <w:spacing w:line="48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提供2022年至今任意一年经审计的财务报告及相应的财务报表【含资产负债表、利润表（或损益表）、现金流量表】</w:t>
            </w:r>
            <w:r>
              <w:rPr>
                <w:rFonts w:hint="eastAsia" w:ascii="宋体" w:hAnsi="宋体" w:cs="宋体"/>
                <w:color w:val="auto"/>
                <w:sz w:val="24"/>
                <w:highlight w:val="none"/>
                <w:u w:val="none"/>
                <w:lang w:eastAsia="zh-CN"/>
              </w:rPr>
              <w:t>（</w:t>
            </w:r>
            <w:r>
              <w:rPr>
                <w:rFonts w:hint="eastAsia" w:ascii="宋体" w:hAnsi="宋体" w:cs="宋体"/>
                <w:color w:val="auto"/>
                <w:sz w:val="24"/>
                <w:highlight w:val="none"/>
                <w:u w:val="none"/>
              </w:rPr>
              <w:t>成立</w:t>
            </w:r>
            <w:r>
              <w:rPr>
                <w:rFonts w:hint="eastAsia" w:ascii="宋体" w:hAnsi="宋体" w:cs="宋体"/>
                <w:color w:val="auto"/>
                <w:sz w:val="24"/>
                <w:highlight w:val="none"/>
                <w:u w:val="none"/>
                <w:lang w:val="en-US" w:eastAsia="zh-CN"/>
              </w:rPr>
              <w:t>未</w:t>
            </w:r>
            <w:r>
              <w:rPr>
                <w:rFonts w:hint="eastAsia" w:ascii="宋体" w:hAnsi="宋体" w:cs="宋体"/>
                <w:color w:val="auto"/>
                <w:sz w:val="24"/>
                <w:highlight w:val="none"/>
                <w:u w:val="none"/>
              </w:rPr>
              <w:t>满1年的，提供自成立至今的财务报表</w:t>
            </w:r>
            <w:r>
              <w:rPr>
                <w:rFonts w:hint="eastAsia" w:ascii="宋体" w:hAnsi="宋体" w:cs="宋体"/>
                <w:color w:val="auto"/>
                <w:sz w:val="24"/>
                <w:highlight w:val="none"/>
                <w:u w:val="none"/>
                <w:lang w:eastAsia="zh-CN"/>
              </w:rPr>
              <w:t>【含资产负债表、利润表（或损益表）、现金流量表】）或提供自</w:t>
            </w:r>
            <w:r>
              <w:rPr>
                <w:rFonts w:hint="eastAsia" w:ascii="宋体" w:hAnsi="宋体" w:cs="宋体"/>
                <w:color w:val="auto"/>
                <w:sz w:val="24"/>
                <w:highlight w:val="none"/>
                <w:u w:val="none"/>
                <w:lang w:val="en-US" w:eastAsia="zh-CN"/>
              </w:rPr>
              <w:t>投标</w:t>
            </w:r>
            <w:r>
              <w:rPr>
                <w:rFonts w:hint="eastAsia" w:ascii="宋体" w:hAnsi="宋体" w:cs="宋体"/>
                <w:color w:val="auto"/>
                <w:sz w:val="24"/>
                <w:highlight w:val="none"/>
                <w:u w:val="none"/>
                <w:lang w:eastAsia="zh-CN"/>
              </w:rPr>
              <w:t>文件递交截止时间前</w:t>
            </w:r>
            <w:r>
              <w:rPr>
                <w:rFonts w:hint="eastAsia" w:ascii="宋体" w:hAnsi="宋体" w:cs="宋体"/>
                <w:color w:val="auto"/>
                <w:sz w:val="24"/>
                <w:highlight w:val="none"/>
                <w:u w:val="none"/>
                <w:lang w:val="en-US" w:eastAsia="zh-CN"/>
              </w:rPr>
              <w:t>3个月内基本开户银行出具的资信证明</w:t>
            </w:r>
            <w:r>
              <w:rPr>
                <w:rFonts w:hint="eastAsia" w:ascii="宋体" w:hAnsi="宋体" w:cs="宋体"/>
                <w:color w:val="auto"/>
                <w:sz w:val="24"/>
                <w:highlight w:val="none"/>
                <w:lang w:eastAsia="zh-CN"/>
              </w:rPr>
              <w:t>。</w:t>
            </w:r>
          </w:p>
          <w:p w14:paraId="1804E150">
            <w:pPr>
              <w:spacing w:line="480" w:lineRule="exact"/>
              <w:ind w:firstLine="482" w:firstLineChars="200"/>
              <w:jc w:val="left"/>
              <w:rPr>
                <w:rFonts w:ascii="宋体" w:hAnsi="宋体"/>
                <w:color w:val="auto"/>
                <w:sz w:val="24"/>
                <w:highlight w:val="none"/>
              </w:rPr>
            </w:pPr>
            <w:r>
              <w:rPr>
                <w:rFonts w:hint="eastAsia" w:ascii="宋体" w:hAnsi="宋体"/>
                <w:b/>
                <w:color w:val="auto"/>
                <w:sz w:val="24"/>
                <w:highlight w:val="none"/>
              </w:rPr>
              <w:t>审核材料：</w:t>
            </w:r>
            <w:r>
              <w:rPr>
                <w:rFonts w:hint="eastAsia" w:ascii="宋体" w:hAnsi="宋体"/>
                <w:b w:val="0"/>
                <w:bCs/>
                <w:color w:val="000000" w:themeColor="text1"/>
                <w:sz w:val="24"/>
                <w:highlight w:val="none"/>
                <w:lang w:eastAsia="zh-CN"/>
                <w14:textFill>
                  <w14:solidFill>
                    <w14:schemeClr w14:val="tx1"/>
                  </w14:solidFill>
                </w14:textFill>
              </w:rPr>
              <w:t>经审计的财务报告及相应的财务报表</w:t>
            </w:r>
            <w:r>
              <w:rPr>
                <w:rFonts w:hint="eastAsia" w:ascii="宋体" w:hAnsi="宋体"/>
                <w:b w:val="0"/>
                <w:bCs/>
                <w:color w:val="000000" w:themeColor="text1"/>
                <w:sz w:val="24"/>
                <w:highlight w:val="none"/>
                <w14:textFill>
                  <w14:solidFill>
                    <w14:schemeClr w14:val="tx1"/>
                  </w14:solidFill>
                </w14:textFill>
              </w:rPr>
              <w:t>或提供自</w:t>
            </w:r>
            <w:r>
              <w:rPr>
                <w:rFonts w:hint="eastAsia" w:ascii="宋体" w:hAnsi="宋体"/>
                <w:b w:val="0"/>
                <w:bCs/>
                <w:color w:val="000000" w:themeColor="text1"/>
                <w:sz w:val="24"/>
                <w:highlight w:val="none"/>
                <w:lang w:eastAsia="zh-CN"/>
                <w14:textFill>
                  <w14:solidFill>
                    <w14:schemeClr w14:val="tx1"/>
                  </w14:solidFill>
                </w14:textFill>
              </w:rPr>
              <w:t>投标</w:t>
            </w:r>
            <w:r>
              <w:rPr>
                <w:rFonts w:hint="eastAsia" w:ascii="宋体" w:hAnsi="宋体"/>
                <w:b w:val="0"/>
                <w:bCs/>
                <w:color w:val="000000" w:themeColor="text1"/>
                <w:sz w:val="24"/>
                <w:highlight w:val="none"/>
                <w14:textFill>
                  <w14:solidFill>
                    <w14:schemeClr w14:val="tx1"/>
                  </w14:solidFill>
                </w14:textFill>
              </w:rPr>
              <w:t>文件递交截止时间前3个月内基本开户银行出具的资信证明扫</w:t>
            </w:r>
            <w:r>
              <w:rPr>
                <w:rFonts w:hint="eastAsia" w:ascii="宋体" w:hAnsi="宋体"/>
                <w:color w:val="000000" w:themeColor="text1"/>
                <w:sz w:val="24"/>
                <w:highlight w:val="none"/>
                <w14:textFill>
                  <w14:solidFill>
                    <w14:schemeClr w14:val="tx1"/>
                  </w14:solidFill>
                </w14:textFill>
              </w:rPr>
              <w:t>描件（复印件）加盖公章</w:t>
            </w:r>
            <w:r>
              <w:rPr>
                <w:rFonts w:hint="eastAsia" w:ascii="宋体" w:hAnsi="宋体" w:eastAsia="宋体" w:cs="宋体"/>
                <w:color w:val="000000" w:themeColor="text1"/>
                <w:sz w:val="24"/>
                <w:highlight w:val="none"/>
                <w14:textFill>
                  <w14:solidFill>
                    <w14:schemeClr w14:val="tx1"/>
                  </w14:solidFill>
                </w14:textFill>
              </w:rPr>
              <w:t>。</w:t>
            </w:r>
          </w:p>
          <w:p w14:paraId="0671CB46">
            <w:pPr>
              <w:spacing w:line="480" w:lineRule="exact"/>
              <w:ind w:firstLine="482" w:firstLineChars="200"/>
              <w:jc w:val="left"/>
              <w:rPr>
                <w:rFonts w:ascii="宋体" w:hAnsi="宋体"/>
                <w:b/>
                <w:color w:val="auto"/>
                <w:sz w:val="24"/>
                <w:highlight w:val="none"/>
              </w:rPr>
            </w:pPr>
            <w:r>
              <w:rPr>
                <w:rFonts w:hint="eastAsia" w:ascii="宋体" w:hAnsi="宋体"/>
                <w:b/>
                <w:color w:val="auto"/>
                <w:sz w:val="24"/>
                <w:highlight w:val="none"/>
              </w:rPr>
              <w:t>是否需要核验原件：</w:t>
            </w:r>
            <w:r>
              <w:rPr>
                <w:rFonts w:ascii="宋体" w:hAnsi="宋体"/>
                <w:color w:val="auto"/>
                <w:sz w:val="24"/>
                <w:highlight w:val="none"/>
              </w:rPr>
              <w:t>否</w:t>
            </w:r>
            <w:r>
              <w:rPr>
                <w:rFonts w:hint="eastAsia" w:ascii="宋体" w:hAnsi="宋体"/>
                <w:b/>
                <w:color w:val="auto"/>
                <w:sz w:val="24"/>
                <w:highlight w:val="none"/>
              </w:rPr>
              <w:t>。</w:t>
            </w:r>
          </w:p>
        </w:tc>
      </w:tr>
      <w:tr w14:paraId="75A2E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52" w:hRule="atLeast"/>
          <w:jc w:val="center"/>
        </w:trPr>
        <w:tc>
          <w:tcPr>
            <w:tcW w:w="1192" w:type="dxa"/>
            <w:vMerge w:val="continue"/>
            <w:vAlign w:val="center"/>
          </w:tcPr>
          <w:p w14:paraId="792D31D5">
            <w:pPr>
              <w:spacing w:line="480" w:lineRule="exact"/>
              <w:jc w:val="center"/>
              <w:rPr>
                <w:rFonts w:ascii="宋体" w:hAnsi="宋体" w:cs="宋体"/>
                <w:color w:val="auto"/>
                <w:sz w:val="24"/>
                <w:highlight w:val="none"/>
              </w:rPr>
            </w:pPr>
          </w:p>
        </w:tc>
        <w:tc>
          <w:tcPr>
            <w:tcW w:w="1996" w:type="dxa"/>
            <w:vAlign w:val="center"/>
          </w:tcPr>
          <w:p w14:paraId="3E6DDE90">
            <w:pPr>
              <w:spacing w:line="480" w:lineRule="exact"/>
              <w:jc w:val="center"/>
              <w:rPr>
                <w:rFonts w:hint="eastAsia" w:ascii="宋体" w:hAnsi="宋体" w:cs="宋体"/>
                <w:color w:val="auto"/>
                <w:sz w:val="24"/>
                <w:highlight w:val="none"/>
              </w:rPr>
            </w:pPr>
            <w:r>
              <w:rPr>
                <w:rFonts w:hint="eastAsia" w:ascii="宋体" w:hAnsi="宋体" w:cs="宋体"/>
                <w:color w:val="auto"/>
                <w:sz w:val="24"/>
                <w:highlight w:val="none"/>
              </w:rPr>
              <w:t>有依法缴纳税收和社会保障资金的良好记录</w:t>
            </w:r>
          </w:p>
        </w:tc>
        <w:tc>
          <w:tcPr>
            <w:tcW w:w="5981" w:type="dxa"/>
            <w:vAlign w:val="center"/>
          </w:tcPr>
          <w:p w14:paraId="5D8775EF">
            <w:pPr>
              <w:spacing w:line="480" w:lineRule="exact"/>
              <w:ind w:firstLine="480" w:firstLineChars="200"/>
              <w:jc w:val="left"/>
              <w:rPr>
                <w:rFonts w:ascii="宋体" w:hAnsi="宋体"/>
                <w:color w:val="auto"/>
                <w:sz w:val="24"/>
                <w:highlight w:val="none"/>
              </w:rPr>
            </w:pPr>
            <w:r>
              <w:rPr>
                <w:rFonts w:hint="eastAsia" w:ascii="宋体" w:hAnsi="宋体" w:cs="宋体"/>
                <w:color w:val="auto"/>
                <w:sz w:val="24"/>
                <w:highlight w:val="none"/>
              </w:rPr>
              <w:t>提供202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年至今任意</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个月依法缴纳税收和缴纳社会保障资金的证明（依法免税或不需要缴纳社会保障资金的投标人，提供相关证明材料或相关情况说明；新成立的公司提供成立以来的税收和社保资金缴纳凭证或相关情况说明）</w:t>
            </w:r>
            <w:r>
              <w:rPr>
                <w:rFonts w:ascii="宋体" w:hAnsi="宋体"/>
                <w:color w:val="auto"/>
                <w:sz w:val="24"/>
                <w:highlight w:val="none"/>
              </w:rPr>
              <w:t>。</w:t>
            </w:r>
          </w:p>
          <w:p w14:paraId="4C4C2CD1">
            <w:pPr>
              <w:spacing w:line="480" w:lineRule="exact"/>
              <w:ind w:firstLine="482" w:firstLineChars="200"/>
              <w:jc w:val="left"/>
              <w:rPr>
                <w:rFonts w:ascii="宋体" w:hAnsi="宋体"/>
                <w:color w:val="auto"/>
                <w:sz w:val="24"/>
                <w:highlight w:val="none"/>
              </w:rPr>
            </w:pPr>
            <w:r>
              <w:rPr>
                <w:rFonts w:hint="eastAsia" w:ascii="宋体" w:hAnsi="宋体"/>
                <w:b/>
                <w:color w:val="auto"/>
                <w:sz w:val="24"/>
                <w:highlight w:val="none"/>
              </w:rPr>
              <w:t>审核材料：</w:t>
            </w:r>
            <w:r>
              <w:rPr>
                <w:rFonts w:hint="eastAsia" w:ascii="宋体" w:hAnsi="宋体" w:cs="宋体"/>
                <w:color w:val="auto"/>
                <w:sz w:val="24"/>
                <w:highlight w:val="none"/>
              </w:rPr>
              <w:t>依法缴纳税收和社会保障资金的缴纳凭证或相关证明材料或相关情况说明</w:t>
            </w:r>
            <w:r>
              <w:rPr>
                <w:rFonts w:hint="eastAsia" w:ascii="宋体" w:hAnsi="宋体"/>
                <w:color w:val="auto"/>
                <w:sz w:val="24"/>
                <w:highlight w:val="none"/>
              </w:rPr>
              <w:t>扫描件（复印件）加盖公章。</w:t>
            </w:r>
          </w:p>
          <w:p w14:paraId="1B88FCE8">
            <w:pPr>
              <w:spacing w:line="480" w:lineRule="exact"/>
              <w:ind w:firstLine="482" w:firstLineChars="200"/>
              <w:jc w:val="left"/>
              <w:rPr>
                <w:rFonts w:hint="eastAsia" w:ascii="宋体" w:hAnsi="宋体"/>
                <w:b/>
                <w:color w:val="auto"/>
                <w:sz w:val="24"/>
                <w:highlight w:val="none"/>
              </w:rPr>
            </w:pPr>
            <w:r>
              <w:rPr>
                <w:rFonts w:hint="eastAsia" w:ascii="宋体" w:hAnsi="宋体"/>
                <w:b/>
                <w:color w:val="auto"/>
                <w:sz w:val="24"/>
                <w:highlight w:val="none"/>
              </w:rPr>
              <w:t>是否需要核验原件：</w:t>
            </w:r>
            <w:r>
              <w:rPr>
                <w:rFonts w:ascii="宋体" w:hAnsi="宋体"/>
                <w:color w:val="auto"/>
                <w:sz w:val="24"/>
                <w:highlight w:val="none"/>
              </w:rPr>
              <w:t>否</w:t>
            </w:r>
            <w:r>
              <w:rPr>
                <w:rFonts w:hint="eastAsia" w:ascii="宋体" w:hAnsi="宋体"/>
                <w:b/>
                <w:color w:val="auto"/>
                <w:sz w:val="24"/>
                <w:highlight w:val="none"/>
              </w:rPr>
              <w:t>。</w:t>
            </w:r>
          </w:p>
        </w:tc>
      </w:tr>
      <w:tr w14:paraId="25673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07" w:hRule="atLeast"/>
          <w:jc w:val="center"/>
        </w:trPr>
        <w:tc>
          <w:tcPr>
            <w:tcW w:w="1192" w:type="dxa"/>
            <w:vMerge w:val="continue"/>
            <w:vAlign w:val="center"/>
          </w:tcPr>
          <w:p w14:paraId="343E5250">
            <w:pPr>
              <w:spacing w:line="480" w:lineRule="exact"/>
              <w:jc w:val="center"/>
              <w:rPr>
                <w:rFonts w:ascii="宋体" w:hAnsi="宋体" w:cs="宋体"/>
                <w:color w:val="auto"/>
                <w:sz w:val="24"/>
                <w:highlight w:val="none"/>
              </w:rPr>
            </w:pPr>
          </w:p>
        </w:tc>
        <w:tc>
          <w:tcPr>
            <w:tcW w:w="1996" w:type="dxa"/>
            <w:vAlign w:val="center"/>
          </w:tcPr>
          <w:p w14:paraId="78AAEBCE">
            <w:pPr>
              <w:spacing w:line="48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供应商应为中小企业</w:t>
            </w:r>
          </w:p>
        </w:tc>
        <w:tc>
          <w:tcPr>
            <w:tcW w:w="5981" w:type="dxa"/>
            <w:vAlign w:val="center"/>
          </w:tcPr>
          <w:p w14:paraId="7CEE3C01">
            <w:pPr>
              <w:spacing w:line="480" w:lineRule="exact"/>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提供《中小企业声明函》。</w:t>
            </w:r>
          </w:p>
          <w:p w14:paraId="30DE99EC">
            <w:pPr>
              <w:spacing w:line="480" w:lineRule="exact"/>
              <w:ind w:firstLine="482" w:firstLineChars="200"/>
              <w:jc w:val="left"/>
              <w:rPr>
                <w:rFonts w:ascii="宋体" w:hAnsi="宋体"/>
                <w:color w:val="auto"/>
                <w:sz w:val="24"/>
                <w:highlight w:val="none"/>
              </w:rPr>
            </w:pPr>
            <w:r>
              <w:rPr>
                <w:rFonts w:hint="eastAsia" w:ascii="宋体" w:hAnsi="宋体"/>
                <w:b/>
                <w:color w:val="auto"/>
                <w:sz w:val="24"/>
                <w:highlight w:val="none"/>
              </w:rPr>
              <w:t>审核材料：</w:t>
            </w:r>
            <w:r>
              <w:rPr>
                <w:rFonts w:hint="eastAsia" w:ascii="宋体" w:hAnsi="宋体" w:cs="宋体"/>
                <w:color w:val="auto"/>
                <w:sz w:val="24"/>
                <w:highlight w:val="none"/>
                <w:lang w:val="en-US" w:eastAsia="zh-CN"/>
              </w:rPr>
              <w:t>《中小企业声明函》。</w:t>
            </w:r>
          </w:p>
          <w:p w14:paraId="491E89BA">
            <w:pPr>
              <w:spacing w:line="480" w:lineRule="exact"/>
              <w:ind w:firstLine="482" w:firstLineChars="200"/>
              <w:jc w:val="left"/>
              <w:rPr>
                <w:rFonts w:ascii="宋体" w:hAnsi="宋体"/>
                <w:b/>
                <w:color w:val="auto"/>
                <w:sz w:val="24"/>
                <w:highlight w:val="none"/>
              </w:rPr>
            </w:pPr>
            <w:r>
              <w:rPr>
                <w:rFonts w:hint="eastAsia" w:ascii="宋体" w:hAnsi="宋体"/>
                <w:b/>
                <w:color w:val="auto"/>
                <w:sz w:val="24"/>
                <w:highlight w:val="none"/>
              </w:rPr>
              <w:t>是否需要核验原件：</w:t>
            </w:r>
            <w:r>
              <w:rPr>
                <w:rFonts w:ascii="宋体" w:hAnsi="宋体"/>
                <w:color w:val="auto"/>
                <w:sz w:val="24"/>
                <w:highlight w:val="none"/>
              </w:rPr>
              <w:t>否</w:t>
            </w:r>
            <w:r>
              <w:rPr>
                <w:rFonts w:hint="eastAsia" w:ascii="宋体" w:hAnsi="宋体"/>
                <w:b/>
                <w:color w:val="auto"/>
                <w:sz w:val="24"/>
                <w:highlight w:val="none"/>
              </w:rPr>
              <w:t>。</w:t>
            </w:r>
          </w:p>
        </w:tc>
      </w:tr>
    </w:tbl>
    <w:p w14:paraId="78D7BDF0">
      <w:pPr>
        <w:spacing w:line="480" w:lineRule="exact"/>
        <w:rPr>
          <w:rFonts w:ascii="宋体" w:hAnsi="宋体"/>
          <w:b/>
          <w:color w:val="auto"/>
          <w:sz w:val="24"/>
          <w:highlight w:val="none"/>
        </w:rPr>
      </w:pPr>
    </w:p>
    <w:p w14:paraId="0E54B88A">
      <w:pPr>
        <w:pStyle w:val="6"/>
        <w:rPr>
          <w:rFonts w:ascii="宋体" w:hAnsi="宋体"/>
          <w:b/>
          <w:color w:val="auto"/>
          <w:sz w:val="24"/>
          <w:highlight w:val="none"/>
        </w:rPr>
      </w:pPr>
    </w:p>
    <w:p w14:paraId="547D3ACC">
      <w:pPr>
        <w:rPr>
          <w:rFonts w:ascii="宋体" w:hAnsi="宋体"/>
          <w:b/>
          <w:color w:val="auto"/>
          <w:sz w:val="24"/>
          <w:highlight w:val="none"/>
        </w:rPr>
      </w:pPr>
    </w:p>
    <w:p w14:paraId="0D5CFD2B">
      <w:pPr>
        <w:pStyle w:val="6"/>
        <w:rPr>
          <w:rFonts w:ascii="宋体" w:hAnsi="宋体"/>
          <w:b/>
          <w:color w:val="auto"/>
          <w:sz w:val="24"/>
          <w:highlight w:val="none"/>
        </w:rPr>
      </w:pPr>
    </w:p>
    <w:p w14:paraId="4A024D29">
      <w:pPr>
        <w:rPr>
          <w:color w:val="auto"/>
          <w:highlight w:val="none"/>
        </w:rPr>
      </w:pPr>
      <w:bookmarkStart w:id="198" w:name="_Toc36327304"/>
      <w:bookmarkStart w:id="199" w:name="_Toc25269"/>
      <w:bookmarkStart w:id="200" w:name="_Toc1569"/>
    </w:p>
    <w:p w14:paraId="5473B799">
      <w:pPr>
        <w:rPr>
          <w:color w:val="auto"/>
          <w:highlight w:val="none"/>
        </w:rPr>
      </w:pPr>
      <w:r>
        <w:rPr>
          <w:color w:val="auto"/>
          <w:highlight w:val="none"/>
        </w:rPr>
        <w:br w:type="page"/>
      </w:r>
    </w:p>
    <w:p w14:paraId="5C771960">
      <w:pPr>
        <w:pStyle w:val="2"/>
        <w:rPr>
          <w:color w:val="auto"/>
          <w:sz w:val="24"/>
          <w:highlight w:val="none"/>
        </w:rPr>
      </w:pPr>
      <w:r>
        <w:rPr>
          <w:color w:val="auto"/>
          <w:highlight w:val="none"/>
        </w:rPr>
        <w:t>第</w:t>
      </w:r>
      <w:r>
        <w:rPr>
          <w:rFonts w:hint="eastAsia"/>
          <w:color w:val="auto"/>
          <w:highlight w:val="none"/>
        </w:rPr>
        <w:t>六</w:t>
      </w:r>
      <w:r>
        <w:rPr>
          <w:color w:val="auto"/>
          <w:highlight w:val="none"/>
        </w:rPr>
        <w:t>章</w:t>
      </w:r>
      <w:r>
        <w:rPr>
          <w:rFonts w:hint="eastAsia"/>
          <w:color w:val="auto"/>
          <w:highlight w:val="none"/>
        </w:rPr>
        <w:t xml:space="preserve"> </w:t>
      </w:r>
      <w:r>
        <w:rPr>
          <w:color w:val="auto"/>
          <w:highlight w:val="none"/>
        </w:rPr>
        <w:t>评标办法</w:t>
      </w:r>
      <w:r>
        <w:rPr>
          <w:rFonts w:hint="eastAsia"/>
          <w:color w:val="auto"/>
          <w:highlight w:val="none"/>
        </w:rPr>
        <w:t>(综合评分法)</w:t>
      </w:r>
      <w:bookmarkEnd w:id="198"/>
      <w:bookmarkEnd w:id="199"/>
      <w:bookmarkEnd w:id="200"/>
    </w:p>
    <w:p w14:paraId="2A87756C">
      <w:pPr>
        <w:pStyle w:val="3"/>
        <w:tabs>
          <w:tab w:val="left" w:pos="1021"/>
        </w:tabs>
        <w:jc w:val="center"/>
        <w:rPr>
          <w:rFonts w:hAnsi="宋体"/>
          <w:color w:val="auto"/>
          <w:highlight w:val="none"/>
        </w:rPr>
      </w:pPr>
      <w:bookmarkStart w:id="201" w:name="_Toc36327305"/>
      <w:bookmarkStart w:id="202" w:name="_Toc26350399"/>
      <w:bookmarkStart w:id="203" w:name="_Toc83683780"/>
      <w:bookmarkStart w:id="204" w:name="_Toc66976536"/>
      <w:bookmarkStart w:id="205" w:name="_Toc133"/>
      <w:bookmarkStart w:id="206" w:name="_Toc20622"/>
      <w:bookmarkStart w:id="207" w:name="_Toc95915210"/>
      <w:bookmarkStart w:id="208" w:name="_Toc13011"/>
      <w:bookmarkStart w:id="209" w:name="_Toc88350311"/>
      <w:bookmarkStart w:id="210" w:name="_Toc83539043"/>
      <w:bookmarkStart w:id="211" w:name="_Toc78140818"/>
      <w:r>
        <w:rPr>
          <w:rFonts w:hint="eastAsia" w:hAnsi="宋体"/>
          <w:color w:val="auto"/>
          <w:highlight w:val="none"/>
        </w:rPr>
        <w:t>符合性审查</w:t>
      </w:r>
      <w:bookmarkEnd w:id="201"/>
      <w:bookmarkEnd w:id="202"/>
      <w:r>
        <w:rPr>
          <w:rFonts w:hint="eastAsia" w:hAnsi="宋体"/>
          <w:color w:val="auto"/>
          <w:highlight w:val="none"/>
        </w:rPr>
        <w:t>前附表</w:t>
      </w:r>
      <w:bookmarkEnd w:id="203"/>
      <w:bookmarkEnd w:id="204"/>
      <w:bookmarkEnd w:id="205"/>
      <w:bookmarkEnd w:id="206"/>
      <w:bookmarkEnd w:id="207"/>
      <w:bookmarkEnd w:id="208"/>
      <w:bookmarkEnd w:id="209"/>
      <w:bookmarkEnd w:id="210"/>
      <w:bookmarkEnd w:id="211"/>
    </w:p>
    <w:tbl>
      <w:tblPr>
        <w:tblStyle w:val="27"/>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2410"/>
        <w:gridCol w:w="5835"/>
      </w:tblGrid>
      <w:tr w14:paraId="4B39D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335" w:type="dxa"/>
            <w:vMerge w:val="restart"/>
            <w:vAlign w:val="center"/>
          </w:tcPr>
          <w:p w14:paraId="1DB1EBC6">
            <w:pPr>
              <w:jc w:val="center"/>
              <w:rPr>
                <w:rFonts w:ascii="宋体" w:hAnsi="宋体"/>
                <w:b/>
                <w:bCs/>
                <w:color w:val="auto"/>
                <w:sz w:val="24"/>
                <w:highlight w:val="none"/>
              </w:rPr>
            </w:pPr>
            <w:r>
              <w:rPr>
                <w:rFonts w:hint="eastAsia" w:ascii="宋体" w:hAnsi="宋体"/>
                <w:b/>
                <w:bCs/>
                <w:color w:val="auto"/>
                <w:kern w:val="0"/>
                <w:sz w:val="24"/>
                <w:szCs w:val="20"/>
                <w:highlight w:val="none"/>
              </w:rPr>
              <w:t>符合性审查</w:t>
            </w:r>
            <w:r>
              <w:rPr>
                <w:rFonts w:ascii="宋体" w:hAnsi="宋体"/>
                <w:b/>
                <w:bCs/>
                <w:color w:val="auto"/>
                <w:sz w:val="24"/>
                <w:highlight w:val="none"/>
              </w:rPr>
              <w:t>标准</w:t>
            </w:r>
          </w:p>
        </w:tc>
        <w:tc>
          <w:tcPr>
            <w:tcW w:w="2410" w:type="dxa"/>
            <w:vAlign w:val="center"/>
          </w:tcPr>
          <w:p w14:paraId="337FB015">
            <w:pPr>
              <w:jc w:val="center"/>
              <w:rPr>
                <w:rFonts w:ascii="宋体" w:hAnsi="宋体"/>
                <w:b/>
                <w:color w:val="auto"/>
                <w:sz w:val="24"/>
                <w:highlight w:val="none"/>
              </w:rPr>
            </w:pPr>
            <w:r>
              <w:rPr>
                <w:rFonts w:ascii="宋体" w:hAnsi="宋体"/>
                <w:b/>
                <w:color w:val="auto"/>
                <w:sz w:val="24"/>
                <w:highlight w:val="none"/>
              </w:rPr>
              <w:t>评审因素</w:t>
            </w:r>
          </w:p>
        </w:tc>
        <w:tc>
          <w:tcPr>
            <w:tcW w:w="5835" w:type="dxa"/>
            <w:vAlign w:val="center"/>
          </w:tcPr>
          <w:p w14:paraId="0D84F649">
            <w:pPr>
              <w:jc w:val="center"/>
              <w:rPr>
                <w:rFonts w:ascii="宋体" w:hAnsi="宋体"/>
                <w:b/>
                <w:color w:val="auto"/>
                <w:sz w:val="24"/>
                <w:highlight w:val="none"/>
              </w:rPr>
            </w:pPr>
            <w:r>
              <w:rPr>
                <w:rFonts w:ascii="宋体" w:hAnsi="宋体"/>
                <w:b/>
                <w:color w:val="auto"/>
                <w:sz w:val="24"/>
                <w:highlight w:val="none"/>
              </w:rPr>
              <w:t>评审标准</w:t>
            </w:r>
          </w:p>
        </w:tc>
      </w:tr>
      <w:tr w14:paraId="0D802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335" w:type="dxa"/>
            <w:vMerge w:val="continue"/>
            <w:vAlign w:val="center"/>
          </w:tcPr>
          <w:p w14:paraId="2C162F12">
            <w:pPr>
              <w:jc w:val="center"/>
              <w:rPr>
                <w:rFonts w:ascii="宋体" w:hAnsi="宋体"/>
                <w:color w:val="auto"/>
                <w:sz w:val="24"/>
                <w:highlight w:val="none"/>
              </w:rPr>
            </w:pPr>
          </w:p>
        </w:tc>
        <w:tc>
          <w:tcPr>
            <w:tcW w:w="2410" w:type="dxa"/>
            <w:vAlign w:val="center"/>
          </w:tcPr>
          <w:p w14:paraId="05553C32">
            <w:pPr>
              <w:jc w:val="center"/>
              <w:rPr>
                <w:rFonts w:hAnsi="宋体"/>
                <w:color w:val="auto"/>
                <w:sz w:val="24"/>
                <w:highlight w:val="none"/>
              </w:rPr>
            </w:pPr>
            <w:r>
              <w:rPr>
                <w:rFonts w:hint="eastAsia" w:ascii="宋体" w:hAnsi="宋体"/>
                <w:color w:val="auto"/>
                <w:sz w:val="24"/>
                <w:highlight w:val="none"/>
              </w:rPr>
              <w:t>投标保证金</w:t>
            </w:r>
          </w:p>
        </w:tc>
        <w:tc>
          <w:tcPr>
            <w:tcW w:w="5835" w:type="dxa"/>
            <w:vAlign w:val="center"/>
          </w:tcPr>
          <w:p w14:paraId="5E92A28E">
            <w:pPr>
              <w:jc w:val="left"/>
              <w:rPr>
                <w:rFonts w:ascii="宋体" w:hAnsi="宋体"/>
                <w:color w:val="auto"/>
                <w:sz w:val="24"/>
                <w:highlight w:val="none"/>
              </w:rPr>
            </w:pPr>
            <w:r>
              <w:rPr>
                <w:rFonts w:hint="eastAsia" w:ascii="宋体" w:hAnsi="宋体"/>
                <w:color w:val="auto"/>
                <w:sz w:val="24"/>
                <w:highlight w:val="none"/>
              </w:rPr>
              <w:t>未按照招标文件的规定提交投标保证金的，</w:t>
            </w:r>
            <w:r>
              <w:rPr>
                <w:rFonts w:ascii="宋体" w:hAnsi="宋体"/>
                <w:color w:val="auto"/>
                <w:sz w:val="24"/>
                <w:highlight w:val="none"/>
              </w:rPr>
              <w:t>符合性审查不予通过。</w:t>
            </w:r>
          </w:p>
        </w:tc>
      </w:tr>
      <w:tr w14:paraId="15CF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335" w:type="dxa"/>
            <w:vMerge w:val="continue"/>
            <w:vAlign w:val="center"/>
          </w:tcPr>
          <w:p w14:paraId="683B2F79">
            <w:pPr>
              <w:rPr>
                <w:rFonts w:ascii="宋体" w:hAnsi="宋体"/>
                <w:color w:val="auto"/>
                <w:sz w:val="24"/>
                <w:highlight w:val="none"/>
              </w:rPr>
            </w:pPr>
          </w:p>
        </w:tc>
        <w:tc>
          <w:tcPr>
            <w:tcW w:w="2410" w:type="dxa"/>
            <w:vAlign w:val="center"/>
          </w:tcPr>
          <w:p w14:paraId="2B9F09D6">
            <w:pPr>
              <w:jc w:val="center"/>
              <w:rPr>
                <w:rFonts w:ascii="宋体" w:hAnsi="宋体"/>
                <w:color w:val="auto"/>
                <w:sz w:val="24"/>
                <w:highlight w:val="none"/>
              </w:rPr>
            </w:pPr>
            <w:r>
              <w:rPr>
                <w:rFonts w:hint="eastAsia" w:ascii="宋体" w:hAnsi="宋体"/>
                <w:color w:val="auto"/>
                <w:sz w:val="24"/>
                <w:highlight w:val="none"/>
              </w:rPr>
              <w:t>签署、盖章</w:t>
            </w:r>
          </w:p>
        </w:tc>
        <w:tc>
          <w:tcPr>
            <w:tcW w:w="5835" w:type="dxa"/>
            <w:vAlign w:val="center"/>
          </w:tcPr>
          <w:p w14:paraId="57813300">
            <w:pPr>
              <w:jc w:val="left"/>
              <w:rPr>
                <w:rFonts w:ascii="宋体" w:hAnsi="宋体"/>
                <w:color w:val="auto"/>
                <w:sz w:val="24"/>
                <w:highlight w:val="none"/>
              </w:rPr>
            </w:pPr>
            <w:r>
              <w:rPr>
                <w:rFonts w:hint="eastAsia" w:ascii="宋体" w:hAnsi="宋体"/>
                <w:color w:val="auto"/>
                <w:sz w:val="24"/>
                <w:highlight w:val="none"/>
              </w:rPr>
              <w:t>投标文件未按招标文件要求签署、盖章的，</w:t>
            </w:r>
            <w:r>
              <w:rPr>
                <w:rFonts w:ascii="宋体" w:hAnsi="宋体"/>
                <w:color w:val="auto"/>
                <w:sz w:val="24"/>
                <w:highlight w:val="none"/>
              </w:rPr>
              <w:t>符合性审查不予通过。</w:t>
            </w:r>
          </w:p>
        </w:tc>
      </w:tr>
      <w:tr w14:paraId="5F463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335" w:type="dxa"/>
            <w:vMerge w:val="continue"/>
            <w:vAlign w:val="center"/>
          </w:tcPr>
          <w:p w14:paraId="0966F4FA">
            <w:pPr>
              <w:rPr>
                <w:rFonts w:ascii="宋体" w:hAnsi="宋体"/>
                <w:color w:val="auto"/>
                <w:sz w:val="24"/>
                <w:highlight w:val="none"/>
              </w:rPr>
            </w:pPr>
          </w:p>
        </w:tc>
        <w:tc>
          <w:tcPr>
            <w:tcW w:w="2410" w:type="dxa"/>
            <w:vAlign w:val="center"/>
          </w:tcPr>
          <w:p w14:paraId="38641094">
            <w:pPr>
              <w:jc w:val="center"/>
              <w:rPr>
                <w:rFonts w:ascii="宋体" w:hAnsi="宋体"/>
                <w:color w:val="auto"/>
                <w:sz w:val="24"/>
                <w:highlight w:val="none"/>
              </w:rPr>
            </w:pPr>
            <w:r>
              <w:rPr>
                <w:rFonts w:ascii="宋体" w:hAnsi="宋体"/>
                <w:color w:val="auto"/>
                <w:sz w:val="24"/>
                <w:highlight w:val="none"/>
              </w:rPr>
              <w:t>投标报价</w:t>
            </w:r>
          </w:p>
        </w:tc>
        <w:tc>
          <w:tcPr>
            <w:tcW w:w="5835" w:type="dxa"/>
            <w:vAlign w:val="center"/>
          </w:tcPr>
          <w:p w14:paraId="621C45F2">
            <w:pPr>
              <w:jc w:val="left"/>
              <w:rPr>
                <w:rFonts w:ascii="宋体" w:hAnsi="宋体"/>
                <w:color w:val="auto"/>
                <w:sz w:val="24"/>
                <w:highlight w:val="none"/>
              </w:rPr>
            </w:pPr>
            <w:r>
              <w:rPr>
                <w:rFonts w:hint="eastAsia" w:ascii="宋体" w:hAnsi="宋体"/>
                <w:color w:val="auto"/>
                <w:sz w:val="24"/>
                <w:highlight w:val="none"/>
              </w:rPr>
              <w:t>报价未按招标文件要求报价的，</w:t>
            </w:r>
            <w:r>
              <w:rPr>
                <w:rFonts w:ascii="宋体" w:hAnsi="宋体"/>
                <w:color w:val="auto"/>
                <w:sz w:val="24"/>
                <w:highlight w:val="none"/>
              </w:rPr>
              <w:t>符合性审查不予通过。</w:t>
            </w:r>
          </w:p>
        </w:tc>
      </w:tr>
      <w:tr w14:paraId="6E70A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1335" w:type="dxa"/>
            <w:vMerge w:val="continue"/>
            <w:vAlign w:val="center"/>
          </w:tcPr>
          <w:p w14:paraId="57A67A19">
            <w:pPr>
              <w:rPr>
                <w:rFonts w:ascii="宋体" w:hAnsi="宋体"/>
                <w:color w:val="auto"/>
                <w:sz w:val="24"/>
                <w:highlight w:val="none"/>
              </w:rPr>
            </w:pPr>
          </w:p>
        </w:tc>
        <w:tc>
          <w:tcPr>
            <w:tcW w:w="2410" w:type="dxa"/>
            <w:vAlign w:val="center"/>
          </w:tcPr>
          <w:p w14:paraId="6C3C82AB">
            <w:pPr>
              <w:jc w:val="center"/>
              <w:rPr>
                <w:rFonts w:ascii="宋体" w:hAnsi="宋体"/>
                <w:color w:val="auto"/>
                <w:sz w:val="24"/>
                <w:highlight w:val="none"/>
              </w:rPr>
            </w:pPr>
            <w:r>
              <w:rPr>
                <w:rFonts w:hint="eastAsia" w:ascii="宋体" w:hAnsi="宋体"/>
                <w:color w:val="auto"/>
                <w:sz w:val="24"/>
                <w:highlight w:val="none"/>
              </w:rPr>
              <w:t>投标文件内容</w:t>
            </w:r>
          </w:p>
        </w:tc>
        <w:tc>
          <w:tcPr>
            <w:tcW w:w="5835" w:type="dxa"/>
            <w:vAlign w:val="center"/>
          </w:tcPr>
          <w:p w14:paraId="6640B527">
            <w:pPr>
              <w:jc w:val="left"/>
              <w:rPr>
                <w:rFonts w:hint="eastAsia" w:ascii="宋体" w:hAnsi="宋体" w:eastAsia="宋体"/>
                <w:color w:val="auto"/>
                <w:sz w:val="24"/>
                <w:highlight w:val="none"/>
                <w:lang w:eastAsia="zh-CN"/>
              </w:rPr>
            </w:pPr>
            <w:r>
              <w:rPr>
                <w:rFonts w:hint="eastAsia" w:ascii="宋体" w:hAnsi="宋体"/>
                <w:color w:val="auto"/>
                <w:sz w:val="24"/>
                <w:highlight w:val="none"/>
                <w:lang w:eastAsia="zh-CN"/>
              </w:rPr>
              <w:t>投标文件</w:t>
            </w:r>
            <w:r>
              <w:rPr>
                <w:rFonts w:hint="eastAsia" w:ascii="宋体" w:hAnsi="宋体"/>
                <w:color w:val="auto"/>
                <w:sz w:val="24"/>
                <w:highlight w:val="none"/>
              </w:rPr>
              <w:t>是否按第四章“</w:t>
            </w:r>
            <w:r>
              <w:rPr>
                <w:rFonts w:hint="eastAsia" w:ascii="宋体" w:hAnsi="宋体"/>
                <w:color w:val="auto"/>
                <w:sz w:val="24"/>
                <w:highlight w:val="none"/>
                <w:lang w:eastAsia="zh-CN"/>
              </w:rPr>
              <w:t>投标文件</w:t>
            </w:r>
            <w:r>
              <w:rPr>
                <w:rFonts w:hint="eastAsia" w:ascii="宋体" w:hAnsi="宋体"/>
                <w:color w:val="auto"/>
                <w:sz w:val="24"/>
                <w:highlight w:val="none"/>
              </w:rPr>
              <w:t>格式”的要求填写</w:t>
            </w:r>
            <w:r>
              <w:rPr>
                <w:rFonts w:hint="eastAsia" w:ascii="宋体" w:hAnsi="宋体"/>
                <w:color w:val="auto"/>
                <w:sz w:val="24"/>
                <w:highlight w:val="none"/>
                <w:lang w:eastAsia="zh-CN"/>
              </w:rPr>
              <w:t>；</w:t>
            </w:r>
            <w:r>
              <w:rPr>
                <w:rFonts w:hint="eastAsia" w:ascii="宋体" w:hAnsi="宋体"/>
                <w:color w:val="auto"/>
                <w:sz w:val="24"/>
                <w:highlight w:val="none"/>
              </w:rPr>
              <w:t>是否存在内容不全，或关键字迹模糊、无法辩认的</w:t>
            </w:r>
            <w:r>
              <w:rPr>
                <w:rFonts w:hint="eastAsia" w:ascii="宋体" w:hAnsi="宋体"/>
                <w:color w:val="auto"/>
                <w:sz w:val="24"/>
                <w:highlight w:val="none"/>
                <w:lang w:eastAsia="zh-CN"/>
              </w:rPr>
              <w:t>；</w:t>
            </w:r>
            <w:r>
              <w:rPr>
                <w:rFonts w:hint="eastAsia" w:ascii="宋体" w:hAnsi="宋体"/>
                <w:color w:val="auto"/>
                <w:sz w:val="24"/>
                <w:highlight w:val="none"/>
              </w:rPr>
              <w:t>投标文件内容书写潦草、字迹模糊不清难以辨认的</w:t>
            </w:r>
            <w:r>
              <w:rPr>
                <w:rFonts w:hint="eastAsia" w:ascii="宋体" w:hAnsi="宋体"/>
                <w:color w:val="auto"/>
                <w:sz w:val="24"/>
                <w:highlight w:val="none"/>
                <w:lang w:eastAsia="zh-CN"/>
              </w:rPr>
              <w:t>。</w:t>
            </w:r>
          </w:p>
        </w:tc>
      </w:tr>
      <w:tr w14:paraId="26B7F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335" w:type="dxa"/>
            <w:vMerge w:val="continue"/>
            <w:vAlign w:val="center"/>
          </w:tcPr>
          <w:p w14:paraId="35B1B7B1">
            <w:pPr>
              <w:rPr>
                <w:rFonts w:ascii="宋体" w:hAnsi="宋体"/>
                <w:color w:val="auto"/>
                <w:sz w:val="24"/>
                <w:highlight w:val="none"/>
              </w:rPr>
            </w:pPr>
          </w:p>
        </w:tc>
        <w:tc>
          <w:tcPr>
            <w:tcW w:w="2410" w:type="dxa"/>
            <w:vAlign w:val="center"/>
          </w:tcPr>
          <w:p w14:paraId="0BB51D06">
            <w:pPr>
              <w:jc w:val="center"/>
              <w:rPr>
                <w:rFonts w:ascii="宋体" w:hAnsi="宋体"/>
                <w:color w:val="auto"/>
                <w:sz w:val="24"/>
                <w:highlight w:val="none"/>
              </w:rPr>
            </w:pPr>
            <w:r>
              <w:rPr>
                <w:rFonts w:hint="eastAsia" w:ascii="宋体" w:hAnsi="宋体"/>
                <w:color w:val="auto"/>
                <w:sz w:val="24"/>
                <w:highlight w:val="none"/>
              </w:rPr>
              <w:t>串通投标、弄虚作</w:t>
            </w:r>
          </w:p>
          <w:p w14:paraId="5CFD4176">
            <w:pPr>
              <w:jc w:val="center"/>
              <w:rPr>
                <w:rFonts w:ascii="宋体" w:hAnsi="宋体"/>
                <w:color w:val="auto"/>
                <w:sz w:val="24"/>
                <w:highlight w:val="none"/>
              </w:rPr>
            </w:pPr>
            <w:r>
              <w:rPr>
                <w:rFonts w:hint="eastAsia" w:ascii="宋体" w:hAnsi="宋体"/>
                <w:color w:val="auto"/>
                <w:sz w:val="24"/>
                <w:highlight w:val="none"/>
              </w:rPr>
              <w:t>假行为</w:t>
            </w:r>
          </w:p>
        </w:tc>
        <w:tc>
          <w:tcPr>
            <w:tcW w:w="5835" w:type="dxa"/>
            <w:vAlign w:val="center"/>
          </w:tcPr>
          <w:p w14:paraId="6BD7DB32">
            <w:pPr>
              <w:jc w:val="left"/>
              <w:rPr>
                <w:rFonts w:ascii="宋体" w:hAnsi="宋体"/>
                <w:color w:val="auto"/>
                <w:sz w:val="24"/>
                <w:highlight w:val="none"/>
              </w:rPr>
            </w:pPr>
            <w:r>
              <w:rPr>
                <w:rFonts w:hint="eastAsia" w:ascii="宋体" w:hAnsi="宋体"/>
                <w:color w:val="auto"/>
                <w:sz w:val="24"/>
                <w:highlight w:val="none"/>
              </w:rPr>
              <w:t>投标人没有存在以他人的名义投标、串通投标、以行贿手段谋取中标或者以其他弄虚作假方式投标的行为的。（串通投标的行为认定以 87 号令第三十七条规定为准）。</w:t>
            </w:r>
          </w:p>
        </w:tc>
      </w:tr>
      <w:tr w14:paraId="10F1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1335" w:type="dxa"/>
            <w:vMerge w:val="continue"/>
            <w:vAlign w:val="center"/>
          </w:tcPr>
          <w:p w14:paraId="31443ED1">
            <w:pPr>
              <w:rPr>
                <w:rFonts w:ascii="宋体" w:hAnsi="宋体"/>
                <w:color w:val="auto"/>
                <w:sz w:val="24"/>
                <w:highlight w:val="none"/>
              </w:rPr>
            </w:pPr>
          </w:p>
        </w:tc>
        <w:tc>
          <w:tcPr>
            <w:tcW w:w="2410" w:type="dxa"/>
            <w:vAlign w:val="center"/>
          </w:tcPr>
          <w:p w14:paraId="546EA5BA">
            <w:pPr>
              <w:jc w:val="center"/>
              <w:rPr>
                <w:rFonts w:ascii="宋体" w:hAnsi="宋体"/>
                <w:color w:val="auto"/>
                <w:sz w:val="24"/>
                <w:highlight w:val="none"/>
              </w:rPr>
            </w:pPr>
            <w:r>
              <w:rPr>
                <w:rFonts w:ascii="宋体" w:hAnsi="宋体"/>
                <w:color w:val="auto"/>
                <w:sz w:val="24"/>
                <w:highlight w:val="none"/>
              </w:rPr>
              <w:t>实质性条件</w:t>
            </w:r>
          </w:p>
        </w:tc>
        <w:tc>
          <w:tcPr>
            <w:tcW w:w="5835" w:type="dxa"/>
            <w:vAlign w:val="center"/>
          </w:tcPr>
          <w:p w14:paraId="67CE289A">
            <w:pPr>
              <w:numPr>
                <w:ilvl w:val="0"/>
                <w:numId w:val="0"/>
              </w:numPr>
              <w:jc w:val="left"/>
              <w:rPr>
                <w:rFonts w:ascii="宋体" w:hAnsi="宋体"/>
                <w:color w:val="auto"/>
                <w:sz w:val="24"/>
                <w:highlight w:val="none"/>
              </w:rPr>
            </w:pPr>
            <w:r>
              <w:rPr>
                <w:rFonts w:ascii="宋体" w:hAnsi="宋体" w:eastAsia="宋体" w:cs="Times New Roman"/>
                <w:color w:val="auto"/>
                <w:kern w:val="2"/>
                <w:sz w:val="24"/>
                <w:szCs w:val="24"/>
                <w:highlight w:val="none"/>
                <w:lang w:val="en-US" w:eastAsia="zh-CN" w:bidi="ar-SA"/>
              </w:rPr>
              <w:t>1、</w:t>
            </w:r>
            <w:r>
              <w:rPr>
                <w:rFonts w:hint="eastAsia" w:ascii="宋体" w:hAnsi="宋体"/>
                <w:color w:val="auto"/>
                <w:sz w:val="24"/>
                <w:highlight w:val="none"/>
              </w:rPr>
              <w:t>法律、法规和招标文件规定的实质性条件；</w:t>
            </w:r>
          </w:p>
          <w:p w14:paraId="2ACD0F4C">
            <w:pPr>
              <w:numPr>
                <w:ilvl w:val="0"/>
                <w:numId w:val="0"/>
              </w:numPr>
              <w:jc w:val="left"/>
              <w:rPr>
                <w:rFonts w:ascii="宋体" w:hAnsi="宋体"/>
                <w:color w:val="auto"/>
                <w:sz w:val="24"/>
                <w:highlight w:val="none"/>
              </w:rPr>
            </w:pPr>
            <w:r>
              <w:rPr>
                <w:rFonts w:ascii="宋体" w:hAnsi="宋体" w:eastAsia="宋体" w:cs="Times New Roman"/>
                <w:color w:val="auto"/>
                <w:kern w:val="2"/>
                <w:sz w:val="24"/>
                <w:szCs w:val="24"/>
                <w:highlight w:val="none"/>
                <w:lang w:val="en-US" w:eastAsia="zh-CN" w:bidi="ar-SA"/>
              </w:rPr>
              <w:t>2、</w:t>
            </w:r>
            <w:r>
              <w:rPr>
                <w:rFonts w:hint="eastAsia" w:ascii="宋体" w:hAnsi="宋体"/>
                <w:color w:val="auto"/>
                <w:sz w:val="24"/>
                <w:highlight w:val="none"/>
              </w:rPr>
              <w:t>投标文件含有招标人不能接受的附加条件的；</w:t>
            </w:r>
            <w:r>
              <w:rPr>
                <w:rFonts w:ascii="宋体" w:hAnsi="宋体"/>
                <w:color w:val="auto"/>
                <w:sz w:val="24"/>
                <w:highlight w:val="none"/>
              </w:rPr>
              <w:t>符合性审查不予通过。</w:t>
            </w:r>
          </w:p>
        </w:tc>
      </w:tr>
    </w:tbl>
    <w:p w14:paraId="586B6E92">
      <w:pPr>
        <w:rPr>
          <w:rFonts w:ascii="宋体" w:hAnsi="宋体"/>
          <w:b/>
          <w:color w:val="auto"/>
          <w:sz w:val="24"/>
          <w:highlight w:val="none"/>
        </w:rPr>
      </w:pPr>
    </w:p>
    <w:p w14:paraId="7670ABF8">
      <w:pPr>
        <w:pStyle w:val="13"/>
        <w:rPr>
          <w:rFonts w:hAnsi="宋体"/>
          <w:b/>
          <w:color w:val="auto"/>
          <w:sz w:val="24"/>
          <w:szCs w:val="24"/>
          <w:highlight w:val="none"/>
        </w:rPr>
      </w:pPr>
    </w:p>
    <w:p w14:paraId="1CCBC75C">
      <w:pPr>
        <w:pStyle w:val="13"/>
        <w:rPr>
          <w:rFonts w:hAnsi="宋体"/>
          <w:b/>
          <w:color w:val="auto"/>
          <w:sz w:val="24"/>
          <w:szCs w:val="24"/>
          <w:highlight w:val="none"/>
        </w:rPr>
      </w:pPr>
    </w:p>
    <w:p w14:paraId="4122F771">
      <w:pPr>
        <w:pStyle w:val="13"/>
        <w:rPr>
          <w:rFonts w:hAnsi="宋体"/>
          <w:b/>
          <w:color w:val="auto"/>
          <w:sz w:val="24"/>
          <w:szCs w:val="24"/>
          <w:highlight w:val="none"/>
        </w:rPr>
      </w:pPr>
    </w:p>
    <w:p w14:paraId="62B83BFD">
      <w:pPr>
        <w:rPr>
          <w:rFonts w:hint="eastAsia" w:ascii="宋体" w:hAnsi="宋体"/>
          <w:b/>
          <w:color w:val="auto"/>
          <w:sz w:val="24"/>
          <w:highlight w:val="none"/>
        </w:rPr>
      </w:pPr>
      <w:r>
        <w:rPr>
          <w:rFonts w:hint="eastAsia" w:ascii="宋体" w:hAnsi="宋体"/>
          <w:b/>
          <w:color w:val="auto"/>
          <w:sz w:val="24"/>
          <w:highlight w:val="none"/>
        </w:rPr>
        <w:br w:type="page"/>
      </w:r>
    </w:p>
    <w:p w14:paraId="5564DFA2">
      <w:pPr>
        <w:spacing w:line="480" w:lineRule="exact"/>
        <w:jc w:val="center"/>
        <w:rPr>
          <w:rFonts w:hint="default" w:ascii="宋体" w:hAnsi="宋体" w:eastAsia="宋体"/>
          <w:b/>
          <w:color w:val="auto"/>
          <w:sz w:val="24"/>
          <w:highlight w:val="none"/>
          <w:lang w:val="en-US" w:eastAsia="zh-CN"/>
        </w:rPr>
      </w:pPr>
      <w:r>
        <w:rPr>
          <w:rFonts w:hint="eastAsia" w:ascii="宋体" w:hAnsi="宋体"/>
          <w:b/>
          <w:color w:val="auto"/>
          <w:sz w:val="24"/>
          <w:highlight w:val="none"/>
        </w:rPr>
        <w:t>评分细则表（评标办法前附表）</w:t>
      </w:r>
      <w:r>
        <w:rPr>
          <w:rFonts w:hint="eastAsia" w:ascii="宋体" w:hAnsi="宋体"/>
          <w:b/>
          <w:color w:val="auto"/>
          <w:sz w:val="24"/>
          <w:highlight w:val="none"/>
          <w:lang w:val="en-US" w:eastAsia="zh-CN"/>
        </w:rPr>
        <w:t>-适用于一标段及二标段</w:t>
      </w:r>
    </w:p>
    <w:tbl>
      <w:tblPr>
        <w:tblStyle w:val="27"/>
        <w:tblW w:w="9840" w:type="dxa"/>
        <w:jc w:val="center"/>
        <w:tblLayout w:type="fixed"/>
        <w:tblCellMar>
          <w:top w:w="0" w:type="dxa"/>
          <w:left w:w="108" w:type="dxa"/>
          <w:bottom w:w="0" w:type="dxa"/>
          <w:right w:w="108" w:type="dxa"/>
        </w:tblCellMar>
      </w:tblPr>
      <w:tblGrid>
        <w:gridCol w:w="476"/>
        <w:gridCol w:w="294"/>
        <w:gridCol w:w="779"/>
        <w:gridCol w:w="1186"/>
        <w:gridCol w:w="564"/>
        <w:gridCol w:w="6541"/>
      </w:tblGrid>
      <w:tr w14:paraId="69368165">
        <w:tblPrEx>
          <w:tblCellMar>
            <w:top w:w="0" w:type="dxa"/>
            <w:left w:w="108" w:type="dxa"/>
            <w:bottom w:w="0" w:type="dxa"/>
            <w:right w:w="108" w:type="dxa"/>
          </w:tblCellMar>
        </w:tblPrEx>
        <w:trPr>
          <w:trHeight w:val="657" w:hRule="atLeast"/>
          <w:jc w:val="center"/>
        </w:trPr>
        <w:tc>
          <w:tcPr>
            <w:tcW w:w="770" w:type="dxa"/>
            <w:gridSpan w:val="2"/>
            <w:vMerge w:val="restart"/>
            <w:tcBorders>
              <w:top w:val="single" w:color="auto" w:sz="4" w:space="0"/>
              <w:left w:val="single" w:color="auto" w:sz="4" w:space="0"/>
              <w:right w:val="single" w:color="auto" w:sz="4" w:space="0"/>
            </w:tcBorders>
            <w:noWrap/>
            <w:vAlign w:val="center"/>
          </w:tcPr>
          <w:p w14:paraId="33609D50">
            <w:pPr>
              <w:keepNext w:val="0"/>
              <w:keepLines w:val="0"/>
              <w:pageBreakBefore w:val="0"/>
              <w:kinsoku/>
              <w:wordWrap/>
              <w:overflowPunct/>
              <w:topLinePunct w:val="0"/>
              <w:autoSpaceDE/>
              <w:autoSpaceDN/>
              <w:bidi w:val="0"/>
              <w:adjustRightInd/>
              <w:spacing w:line="480" w:lineRule="exact"/>
              <w:textAlignment w:val="auto"/>
              <w:rPr>
                <w:rFonts w:ascii="宋体" w:hAnsi="宋体"/>
                <w:b/>
                <w:bCs/>
                <w:iCs/>
                <w:color w:val="auto"/>
                <w:sz w:val="24"/>
                <w:highlight w:val="none"/>
              </w:rPr>
            </w:pPr>
            <w:r>
              <w:rPr>
                <w:rFonts w:hint="eastAsia" w:ascii="宋体" w:hAnsi="宋体"/>
                <w:b/>
                <w:bCs/>
                <w:iCs/>
                <w:color w:val="auto"/>
                <w:sz w:val="24"/>
                <w:highlight w:val="none"/>
              </w:rPr>
              <w:t>序号</w:t>
            </w:r>
          </w:p>
        </w:tc>
        <w:tc>
          <w:tcPr>
            <w:tcW w:w="2529" w:type="dxa"/>
            <w:gridSpan w:val="3"/>
            <w:vMerge w:val="restart"/>
            <w:tcBorders>
              <w:top w:val="single" w:color="auto" w:sz="4" w:space="0"/>
              <w:left w:val="nil"/>
              <w:right w:val="single" w:color="auto" w:sz="4" w:space="0"/>
            </w:tcBorders>
            <w:noWrap/>
            <w:vAlign w:val="center"/>
          </w:tcPr>
          <w:p w14:paraId="1FC22509">
            <w:pPr>
              <w:keepNext w:val="0"/>
              <w:keepLines w:val="0"/>
              <w:pageBreakBefore w:val="0"/>
              <w:kinsoku/>
              <w:wordWrap/>
              <w:overflowPunct/>
              <w:topLinePunct w:val="0"/>
              <w:autoSpaceDE/>
              <w:autoSpaceDN/>
              <w:bidi w:val="0"/>
              <w:adjustRightInd/>
              <w:spacing w:line="480" w:lineRule="exact"/>
              <w:jc w:val="center"/>
              <w:textAlignment w:val="auto"/>
              <w:rPr>
                <w:rFonts w:ascii="宋体" w:hAnsi="宋体"/>
                <w:b/>
                <w:bCs/>
                <w:iCs/>
                <w:color w:val="auto"/>
                <w:sz w:val="24"/>
                <w:highlight w:val="none"/>
              </w:rPr>
            </w:pPr>
            <w:r>
              <w:rPr>
                <w:rFonts w:hint="eastAsia" w:ascii="宋体" w:hAnsi="宋体"/>
                <w:b/>
                <w:bCs/>
                <w:iCs/>
                <w:color w:val="auto"/>
                <w:sz w:val="24"/>
                <w:highlight w:val="none"/>
              </w:rPr>
              <w:t>评标项目</w:t>
            </w:r>
          </w:p>
        </w:tc>
        <w:tc>
          <w:tcPr>
            <w:tcW w:w="6541" w:type="dxa"/>
            <w:tcBorders>
              <w:top w:val="single" w:color="auto" w:sz="4" w:space="0"/>
              <w:left w:val="single" w:color="auto" w:sz="4" w:space="0"/>
              <w:bottom w:val="single" w:color="auto" w:sz="4" w:space="0"/>
              <w:right w:val="single" w:color="auto" w:sz="4" w:space="0"/>
            </w:tcBorders>
            <w:noWrap/>
            <w:vAlign w:val="center"/>
          </w:tcPr>
          <w:p w14:paraId="508A3B39">
            <w:pPr>
              <w:keepNext w:val="0"/>
              <w:keepLines w:val="0"/>
              <w:pageBreakBefore w:val="0"/>
              <w:kinsoku/>
              <w:wordWrap/>
              <w:overflowPunct/>
              <w:topLinePunct w:val="0"/>
              <w:autoSpaceDE/>
              <w:autoSpaceDN/>
              <w:bidi w:val="0"/>
              <w:adjustRightInd/>
              <w:spacing w:line="480" w:lineRule="exact"/>
              <w:jc w:val="center"/>
              <w:textAlignment w:val="auto"/>
              <w:rPr>
                <w:rFonts w:ascii="宋体" w:hAnsi="宋体"/>
                <w:bCs/>
                <w:iCs/>
                <w:color w:val="auto"/>
                <w:sz w:val="24"/>
                <w:highlight w:val="none"/>
              </w:rPr>
            </w:pPr>
            <w:r>
              <w:rPr>
                <w:rFonts w:hint="eastAsia" w:ascii="宋体" w:hAnsi="宋体"/>
                <w:b/>
                <w:color w:val="auto"/>
                <w:sz w:val="24"/>
                <w:highlight w:val="none"/>
              </w:rPr>
              <w:t>评分标准</w:t>
            </w:r>
          </w:p>
        </w:tc>
      </w:tr>
      <w:tr w14:paraId="292769B8">
        <w:tblPrEx>
          <w:tblCellMar>
            <w:top w:w="0" w:type="dxa"/>
            <w:left w:w="108" w:type="dxa"/>
            <w:bottom w:w="0" w:type="dxa"/>
            <w:right w:w="108" w:type="dxa"/>
          </w:tblCellMar>
        </w:tblPrEx>
        <w:trPr>
          <w:trHeight w:val="640" w:hRule="atLeast"/>
          <w:jc w:val="center"/>
        </w:trPr>
        <w:tc>
          <w:tcPr>
            <w:tcW w:w="770" w:type="dxa"/>
            <w:gridSpan w:val="2"/>
            <w:vMerge w:val="continue"/>
            <w:tcBorders>
              <w:left w:val="single" w:color="auto" w:sz="4" w:space="0"/>
              <w:right w:val="single" w:color="auto" w:sz="4" w:space="0"/>
            </w:tcBorders>
            <w:noWrap/>
            <w:vAlign w:val="center"/>
          </w:tcPr>
          <w:p w14:paraId="37CCC4EE">
            <w:pPr>
              <w:keepNext w:val="0"/>
              <w:keepLines w:val="0"/>
              <w:pageBreakBefore w:val="0"/>
              <w:kinsoku/>
              <w:wordWrap/>
              <w:overflowPunct/>
              <w:topLinePunct w:val="0"/>
              <w:autoSpaceDE/>
              <w:autoSpaceDN/>
              <w:bidi w:val="0"/>
              <w:adjustRightInd/>
              <w:spacing w:line="480" w:lineRule="exact"/>
              <w:textAlignment w:val="auto"/>
              <w:rPr>
                <w:rFonts w:ascii="宋体" w:hAnsi="宋体"/>
                <w:bCs/>
                <w:iCs/>
                <w:color w:val="auto"/>
                <w:sz w:val="24"/>
                <w:highlight w:val="none"/>
              </w:rPr>
            </w:pPr>
          </w:p>
        </w:tc>
        <w:tc>
          <w:tcPr>
            <w:tcW w:w="2529" w:type="dxa"/>
            <w:gridSpan w:val="3"/>
            <w:vMerge w:val="continue"/>
            <w:tcBorders>
              <w:left w:val="nil"/>
              <w:right w:val="single" w:color="auto" w:sz="4" w:space="0"/>
            </w:tcBorders>
            <w:noWrap/>
          </w:tcPr>
          <w:p w14:paraId="02713F17">
            <w:pPr>
              <w:keepNext w:val="0"/>
              <w:keepLines w:val="0"/>
              <w:pageBreakBefore w:val="0"/>
              <w:kinsoku/>
              <w:wordWrap/>
              <w:overflowPunct/>
              <w:topLinePunct w:val="0"/>
              <w:autoSpaceDE/>
              <w:autoSpaceDN/>
              <w:bidi w:val="0"/>
              <w:adjustRightInd/>
              <w:spacing w:line="480" w:lineRule="exact"/>
              <w:textAlignment w:val="auto"/>
              <w:rPr>
                <w:rFonts w:ascii="宋体" w:hAnsi="宋体"/>
                <w:bCs/>
                <w:iCs/>
                <w:color w:val="auto"/>
                <w:sz w:val="24"/>
                <w:highlight w:val="none"/>
              </w:rPr>
            </w:pPr>
          </w:p>
        </w:tc>
        <w:tc>
          <w:tcPr>
            <w:tcW w:w="6541" w:type="dxa"/>
            <w:tcBorders>
              <w:top w:val="single" w:color="auto" w:sz="4" w:space="0"/>
              <w:left w:val="single" w:color="auto" w:sz="4" w:space="0"/>
              <w:bottom w:val="single" w:color="auto" w:sz="4" w:space="0"/>
              <w:right w:val="single" w:color="auto" w:sz="4" w:space="0"/>
            </w:tcBorders>
            <w:noWrap/>
            <w:vAlign w:val="center"/>
          </w:tcPr>
          <w:p w14:paraId="294F8F49">
            <w:pPr>
              <w:keepNext w:val="0"/>
              <w:keepLines w:val="0"/>
              <w:pageBreakBefore w:val="0"/>
              <w:kinsoku/>
              <w:wordWrap/>
              <w:overflowPunct/>
              <w:topLinePunct w:val="0"/>
              <w:autoSpaceDE/>
              <w:autoSpaceDN/>
              <w:bidi w:val="0"/>
              <w:adjustRightInd/>
              <w:spacing w:line="480" w:lineRule="exact"/>
              <w:jc w:val="center"/>
              <w:textAlignment w:val="auto"/>
              <w:rPr>
                <w:rFonts w:hint="default" w:ascii="宋体" w:hAnsi="宋体" w:eastAsia="宋体"/>
                <w:color w:val="auto"/>
                <w:sz w:val="24"/>
                <w:highlight w:val="none"/>
                <w:lang w:val="en-US" w:eastAsia="zh-CN"/>
              </w:rPr>
            </w:pPr>
            <w:r>
              <w:rPr>
                <w:rFonts w:hint="eastAsia" w:ascii="宋体" w:hAnsi="宋体"/>
                <w:color w:val="auto"/>
                <w:spacing w:val="50"/>
                <w:sz w:val="24"/>
                <w:highlight w:val="none"/>
              </w:rPr>
              <w:t>商务部分F1</w:t>
            </w:r>
          </w:p>
        </w:tc>
      </w:tr>
      <w:tr w14:paraId="272AA7E0">
        <w:tblPrEx>
          <w:tblCellMar>
            <w:top w:w="0" w:type="dxa"/>
            <w:left w:w="108" w:type="dxa"/>
            <w:bottom w:w="0" w:type="dxa"/>
            <w:right w:w="108" w:type="dxa"/>
          </w:tblCellMar>
        </w:tblPrEx>
        <w:trPr>
          <w:trHeight w:val="615" w:hRule="atLeast"/>
          <w:jc w:val="center"/>
        </w:trPr>
        <w:tc>
          <w:tcPr>
            <w:tcW w:w="770" w:type="dxa"/>
            <w:gridSpan w:val="2"/>
            <w:vMerge w:val="continue"/>
            <w:tcBorders>
              <w:left w:val="single" w:color="auto" w:sz="4" w:space="0"/>
              <w:bottom w:val="single" w:color="auto" w:sz="4" w:space="0"/>
              <w:right w:val="single" w:color="auto" w:sz="4" w:space="0"/>
            </w:tcBorders>
            <w:noWrap/>
            <w:vAlign w:val="center"/>
          </w:tcPr>
          <w:p w14:paraId="7F4F3199">
            <w:pPr>
              <w:keepNext w:val="0"/>
              <w:keepLines w:val="0"/>
              <w:pageBreakBefore w:val="0"/>
              <w:kinsoku/>
              <w:wordWrap/>
              <w:overflowPunct/>
              <w:topLinePunct w:val="0"/>
              <w:autoSpaceDE/>
              <w:autoSpaceDN/>
              <w:bidi w:val="0"/>
              <w:adjustRightInd/>
              <w:spacing w:line="480" w:lineRule="exact"/>
              <w:textAlignment w:val="auto"/>
              <w:rPr>
                <w:rFonts w:ascii="宋体" w:hAnsi="宋体"/>
                <w:bCs/>
                <w:iCs/>
                <w:color w:val="auto"/>
                <w:sz w:val="24"/>
                <w:highlight w:val="none"/>
              </w:rPr>
            </w:pPr>
          </w:p>
        </w:tc>
        <w:tc>
          <w:tcPr>
            <w:tcW w:w="2529" w:type="dxa"/>
            <w:gridSpan w:val="3"/>
            <w:vMerge w:val="continue"/>
            <w:tcBorders>
              <w:left w:val="nil"/>
              <w:bottom w:val="single" w:color="auto" w:sz="4" w:space="0"/>
              <w:right w:val="single" w:color="auto" w:sz="4" w:space="0"/>
            </w:tcBorders>
            <w:noWrap/>
          </w:tcPr>
          <w:p w14:paraId="05EF24FD">
            <w:pPr>
              <w:keepNext w:val="0"/>
              <w:keepLines w:val="0"/>
              <w:pageBreakBefore w:val="0"/>
              <w:kinsoku/>
              <w:wordWrap/>
              <w:overflowPunct/>
              <w:topLinePunct w:val="0"/>
              <w:autoSpaceDE/>
              <w:autoSpaceDN/>
              <w:bidi w:val="0"/>
              <w:adjustRightInd/>
              <w:spacing w:line="480" w:lineRule="exact"/>
              <w:textAlignment w:val="auto"/>
              <w:rPr>
                <w:rFonts w:ascii="宋体" w:hAnsi="宋体"/>
                <w:bCs/>
                <w:iCs/>
                <w:color w:val="auto"/>
                <w:sz w:val="24"/>
                <w:highlight w:val="none"/>
              </w:rPr>
            </w:pPr>
          </w:p>
        </w:tc>
        <w:tc>
          <w:tcPr>
            <w:tcW w:w="6541" w:type="dxa"/>
            <w:tcBorders>
              <w:top w:val="single" w:color="auto" w:sz="4" w:space="0"/>
              <w:left w:val="single" w:color="auto" w:sz="4" w:space="0"/>
              <w:bottom w:val="single" w:color="auto" w:sz="4" w:space="0"/>
              <w:right w:val="single" w:color="auto" w:sz="4" w:space="0"/>
            </w:tcBorders>
            <w:noWrap/>
            <w:vAlign w:val="center"/>
          </w:tcPr>
          <w:p w14:paraId="1E81E3AB">
            <w:pPr>
              <w:keepNext w:val="0"/>
              <w:keepLines w:val="0"/>
              <w:pageBreakBefore w:val="0"/>
              <w:kinsoku/>
              <w:wordWrap/>
              <w:overflowPunct/>
              <w:topLinePunct w:val="0"/>
              <w:autoSpaceDE/>
              <w:autoSpaceDN/>
              <w:bidi w:val="0"/>
              <w:adjustRightInd/>
              <w:spacing w:line="480" w:lineRule="exact"/>
              <w:jc w:val="center"/>
              <w:textAlignment w:val="auto"/>
              <w:rPr>
                <w:rFonts w:hint="default" w:ascii="宋体" w:hAnsi="宋体" w:eastAsia="宋体"/>
                <w:color w:val="auto"/>
                <w:spacing w:val="50"/>
                <w:sz w:val="24"/>
                <w:highlight w:val="none"/>
                <w:lang w:val="en-US" w:eastAsia="zh-CN"/>
              </w:rPr>
            </w:pPr>
            <w:r>
              <w:rPr>
                <w:rFonts w:hint="eastAsia" w:ascii="宋体" w:hAnsi="宋体"/>
                <w:color w:val="auto"/>
                <w:spacing w:val="50"/>
                <w:sz w:val="24"/>
                <w:highlight w:val="none"/>
              </w:rPr>
              <w:t>技术部分F2</w:t>
            </w:r>
          </w:p>
        </w:tc>
      </w:tr>
      <w:tr w14:paraId="7EE9E3A5">
        <w:tblPrEx>
          <w:tblCellMar>
            <w:top w:w="0" w:type="dxa"/>
            <w:left w:w="108" w:type="dxa"/>
            <w:bottom w:w="0" w:type="dxa"/>
            <w:right w:w="108" w:type="dxa"/>
          </w:tblCellMar>
        </w:tblPrEx>
        <w:trPr>
          <w:trHeight w:val="650" w:hRule="atLeast"/>
          <w:jc w:val="center"/>
        </w:trPr>
        <w:tc>
          <w:tcPr>
            <w:tcW w:w="3299" w:type="dxa"/>
            <w:gridSpan w:val="5"/>
            <w:tcBorders>
              <w:top w:val="single" w:color="auto" w:sz="4" w:space="0"/>
              <w:left w:val="single" w:color="auto" w:sz="4" w:space="0"/>
              <w:bottom w:val="single" w:color="auto" w:sz="4" w:space="0"/>
              <w:right w:val="single" w:color="auto" w:sz="4" w:space="0"/>
            </w:tcBorders>
            <w:noWrap/>
            <w:vAlign w:val="center"/>
          </w:tcPr>
          <w:p w14:paraId="59F2C7DC">
            <w:pPr>
              <w:keepNext w:val="0"/>
              <w:keepLines w:val="0"/>
              <w:pageBreakBefore w:val="0"/>
              <w:kinsoku/>
              <w:wordWrap/>
              <w:overflowPunct/>
              <w:topLinePunct w:val="0"/>
              <w:autoSpaceDE/>
              <w:autoSpaceDN/>
              <w:bidi w:val="0"/>
              <w:adjustRightInd/>
              <w:spacing w:line="480" w:lineRule="exact"/>
              <w:jc w:val="center"/>
              <w:textAlignment w:val="auto"/>
              <w:rPr>
                <w:rFonts w:ascii="宋体" w:hAnsi="宋体"/>
                <w:b/>
                <w:bCs/>
                <w:iCs/>
                <w:color w:val="auto"/>
                <w:sz w:val="24"/>
                <w:highlight w:val="none"/>
              </w:rPr>
            </w:pPr>
            <w:r>
              <w:rPr>
                <w:rFonts w:hint="eastAsia" w:ascii="宋体" w:hAnsi="宋体"/>
                <w:b/>
                <w:bCs/>
                <w:iCs/>
                <w:color w:val="auto"/>
                <w:sz w:val="24"/>
                <w:highlight w:val="none"/>
              </w:rPr>
              <w:t>总得分</w:t>
            </w:r>
          </w:p>
        </w:tc>
        <w:tc>
          <w:tcPr>
            <w:tcW w:w="6541" w:type="dxa"/>
            <w:tcBorders>
              <w:top w:val="single" w:color="auto" w:sz="4" w:space="0"/>
              <w:left w:val="single" w:color="auto" w:sz="4" w:space="0"/>
              <w:bottom w:val="single" w:color="auto" w:sz="4" w:space="0"/>
              <w:right w:val="single" w:color="auto" w:sz="4" w:space="0"/>
            </w:tcBorders>
            <w:noWrap/>
            <w:vAlign w:val="center"/>
          </w:tcPr>
          <w:p w14:paraId="337BF3B5">
            <w:pPr>
              <w:keepNext w:val="0"/>
              <w:keepLines w:val="0"/>
              <w:pageBreakBefore w:val="0"/>
              <w:kinsoku/>
              <w:wordWrap/>
              <w:overflowPunct/>
              <w:topLinePunct w:val="0"/>
              <w:autoSpaceDE/>
              <w:autoSpaceDN/>
              <w:bidi w:val="0"/>
              <w:adjustRightInd/>
              <w:spacing w:line="480" w:lineRule="exact"/>
              <w:jc w:val="center"/>
              <w:textAlignment w:val="auto"/>
              <w:rPr>
                <w:rFonts w:hint="default" w:ascii="宋体" w:hAnsi="宋体" w:eastAsia="宋体"/>
                <w:bCs/>
                <w:iCs/>
                <w:color w:val="auto"/>
                <w:sz w:val="24"/>
                <w:highlight w:val="none"/>
                <w:lang w:val="en-US" w:eastAsia="zh-CN"/>
              </w:rPr>
            </w:pPr>
            <w:r>
              <w:rPr>
                <w:rFonts w:hint="eastAsia" w:ascii="宋体" w:hAnsi="宋体"/>
                <w:color w:val="auto"/>
                <w:spacing w:val="50"/>
                <w:sz w:val="24"/>
                <w:highlight w:val="none"/>
              </w:rPr>
              <w:t>总得分＝</w:t>
            </w:r>
            <w:r>
              <w:rPr>
                <w:rFonts w:ascii="宋体" w:hAnsi="宋体"/>
                <w:color w:val="auto"/>
                <w:spacing w:val="50"/>
                <w:sz w:val="24"/>
                <w:highlight w:val="none"/>
              </w:rPr>
              <w:t>F1</w:t>
            </w:r>
            <w:r>
              <w:rPr>
                <w:rFonts w:hint="eastAsia" w:ascii="宋体" w:hAnsi="宋体"/>
                <w:color w:val="auto"/>
                <w:spacing w:val="50"/>
                <w:sz w:val="24"/>
                <w:highlight w:val="none"/>
              </w:rPr>
              <w:t>＋</w:t>
            </w:r>
            <w:r>
              <w:rPr>
                <w:rFonts w:ascii="宋体" w:hAnsi="宋体"/>
                <w:color w:val="auto"/>
                <w:spacing w:val="50"/>
                <w:sz w:val="24"/>
                <w:highlight w:val="none"/>
              </w:rPr>
              <w:t>F2</w:t>
            </w:r>
            <w:r>
              <w:rPr>
                <w:rFonts w:hint="eastAsia" w:ascii="宋体" w:hAnsi="宋体"/>
                <w:color w:val="auto"/>
                <w:spacing w:val="50"/>
                <w:sz w:val="24"/>
                <w:highlight w:val="none"/>
              </w:rPr>
              <w:t>=100分</w:t>
            </w:r>
          </w:p>
        </w:tc>
      </w:tr>
      <w:tr w14:paraId="712B67E1">
        <w:tblPrEx>
          <w:tblCellMar>
            <w:top w:w="0" w:type="dxa"/>
            <w:left w:w="108" w:type="dxa"/>
            <w:bottom w:w="0" w:type="dxa"/>
            <w:right w:w="108" w:type="dxa"/>
          </w:tblCellMar>
        </w:tblPrEx>
        <w:trPr>
          <w:trHeight w:val="710" w:hRule="atLeast"/>
          <w:jc w:val="center"/>
        </w:trPr>
        <w:tc>
          <w:tcPr>
            <w:tcW w:w="9840" w:type="dxa"/>
            <w:gridSpan w:val="6"/>
            <w:tcBorders>
              <w:top w:val="single" w:color="auto" w:sz="4" w:space="0"/>
              <w:left w:val="single" w:color="auto" w:sz="4" w:space="0"/>
              <w:bottom w:val="single" w:color="auto" w:sz="4" w:space="0"/>
              <w:right w:val="single" w:color="auto" w:sz="4" w:space="0"/>
            </w:tcBorders>
            <w:noWrap/>
            <w:vAlign w:val="center"/>
          </w:tcPr>
          <w:p w14:paraId="694B6F8A">
            <w:pPr>
              <w:keepNext w:val="0"/>
              <w:keepLines w:val="0"/>
              <w:pageBreakBefore w:val="0"/>
              <w:kinsoku/>
              <w:wordWrap/>
              <w:overflowPunct/>
              <w:topLinePunct w:val="0"/>
              <w:autoSpaceDE/>
              <w:autoSpaceDN/>
              <w:bidi w:val="0"/>
              <w:adjustRightInd/>
              <w:spacing w:line="480" w:lineRule="exact"/>
              <w:textAlignment w:val="auto"/>
              <w:rPr>
                <w:rFonts w:ascii="宋体" w:hAnsi="宋体"/>
                <w:bCs/>
                <w:iCs/>
                <w:color w:val="auto"/>
                <w:sz w:val="24"/>
                <w:highlight w:val="none"/>
              </w:rPr>
            </w:pPr>
            <w:r>
              <w:rPr>
                <w:rFonts w:hint="eastAsia" w:ascii="宋体" w:hAnsi="宋体"/>
                <w:b/>
                <w:bCs/>
                <w:color w:val="auto"/>
                <w:sz w:val="24"/>
                <w:highlight w:val="none"/>
              </w:rPr>
              <w:t>（一）</w:t>
            </w:r>
            <w:r>
              <w:rPr>
                <w:rFonts w:hint="eastAsia" w:ascii="宋体" w:hAnsi="宋体"/>
                <w:b/>
                <w:color w:val="auto"/>
                <w:sz w:val="24"/>
                <w:highlight w:val="none"/>
              </w:rPr>
              <w:t>商务部分F1（</w:t>
            </w:r>
            <w:r>
              <w:rPr>
                <w:rFonts w:hint="eastAsia" w:ascii="宋体" w:hAnsi="宋体"/>
                <w:b/>
                <w:color w:val="auto"/>
                <w:sz w:val="24"/>
                <w:highlight w:val="none"/>
                <w:lang w:val="en-US" w:eastAsia="zh-CN"/>
              </w:rPr>
              <w:t>30</w:t>
            </w:r>
            <w:r>
              <w:rPr>
                <w:rFonts w:hint="eastAsia" w:ascii="宋体" w:hAnsi="宋体"/>
                <w:b/>
                <w:color w:val="auto"/>
                <w:sz w:val="24"/>
                <w:highlight w:val="none"/>
              </w:rPr>
              <w:t>分）</w:t>
            </w:r>
          </w:p>
        </w:tc>
      </w:tr>
      <w:tr w14:paraId="33400579">
        <w:tblPrEx>
          <w:tblCellMar>
            <w:top w:w="0" w:type="dxa"/>
            <w:left w:w="108" w:type="dxa"/>
            <w:bottom w:w="0" w:type="dxa"/>
            <w:right w:w="108" w:type="dxa"/>
          </w:tblCellMar>
        </w:tblPrEx>
        <w:trPr>
          <w:trHeight w:val="737" w:hRule="atLeast"/>
          <w:jc w:val="center"/>
        </w:trPr>
        <w:tc>
          <w:tcPr>
            <w:tcW w:w="770" w:type="dxa"/>
            <w:gridSpan w:val="2"/>
            <w:tcBorders>
              <w:top w:val="single" w:color="auto" w:sz="4" w:space="0"/>
              <w:left w:val="single" w:color="auto" w:sz="4" w:space="0"/>
              <w:bottom w:val="single" w:color="auto" w:sz="4" w:space="0"/>
              <w:right w:val="single" w:color="auto" w:sz="4" w:space="0"/>
            </w:tcBorders>
            <w:noWrap/>
            <w:vAlign w:val="center"/>
          </w:tcPr>
          <w:p w14:paraId="0D5BCFEC">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序号</w:t>
            </w:r>
          </w:p>
        </w:tc>
        <w:tc>
          <w:tcPr>
            <w:tcW w:w="2529" w:type="dxa"/>
            <w:gridSpan w:val="3"/>
            <w:tcBorders>
              <w:top w:val="single" w:color="auto" w:sz="4" w:space="0"/>
              <w:left w:val="single" w:color="auto" w:sz="4" w:space="0"/>
              <w:bottom w:val="single" w:color="auto" w:sz="4" w:space="0"/>
              <w:right w:val="single" w:color="auto" w:sz="4" w:space="0"/>
            </w:tcBorders>
            <w:noWrap/>
            <w:vAlign w:val="center"/>
          </w:tcPr>
          <w:p w14:paraId="23E857BC">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color w:val="auto"/>
                <w:sz w:val="24"/>
                <w:highlight w:val="none"/>
                <w:lang w:val="en-US" w:eastAsia="zh-CN"/>
              </w:rPr>
            </w:pPr>
            <w:r>
              <w:rPr>
                <w:rFonts w:hint="eastAsia" w:ascii="宋体" w:hAnsi="宋体" w:cs="宋体"/>
                <w:color w:val="auto"/>
                <w:sz w:val="24"/>
                <w:szCs w:val="24"/>
                <w:highlight w:val="none"/>
              </w:rPr>
              <w:t>评审因素</w:t>
            </w:r>
          </w:p>
        </w:tc>
        <w:tc>
          <w:tcPr>
            <w:tcW w:w="6541" w:type="dxa"/>
            <w:tcBorders>
              <w:top w:val="single" w:color="auto" w:sz="4" w:space="0"/>
              <w:left w:val="single" w:color="auto" w:sz="4" w:space="0"/>
              <w:bottom w:val="single" w:color="auto" w:sz="4" w:space="0"/>
              <w:right w:val="single" w:color="auto" w:sz="4" w:space="0"/>
            </w:tcBorders>
            <w:noWrap/>
            <w:vAlign w:val="center"/>
          </w:tcPr>
          <w:p w14:paraId="24C6E180">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color w:val="auto"/>
                <w:sz w:val="24"/>
                <w:highlight w:val="none"/>
                <w:lang w:val="en-US" w:eastAsia="zh-CN"/>
              </w:rPr>
            </w:pPr>
            <w:r>
              <w:rPr>
                <w:rFonts w:hint="eastAsia" w:ascii="宋体" w:hAnsi="宋体" w:cs="宋体"/>
                <w:color w:val="auto"/>
                <w:sz w:val="24"/>
                <w:szCs w:val="24"/>
                <w:highlight w:val="none"/>
              </w:rPr>
              <w:t>评分标准</w:t>
            </w:r>
          </w:p>
        </w:tc>
      </w:tr>
      <w:tr w14:paraId="187A580A">
        <w:tblPrEx>
          <w:tblCellMar>
            <w:top w:w="0" w:type="dxa"/>
            <w:left w:w="108" w:type="dxa"/>
            <w:bottom w:w="0" w:type="dxa"/>
            <w:right w:w="108" w:type="dxa"/>
          </w:tblCellMar>
        </w:tblPrEx>
        <w:trPr>
          <w:trHeight w:val="2276" w:hRule="atLeast"/>
          <w:jc w:val="center"/>
        </w:trPr>
        <w:tc>
          <w:tcPr>
            <w:tcW w:w="770" w:type="dxa"/>
            <w:gridSpan w:val="2"/>
            <w:tcBorders>
              <w:top w:val="single" w:color="auto" w:sz="4" w:space="0"/>
              <w:left w:val="single" w:color="auto" w:sz="4" w:space="0"/>
              <w:bottom w:val="single" w:color="auto" w:sz="4" w:space="0"/>
              <w:right w:val="single" w:color="auto" w:sz="4" w:space="0"/>
            </w:tcBorders>
            <w:noWrap/>
            <w:vAlign w:val="center"/>
          </w:tcPr>
          <w:p w14:paraId="0284FF70">
            <w:pPr>
              <w:keepNext w:val="0"/>
              <w:keepLines w:val="0"/>
              <w:pageBreakBefore w:val="0"/>
              <w:kinsoku/>
              <w:wordWrap/>
              <w:overflowPunct/>
              <w:topLinePunct w:val="0"/>
              <w:autoSpaceDE/>
              <w:autoSpaceDN/>
              <w:bidi w:val="0"/>
              <w:adjustRightInd/>
              <w:spacing w:line="480" w:lineRule="exact"/>
              <w:jc w:val="center"/>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2529" w:type="dxa"/>
            <w:gridSpan w:val="3"/>
            <w:tcBorders>
              <w:top w:val="single" w:color="auto" w:sz="4" w:space="0"/>
              <w:left w:val="single" w:color="auto" w:sz="4" w:space="0"/>
              <w:bottom w:val="single" w:color="auto" w:sz="4" w:space="0"/>
              <w:right w:val="single" w:color="auto" w:sz="4" w:space="0"/>
            </w:tcBorders>
            <w:noWrap/>
            <w:vAlign w:val="center"/>
          </w:tcPr>
          <w:p w14:paraId="48494CBD">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color w:val="auto"/>
                <w:sz w:val="24"/>
                <w:highlight w:val="none"/>
                <w:lang w:eastAsia="zh-CN"/>
              </w:rPr>
            </w:pPr>
            <w:r>
              <w:rPr>
                <w:rFonts w:hint="eastAsia" w:ascii="宋体" w:hAnsi="宋体"/>
                <w:color w:val="auto"/>
                <w:sz w:val="24"/>
                <w:highlight w:val="none"/>
                <w:lang w:eastAsia="zh-CN"/>
              </w:rPr>
              <w:t>商务部分得分</w:t>
            </w:r>
          </w:p>
          <w:p w14:paraId="6CF64C01">
            <w:pPr>
              <w:pStyle w:val="6"/>
              <w:rPr>
                <w:rFonts w:hint="eastAsia"/>
                <w:color w:val="auto"/>
                <w:highlight w:val="none"/>
              </w:rPr>
            </w:pPr>
            <w:r>
              <w:rPr>
                <w:rFonts w:hint="eastAsia" w:ascii="宋体" w:hAnsi="宋体"/>
                <w:color w:val="auto"/>
                <w:sz w:val="24"/>
                <w:highlight w:val="none"/>
                <w:lang w:eastAsia="zh-CN"/>
              </w:rPr>
              <w:t>（满分</w:t>
            </w:r>
            <w:r>
              <w:rPr>
                <w:rFonts w:hint="eastAsia" w:ascii="宋体" w:hAnsi="宋体"/>
                <w:color w:val="auto"/>
                <w:sz w:val="24"/>
                <w:highlight w:val="none"/>
                <w:lang w:val="en-US" w:eastAsia="zh-CN"/>
              </w:rPr>
              <w:t>30分</w:t>
            </w:r>
            <w:r>
              <w:rPr>
                <w:rFonts w:hint="eastAsia" w:ascii="宋体" w:hAnsi="宋体"/>
                <w:color w:val="auto"/>
                <w:sz w:val="24"/>
                <w:highlight w:val="none"/>
                <w:lang w:eastAsia="zh-CN"/>
              </w:rPr>
              <w:t>）</w:t>
            </w:r>
          </w:p>
        </w:tc>
        <w:tc>
          <w:tcPr>
            <w:tcW w:w="6541" w:type="dxa"/>
            <w:tcBorders>
              <w:top w:val="single" w:color="auto" w:sz="4" w:space="0"/>
              <w:left w:val="single" w:color="auto" w:sz="4" w:space="0"/>
              <w:bottom w:val="single" w:color="auto" w:sz="4" w:space="0"/>
              <w:right w:val="single" w:color="auto" w:sz="4" w:space="0"/>
            </w:tcBorders>
            <w:noWrap/>
            <w:vAlign w:val="center"/>
          </w:tcPr>
          <w:p w14:paraId="1503011F">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综合评分法中的价格分采用</w:t>
            </w:r>
            <w:r>
              <w:rPr>
                <w:rFonts w:hint="eastAsia" w:ascii="宋体" w:hAnsi="宋体"/>
                <w:color w:val="auto"/>
                <w:sz w:val="24"/>
                <w:highlight w:val="none"/>
                <w:lang w:val="en-US" w:eastAsia="zh-CN"/>
              </w:rPr>
              <w:t>总价</w:t>
            </w:r>
            <w:r>
              <w:rPr>
                <w:rFonts w:hint="eastAsia" w:ascii="宋体" w:hAnsi="宋体"/>
                <w:color w:val="auto"/>
                <w:sz w:val="24"/>
                <w:highlight w:val="none"/>
                <w:lang w:eastAsia="zh-CN"/>
              </w:rPr>
              <w:t>报价</w:t>
            </w:r>
            <w:r>
              <w:rPr>
                <w:rFonts w:hint="eastAsia" w:ascii="宋体" w:hAnsi="宋体"/>
                <w:color w:val="auto"/>
                <w:sz w:val="24"/>
                <w:highlight w:val="none"/>
              </w:rPr>
              <w:t>低价优先法计算</w:t>
            </w:r>
            <w:r>
              <w:rPr>
                <w:rFonts w:hint="eastAsia" w:ascii="宋体" w:hAnsi="宋体"/>
                <w:color w:val="auto"/>
                <w:sz w:val="24"/>
                <w:highlight w:val="none"/>
                <w:lang w:eastAsia="zh-CN"/>
              </w:rPr>
              <w:t>，</w:t>
            </w:r>
            <w:r>
              <w:rPr>
                <w:rFonts w:hint="eastAsia" w:ascii="宋体" w:hAnsi="宋体"/>
                <w:color w:val="auto"/>
                <w:sz w:val="24"/>
                <w:highlight w:val="none"/>
              </w:rPr>
              <w:t>即满足招标文件要求且投标</w:t>
            </w:r>
            <w:r>
              <w:rPr>
                <w:rFonts w:hint="eastAsia" w:ascii="宋体" w:hAnsi="宋体"/>
                <w:color w:val="auto"/>
                <w:sz w:val="24"/>
                <w:highlight w:val="none"/>
                <w:lang w:eastAsia="zh-CN"/>
              </w:rPr>
              <w:t>报价</w:t>
            </w:r>
            <w:r>
              <w:rPr>
                <w:rFonts w:hint="eastAsia" w:ascii="宋体" w:hAnsi="宋体"/>
                <w:color w:val="auto"/>
                <w:sz w:val="24"/>
                <w:highlight w:val="none"/>
              </w:rPr>
              <w:t>最低的为评标基准价，其</w:t>
            </w:r>
            <w:r>
              <w:rPr>
                <w:rFonts w:hint="eastAsia" w:ascii="宋体" w:hAnsi="宋体"/>
                <w:color w:val="auto"/>
                <w:sz w:val="24"/>
                <w:highlight w:val="none"/>
                <w:lang w:eastAsia="zh-CN"/>
              </w:rPr>
              <w:t>单项</w:t>
            </w:r>
            <w:r>
              <w:rPr>
                <w:rFonts w:hint="eastAsia" w:ascii="宋体" w:hAnsi="宋体"/>
                <w:color w:val="auto"/>
                <w:sz w:val="24"/>
                <w:highlight w:val="none"/>
              </w:rPr>
              <w:t>报价得分为满分。</w:t>
            </w:r>
          </w:p>
          <w:p w14:paraId="43013523">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其他投标人的价格分统一按照下列公式计算：</w:t>
            </w:r>
          </w:p>
          <w:p w14:paraId="0A616FD7">
            <w:pPr>
              <w:keepNext w:val="0"/>
              <w:keepLines w:val="0"/>
              <w:pageBreakBefore w:val="0"/>
              <w:kinsoku/>
              <w:wordWrap/>
              <w:overflowPunct/>
              <w:topLinePunct w:val="0"/>
              <w:autoSpaceDE/>
              <w:autoSpaceDN/>
              <w:bidi w:val="0"/>
              <w:adjustRightInd/>
              <w:spacing w:line="48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b/>
                <w:bCs/>
                <w:color w:val="auto"/>
                <w:sz w:val="24"/>
                <w:highlight w:val="none"/>
              </w:rPr>
              <w:t>报价得分=(评标基准价／投标</w:t>
            </w:r>
            <w:r>
              <w:rPr>
                <w:rFonts w:hint="eastAsia" w:ascii="宋体" w:hAnsi="宋体"/>
                <w:b/>
                <w:bCs/>
                <w:color w:val="auto"/>
                <w:sz w:val="24"/>
                <w:highlight w:val="none"/>
                <w:lang w:eastAsia="zh-CN"/>
              </w:rPr>
              <w:t>报价</w:t>
            </w:r>
            <w:r>
              <w:rPr>
                <w:rFonts w:hint="eastAsia" w:ascii="宋体" w:hAnsi="宋体"/>
                <w:b/>
                <w:bCs/>
                <w:color w:val="auto"/>
                <w:sz w:val="24"/>
                <w:highlight w:val="none"/>
              </w:rPr>
              <w:t>)×</w:t>
            </w:r>
            <w:r>
              <w:rPr>
                <w:rFonts w:hint="eastAsia" w:ascii="宋体" w:hAnsi="宋体"/>
                <w:b/>
                <w:bCs/>
                <w:color w:val="auto"/>
                <w:sz w:val="24"/>
                <w:highlight w:val="none"/>
                <w:lang w:val="en-US" w:eastAsia="zh-CN"/>
              </w:rPr>
              <w:t>30</w:t>
            </w:r>
          </w:p>
        </w:tc>
      </w:tr>
      <w:tr w14:paraId="291E8517">
        <w:tblPrEx>
          <w:tblCellMar>
            <w:top w:w="0" w:type="dxa"/>
            <w:left w:w="108" w:type="dxa"/>
            <w:bottom w:w="0" w:type="dxa"/>
            <w:right w:w="108" w:type="dxa"/>
          </w:tblCellMar>
        </w:tblPrEx>
        <w:trPr>
          <w:trHeight w:val="647" w:hRule="atLeast"/>
          <w:jc w:val="center"/>
        </w:trPr>
        <w:tc>
          <w:tcPr>
            <w:tcW w:w="9840" w:type="dxa"/>
            <w:gridSpan w:val="6"/>
            <w:tcBorders>
              <w:top w:val="single" w:color="auto" w:sz="4" w:space="0"/>
              <w:left w:val="single" w:color="auto" w:sz="4" w:space="0"/>
              <w:bottom w:val="single" w:color="auto" w:sz="4" w:space="0"/>
              <w:right w:val="single" w:color="auto" w:sz="4" w:space="0"/>
            </w:tcBorders>
            <w:noWrap/>
            <w:vAlign w:val="center"/>
          </w:tcPr>
          <w:p w14:paraId="4ECBB684">
            <w:pPr>
              <w:spacing w:line="360" w:lineRule="auto"/>
              <w:rPr>
                <w:rFonts w:hint="eastAsia" w:ascii="宋体" w:hAnsi="宋体" w:cs="宋体"/>
                <w:color w:val="auto"/>
                <w:sz w:val="24"/>
                <w:szCs w:val="24"/>
              </w:rPr>
            </w:pPr>
            <w:r>
              <w:rPr>
                <w:rFonts w:hint="eastAsia" w:ascii="宋体" w:hAnsi="宋体" w:cs="宋体"/>
                <w:b/>
                <w:bCs/>
                <w:color w:val="auto"/>
                <w:sz w:val="24"/>
                <w:szCs w:val="24"/>
              </w:rPr>
              <w:t>（</w:t>
            </w:r>
            <w:r>
              <w:rPr>
                <w:rFonts w:hint="eastAsia" w:ascii="宋体" w:hAnsi="宋体" w:cs="宋体"/>
                <w:b/>
                <w:bCs/>
                <w:color w:val="auto"/>
                <w:sz w:val="24"/>
                <w:szCs w:val="24"/>
                <w:lang w:val="en-US" w:eastAsia="zh-CN"/>
              </w:rPr>
              <w:t>二</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技术</w:t>
            </w:r>
            <w:r>
              <w:rPr>
                <w:rFonts w:hint="eastAsia" w:ascii="宋体" w:hAnsi="宋体" w:cs="宋体"/>
                <w:b/>
                <w:bCs/>
                <w:color w:val="auto"/>
                <w:sz w:val="24"/>
                <w:szCs w:val="24"/>
              </w:rPr>
              <w:t>部分F</w:t>
            </w:r>
            <w:r>
              <w:rPr>
                <w:rFonts w:hint="eastAsia" w:ascii="宋体" w:hAnsi="宋体" w:cs="宋体"/>
                <w:b/>
                <w:bCs/>
                <w:color w:val="auto"/>
                <w:sz w:val="24"/>
                <w:szCs w:val="24"/>
                <w:lang w:val="en-US" w:eastAsia="zh-CN"/>
              </w:rPr>
              <w:t>2</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70分</w:t>
            </w:r>
            <w:r>
              <w:rPr>
                <w:rFonts w:hint="eastAsia" w:ascii="宋体" w:hAnsi="宋体" w:cs="宋体"/>
                <w:b/>
                <w:bCs/>
                <w:color w:val="auto"/>
                <w:sz w:val="24"/>
                <w:szCs w:val="24"/>
              </w:rPr>
              <w:t>）</w:t>
            </w:r>
          </w:p>
        </w:tc>
      </w:tr>
      <w:tr w14:paraId="7EE00887">
        <w:tblPrEx>
          <w:tblCellMar>
            <w:top w:w="0" w:type="dxa"/>
            <w:left w:w="108" w:type="dxa"/>
            <w:bottom w:w="0" w:type="dxa"/>
            <w:right w:w="108" w:type="dxa"/>
          </w:tblCellMar>
        </w:tblPrEx>
        <w:trPr>
          <w:trHeight w:val="412" w:hRule="atLeast"/>
          <w:jc w:val="center"/>
        </w:trPr>
        <w:tc>
          <w:tcPr>
            <w:tcW w:w="476" w:type="dxa"/>
            <w:tcBorders>
              <w:top w:val="single" w:color="auto" w:sz="4" w:space="0"/>
              <w:left w:val="single" w:color="auto" w:sz="4" w:space="0"/>
              <w:bottom w:val="single" w:color="auto" w:sz="4" w:space="0"/>
              <w:right w:val="single" w:color="auto" w:sz="4" w:space="0"/>
            </w:tcBorders>
            <w:noWrap/>
            <w:vAlign w:val="center"/>
          </w:tcPr>
          <w:p w14:paraId="4412C574">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eastAsia="宋体"/>
                <w:bCs/>
                <w:iCs/>
                <w:color w:val="auto"/>
                <w:sz w:val="24"/>
                <w:highlight w:val="none"/>
                <w:lang w:val="en-US" w:eastAsia="zh-CN"/>
              </w:rPr>
            </w:pPr>
            <w:r>
              <w:rPr>
                <w:rFonts w:hint="eastAsia" w:ascii="宋体" w:hAnsi="宋体"/>
                <w:bCs/>
                <w:iCs/>
                <w:color w:val="auto"/>
                <w:sz w:val="24"/>
                <w:highlight w:val="none"/>
                <w:lang w:val="en-US" w:eastAsia="zh-CN"/>
              </w:rPr>
              <w:t>1</w:t>
            </w:r>
          </w:p>
        </w:tc>
        <w:tc>
          <w:tcPr>
            <w:tcW w:w="1073" w:type="dxa"/>
            <w:gridSpan w:val="2"/>
            <w:tcBorders>
              <w:top w:val="single" w:color="auto" w:sz="4" w:space="0"/>
              <w:left w:val="nil"/>
              <w:bottom w:val="single" w:color="auto" w:sz="4" w:space="0"/>
              <w:right w:val="single" w:color="auto" w:sz="4" w:space="0"/>
            </w:tcBorders>
            <w:noWrap/>
            <w:vAlign w:val="center"/>
          </w:tcPr>
          <w:p w14:paraId="3FD53629">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cs="Times New Roman"/>
                <w:bCs/>
                <w:iCs/>
                <w:color w:val="auto"/>
                <w:sz w:val="24"/>
                <w:highlight w:val="none"/>
                <w:lang w:val="en-US" w:eastAsia="zh-CN"/>
              </w:rPr>
            </w:pPr>
            <w:r>
              <w:rPr>
                <w:rFonts w:hint="eastAsia" w:ascii="宋体" w:hAnsi="宋体" w:cs="Times New Roman"/>
                <w:bCs/>
                <w:iCs/>
                <w:color w:val="auto"/>
                <w:sz w:val="24"/>
                <w:highlight w:val="none"/>
                <w:lang w:val="en-US" w:eastAsia="zh-CN"/>
              </w:rPr>
              <w:t>项目服务方案</w:t>
            </w:r>
          </w:p>
        </w:tc>
        <w:tc>
          <w:tcPr>
            <w:tcW w:w="1186" w:type="dxa"/>
            <w:tcBorders>
              <w:top w:val="single" w:color="auto" w:sz="4" w:space="0"/>
              <w:left w:val="single" w:color="auto" w:sz="4" w:space="0"/>
              <w:bottom w:val="single" w:color="auto" w:sz="4" w:space="0"/>
              <w:right w:val="single" w:color="auto" w:sz="4" w:space="0"/>
            </w:tcBorders>
            <w:noWrap/>
            <w:vAlign w:val="center"/>
          </w:tcPr>
          <w:p w14:paraId="61D317E1">
            <w:pPr>
              <w:keepNext w:val="0"/>
              <w:keepLines w:val="0"/>
              <w:pageBreakBefore w:val="0"/>
              <w:kinsoku/>
              <w:wordWrap/>
              <w:overflowPunct/>
              <w:topLinePunct w:val="0"/>
              <w:autoSpaceDE/>
              <w:autoSpaceDN/>
              <w:bidi w:val="0"/>
              <w:adjustRightInd/>
              <w:spacing w:line="480" w:lineRule="exact"/>
              <w:jc w:val="both"/>
              <w:textAlignment w:val="auto"/>
              <w:rPr>
                <w:rFonts w:hint="eastAsia" w:ascii="宋体" w:hAnsi="宋体" w:cs="Times New Roman"/>
                <w:bCs/>
                <w:iCs/>
                <w:color w:val="auto"/>
                <w:sz w:val="24"/>
                <w:highlight w:val="none"/>
                <w:lang w:val="en-US" w:eastAsia="zh-CN"/>
              </w:rPr>
            </w:pPr>
            <w:r>
              <w:rPr>
                <w:rFonts w:hint="eastAsia" w:ascii="宋体" w:hAnsi="宋体" w:cs="Times New Roman"/>
                <w:bCs/>
                <w:iCs/>
                <w:color w:val="auto"/>
                <w:sz w:val="24"/>
                <w:highlight w:val="none"/>
                <w:lang w:val="en-US" w:eastAsia="zh-CN"/>
              </w:rPr>
              <w:t>（20分）</w:t>
            </w:r>
          </w:p>
        </w:tc>
        <w:tc>
          <w:tcPr>
            <w:tcW w:w="7105" w:type="dxa"/>
            <w:gridSpan w:val="2"/>
            <w:tcBorders>
              <w:top w:val="single" w:color="auto" w:sz="4" w:space="0"/>
              <w:left w:val="nil"/>
              <w:bottom w:val="single" w:color="auto" w:sz="4" w:space="0"/>
              <w:right w:val="single" w:color="auto" w:sz="4" w:space="0"/>
            </w:tcBorders>
            <w:noWrap/>
            <w:vAlign w:val="center"/>
          </w:tcPr>
          <w:p w14:paraId="51CFA67E">
            <w:pPr>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第一档次</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15</w:t>
            </w:r>
            <w:r>
              <w:rPr>
                <w:rFonts w:hint="eastAsia" w:ascii="宋体" w:hAnsi="宋体" w:cs="宋体"/>
                <w:color w:val="auto"/>
                <w:sz w:val="24"/>
                <w:szCs w:val="24"/>
              </w:rPr>
              <w:t>-</w:t>
            </w:r>
            <w:r>
              <w:rPr>
                <w:rFonts w:hint="eastAsia" w:ascii="宋体" w:hAnsi="宋体" w:cs="宋体"/>
                <w:color w:val="auto"/>
                <w:sz w:val="24"/>
                <w:szCs w:val="24"/>
                <w:lang w:val="en-US" w:eastAsia="zh-CN"/>
              </w:rPr>
              <w:t>20</w:t>
            </w:r>
            <w:r>
              <w:rPr>
                <w:rFonts w:hint="eastAsia" w:ascii="宋体" w:hAnsi="宋体" w:eastAsia="宋体" w:cs="宋体"/>
                <w:color w:val="auto"/>
                <w:sz w:val="24"/>
                <w:szCs w:val="24"/>
                <w:highlight w:val="none"/>
              </w:rPr>
              <w:t>分</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ascii="宋体" w:hAnsi="宋体" w:cs="宋体"/>
                <w:color w:val="auto"/>
                <w:sz w:val="24"/>
                <w:szCs w:val="24"/>
                <w:lang w:eastAsia="zh-CN"/>
              </w:rPr>
              <w:t>投标人</w:t>
            </w:r>
            <w:r>
              <w:rPr>
                <w:rFonts w:hint="eastAsia" w:ascii="宋体" w:hAnsi="宋体" w:cs="宋体"/>
                <w:color w:val="auto"/>
                <w:sz w:val="24"/>
                <w:szCs w:val="24"/>
              </w:rPr>
              <w:t>针对本项目提出的项目服务方案完全满足</w:t>
            </w:r>
            <w:r>
              <w:rPr>
                <w:rFonts w:hint="eastAsia" w:ascii="宋体" w:hAnsi="宋体" w:cs="宋体"/>
                <w:color w:val="auto"/>
                <w:sz w:val="24"/>
                <w:szCs w:val="24"/>
                <w:lang w:eastAsia="zh-CN"/>
              </w:rPr>
              <w:t>招标文件</w:t>
            </w:r>
            <w:r>
              <w:rPr>
                <w:rFonts w:hint="eastAsia" w:ascii="宋体" w:hAnsi="宋体" w:cs="宋体"/>
                <w:color w:val="auto"/>
                <w:sz w:val="24"/>
                <w:szCs w:val="24"/>
              </w:rPr>
              <w:t>要求，</w:t>
            </w:r>
            <w:r>
              <w:rPr>
                <w:rFonts w:hint="eastAsia" w:ascii="宋体" w:hAnsi="宋体" w:cs="宋体"/>
                <w:color w:val="auto"/>
                <w:sz w:val="24"/>
                <w:szCs w:val="24"/>
                <w:lang w:val="en-US" w:eastAsia="zh-CN"/>
              </w:rPr>
              <w:t>课程设置科学合理，紧扣教学大纲及采购人需求，</w:t>
            </w:r>
            <w:r>
              <w:rPr>
                <w:rFonts w:hint="eastAsia" w:ascii="宋体" w:hAnsi="宋体" w:cs="宋体"/>
                <w:color w:val="auto"/>
                <w:sz w:val="24"/>
                <w:szCs w:val="24"/>
              </w:rPr>
              <w:t>服务方案</w:t>
            </w:r>
            <w:r>
              <w:rPr>
                <w:rFonts w:hint="eastAsia" w:ascii="宋体" w:hAnsi="宋体" w:cs="宋体"/>
                <w:color w:val="auto"/>
                <w:sz w:val="24"/>
                <w:szCs w:val="24"/>
                <w:lang w:val="en-US" w:eastAsia="zh-CN"/>
              </w:rPr>
              <w:t>切实可行</w:t>
            </w:r>
            <w:r>
              <w:rPr>
                <w:rFonts w:hint="eastAsia" w:ascii="宋体" w:hAnsi="宋体" w:cs="宋体"/>
                <w:color w:val="auto"/>
                <w:sz w:val="24"/>
                <w:szCs w:val="24"/>
              </w:rPr>
              <w:t>，标准化程度高；服务方案针对性及操作性高；全面分析采购人现状、实施要求，内容阐述完整详细，重点突出，针对性强，可行性强，完全满足本项目需求</w:t>
            </w:r>
            <w:r>
              <w:rPr>
                <w:rFonts w:hint="eastAsia" w:ascii="宋体" w:hAnsi="宋体" w:cs="宋体"/>
                <w:color w:val="auto"/>
                <w:sz w:val="24"/>
                <w:szCs w:val="24"/>
                <w:lang w:eastAsia="zh-CN"/>
              </w:rPr>
              <w:t>。</w:t>
            </w:r>
          </w:p>
          <w:p w14:paraId="575BECA8">
            <w:pPr>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第二档次</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color w:val="auto"/>
                <w:sz w:val="24"/>
                <w:szCs w:val="24"/>
              </w:rPr>
              <w:t>-</w:t>
            </w:r>
            <w:r>
              <w:rPr>
                <w:rFonts w:hint="eastAsia" w:ascii="宋体" w:hAnsi="宋体" w:cs="宋体"/>
                <w:color w:val="auto"/>
                <w:sz w:val="24"/>
                <w:szCs w:val="24"/>
                <w:lang w:val="en-US" w:eastAsia="zh-CN"/>
              </w:rPr>
              <w:t>14</w:t>
            </w:r>
            <w:r>
              <w:rPr>
                <w:rFonts w:hint="eastAsia" w:ascii="宋体" w:hAnsi="宋体" w:eastAsia="宋体" w:cs="宋体"/>
                <w:color w:val="auto"/>
                <w:sz w:val="24"/>
                <w:szCs w:val="24"/>
                <w:highlight w:val="none"/>
              </w:rPr>
              <w:t>分</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ascii="宋体" w:hAnsi="宋体" w:cs="宋体"/>
                <w:color w:val="auto"/>
                <w:sz w:val="24"/>
                <w:szCs w:val="24"/>
                <w:lang w:eastAsia="zh-CN"/>
              </w:rPr>
              <w:t>投标人</w:t>
            </w:r>
            <w:r>
              <w:rPr>
                <w:rFonts w:hint="eastAsia" w:ascii="宋体" w:hAnsi="宋体" w:cs="宋体"/>
                <w:color w:val="auto"/>
                <w:sz w:val="24"/>
                <w:szCs w:val="24"/>
              </w:rPr>
              <w:t>针对本项目提出的项目服务方案满足</w:t>
            </w:r>
            <w:r>
              <w:rPr>
                <w:rFonts w:hint="eastAsia" w:ascii="宋体" w:hAnsi="宋体" w:cs="宋体"/>
                <w:color w:val="auto"/>
                <w:sz w:val="24"/>
                <w:szCs w:val="24"/>
                <w:lang w:eastAsia="zh-CN"/>
              </w:rPr>
              <w:t>招标文件</w:t>
            </w:r>
            <w:r>
              <w:rPr>
                <w:rFonts w:hint="eastAsia" w:ascii="宋体" w:hAnsi="宋体" w:cs="宋体"/>
                <w:color w:val="auto"/>
                <w:sz w:val="24"/>
                <w:szCs w:val="24"/>
              </w:rPr>
              <w:t>要求，服务方案响应性较好，服务方案较为完整可行，内容规范，标准化程度较高；满足采购人需求，服务方案针对性及操作性较高；分析采购人现状、实施要求，内容阐述有缺漏，突出部分重点，针对性一般，可行性一般，满足本项目需求</w:t>
            </w:r>
            <w:r>
              <w:rPr>
                <w:rFonts w:hint="eastAsia" w:ascii="宋体" w:hAnsi="宋体" w:cs="宋体"/>
                <w:color w:val="auto"/>
                <w:sz w:val="24"/>
                <w:szCs w:val="24"/>
                <w:lang w:eastAsia="zh-CN"/>
              </w:rPr>
              <w:t>。</w:t>
            </w:r>
          </w:p>
          <w:p w14:paraId="1BD112FD">
            <w:pPr>
              <w:spacing w:line="360" w:lineRule="auto"/>
              <w:rPr>
                <w:rFonts w:hint="eastAsia" w:ascii="宋体" w:hAnsi="宋体" w:eastAsia="宋体" w:cs="宋体"/>
                <w:b w:val="0"/>
                <w:bCs w:val="0"/>
                <w:color w:val="auto"/>
                <w:sz w:val="24"/>
                <w:szCs w:val="24"/>
                <w:highlight w:val="none"/>
              </w:rPr>
            </w:pPr>
            <w:r>
              <w:rPr>
                <w:rFonts w:hint="eastAsia" w:ascii="宋体" w:hAnsi="宋体" w:cs="宋体"/>
                <w:color w:val="auto"/>
                <w:sz w:val="24"/>
                <w:szCs w:val="24"/>
              </w:rPr>
              <w:t>第三档次</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highlight w:val="none"/>
              </w:rPr>
              <w:t>分</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ascii="宋体" w:hAnsi="宋体" w:cs="宋体"/>
                <w:color w:val="auto"/>
                <w:sz w:val="24"/>
                <w:szCs w:val="24"/>
                <w:lang w:eastAsia="zh-CN"/>
              </w:rPr>
              <w:t>投标人</w:t>
            </w:r>
            <w:r>
              <w:rPr>
                <w:rFonts w:hint="eastAsia" w:ascii="宋体" w:hAnsi="宋体" w:cs="宋体"/>
                <w:color w:val="auto"/>
                <w:sz w:val="24"/>
                <w:szCs w:val="24"/>
              </w:rPr>
              <w:t>针对本项目提出的项目服务方案基本满足</w:t>
            </w:r>
            <w:r>
              <w:rPr>
                <w:rFonts w:hint="eastAsia" w:ascii="宋体" w:hAnsi="宋体" w:cs="宋体"/>
                <w:color w:val="auto"/>
                <w:sz w:val="24"/>
                <w:szCs w:val="24"/>
                <w:lang w:eastAsia="zh-CN"/>
              </w:rPr>
              <w:t>招标文件</w:t>
            </w:r>
            <w:r>
              <w:rPr>
                <w:rFonts w:hint="eastAsia" w:ascii="宋体" w:hAnsi="宋体" w:cs="宋体"/>
                <w:color w:val="auto"/>
                <w:sz w:val="24"/>
                <w:szCs w:val="24"/>
              </w:rPr>
              <w:t>要求，服务方案完整性一般，内容规范性及标准化程度一般；考虑</w:t>
            </w:r>
            <w:r>
              <w:rPr>
                <w:rFonts w:hint="eastAsia" w:ascii="宋体" w:hAnsi="宋体" w:cs="宋体"/>
                <w:color w:val="auto"/>
                <w:sz w:val="24"/>
                <w:szCs w:val="24"/>
                <w:lang w:eastAsia="zh-CN"/>
              </w:rPr>
              <w:t>服务需求</w:t>
            </w:r>
            <w:r>
              <w:rPr>
                <w:rFonts w:hint="eastAsia" w:ascii="宋体" w:hAnsi="宋体" w:cs="宋体"/>
                <w:color w:val="auto"/>
                <w:sz w:val="24"/>
                <w:szCs w:val="24"/>
              </w:rPr>
              <w:t>不足，服务方案针对性及操作性一般；分析采购人现状、实施要求不足，内容阐述空洞，未突出重点，缺乏针对性、可行性，基本满足本项目需求</w:t>
            </w:r>
            <w:r>
              <w:rPr>
                <w:rFonts w:hint="eastAsia" w:ascii="宋体" w:hAnsi="宋体" w:cs="宋体"/>
                <w:color w:val="auto"/>
                <w:sz w:val="24"/>
                <w:szCs w:val="24"/>
                <w:lang w:eastAsia="zh-CN"/>
              </w:rPr>
              <w:t>。</w:t>
            </w:r>
          </w:p>
        </w:tc>
      </w:tr>
      <w:tr w14:paraId="78544192">
        <w:tblPrEx>
          <w:tblCellMar>
            <w:top w:w="0" w:type="dxa"/>
            <w:left w:w="108" w:type="dxa"/>
            <w:bottom w:w="0" w:type="dxa"/>
            <w:right w:w="108" w:type="dxa"/>
          </w:tblCellMar>
        </w:tblPrEx>
        <w:trPr>
          <w:trHeight w:val="4946" w:hRule="atLeast"/>
          <w:jc w:val="center"/>
        </w:trPr>
        <w:tc>
          <w:tcPr>
            <w:tcW w:w="476" w:type="dxa"/>
            <w:tcBorders>
              <w:top w:val="single" w:color="auto" w:sz="4" w:space="0"/>
              <w:left w:val="single" w:color="auto" w:sz="4" w:space="0"/>
              <w:bottom w:val="single" w:color="auto" w:sz="4" w:space="0"/>
              <w:right w:val="single" w:color="auto" w:sz="4" w:space="0"/>
            </w:tcBorders>
            <w:noWrap/>
            <w:vAlign w:val="center"/>
          </w:tcPr>
          <w:p w14:paraId="5F3A2A99">
            <w:pPr>
              <w:keepNext w:val="0"/>
              <w:keepLines w:val="0"/>
              <w:pageBreakBefore w:val="0"/>
              <w:kinsoku/>
              <w:wordWrap/>
              <w:overflowPunct/>
              <w:topLinePunct w:val="0"/>
              <w:autoSpaceDE/>
              <w:autoSpaceDN/>
              <w:bidi w:val="0"/>
              <w:adjustRightInd/>
              <w:spacing w:line="480" w:lineRule="exact"/>
              <w:jc w:val="center"/>
              <w:textAlignment w:val="auto"/>
              <w:rPr>
                <w:rFonts w:hint="default" w:ascii="宋体" w:hAnsi="宋体"/>
                <w:bCs/>
                <w:iCs/>
                <w:color w:val="auto"/>
                <w:sz w:val="24"/>
                <w:highlight w:val="none"/>
                <w:lang w:val="en-US" w:eastAsia="zh-CN"/>
              </w:rPr>
            </w:pPr>
            <w:r>
              <w:rPr>
                <w:rFonts w:hint="eastAsia" w:ascii="宋体" w:hAnsi="宋体"/>
                <w:bCs/>
                <w:iCs/>
                <w:color w:val="auto"/>
                <w:sz w:val="24"/>
                <w:highlight w:val="none"/>
                <w:lang w:val="en-US" w:eastAsia="zh-CN"/>
              </w:rPr>
              <w:t>2</w:t>
            </w:r>
          </w:p>
        </w:tc>
        <w:tc>
          <w:tcPr>
            <w:tcW w:w="1073" w:type="dxa"/>
            <w:gridSpan w:val="2"/>
            <w:tcBorders>
              <w:top w:val="single" w:color="auto" w:sz="4" w:space="0"/>
              <w:left w:val="nil"/>
              <w:bottom w:val="single" w:color="auto" w:sz="4" w:space="0"/>
              <w:right w:val="single" w:color="auto" w:sz="4" w:space="0"/>
            </w:tcBorders>
            <w:noWrap/>
            <w:vAlign w:val="center"/>
          </w:tcPr>
          <w:p w14:paraId="02A87CEA">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color w:val="auto"/>
                <w:sz w:val="24"/>
                <w:highlight w:val="none"/>
              </w:rPr>
            </w:pPr>
            <w:r>
              <w:rPr>
                <w:rFonts w:hint="eastAsia" w:ascii="宋体" w:hAnsi="宋体" w:cs="Times New Roman"/>
                <w:b w:val="0"/>
                <w:bCs w:val="0"/>
                <w:color w:val="auto"/>
                <w:sz w:val="24"/>
                <w:highlight w:val="none"/>
                <w:lang w:val="en-US" w:eastAsia="zh-CN"/>
              </w:rPr>
              <w:t>拟派项目</w:t>
            </w:r>
            <w:r>
              <w:rPr>
                <w:rFonts w:hint="eastAsia" w:ascii="宋体" w:hAnsi="宋体" w:cs="Times New Roman"/>
                <w:b w:val="0"/>
                <w:bCs w:val="0"/>
                <w:color w:val="auto"/>
                <w:sz w:val="24"/>
                <w:highlight w:val="none"/>
                <w:lang w:eastAsia="zh-CN"/>
              </w:rPr>
              <w:t>人员配置</w:t>
            </w:r>
            <w:r>
              <w:rPr>
                <w:rFonts w:hint="eastAsia" w:ascii="宋体" w:hAnsi="宋体" w:cs="Times New Roman"/>
                <w:b w:val="0"/>
                <w:bCs w:val="0"/>
                <w:color w:val="auto"/>
                <w:sz w:val="24"/>
                <w:highlight w:val="none"/>
                <w:lang w:val="en-US" w:eastAsia="zh-CN"/>
              </w:rPr>
              <w:t>及综合素质</w:t>
            </w:r>
          </w:p>
        </w:tc>
        <w:tc>
          <w:tcPr>
            <w:tcW w:w="1186" w:type="dxa"/>
            <w:tcBorders>
              <w:top w:val="single" w:color="auto" w:sz="4" w:space="0"/>
              <w:left w:val="single" w:color="auto" w:sz="4" w:space="0"/>
              <w:bottom w:val="single" w:color="auto" w:sz="4" w:space="0"/>
              <w:right w:val="single" w:color="auto" w:sz="4" w:space="0"/>
            </w:tcBorders>
            <w:noWrap/>
            <w:vAlign w:val="center"/>
          </w:tcPr>
          <w:p w14:paraId="19693F0A">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p>
        </w:tc>
        <w:tc>
          <w:tcPr>
            <w:tcW w:w="7105" w:type="dxa"/>
            <w:gridSpan w:val="2"/>
            <w:tcBorders>
              <w:top w:val="single" w:color="auto" w:sz="4" w:space="0"/>
              <w:left w:val="nil"/>
              <w:bottom w:val="single" w:color="auto" w:sz="4" w:space="0"/>
              <w:right w:val="single" w:color="auto" w:sz="4" w:space="0"/>
            </w:tcBorders>
            <w:noWrap/>
            <w:vAlign w:val="center"/>
          </w:tcPr>
          <w:p w14:paraId="18BA3F9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第一档（</w:t>
            </w:r>
            <w:r>
              <w:rPr>
                <w:rFonts w:hint="eastAsia" w:ascii="宋体" w:hAnsi="宋体"/>
                <w:b w:val="0"/>
                <w:bCs w:val="0"/>
                <w:color w:val="auto"/>
                <w:sz w:val="24"/>
                <w:highlight w:val="none"/>
                <w:lang w:val="en-US" w:eastAsia="zh-CN"/>
              </w:rPr>
              <w:t>10</w:t>
            </w:r>
            <w:r>
              <w:rPr>
                <w:rFonts w:hint="eastAsia" w:ascii="宋体" w:hAnsi="宋体"/>
                <w:b w:val="0"/>
                <w:bCs w:val="0"/>
                <w:color w:val="auto"/>
                <w:sz w:val="24"/>
                <w:highlight w:val="none"/>
              </w:rPr>
              <w:t>-</w:t>
            </w:r>
            <w:r>
              <w:rPr>
                <w:rFonts w:hint="eastAsia" w:ascii="宋体" w:hAnsi="宋体"/>
                <w:b w:val="0"/>
                <w:bCs w:val="0"/>
                <w:color w:val="auto"/>
                <w:sz w:val="24"/>
                <w:highlight w:val="none"/>
                <w:lang w:val="en-US" w:eastAsia="zh-CN"/>
              </w:rPr>
              <w:t>1</w:t>
            </w:r>
            <w:r>
              <w:rPr>
                <w:rFonts w:hint="eastAsia" w:ascii="宋体" w:hAnsi="宋体"/>
                <w:b w:val="0"/>
                <w:bCs w:val="0"/>
                <w:color w:val="auto"/>
                <w:sz w:val="24"/>
                <w:highlight w:val="none"/>
              </w:rPr>
              <w:t>5分）：拟投入的</w:t>
            </w:r>
            <w:r>
              <w:rPr>
                <w:rFonts w:hint="eastAsia" w:ascii="宋体" w:hAnsi="宋体"/>
                <w:b w:val="0"/>
                <w:bCs w:val="0"/>
                <w:color w:val="auto"/>
                <w:sz w:val="24"/>
                <w:highlight w:val="none"/>
                <w:lang w:val="en-US" w:eastAsia="zh-CN"/>
              </w:rPr>
              <w:t>教学</w:t>
            </w:r>
            <w:r>
              <w:rPr>
                <w:rFonts w:hint="eastAsia" w:ascii="宋体" w:hAnsi="宋体"/>
                <w:b w:val="0"/>
                <w:bCs w:val="0"/>
                <w:color w:val="auto"/>
                <w:sz w:val="24"/>
                <w:highlight w:val="none"/>
              </w:rPr>
              <w:t>服务人员配置岗位职责及分工明确、人员</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含师资力量</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数量科学、合理，有完善的内部人员管理制度且针对性强；</w:t>
            </w:r>
          </w:p>
          <w:p w14:paraId="61928B8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第二档（</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w:t>
            </w:r>
            <w:r>
              <w:rPr>
                <w:rFonts w:hint="eastAsia" w:ascii="宋体" w:hAnsi="宋体"/>
                <w:b w:val="0"/>
                <w:bCs w:val="0"/>
                <w:color w:val="auto"/>
                <w:sz w:val="24"/>
                <w:highlight w:val="none"/>
                <w:lang w:val="en-US" w:eastAsia="zh-CN"/>
              </w:rPr>
              <w:t>9</w:t>
            </w:r>
            <w:r>
              <w:rPr>
                <w:rFonts w:hint="eastAsia" w:ascii="宋体" w:hAnsi="宋体"/>
                <w:b w:val="0"/>
                <w:bCs w:val="0"/>
                <w:color w:val="auto"/>
                <w:sz w:val="24"/>
                <w:highlight w:val="none"/>
              </w:rPr>
              <w:t>分）：拟投入的</w:t>
            </w:r>
            <w:r>
              <w:rPr>
                <w:rFonts w:hint="eastAsia" w:ascii="宋体" w:hAnsi="宋体"/>
                <w:b w:val="0"/>
                <w:bCs w:val="0"/>
                <w:color w:val="auto"/>
                <w:sz w:val="24"/>
                <w:highlight w:val="none"/>
                <w:lang w:val="en-US" w:eastAsia="zh-CN"/>
              </w:rPr>
              <w:t>教学</w:t>
            </w:r>
            <w:r>
              <w:rPr>
                <w:rFonts w:hint="eastAsia" w:ascii="宋体" w:hAnsi="宋体"/>
                <w:b w:val="0"/>
                <w:bCs w:val="0"/>
                <w:color w:val="auto"/>
                <w:sz w:val="24"/>
                <w:highlight w:val="none"/>
              </w:rPr>
              <w:t>服务人员配置岗位职责及分工较明确、人员</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含师资力量</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配置数量较合理，有较完善的内部人员管理制度，针对性较强的；</w:t>
            </w:r>
          </w:p>
          <w:p w14:paraId="655D50E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第三档（</w:t>
            </w:r>
            <w:r>
              <w:rPr>
                <w:rFonts w:hint="eastAsia" w:ascii="宋体" w:hAnsi="宋体"/>
                <w:b w:val="0"/>
                <w:bCs w:val="0"/>
                <w:color w:val="auto"/>
                <w:sz w:val="24"/>
                <w:highlight w:val="none"/>
                <w:lang w:val="en-US" w:eastAsia="zh-CN"/>
              </w:rPr>
              <w:t>1-5</w:t>
            </w:r>
            <w:r>
              <w:rPr>
                <w:rFonts w:hint="eastAsia" w:ascii="宋体" w:hAnsi="宋体"/>
                <w:b w:val="0"/>
                <w:bCs w:val="0"/>
                <w:color w:val="auto"/>
                <w:sz w:val="24"/>
                <w:highlight w:val="none"/>
              </w:rPr>
              <w:t>分）：拟投入的</w:t>
            </w:r>
            <w:r>
              <w:rPr>
                <w:rFonts w:hint="eastAsia" w:ascii="宋体" w:hAnsi="宋体"/>
                <w:b w:val="0"/>
                <w:bCs w:val="0"/>
                <w:color w:val="auto"/>
                <w:sz w:val="24"/>
                <w:highlight w:val="none"/>
                <w:lang w:val="en-US" w:eastAsia="zh-CN"/>
              </w:rPr>
              <w:t>教学</w:t>
            </w:r>
            <w:r>
              <w:rPr>
                <w:rFonts w:hint="eastAsia" w:ascii="宋体" w:hAnsi="宋体"/>
                <w:b w:val="0"/>
                <w:bCs w:val="0"/>
                <w:color w:val="auto"/>
                <w:sz w:val="24"/>
                <w:highlight w:val="none"/>
              </w:rPr>
              <w:t>服务人员配置岗位职责及分工不明确、人员</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含师资力量</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数量安排不合理，内部人员管理制度不完善或针对性差；</w:t>
            </w:r>
          </w:p>
          <w:p w14:paraId="30A6FF1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rPr>
            </w:pPr>
            <w:r>
              <w:rPr>
                <w:rFonts w:hint="eastAsia" w:ascii="宋体" w:hAnsi="宋体"/>
                <w:b w:val="0"/>
                <w:bCs w:val="0"/>
                <w:color w:val="auto"/>
                <w:sz w:val="24"/>
                <w:highlight w:val="none"/>
              </w:rPr>
              <w:t>注：投标文件中须提供人员配备表（格式自拟）及相对应人员资料扫描件，人员资料包括身份证、劳动合同</w:t>
            </w:r>
            <w:r>
              <w:rPr>
                <w:rFonts w:hint="eastAsia" w:ascii="宋体" w:hAnsi="宋体"/>
                <w:b w:val="0"/>
                <w:bCs w:val="0"/>
                <w:color w:val="auto"/>
                <w:sz w:val="24"/>
                <w:highlight w:val="none"/>
                <w:lang w:eastAsia="zh-CN"/>
              </w:rPr>
              <w:t>或</w:t>
            </w:r>
            <w:r>
              <w:rPr>
                <w:rFonts w:hint="eastAsia" w:ascii="宋体" w:hAnsi="宋体"/>
                <w:b w:val="0"/>
                <w:bCs w:val="0"/>
                <w:color w:val="auto"/>
                <w:sz w:val="24"/>
                <w:highlight w:val="none"/>
              </w:rPr>
              <w:t>社保证明、有效期内的《</w:t>
            </w:r>
            <w:r>
              <w:rPr>
                <w:rFonts w:hint="eastAsia" w:ascii="宋体" w:hAnsi="宋体"/>
                <w:b w:val="0"/>
                <w:bCs w:val="0"/>
                <w:color w:val="auto"/>
                <w:sz w:val="24"/>
                <w:highlight w:val="none"/>
                <w:lang w:val="en-US" w:eastAsia="zh-CN"/>
              </w:rPr>
              <w:t>教师资格证书</w:t>
            </w:r>
            <w:r>
              <w:rPr>
                <w:rFonts w:hint="eastAsia" w:ascii="宋体" w:hAnsi="宋体"/>
                <w:b w:val="0"/>
                <w:bCs w:val="0"/>
                <w:color w:val="auto"/>
                <w:sz w:val="24"/>
                <w:highlight w:val="none"/>
              </w:rPr>
              <w:t>》</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教师职称证</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等。无人员资料或人员资料不明确、不齐全、无法体现对应内容的不予认可。</w:t>
            </w:r>
          </w:p>
        </w:tc>
      </w:tr>
      <w:tr w14:paraId="1F78F1CD">
        <w:tblPrEx>
          <w:tblCellMar>
            <w:top w:w="0" w:type="dxa"/>
            <w:left w:w="108" w:type="dxa"/>
            <w:bottom w:w="0" w:type="dxa"/>
            <w:right w:w="108" w:type="dxa"/>
          </w:tblCellMar>
        </w:tblPrEx>
        <w:trPr>
          <w:trHeight w:val="5987" w:hRule="atLeast"/>
          <w:jc w:val="center"/>
        </w:trPr>
        <w:tc>
          <w:tcPr>
            <w:tcW w:w="476" w:type="dxa"/>
            <w:tcBorders>
              <w:top w:val="single" w:color="auto" w:sz="4" w:space="0"/>
              <w:left w:val="single" w:color="auto" w:sz="4" w:space="0"/>
              <w:bottom w:val="single" w:color="auto" w:sz="4" w:space="0"/>
              <w:right w:val="single" w:color="auto" w:sz="4" w:space="0"/>
            </w:tcBorders>
            <w:noWrap/>
            <w:vAlign w:val="center"/>
          </w:tcPr>
          <w:p w14:paraId="3B7770B5">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eastAsia="宋体"/>
                <w:bCs/>
                <w:iCs/>
                <w:color w:val="auto"/>
                <w:sz w:val="24"/>
                <w:highlight w:val="none"/>
                <w:lang w:eastAsia="zh-CN"/>
              </w:rPr>
            </w:pPr>
            <w:r>
              <w:rPr>
                <w:rFonts w:hint="eastAsia" w:ascii="宋体" w:hAnsi="宋体"/>
                <w:bCs/>
                <w:iCs/>
                <w:color w:val="auto"/>
                <w:sz w:val="24"/>
                <w:highlight w:val="none"/>
                <w:lang w:val="en-US" w:eastAsia="zh-CN"/>
              </w:rPr>
              <w:t>3</w:t>
            </w:r>
          </w:p>
        </w:tc>
        <w:tc>
          <w:tcPr>
            <w:tcW w:w="1073" w:type="dxa"/>
            <w:gridSpan w:val="2"/>
            <w:tcBorders>
              <w:top w:val="single" w:color="auto" w:sz="4" w:space="0"/>
              <w:left w:val="nil"/>
              <w:bottom w:val="single" w:color="auto" w:sz="4" w:space="0"/>
              <w:right w:val="single" w:color="auto" w:sz="4" w:space="0"/>
            </w:tcBorders>
            <w:noWrap/>
            <w:vAlign w:val="center"/>
          </w:tcPr>
          <w:p w14:paraId="7815533B">
            <w:pPr>
              <w:spacing w:line="360" w:lineRule="auto"/>
              <w:jc w:val="center"/>
              <w:rPr>
                <w:rFonts w:hint="eastAsia" w:ascii="宋体" w:hAnsi="宋体" w:cs="宋体"/>
                <w:color w:val="auto"/>
                <w:sz w:val="24"/>
                <w:szCs w:val="24"/>
              </w:rPr>
            </w:pPr>
            <w:r>
              <w:rPr>
                <w:rFonts w:hint="eastAsia" w:ascii="宋体" w:hAnsi="宋体" w:cs="宋体"/>
                <w:color w:val="auto"/>
                <w:sz w:val="24"/>
                <w:szCs w:val="24"/>
              </w:rPr>
              <w:t>服务质量承诺及保证措施</w:t>
            </w:r>
          </w:p>
          <w:p w14:paraId="59C2341E">
            <w:pPr>
              <w:spacing w:line="360" w:lineRule="auto"/>
              <w:jc w:val="center"/>
              <w:rPr>
                <w:rFonts w:ascii="宋体" w:hAnsi="宋体" w:cs="宋体"/>
                <w:color w:val="auto"/>
                <w:sz w:val="24"/>
                <w:highlight w:val="none"/>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271D263D">
            <w:pPr>
              <w:spacing w:line="360" w:lineRule="auto"/>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rPr>
              <w:t>10分</w:t>
            </w:r>
            <w:r>
              <w:rPr>
                <w:rFonts w:hint="eastAsia" w:ascii="宋体" w:hAnsi="宋体" w:cs="宋体"/>
                <w:color w:val="auto"/>
                <w:sz w:val="24"/>
                <w:szCs w:val="24"/>
                <w:lang w:eastAsia="zh-CN"/>
              </w:rPr>
              <w:t>）</w:t>
            </w:r>
          </w:p>
          <w:p w14:paraId="380C9876">
            <w:pPr>
              <w:spacing w:line="360" w:lineRule="auto"/>
              <w:jc w:val="center"/>
              <w:rPr>
                <w:rFonts w:ascii="宋体" w:hAnsi="宋体" w:cs="宋体"/>
                <w:color w:val="auto"/>
                <w:sz w:val="24"/>
                <w:highlight w:val="none"/>
              </w:rPr>
            </w:pPr>
          </w:p>
        </w:tc>
        <w:tc>
          <w:tcPr>
            <w:tcW w:w="7105" w:type="dxa"/>
            <w:gridSpan w:val="2"/>
            <w:tcBorders>
              <w:top w:val="single" w:color="auto" w:sz="4" w:space="0"/>
              <w:left w:val="nil"/>
              <w:bottom w:val="single" w:color="auto" w:sz="4" w:space="0"/>
              <w:right w:val="single" w:color="auto" w:sz="4" w:space="0"/>
            </w:tcBorders>
            <w:noWrap/>
            <w:vAlign w:val="center"/>
          </w:tcPr>
          <w:p w14:paraId="27244227">
            <w:pPr>
              <w:spacing w:line="360" w:lineRule="auto"/>
              <w:rPr>
                <w:rFonts w:hint="eastAsia" w:ascii="宋体" w:hAnsi="宋体" w:cs="宋体"/>
                <w:color w:val="auto"/>
                <w:sz w:val="24"/>
                <w:szCs w:val="24"/>
              </w:rPr>
            </w:pPr>
            <w:r>
              <w:rPr>
                <w:rFonts w:hint="eastAsia" w:ascii="宋体" w:hAnsi="宋体" w:cs="宋体"/>
                <w:color w:val="auto"/>
                <w:sz w:val="24"/>
                <w:szCs w:val="24"/>
              </w:rPr>
              <w:t>第一档(7-10</w:t>
            </w:r>
            <w:r>
              <w:rPr>
                <w:rFonts w:hint="eastAsia" w:ascii="宋体" w:hAnsi="宋体" w:eastAsia="宋体" w:cs="宋体"/>
                <w:color w:val="auto"/>
                <w:sz w:val="24"/>
                <w:szCs w:val="24"/>
                <w:highlight w:val="none"/>
              </w:rPr>
              <w:t>分</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ascii="宋体" w:hAnsi="宋体" w:cs="宋体"/>
                <w:color w:val="auto"/>
                <w:sz w:val="24"/>
                <w:szCs w:val="24"/>
                <w:lang w:eastAsia="zh-CN"/>
              </w:rPr>
              <w:t>投标人</w:t>
            </w:r>
            <w:r>
              <w:rPr>
                <w:rFonts w:hint="eastAsia" w:ascii="宋体" w:hAnsi="宋体" w:cs="宋体"/>
                <w:color w:val="auto"/>
                <w:sz w:val="24"/>
                <w:szCs w:val="24"/>
              </w:rPr>
              <w:t>针对本项目提出的服务质量承诺及保证措施内容完整、具体，对本项目的服务质量把控能力强，能够迅速应对出现的任何服务质量问题，服务承诺内容完整、详实、清晰，与其服务质量保证措施紧扣，完全满足本项目需求；</w:t>
            </w:r>
          </w:p>
          <w:p w14:paraId="6D577532">
            <w:pPr>
              <w:spacing w:line="360" w:lineRule="auto"/>
              <w:rPr>
                <w:rFonts w:hint="eastAsia" w:ascii="宋体" w:hAnsi="宋体" w:cs="宋体"/>
                <w:color w:val="auto"/>
                <w:sz w:val="24"/>
                <w:szCs w:val="24"/>
              </w:rPr>
            </w:pPr>
            <w:r>
              <w:rPr>
                <w:rFonts w:hint="eastAsia" w:ascii="宋体" w:hAnsi="宋体" w:cs="宋体"/>
                <w:color w:val="auto"/>
                <w:sz w:val="24"/>
                <w:szCs w:val="24"/>
              </w:rPr>
              <w:t>第二档(4-6</w:t>
            </w:r>
            <w:r>
              <w:rPr>
                <w:rFonts w:hint="eastAsia" w:ascii="宋体" w:hAnsi="宋体" w:eastAsia="宋体" w:cs="宋体"/>
                <w:color w:val="auto"/>
                <w:sz w:val="24"/>
                <w:szCs w:val="24"/>
                <w:highlight w:val="none"/>
              </w:rPr>
              <w:t>分</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ascii="宋体" w:hAnsi="宋体" w:cs="宋体"/>
                <w:color w:val="auto"/>
                <w:sz w:val="24"/>
                <w:szCs w:val="24"/>
                <w:lang w:eastAsia="zh-CN"/>
              </w:rPr>
              <w:t>投标人</w:t>
            </w:r>
            <w:r>
              <w:rPr>
                <w:rFonts w:hint="eastAsia" w:ascii="宋体" w:hAnsi="宋体" w:cs="宋体"/>
                <w:color w:val="auto"/>
                <w:sz w:val="24"/>
                <w:szCs w:val="24"/>
              </w:rPr>
              <w:t>针对本项目提出的服务质量承诺及保证措施内容一般，对本项目的服务质量把控能力一般，基本能够应对出现的质量问题，服务承诺一般，内容基本完整但有夸张性、不实际，与其服务质量保证措施有一定呼应，基本能满足本项目需求；</w:t>
            </w:r>
          </w:p>
          <w:p w14:paraId="63261EF6">
            <w:pPr>
              <w:spacing w:line="360" w:lineRule="auto"/>
              <w:rPr>
                <w:rFonts w:hint="eastAsia" w:ascii="宋体" w:hAnsi="宋体" w:cs="宋体"/>
                <w:b w:val="0"/>
                <w:bCs/>
                <w:color w:val="auto"/>
                <w:sz w:val="24"/>
                <w:highlight w:val="none"/>
              </w:rPr>
            </w:pPr>
            <w:r>
              <w:rPr>
                <w:rFonts w:hint="eastAsia" w:ascii="宋体" w:hAnsi="宋体" w:cs="宋体"/>
                <w:color w:val="auto"/>
                <w:sz w:val="24"/>
                <w:szCs w:val="24"/>
              </w:rPr>
              <w:t>第三档</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1-3</w:t>
            </w:r>
            <w:r>
              <w:rPr>
                <w:rFonts w:hint="eastAsia" w:ascii="宋体" w:hAnsi="宋体" w:eastAsia="宋体" w:cs="宋体"/>
                <w:color w:val="auto"/>
                <w:sz w:val="24"/>
                <w:szCs w:val="24"/>
                <w:highlight w:val="none"/>
              </w:rPr>
              <w:t>分</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hAnsi="宋体" w:cs="宋体"/>
                <w:color w:val="auto"/>
                <w:sz w:val="24"/>
                <w:szCs w:val="24"/>
                <w:lang w:eastAsia="zh-CN"/>
              </w:rPr>
              <w:t>投标人</w:t>
            </w:r>
            <w:r>
              <w:rPr>
                <w:rFonts w:hint="eastAsia" w:hAnsi="宋体" w:cs="宋体"/>
                <w:color w:val="auto"/>
                <w:sz w:val="24"/>
                <w:szCs w:val="24"/>
              </w:rPr>
              <w:t>针对本项目提出的服务质量承诺及保证措施内容较差，对本项目的服务质量欠缺把控能力，不能够应对出现的质量问题，服务承诺较差，内容不完整，条理不清晰，难以满足本项目需求。</w:t>
            </w:r>
          </w:p>
        </w:tc>
      </w:tr>
      <w:tr w14:paraId="787B899C">
        <w:tblPrEx>
          <w:tblCellMar>
            <w:top w:w="0" w:type="dxa"/>
            <w:left w:w="108" w:type="dxa"/>
            <w:bottom w:w="0" w:type="dxa"/>
            <w:right w:w="108" w:type="dxa"/>
          </w:tblCellMar>
        </w:tblPrEx>
        <w:trPr>
          <w:trHeight w:val="2932" w:hRule="atLeast"/>
          <w:jc w:val="center"/>
        </w:trPr>
        <w:tc>
          <w:tcPr>
            <w:tcW w:w="476" w:type="dxa"/>
            <w:tcBorders>
              <w:top w:val="single" w:color="auto" w:sz="4" w:space="0"/>
              <w:left w:val="single" w:color="auto" w:sz="4" w:space="0"/>
              <w:bottom w:val="single" w:color="auto" w:sz="4" w:space="0"/>
              <w:right w:val="single" w:color="auto" w:sz="4" w:space="0"/>
            </w:tcBorders>
            <w:noWrap/>
            <w:vAlign w:val="center"/>
          </w:tcPr>
          <w:p w14:paraId="51CE828C">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bCs/>
                <w:iCs/>
                <w:color w:val="auto"/>
                <w:sz w:val="24"/>
                <w:highlight w:val="none"/>
                <w:lang w:eastAsia="zh-CN"/>
              </w:rPr>
            </w:pPr>
            <w:r>
              <w:rPr>
                <w:rFonts w:hint="eastAsia" w:ascii="宋体" w:hAnsi="宋体"/>
                <w:bCs/>
                <w:iCs/>
                <w:color w:val="auto"/>
                <w:sz w:val="24"/>
                <w:highlight w:val="none"/>
                <w:lang w:val="en-US" w:eastAsia="zh-CN"/>
              </w:rPr>
              <w:t>4</w:t>
            </w:r>
          </w:p>
        </w:tc>
        <w:tc>
          <w:tcPr>
            <w:tcW w:w="1073" w:type="dxa"/>
            <w:gridSpan w:val="2"/>
            <w:tcBorders>
              <w:top w:val="single" w:color="auto" w:sz="4" w:space="0"/>
              <w:left w:val="nil"/>
              <w:bottom w:val="single" w:color="auto" w:sz="4" w:space="0"/>
              <w:right w:val="single" w:color="auto" w:sz="4" w:space="0"/>
            </w:tcBorders>
            <w:noWrap/>
            <w:vAlign w:val="center"/>
          </w:tcPr>
          <w:p w14:paraId="5293F55E">
            <w:pPr>
              <w:spacing w:line="360" w:lineRule="auto"/>
              <w:ind w:firstLine="14" w:firstLineChars="6"/>
              <w:jc w:val="center"/>
              <w:rPr>
                <w:rFonts w:ascii="宋体" w:hAnsi="宋体"/>
                <w:color w:val="auto"/>
                <w:sz w:val="24"/>
                <w:highlight w:val="none"/>
              </w:rPr>
            </w:pPr>
            <w:r>
              <w:rPr>
                <w:rFonts w:hint="eastAsia" w:ascii="宋体" w:hAnsi="宋体" w:cs="宋体"/>
                <w:color w:val="auto"/>
                <w:sz w:val="24"/>
                <w:szCs w:val="24"/>
              </w:rPr>
              <w:t>售后服务能力、售后服务方案、承诺及保证</w:t>
            </w:r>
          </w:p>
        </w:tc>
        <w:tc>
          <w:tcPr>
            <w:tcW w:w="1186" w:type="dxa"/>
            <w:tcBorders>
              <w:top w:val="single" w:color="auto" w:sz="4" w:space="0"/>
              <w:left w:val="single" w:color="auto" w:sz="4" w:space="0"/>
              <w:bottom w:val="single" w:color="auto" w:sz="4" w:space="0"/>
              <w:right w:val="single" w:color="auto" w:sz="4" w:space="0"/>
            </w:tcBorders>
            <w:noWrap/>
            <w:vAlign w:val="center"/>
          </w:tcPr>
          <w:p w14:paraId="5E03BD36">
            <w:pPr>
              <w:adjustRightInd w:val="0"/>
              <w:snapToGrid w:val="0"/>
              <w:spacing w:line="360" w:lineRule="auto"/>
              <w:jc w:val="center"/>
              <w:rPr>
                <w:color w:val="auto"/>
                <w:sz w:val="24"/>
                <w:highlight w:val="none"/>
              </w:rPr>
            </w:pPr>
            <w:r>
              <w:rPr>
                <w:rFonts w:hint="eastAsia" w:ascii="宋体" w:hAnsi="宋体" w:cs="宋体"/>
                <w:color w:val="auto"/>
                <w:sz w:val="24"/>
                <w:szCs w:val="24"/>
              </w:rPr>
              <w:t>（10分）</w:t>
            </w:r>
          </w:p>
        </w:tc>
        <w:tc>
          <w:tcPr>
            <w:tcW w:w="7105" w:type="dxa"/>
            <w:gridSpan w:val="2"/>
            <w:tcBorders>
              <w:top w:val="single" w:color="auto" w:sz="4" w:space="0"/>
              <w:left w:val="nil"/>
              <w:bottom w:val="single" w:color="auto" w:sz="4" w:space="0"/>
              <w:right w:val="single" w:color="auto" w:sz="4" w:space="0"/>
            </w:tcBorders>
            <w:noWrap/>
            <w:vAlign w:val="center"/>
          </w:tcPr>
          <w:p w14:paraId="4CB96331">
            <w:pPr>
              <w:widowControl/>
              <w:spacing w:line="360" w:lineRule="auto"/>
              <w:jc w:val="left"/>
              <w:rPr>
                <w:rFonts w:hint="eastAsia" w:ascii="宋体" w:hAnsi="宋体" w:cs="宋体"/>
                <w:color w:val="auto"/>
                <w:sz w:val="24"/>
                <w:szCs w:val="24"/>
              </w:rPr>
            </w:pPr>
            <w:r>
              <w:rPr>
                <w:rFonts w:hint="eastAsia" w:ascii="宋体" w:hAnsi="宋体" w:cs="宋体"/>
                <w:color w:val="auto"/>
                <w:sz w:val="24"/>
                <w:szCs w:val="24"/>
              </w:rPr>
              <w:t>第一档（7-10</w:t>
            </w:r>
            <w:r>
              <w:rPr>
                <w:rFonts w:hint="eastAsia" w:ascii="宋体" w:hAnsi="宋体" w:eastAsia="宋体" w:cs="宋体"/>
                <w:color w:val="auto"/>
                <w:sz w:val="24"/>
                <w:szCs w:val="24"/>
                <w:highlight w:val="none"/>
              </w:rPr>
              <w:t>分</w:t>
            </w:r>
            <w:r>
              <w:rPr>
                <w:rFonts w:hint="eastAsia" w:ascii="宋体" w:hAnsi="宋体" w:cs="宋体"/>
                <w:color w:val="auto"/>
                <w:sz w:val="24"/>
                <w:szCs w:val="24"/>
              </w:rPr>
              <w:t>）：</w:t>
            </w:r>
            <w:r>
              <w:rPr>
                <w:rFonts w:hint="eastAsia" w:ascii="宋体" w:hAnsi="宋体" w:cs="宋体"/>
                <w:color w:val="auto"/>
                <w:sz w:val="24"/>
                <w:szCs w:val="24"/>
                <w:lang w:eastAsia="zh-CN"/>
              </w:rPr>
              <w:t>投标人</w:t>
            </w:r>
            <w:r>
              <w:rPr>
                <w:rFonts w:hint="eastAsia" w:ascii="宋体" w:hAnsi="宋体" w:cs="宋体"/>
                <w:color w:val="auto"/>
                <w:sz w:val="24"/>
                <w:szCs w:val="24"/>
              </w:rPr>
              <w:t>售后服务能力强，售后服务方案、承诺及保证完善具体，针对性强；</w:t>
            </w:r>
          </w:p>
          <w:p w14:paraId="71A2E3BA">
            <w:pPr>
              <w:spacing w:line="360" w:lineRule="auto"/>
              <w:ind w:firstLine="14" w:firstLineChars="6"/>
              <w:jc w:val="left"/>
              <w:rPr>
                <w:rFonts w:hint="eastAsia" w:ascii="宋体" w:hAnsi="宋体" w:cs="宋体"/>
                <w:color w:val="auto"/>
                <w:sz w:val="24"/>
                <w:szCs w:val="24"/>
              </w:rPr>
            </w:pPr>
            <w:r>
              <w:rPr>
                <w:rFonts w:hint="eastAsia" w:ascii="宋体" w:hAnsi="宋体" w:cs="宋体"/>
                <w:color w:val="auto"/>
                <w:sz w:val="24"/>
                <w:szCs w:val="24"/>
              </w:rPr>
              <w:t>第二档（4-6</w:t>
            </w:r>
            <w:r>
              <w:rPr>
                <w:rFonts w:hint="eastAsia" w:ascii="宋体" w:hAnsi="宋体" w:eastAsia="宋体" w:cs="宋体"/>
                <w:color w:val="auto"/>
                <w:sz w:val="24"/>
                <w:szCs w:val="24"/>
                <w:highlight w:val="none"/>
              </w:rPr>
              <w:t>分</w:t>
            </w:r>
            <w:r>
              <w:rPr>
                <w:rFonts w:hint="eastAsia" w:ascii="宋体" w:hAnsi="宋体" w:cs="宋体"/>
                <w:color w:val="auto"/>
                <w:sz w:val="24"/>
                <w:szCs w:val="24"/>
              </w:rPr>
              <w:t>）：</w:t>
            </w:r>
            <w:r>
              <w:rPr>
                <w:rFonts w:hint="eastAsia" w:ascii="宋体" w:hAnsi="宋体" w:cs="宋体"/>
                <w:color w:val="auto"/>
                <w:sz w:val="24"/>
                <w:szCs w:val="24"/>
                <w:lang w:eastAsia="zh-CN"/>
              </w:rPr>
              <w:t>投标人</w:t>
            </w:r>
            <w:r>
              <w:rPr>
                <w:rFonts w:hint="eastAsia" w:ascii="宋体" w:hAnsi="宋体" w:cs="宋体"/>
                <w:color w:val="auto"/>
                <w:sz w:val="24"/>
                <w:szCs w:val="24"/>
              </w:rPr>
              <w:t>售后服务能力较强，售后服务方案、承诺及保证具体可行，有一定的针对性；</w:t>
            </w:r>
          </w:p>
          <w:p w14:paraId="0E090E2A">
            <w:pPr>
              <w:spacing w:line="360" w:lineRule="auto"/>
              <w:ind w:firstLine="14" w:firstLineChars="6"/>
              <w:jc w:val="left"/>
              <w:rPr>
                <w:rFonts w:hint="eastAsia" w:ascii="宋体" w:hAnsi="宋体" w:eastAsia="宋体"/>
                <w:b/>
                <w:bCs/>
                <w:color w:val="auto"/>
                <w:sz w:val="24"/>
                <w:highlight w:val="none"/>
                <w:lang w:eastAsia="zh-CN"/>
              </w:rPr>
            </w:pPr>
            <w:r>
              <w:rPr>
                <w:rFonts w:hint="eastAsia" w:ascii="宋体" w:hAnsi="宋体" w:cs="宋体"/>
                <w:color w:val="auto"/>
                <w:sz w:val="24"/>
                <w:szCs w:val="24"/>
              </w:rPr>
              <w:t>第三档（</w:t>
            </w:r>
            <w:r>
              <w:rPr>
                <w:rFonts w:hint="eastAsia" w:ascii="宋体" w:hAnsi="宋体" w:cs="宋体"/>
                <w:color w:val="auto"/>
                <w:sz w:val="24"/>
                <w:szCs w:val="24"/>
                <w:lang w:val="en-US" w:eastAsia="zh-CN"/>
              </w:rPr>
              <w:t>1</w:t>
            </w:r>
            <w:r>
              <w:rPr>
                <w:rFonts w:hint="eastAsia" w:ascii="宋体" w:hAnsi="宋体" w:cs="宋体"/>
                <w:color w:val="auto"/>
                <w:sz w:val="24"/>
                <w:szCs w:val="24"/>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rPr>
              <w:t>）：</w:t>
            </w:r>
            <w:r>
              <w:rPr>
                <w:rFonts w:hint="eastAsia" w:ascii="宋体" w:hAnsi="宋体" w:cs="宋体"/>
                <w:color w:val="auto"/>
                <w:sz w:val="24"/>
                <w:szCs w:val="24"/>
                <w:lang w:eastAsia="zh-CN"/>
              </w:rPr>
              <w:t>投标人</w:t>
            </w:r>
            <w:r>
              <w:rPr>
                <w:rFonts w:hint="eastAsia" w:ascii="宋体" w:hAnsi="宋体" w:cs="宋体"/>
                <w:color w:val="auto"/>
                <w:sz w:val="24"/>
                <w:szCs w:val="24"/>
              </w:rPr>
              <w:t>售后服务能力一般，售后服务方案、承诺及保证基本可行，但缺乏针对性</w:t>
            </w:r>
            <w:r>
              <w:rPr>
                <w:rFonts w:hint="eastAsia" w:ascii="宋体" w:hAnsi="宋体" w:cs="宋体"/>
                <w:color w:val="auto"/>
                <w:sz w:val="24"/>
                <w:szCs w:val="24"/>
                <w:lang w:eastAsia="zh-CN"/>
              </w:rPr>
              <w:t>。</w:t>
            </w:r>
          </w:p>
        </w:tc>
      </w:tr>
      <w:tr w14:paraId="28D7A3A5">
        <w:tblPrEx>
          <w:tblCellMar>
            <w:top w:w="0" w:type="dxa"/>
            <w:left w:w="108" w:type="dxa"/>
            <w:bottom w:w="0" w:type="dxa"/>
            <w:right w:w="108" w:type="dxa"/>
          </w:tblCellMar>
        </w:tblPrEx>
        <w:trPr>
          <w:trHeight w:val="924" w:hRule="atLeast"/>
          <w:jc w:val="center"/>
        </w:trPr>
        <w:tc>
          <w:tcPr>
            <w:tcW w:w="476" w:type="dxa"/>
            <w:tcBorders>
              <w:top w:val="single" w:color="auto" w:sz="4" w:space="0"/>
              <w:left w:val="single" w:color="auto" w:sz="4" w:space="0"/>
              <w:bottom w:val="single" w:color="auto" w:sz="4" w:space="0"/>
              <w:right w:val="single" w:color="auto" w:sz="4" w:space="0"/>
            </w:tcBorders>
            <w:noWrap/>
            <w:vAlign w:val="center"/>
          </w:tcPr>
          <w:p w14:paraId="5873BA8C">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bCs/>
                <w:iCs/>
                <w:color w:val="auto"/>
                <w:sz w:val="24"/>
                <w:highlight w:val="none"/>
                <w:lang w:val="en-US" w:eastAsia="zh-CN"/>
              </w:rPr>
            </w:pPr>
            <w:r>
              <w:rPr>
                <w:rFonts w:hint="eastAsia" w:ascii="宋体" w:hAnsi="宋体"/>
                <w:bCs/>
                <w:iCs/>
                <w:color w:val="auto"/>
                <w:sz w:val="24"/>
                <w:highlight w:val="none"/>
                <w:lang w:val="en-US" w:eastAsia="zh-CN"/>
              </w:rPr>
              <w:t>5</w:t>
            </w:r>
          </w:p>
        </w:tc>
        <w:tc>
          <w:tcPr>
            <w:tcW w:w="1073" w:type="dxa"/>
            <w:gridSpan w:val="2"/>
            <w:tcBorders>
              <w:top w:val="single" w:color="auto" w:sz="4" w:space="0"/>
              <w:left w:val="nil"/>
              <w:bottom w:val="single" w:color="auto" w:sz="4" w:space="0"/>
              <w:right w:val="single" w:color="auto" w:sz="4" w:space="0"/>
            </w:tcBorders>
            <w:noWrap/>
            <w:vAlign w:val="center"/>
          </w:tcPr>
          <w:p w14:paraId="143C8B4A">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分析了解</w:t>
            </w:r>
            <w:r>
              <w:rPr>
                <w:rFonts w:hint="eastAsia" w:ascii="宋体" w:hAnsi="宋体"/>
                <w:color w:val="auto"/>
                <w:sz w:val="24"/>
                <w:highlight w:val="none"/>
                <w:lang w:val="en-US" w:eastAsia="zh-CN"/>
              </w:rPr>
              <w:t>项目</w:t>
            </w:r>
            <w:r>
              <w:rPr>
                <w:rFonts w:hint="eastAsia" w:ascii="宋体" w:hAnsi="宋体"/>
                <w:color w:val="auto"/>
                <w:sz w:val="24"/>
                <w:highlight w:val="none"/>
              </w:rPr>
              <w:t>情况及重难点把握</w:t>
            </w:r>
          </w:p>
        </w:tc>
        <w:tc>
          <w:tcPr>
            <w:tcW w:w="1186" w:type="dxa"/>
            <w:tcBorders>
              <w:top w:val="single" w:color="auto" w:sz="4" w:space="0"/>
              <w:left w:val="single" w:color="auto" w:sz="4" w:space="0"/>
              <w:bottom w:val="single" w:color="auto" w:sz="4" w:space="0"/>
              <w:right w:val="single" w:color="auto" w:sz="4" w:space="0"/>
            </w:tcBorders>
            <w:noWrap/>
            <w:vAlign w:val="center"/>
          </w:tcPr>
          <w:p w14:paraId="29A72898">
            <w:pPr>
              <w:adjustRightInd w:val="0"/>
              <w:snapToGrid w:val="0"/>
              <w:spacing w:line="360" w:lineRule="auto"/>
              <w:jc w:val="center"/>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5</w:t>
            </w:r>
            <w:r>
              <w:rPr>
                <w:rFonts w:hint="eastAsia" w:ascii="宋体" w:hAnsi="宋体" w:cs="宋体"/>
                <w:color w:val="auto"/>
                <w:sz w:val="24"/>
                <w:szCs w:val="24"/>
              </w:rPr>
              <w:t>分）</w:t>
            </w:r>
          </w:p>
        </w:tc>
        <w:tc>
          <w:tcPr>
            <w:tcW w:w="7105" w:type="dxa"/>
            <w:gridSpan w:val="2"/>
            <w:tcBorders>
              <w:top w:val="single" w:color="auto" w:sz="4" w:space="0"/>
              <w:left w:val="nil"/>
              <w:bottom w:val="single" w:color="auto" w:sz="4" w:space="0"/>
              <w:right w:val="single" w:color="auto" w:sz="4" w:space="0"/>
            </w:tcBorders>
            <w:noWrap/>
            <w:vAlign w:val="center"/>
          </w:tcPr>
          <w:p w14:paraId="4FF4907F">
            <w:pPr>
              <w:spacing w:line="360" w:lineRule="auto"/>
              <w:ind w:firstLine="14" w:firstLineChars="6"/>
              <w:jc w:val="left"/>
              <w:rPr>
                <w:rFonts w:hint="default" w:ascii="宋体" w:hAnsi="宋体" w:eastAsia="宋体" w:cs="宋体"/>
                <w:color w:val="auto"/>
                <w:sz w:val="24"/>
                <w:szCs w:val="24"/>
                <w:lang w:val="en-US" w:eastAsia="zh-CN"/>
              </w:rPr>
            </w:pPr>
            <w:r>
              <w:rPr>
                <w:rFonts w:hint="eastAsia" w:ascii="宋体" w:hAnsi="宋体" w:cs="宋体"/>
                <w:color w:val="auto"/>
                <w:sz w:val="24"/>
                <w:szCs w:val="24"/>
              </w:rPr>
              <w:t>第一档（</w:t>
            </w:r>
            <w:r>
              <w:rPr>
                <w:rFonts w:hint="eastAsia" w:ascii="宋体" w:hAnsi="宋体" w:cs="宋体"/>
                <w:color w:val="auto"/>
                <w:sz w:val="24"/>
                <w:szCs w:val="24"/>
                <w:lang w:val="en-US" w:eastAsia="zh-CN"/>
              </w:rPr>
              <w:t>4</w:t>
            </w:r>
            <w:r>
              <w:rPr>
                <w:rFonts w:hint="eastAsia" w:ascii="宋体" w:hAnsi="宋体" w:cs="宋体"/>
                <w:color w:val="auto"/>
                <w:sz w:val="24"/>
                <w:szCs w:val="24"/>
              </w:rPr>
              <w:t>-</w:t>
            </w:r>
            <w:r>
              <w:rPr>
                <w:rFonts w:hint="eastAsia" w:ascii="宋体" w:hAnsi="宋体" w:cs="宋体"/>
                <w:color w:val="auto"/>
                <w:sz w:val="24"/>
                <w:szCs w:val="24"/>
                <w:lang w:val="en-US" w:eastAsia="zh-CN"/>
              </w:rPr>
              <w:t>5</w:t>
            </w:r>
            <w:r>
              <w:rPr>
                <w:rFonts w:hint="eastAsia" w:ascii="宋体" w:hAnsi="宋体" w:cs="宋体"/>
                <w:color w:val="auto"/>
                <w:sz w:val="24"/>
                <w:szCs w:val="24"/>
              </w:rPr>
              <w:t>分）：</w:t>
            </w:r>
            <w:r>
              <w:rPr>
                <w:rFonts w:hint="eastAsia" w:ascii="宋体" w:hAnsi="宋体" w:cs="宋体"/>
                <w:color w:val="auto"/>
                <w:sz w:val="24"/>
                <w:szCs w:val="24"/>
                <w:lang w:eastAsia="zh-CN"/>
              </w:rPr>
              <w:t>投标人</w:t>
            </w:r>
            <w:r>
              <w:rPr>
                <w:rFonts w:hint="eastAsia" w:ascii="宋体" w:hAnsi="宋体" w:cs="宋体"/>
                <w:color w:val="auto"/>
                <w:sz w:val="24"/>
                <w:szCs w:val="24"/>
              </w:rPr>
              <w:t>了解项目需求</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对其</w:t>
            </w:r>
            <w:r>
              <w:rPr>
                <w:rFonts w:hint="eastAsia" w:ascii="宋体" w:hAnsi="宋体" w:cs="宋体"/>
                <w:color w:val="auto"/>
                <w:sz w:val="24"/>
                <w:szCs w:val="24"/>
              </w:rPr>
              <w:t>进行了全面分析，对项目情况有深入理解</w:t>
            </w:r>
            <w:r>
              <w:rPr>
                <w:rFonts w:hint="eastAsia" w:ascii="宋体" w:hAnsi="宋体" w:cs="宋体"/>
                <w:color w:val="auto"/>
                <w:sz w:val="24"/>
                <w:szCs w:val="24"/>
                <w:lang w:eastAsia="zh-CN"/>
              </w:rPr>
              <w:t>，对应提供了切实可行且具有针对性的解决方案</w:t>
            </w:r>
            <w:r>
              <w:rPr>
                <w:rFonts w:hint="eastAsia" w:ascii="宋体" w:hAnsi="宋体" w:cs="宋体"/>
                <w:color w:val="auto"/>
                <w:sz w:val="24"/>
                <w:szCs w:val="24"/>
                <w:lang w:val="en-US" w:eastAsia="zh-CN"/>
              </w:rPr>
              <w:t>，对本项目重难点以及实施过程中可能存在的问题进行了全面科学梳理，把握准确、条理清晰，符合项目实际情况；</w:t>
            </w:r>
          </w:p>
          <w:p w14:paraId="745839EA">
            <w:pPr>
              <w:spacing w:line="360" w:lineRule="auto"/>
              <w:ind w:firstLine="14" w:firstLineChars="6"/>
              <w:jc w:val="left"/>
              <w:rPr>
                <w:rFonts w:hint="eastAsia" w:ascii="宋体" w:hAnsi="宋体" w:cs="宋体"/>
                <w:color w:val="auto"/>
                <w:sz w:val="24"/>
                <w:szCs w:val="24"/>
              </w:rPr>
            </w:pPr>
            <w:r>
              <w:rPr>
                <w:rFonts w:hint="eastAsia" w:ascii="宋体" w:hAnsi="宋体" w:cs="宋体"/>
                <w:color w:val="auto"/>
                <w:sz w:val="24"/>
                <w:szCs w:val="24"/>
              </w:rPr>
              <w:t>第二档（</w:t>
            </w:r>
            <w:r>
              <w:rPr>
                <w:rFonts w:hint="eastAsia" w:ascii="宋体" w:hAnsi="宋体" w:cs="宋体"/>
                <w:color w:val="auto"/>
                <w:sz w:val="24"/>
                <w:szCs w:val="24"/>
                <w:lang w:val="en-US" w:eastAsia="zh-CN"/>
              </w:rPr>
              <w:t>2</w:t>
            </w:r>
            <w:r>
              <w:rPr>
                <w:rFonts w:hint="eastAsia" w:ascii="宋体" w:hAnsi="宋体" w:cs="宋体"/>
                <w:color w:val="auto"/>
                <w:sz w:val="24"/>
                <w:szCs w:val="24"/>
              </w:rPr>
              <w:t>-</w:t>
            </w:r>
            <w:r>
              <w:rPr>
                <w:rFonts w:hint="eastAsia" w:ascii="宋体" w:hAnsi="宋体" w:cs="宋体"/>
                <w:color w:val="auto"/>
                <w:sz w:val="24"/>
                <w:szCs w:val="24"/>
                <w:lang w:val="en-US" w:eastAsia="zh-CN"/>
              </w:rPr>
              <w:t>3</w:t>
            </w:r>
            <w:r>
              <w:rPr>
                <w:rFonts w:hint="eastAsia" w:ascii="宋体" w:hAnsi="宋体" w:cs="宋体"/>
                <w:color w:val="auto"/>
                <w:sz w:val="24"/>
                <w:szCs w:val="24"/>
              </w:rPr>
              <w:t>分）：</w:t>
            </w:r>
            <w:r>
              <w:rPr>
                <w:rFonts w:hint="eastAsia" w:ascii="宋体" w:hAnsi="宋体" w:cs="宋体"/>
                <w:color w:val="auto"/>
                <w:sz w:val="24"/>
                <w:szCs w:val="24"/>
                <w:lang w:eastAsia="zh-CN"/>
              </w:rPr>
              <w:t>投标人</w:t>
            </w:r>
            <w:r>
              <w:rPr>
                <w:rFonts w:hint="eastAsia" w:ascii="宋体" w:hAnsi="宋体" w:cs="宋体"/>
                <w:color w:val="auto"/>
                <w:sz w:val="24"/>
                <w:szCs w:val="24"/>
                <w:lang w:val="en-US" w:eastAsia="zh-CN"/>
              </w:rPr>
              <w:t>基本</w:t>
            </w:r>
            <w:r>
              <w:rPr>
                <w:rFonts w:hint="eastAsia" w:ascii="宋体" w:hAnsi="宋体" w:cs="宋体"/>
                <w:color w:val="auto"/>
                <w:sz w:val="24"/>
                <w:szCs w:val="24"/>
              </w:rPr>
              <w:t>了解项目需求</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对其</w:t>
            </w:r>
            <w:r>
              <w:rPr>
                <w:rFonts w:hint="eastAsia" w:ascii="宋体" w:hAnsi="宋体" w:cs="宋体"/>
                <w:color w:val="auto"/>
                <w:sz w:val="24"/>
                <w:szCs w:val="24"/>
              </w:rPr>
              <w:t>进行了分析，对项目情况有</w:t>
            </w:r>
            <w:r>
              <w:rPr>
                <w:rFonts w:hint="eastAsia" w:ascii="宋体" w:hAnsi="宋体" w:cs="宋体"/>
                <w:color w:val="auto"/>
                <w:sz w:val="24"/>
                <w:szCs w:val="24"/>
                <w:lang w:val="en-US" w:eastAsia="zh-CN"/>
              </w:rPr>
              <w:t>一定</w:t>
            </w:r>
            <w:r>
              <w:rPr>
                <w:rFonts w:hint="eastAsia" w:ascii="宋体" w:hAnsi="宋体" w:cs="宋体"/>
                <w:color w:val="auto"/>
                <w:sz w:val="24"/>
                <w:szCs w:val="24"/>
              </w:rPr>
              <w:t>理解</w:t>
            </w:r>
            <w:r>
              <w:rPr>
                <w:rFonts w:hint="eastAsia" w:ascii="宋体" w:hAnsi="宋体" w:cs="宋体"/>
                <w:color w:val="auto"/>
                <w:sz w:val="24"/>
                <w:szCs w:val="24"/>
                <w:lang w:eastAsia="zh-CN"/>
              </w:rPr>
              <w:t>，提供了可行的解决方案</w:t>
            </w:r>
            <w:r>
              <w:rPr>
                <w:rFonts w:hint="eastAsia" w:ascii="宋体" w:hAnsi="宋体" w:cs="宋体"/>
                <w:color w:val="auto"/>
                <w:sz w:val="24"/>
                <w:szCs w:val="24"/>
                <w:lang w:val="en-US" w:eastAsia="zh-CN"/>
              </w:rPr>
              <w:t>的，对本项目重难点以及实施过程中可能存在的问题进行了全面梳理，符合项目实际情况。</w:t>
            </w:r>
          </w:p>
          <w:p w14:paraId="03A5FC3D">
            <w:pPr>
              <w:spacing w:line="360" w:lineRule="auto"/>
              <w:ind w:firstLine="14" w:firstLineChars="6"/>
              <w:jc w:val="left"/>
              <w:rPr>
                <w:rFonts w:hint="eastAsia" w:ascii="宋体" w:hAnsi="宋体" w:cs="宋体"/>
                <w:color w:val="auto"/>
                <w:sz w:val="24"/>
                <w:szCs w:val="24"/>
              </w:rPr>
            </w:pPr>
            <w:r>
              <w:rPr>
                <w:rFonts w:hint="eastAsia" w:ascii="宋体" w:hAnsi="宋体" w:cs="宋体"/>
                <w:color w:val="auto"/>
                <w:sz w:val="24"/>
                <w:szCs w:val="24"/>
              </w:rPr>
              <w:t>第三档（</w:t>
            </w:r>
            <w:r>
              <w:rPr>
                <w:rFonts w:hint="eastAsia" w:ascii="宋体" w:hAnsi="宋体" w:cs="宋体"/>
                <w:color w:val="auto"/>
                <w:sz w:val="24"/>
                <w:szCs w:val="24"/>
                <w:lang w:val="en-US" w:eastAsia="zh-CN"/>
              </w:rPr>
              <w:t>1</w:t>
            </w:r>
            <w:r>
              <w:rPr>
                <w:rFonts w:hint="eastAsia" w:ascii="宋体" w:hAnsi="宋体" w:cs="宋体"/>
                <w:color w:val="auto"/>
                <w:sz w:val="24"/>
                <w:szCs w:val="24"/>
              </w:rPr>
              <w:t>分）：</w:t>
            </w:r>
            <w:r>
              <w:rPr>
                <w:rFonts w:hint="eastAsia" w:ascii="宋体" w:hAnsi="宋体" w:cs="宋体"/>
                <w:color w:val="auto"/>
                <w:sz w:val="24"/>
                <w:szCs w:val="24"/>
                <w:lang w:eastAsia="zh-CN"/>
              </w:rPr>
              <w:t>投标人</w:t>
            </w:r>
            <w:r>
              <w:rPr>
                <w:rFonts w:hint="eastAsia" w:ascii="宋体" w:hAnsi="宋体" w:cs="宋体"/>
                <w:color w:val="auto"/>
                <w:sz w:val="24"/>
                <w:szCs w:val="24"/>
              </w:rPr>
              <w:t>了解项目需求</w:t>
            </w:r>
            <w:r>
              <w:rPr>
                <w:rFonts w:hint="eastAsia" w:ascii="宋体" w:hAnsi="宋体" w:cs="宋体"/>
                <w:color w:val="auto"/>
                <w:sz w:val="24"/>
                <w:szCs w:val="24"/>
                <w:lang w:eastAsia="zh-CN"/>
              </w:rPr>
              <w:t>，</w:t>
            </w:r>
            <w:r>
              <w:rPr>
                <w:rFonts w:hint="eastAsia" w:ascii="宋体" w:hAnsi="宋体" w:cs="宋体"/>
                <w:color w:val="auto"/>
                <w:sz w:val="24"/>
                <w:szCs w:val="24"/>
              </w:rPr>
              <w:t>对项目情况有理解</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有分析</w:t>
            </w:r>
            <w:r>
              <w:rPr>
                <w:rFonts w:hint="eastAsia" w:ascii="宋体" w:hAnsi="宋体" w:cs="宋体"/>
                <w:color w:val="auto"/>
                <w:sz w:val="24"/>
                <w:szCs w:val="24"/>
                <w:lang w:eastAsia="zh-CN"/>
              </w:rPr>
              <w:t>，对应提供了解决方案</w:t>
            </w:r>
            <w:r>
              <w:rPr>
                <w:rFonts w:hint="eastAsia" w:ascii="宋体" w:hAnsi="宋体" w:cs="宋体"/>
                <w:color w:val="auto"/>
                <w:sz w:val="24"/>
                <w:szCs w:val="24"/>
                <w:lang w:val="en-US" w:eastAsia="zh-CN"/>
              </w:rPr>
              <w:t>，对本项目重难点以及实施过程中可能存在的问题进行了梳理但针对性不足。</w:t>
            </w:r>
          </w:p>
        </w:tc>
      </w:tr>
      <w:tr w14:paraId="1E4976DA">
        <w:tblPrEx>
          <w:tblCellMar>
            <w:top w:w="0" w:type="dxa"/>
            <w:left w:w="108" w:type="dxa"/>
            <w:bottom w:w="0" w:type="dxa"/>
            <w:right w:w="108" w:type="dxa"/>
          </w:tblCellMar>
        </w:tblPrEx>
        <w:trPr>
          <w:trHeight w:val="1069" w:hRule="atLeast"/>
          <w:jc w:val="center"/>
        </w:trPr>
        <w:tc>
          <w:tcPr>
            <w:tcW w:w="476" w:type="dxa"/>
            <w:tcBorders>
              <w:top w:val="single" w:color="auto" w:sz="4" w:space="0"/>
              <w:left w:val="single" w:color="auto" w:sz="4" w:space="0"/>
              <w:bottom w:val="single" w:color="auto" w:sz="4" w:space="0"/>
              <w:right w:val="single" w:color="auto" w:sz="4" w:space="0"/>
            </w:tcBorders>
            <w:noWrap/>
            <w:vAlign w:val="center"/>
          </w:tcPr>
          <w:p w14:paraId="398E3940">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eastAsia="宋体"/>
                <w:bCs/>
                <w:iCs/>
                <w:color w:val="auto"/>
                <w:sz w:val="24"/>
                <w:highlight w:val="none"/>
                <w:lang w:val="en-US" w:eastAsia="zh-CN"/>
              </w:rPr>
            </w:pPr>
            <w:r>
              <w:rPr>
                <w:rFonts w:hint="eastAsia" w:ascii="宋体" w:hAnsi="宋体"/>
                <w:bCs/>
                <w:iCs/>
                <w:color w:val="auto"/>
                <w:sz w:val="24"/>
                <w:highlight w:val="none"/>
                <w:lang w:val="en-US" w:eastAsia="zh-CN"/>
              </w:rPr>
              <w:t>6</w:t>
            </w:r>
          </w:p>
        </w:tc>
        <w:tc>
          <w:tcPr>
            <w:tcW w:w="1073" w:type="dxa"/>
            <w:gridSpan w:val="2"/>
            <w:tcBorders>
              <w:top w:val="single" w:color="auto" w:sz="4" w:space="0"/>
              <w:left w:val="nil"/>
              <w:bottom w:val="single" w:color="auto" w:sz="4" w:space="0"/>
              <w:right w:val="single" w:color="auto" w:sz="4" w:space="0"/>
            </w:tcBorders>
            <w:noWrap/>
            <w:vAlign w:val="center"/>
          </w:tcPr>
          <w:p w14:paraId="6869FFB4">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eastAsia="宋体"/>
                <w:color w:val="auto"/>
                <w:sz w:val="24"/>
                <w:highlight w:val="none"/>
                <w:lang w:val="en-US" w:eastAsia="zh-CN"/>
              </w:rPr>
            </w:pPr>
            <w:r>
              <w:rPr>
                <w:rFonts w:hint="eastAsia" w:ascii="宋体" w:hAnsi="宋体" w:cs="Times New Roman"/>
                <w:b w:val="0"/>
                <w:bCs w:val="0"/>
                <w:color w:val="auto"/>
                <w:sz w:val="24"/>
                <w:highlight w:val="none"/>
                <w:lang w:val="en-US" w:eastAsia="zh-CN"/>
              </w:rPr>
              <w:t>应急方案</w:t>
            </w:r>
          </w:p>
        </w:tc>
        <w:tc>
          <w:tcPr>
            <w:tcW w:w="1186" w:type="dxa"/>
            <w:tcBorders>
              <w:top w:val="single" w:color="auto" w:sz="4" w:space="0"/>
              <w:left w:val="single" w:color="auto" w:sz="4" w:space="0"/>
              <w:bottom w:val="single" w:color="auto" w:sz="4" w:space="0"/>
              <w:right w:val="single" w:color="auto" w:sz="4" w:space="0"/>
            </w:tcBorders>
            <w:noWrap/>
            <w:vAlign w:val="center"/>
          </w:tcPr>
          <w:p w14:paraId="44FD8FA9">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p>
        </w:tc>
        <w:tc>
          <w:tcPr>
            <w:tcW w:w="7105" w:type="dxa"/>
            <w:gridSpan w:val="2"/>
            <w:tcBorders>
              <w:top w:val="single" w:color="auto" w:sz="4" w:space="0"/>
              <w:left w:val="nil"/>
              <w:bottom w:val="single" w:color="auto" w:sz="4" w:space="0"/>
              <w:right w:val="single" w:color="auto" w:sz="4" w:space="0"/>
            </w:tcBorders>
            <w:noWrap/>
            <w:vAlign w:val="center"/>
          </w:tcPr>
          <w:p w14:paraId="0EB1F08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第一档（</w:t>
            </w:r>
            <w:r>
              <w:rPr>
                <w:rFonts w:hint="eastAsia" w:ascii="宋体" w:hAnsi="宋体"/>
                <w:b w:val="0"/>
                <w:bCs w:val="0"/>
                <w:color w:val="auto"/>
                <w:sz w:val="24"/>
                <w:highlight w:val="none"/>
                <w:lang w:val="en-US" w:eastAsia="zh-CN"/>
              </w:rPr>
              <w:t>4</w:t>
            </w:r>
            <w:r>
              <w:rPr>
                <w:rFonts w:hint="eastAsia" w:ascii="宋体" w:hAnsi="宋体"/>
                <w:b w:val="0"/>
                <w:bCs w:val="0"/>
                <w:color w:val="auto"/>
                <w:sz w:val="24"/>
                <w:highlight w:val="none"/>
              </w:rPr>
              <w:t>-</w:t>
            </w:r>
            <w:r>
              <w:rPr>
                <w:rFonts w:hint="eastAsia" w:ascii="宋体" w:hAnsi="宋体"/>
                <w:b w:val="0"/>
                <w:bCs w:val="0"/>
                <w:color w:val="auto"/>
                <w:sz w:val="24"/>
                <w:highlight w:val="none"/>
                <w:lang w:val="en-US" w:eastAsia="zh-CN"/>
              </w:rPr>
              <w:t>5</w:t>
            </w:r>
            <w:r>
              <w:rPr>
                <w:rFonts w:hint="eastAsia" w:ascii="宋体" w:hAnsi="宋体"/>
                <w:b w:val="0"/>
                <w:bCs w:val="0"/>
                <w:color w:val="auto"/>
                <w:sz w:val="24"/>
                <w:highlight w:val="none"/>
              </w:rPr>
              <w:t>分）：投标人针对本项目合同履约期内可能会发生的特殊（紧急）情况制定的应急预案编制完整且合理，可行性、可实施性强，完全满足</w:t>
            </w:r>
            <w:r>
              <w:rPr>
                <w:rFonts w:hint="eastAsia" w:ascii="宋体" w:hAnsi="宋体"/>
                <w:b w:val="0"/>
                <w:bCs w:val="0"/>
                <w:color w:val="auto"/>
                <w:sz w:val="24"/>
                <w:highlight w:val="none"/>
                <w:lang w:eastAsia="zh-CN"/>
              </w:rPr>
              <w:t>招标人</w:t>
            </w:r>
            <w:r>
              <w:rPr>
                <w:rFonts w:hint="eastAsia" w:ascii="宋体" w:hAnsi="宋体"/>
                <w:b w:val="0"/>
                <w:bCs w:val="0"/>
                <w:color w:val="auto"/>
                <w:sz w:val="24"/>
                <w:highlight w:val="none"/>
              </w:rPr>
              <w:t>需求；</w:t>
            </w:r>
          </w:p>
          <w:p w14:paraId="7E3485F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第二档（</w:t>
            </w:r>
            <w:r>
              <w:rPr>
                <w:rFonts w:hint="eastAsia" w:ascii="宋体" w:hAnsi="宋体"/>
                <w:b w:val="0"/>
                <w:bCs w:val="0"/>
                <w:color w:val="auto"/>
                <w:sz w:val="24"/>
                <w:highlight w:val="none"/>
                <w:lang w:val="en-US" w:eastAsia="zh-CN"/>
              </w:rPr>
              <w:t>2</w:t>
            </w:r>
            <w:r>
              <w:rPr>
                <w:rFonts w:hint="eastAsia" w:ascii="宋体" w:hAnsi="宋体"/>
                <w:b w:val="0"/>
                <w:bCs w:val="0"/>
                <w:color w:val="auto"/>
                <w:sz w:val="24"/>
                <w:highlight w:val="none"/>
              </w:rPr>
              <w:t>-</w:t>
            </w: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分）：投标人针对本项目合同履约期内可能会发生的特殊（紧急）情况制定的应急预案编制基本完整且较合理，针对性、可行性一般，基本满足</w:t>
            </w:r>
            <w:r>
              <w:rPr>
                <w:rFonts w:hint="eastAsia" w:ascii="宋体" w:hAnsi="宋体"/>
                <w:b w:val="0"/>
                <w:bCs w:val="0"/>
                <w:color w:val="auto"/>
                <w:sz w:val="24"/>
                <w:highlight w:val="none"/>
                <w:lang w:eastAsia="zh-CN"/>
              </w:rPr>
              <w:t>招标人</w:t>
            </w:r>
            <w:r>
              <w:rPr>
                <w:rFonts w:hint="eastAsia" w:ascii="宋体" w:hAnsi="宋体"/>
                <w:b w:val="0"/>
                <w:bCs w:val="0"/>
                <w:color w:val="auto"/>
                <w:sz w:val="24"/>
                <w:highlight w:val="none"/>
              </w:rPr>
              <w:t>需求；</w:t>
            </w:r>
          </w:p>
          <w:p w14:paraId="1DEAFC4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b w:val="0"/>
                <w:bCs w:val="0"/>
                <w:color w:val="auto"/>
                <w:sz w:val="24"/>
                <w:highlight w:val="none"/>
                <w:lang w:eastAsia="zh-CN"/>
              </w:rPr>
            </w:pPr>
            <w:r>
              <w:rPr>
                <w:rFonts w:hint="eastAsia" w:ascii="宋体" w:hAnsi="宋体"/>
                <w:b w:val="0"/>
                <w:bCs w:val="0"/>
                <w:color w:val="auto"/>
                <w:sz w:val="24"/>
                <w:highlight w:val="none"/>
              </w:rPr>
              <w:t>第三档（</w:t>
            </w:r>
            <w:r>
              <w:rPr>
                <w:rFonts w:hint="eastAsia" w:ascii="宋体" w:hAnsi="宋体"/>
                <w:b w:val="0"/>
                <w:bCs w:val="0"/>
                <w:color w:val="auto"/>
                <w:sz w:val="24"/>
                <w:highlight w:val="none"/>
                <w:lang w:val="en-US" w:eastAsia="zh-CN"/>
              </w:rPr>
              <w:t>1</w:t>
            </w:r>
            <w:r>
              <w:rPr>
                <w:rFonts w:hint="eastAsia" w:ascii="宋体" w:hAnsi="宋体"/>
                <w:b w:val="0"/>
                <w:bCs w:val="0"/>
                <w:color w:val="auto"/>
                <w:sz w:val="24"/>
                <w:highlight w:val="none"/>
              </w:rPr>
              <w:t>分）：投标人针对本项目合同履约期内可能会发生的特殊（紧急）情况制定的应急预案编制不完整、不合理或有缺陷，针对性差或可行性差，难以满足</w:t>
            </w:r>
            <w:r>
              <w:rPr>
                <w:rFonts w:hint="eastAsia" w:ascii="宋体" w:hAnsi="宋体"/>
                <w:b w:val="0"/>
                <w:bCs w:val="0"/>
                <w:color w:val="auto"/>
                <w:sz w:val="24"/>
                <w:highlight w:val="none"/>
                <w:lang w:eastAsia="zh-CN"/>
              </w:rPr>
              <w:t>招标人</w:t>
            </w:r>
            <w:r>
              <w:rPr>
                <w:rFonts w:hint="eastAsia" w:ascii="宋体" w:hAnsi="宋体"/>
                <w:b w:val="0"/>
                <w:bCs w:val="0"/>
                <w:color w:val="auto"/>
                <w:sz w:val="24"/>
                <w:highlight w:val="none"/>
              </w:rPr>
              <w:t>实际需求</w:t>
            </w:r>
            <w:r>
              <w:rPr>
                <w:rFonts w:hint="eastAsia" w:ascii="宋体" w:hAnsi="宋体"/>
                <w:b w:val="0"/>
                <w:bCs w:val="0"/>
                <w:color w:val="auto"/>
                <w:sz w:val="24"/>
                <w:highlight w:val="none"/>
                <w:lang w:eastAsia="zh-CN"/>
              </w:rPr>
              <w:t>。</w:t>
            </w:r>
          </w:p>
        </w:tc>
      </w:tr>
      <w:tr w14:paraId="1DCAC1EC">
        <w:tblPrEx>
          <w:tblCellMar>
            <w:top w:w="0" w:type="dxa"/>
            <w:left w:w="108" w:type="dxa"/>
            <w:bottom w:w="0" w:type="dxa"/>
            <w:right w:w="108" w:type="dxa"/>
          </w:tblCellMar>
        </w:tblPrEx>
        <w:trPr>
          <w:trHeight w:val="2020" w:hRule="atLeast"/>
          <w:jc w:val="center"/>
        </w:trPr>
        <w:tc>
          <w:tcPr>
            <w:tcW w:w="476" w:type="dxa"/>
            <w:tcBorders>
              <w:top w:val="single" w:color="auto" w:sz="4" w:space="0"/>
              <w:left w:val="single" w:color="auto" w:sz="4" w:space="0"/>
              <w:bottom w:val="single" w:color="auto" w:sz="4" w:space="0"/>
              <w:right w:val="single" w:color="auto" w:sz="4" w:space="0"/>
            </w:tcBorders>
            <w:noWrap/>
            <w:vAlign w:val="center"/>
          </w:tcPr>
          <w:p w14:paraId="77569E48">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eastAsia="宋体"/>
                <w:bCs/>
                <w:iCs/>
                <w:color w:val="auto"/>
                <w:sz w:val="24"/>
                <w:highlight w:val="none"/>
                <w:lang w:eastAsia="zh-CN"/>
              </w:rPr>
            </w:pPr>
            <w:r>
              <w:rPr>
                <w:rFonts w:hint="eastAsia" w:ascii="宋体" w:hAnsi="宋体"/>
                <w:bCs/>
                <w:iCs/>
                <w:color w:val="auto"/>
                <w:sz w:val="24"/>
                <w:highlight w:val="none"/>
                <w:lang w:val="en-US" w:eastAsia="zh-CN"/>
              </w:rPr>
              <w:t>7</w:t>
            </w:r>
          </w:p>
        </w:tc>
        <w:tc>
          <w:tcPr>
            <w:tcW w:w="1073" w:type="dxa"/>
            <w:gridSpan w:val="2"/>
            <w:tcBorders>
              <w:top w:val="single" w:color="auto" w:sz="4" w:space="0"/>
              <w:left w:val="nil"/>
              <w:bottom w:val="single" w:color="auto" w:sz="4" w:space="0"/>
              <w:right w:val="single" w:color="auto" w:sz="4" w:space="0"/>
            </w:tcBorders>
            <w:noWrap/>
            <w:vAlign w:val="center"/>
          </w:tcPr>
          <w:p w14:paraId="03B7DC0F">
            <w:pPr>
              <w:keepNext w:val="0"/>
              <w:keepLines w:val="0"/>
              <w:pageBreakBefore w:val="0"/>
              <w:kinsoku/>
              <w:wordWrap/>
              <w:overflowPunct/>
              <w:topLinePunct w:val="0"/>
              <w:autoSpaceDE/>
              <w:autoSpaceDN/>
              <w:bidi w:val="0"/>
              <w:adjustRightInd/>
              <w:spacing w:line="480" w:lineRule="exact"/>
              <w:jc w:val="center"/>
              <w:textAlignment w:val="auto"/>
              <w:rPr>
                <w:color w:val="auto"/>
                <w:sz w:val="24"/>
                <w:highlight w:val="none"/>
              </w:rPr>
            </w:pPr>
            <w:r>
              <w:rPr>
                <w:rFonts w:hint="eastAsia" w:ascii="宋体" w:hAnsi="宋体" w:cs="Times New Roman"/>
                <w:b w:val="0"/>
                <w:bCs w:val="0"/>
                <w:color w:val="auto"/>
                <w:sz w:val="24"/>
                <w:highlight w:val="none"/>
                <w:lang w:eastAsia="zh-CN"/>
              </w:rPr>
              <w:t>类似</w:t>
            </w:r>
            <w:r>
              <w:rPr>
                <w:rFonts w:hint="eastAsia" w:ascii="宋体" w:hAnsi="宋体" w:cs="Times New Roman"/>
                <w:b w:val="0"/>
                <w:bCs w:val="0"/>
                <w:color w:val="auto"/>
                <w:sz w:val="24"/>
                <w:highlight w:val="none"/>
              </w:rPr>
              <w:t>业绩</w:t>
            </w:r>
          </w:p>
        </w:tc>
        <w:tc>
          <w:tcPr>
            <w:tcW w:w="1186" w:type="dxa"/>
            <w:tcBorders>
              <w:top w:val="single" w:color="auto" w:sz="4" w:space="0"/>
              <w:left w:val="single" w:color="auto" w:sz="4" w:space="0"/>
              <w:bottom w:val="single" w:color="auto" w:sz="4" w:space="0"/>
              <w:right w:val="single" w:color="auto" w:sz="4" w:space="0"/>
            </w:tcBorders>
            <w:noWrap/>
            <w:vAlign w:val="center"/>
          </w:tcPr>
          <w:p w14:paraId="2F490DC0">
            <w:pPr>
              <w:keepNext w:val="0"/>
              <w:keepLines w:val="0"/>
              <w:pageBreakBefore w:val="0"/>
              <w:kinsoku/>
              <w:wordWrap/>
              <w:overflowPunct/>
              <w:topLinePunct w:val="0"/>
              <w:autoSpaceDE/>
              <w:autoSpaceDN/>
              <w:bidi w:val="0"/>
              <w:adjustRightInd/>
              <w:spacing w:line="480" w:lineRule="exact"/>
              <w:jc w:val="center"/>
              <w:textAlignment w:val="auto"/>
              <w:rPr>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5</w:t>
            </w:r>
            <w:r>
              <w:rPr>
                <w:rFonts w:hint="eastAsia" w:ascii="宋体" w:hAnsi="宋体"/>
                <w:color w:val="auto"/>
                <w:sz w:val="24"/>
                <w:highlight w:val="none"/>
              </w:rPr>
              <w:t>分）</w:t>
            </w:r>
          </w:p>
        </w:tc>
        <w:tc>
          <w:tcPr>
            <w:tcW w:w="7105" w:type="dxa"/>
            <w:gridSpan w:val="2"/>
            <w:tcBorders>
              <w:top w:val="single" w:color="auto" w:sz="4" w:space="0"/>
              <w:left w:val="nil"/>
              <w:bottom w:val="single" w:color="auto" w:sz="4" w:space="0"/>
              <w:right w:val="single" w:color="auto" w:sz="4" w:space="0"/>
            </w:tcBorders>
            <w:noWrap/>
            <w:vAlign w:val="center"/>
          </w:tcPr>
          <w:p w14:paraId="039D19A0">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olor w:val="auto"/>
                <w:sz w:val="24"/>
                <w:szCs w:val="24"/>
                <w:highlight w:val="none"/>
              </w:rPr>
              <w:t>提供</w:t>
            </w:r>
            <w:r>
              <w:rPr>
                <w:rFonts w:hint="eastAsia" w:ascii="宋体" w:hAnsi="宋体"/>
                <w:color w:val="auto"/>
                <w:sz w:val="24"/>
                <w:szCs w:val="24"/>
                <w:highlight w:val="none"/>
                <w:lang w:val="en-US" w:eastAsia="zh-CN"/>
              </w:rPr>
              <w:t>2022</w:t>
            </w:r>
            <w:r>
              <w:rPr>
                <w:rFonts w:hint="eastAsia" w:ascii="宋体" w:hAnsi="宋体"/>
                <w:color w:val="auto"/>
                <w:sz w:val="24"/>
                <w:szCs w:val="24"/>
                <w:highlight w:val="none"/>
              </w:rPr>
              <w:t>年至今完成过的类似业绩，有一个类似业绩得</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分，每增加一个类似业绩得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分，满分</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分。</w:t>
            </w:r>
          </w:p>
          <w:p w14:paraId="29264029">
            <w:pPr>
              <w:keepNext w:val="0"/>
              <w:keepLines w:val="0"/>
              <w:pageBreakBefore w:val="0"/>
              <w:kinsoku/>
              <w:wordWrap/>
              <w:overflowPunct/>
              <w:topLinePunct w:val="0"/>
              <w:autoSpaceDE/>
              <w:autoSpaceDN/>
              <w:bidi w:val="0"/>
              <w:adjustRightInd/>
              <w:spacing w:line="360" w:lineRule="auto"/>
              <w:ind w:firstLine="482" w:firstLineChars="200"/>
              <w:textAlignment w:val="auto"/>
              <w:rPr>
                <w:rFonts w:ascii="宋体" w:hAnsi="宋体"/>
                <w:color w:val="auto"/>
                <w:sz w:val="24"/>
                <w:highlight w:val="none"/>
              </w:rPr>
            </w:pPr>
            <w:r>
              <w:rPr>
                <w:rFonts w:hint="eastAsia" w:ascii="宋体" w:hAnsi="宋体"/>
                <w:b/>
                <w:color w:val="auto"/>
                <w:sz w:val="24"/>
                <w:szCs w:val="24"/>
                <w:highlight w:val="none"/>
              </w:rPr>
              <w:t>注：证明材料（如合同或中标（成交）通知书或其它有效证明）复印件（扫描件）应装订在投标文件内，否则评分时不得分。</w:t>
            </w:r>
          </w:p>
        </w:tc>
      </w:tr>
      <w:bookmarkEnd w:id="197"/>
    </w:tbl>
    <w:p w14:paraId="64522E7E">
      <w:pPr>
        <w:rPr>
          <w:rFonts w:ascii="宋体" w:hAnsi="宋体"/>
          <w:color w:val="auto"/>
          <w:sz w:val="24"/>
          <w:highlight w:val="none"/>
        </w:rPr>
      </w:pPr>
      <w:bookmarkStart w:id="212" w:name="_Toc10572"/>
      <w:bookmarkStart w:id="213" w:name="_Toc26350402"/>
      <w:bookmarkStart w:id="214" w:name="_Toc36327308"/>
      <w:bookmarkStart w:id="215" w:name="_Toc66976538"/>
      <w:bookmarkStart w:id="216" w:name="_Toc83539045"/>
      <w:bookmarkStart w:id="217" w:name="_Toc6588"/>
      <w:bookmarkStart w:id="218" w:name="_Toc78140820"/>
      <w:bookmarkStart w:id="219" w:name="_Toc95915212"/>
      <w:bookmarkStart w:id="220" w:name="_Toc83683782"/>
      <w:bookmarkStart w:id="221" w:name="_Toc88350313"/>
      <w:bookmarkStart w:id="222" w:name="_Toc31902"/>
      <w:r>
        <w:rPr>
          <w:rFonts w:hint="eastAsia" w:ascii="宋体" w:hAnsi="宋体"/>
          <w:color w:val="auto"/>
          <w:sz w:val="24"/>
          <w:highlight w:val="none"/>
        </w:rPr>
        <w:br w:type="page"/>
      </w:r>
    </w:p>
    <w:p w14:paraId="7B45C04F">
      <w:pPr>
        <w:pStyle w:val="3"/>
        <w:tabs>
          <w:tab w:val="left" w:pos="1021"/>
        </w:tabs>
        <w:spacing w:line="460" w:lineRule="exact"/>
        <w:rPr>
          <w:rFonts w:hint="eastAsia" w:hAnsi="宋体"/>
          <w:color w:val="auto"/>
          <w:highlight w:val="none"/>
        </w:rPr>
        <w:sectPr>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p>
    <w:p w14:paraId="7466922C">
      <w:pPr>
        <w:pStyle w:val="3"/>
        <w:tabs>
          <w:tab w:val="left" w:pos="1021"/>
        </w:tabs>
        <w:spacing w:line="460" w:lineRule="exact"/>
        <w:rPr>
          <w:rFonts w:hAnsi="宋体"/>
          <w:color w:val="auto"/>
          <w:highlight w:val="none"/>
        </w:rPr>
      </w:pPr>
      <w:r>
        <w:rPr>
          <w:rFonts w:hint="eastAsia" w:hAnsi="宋体"/>
          <w:color w:val="auto"/>
          <w:highlight w:val="none"/>
        </w:rPr>
        <w:t>1.评标机构</w:t>
      </w:r>
      <w:bookmarkEnd w:id="212"/>
      <w:bookmarkEnd w:id="213"/>
      <w:bookmarkEnd w:id="214"/>
      <w:bookmarkEnd w:id="215"/>
      <w:bookmarkEnd w:id="216"/>
      <w:bookmarkEnd w:id="217"/>
      <w:bookmarkEnd w:id="218"/>
      <w:bookmarkEnd w:id="219"/>
      <w:bookmarkEnd w:id="220"/>
      <w:bookmarkEnd w:id="221"/>
    </w:p>
    <w:p w14:paraId="3BF1AB9F">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评标机构为评标委员会，评标委员会由招标人代表和评审专家组成，成员人数为5人以上单数，其中技术、经济专家不得少于成员总数的三分之二。</w:t>
      </w:r>
    </w:p>
    <w:p w14:paraId="6972BF33">
      <w:pPr>
        <w:pStyle w:val="3"/>
        <w:tabs>
          <w:tab w:val="left" w:pos="1021"/>
        </w:tabs>
        <w:spacing w:line="460" w:lineRule="exact"/>
        <w:rPr>
          <w:rFonts w:hAnsi="宋体"/>
          <w:color w:val="auto"/>
          <w:highlight w:val="none"/>
        </w:rPr>
      </w:pPr>
      <w:bookmarkStart w:id="223" w:name="_Toc26350403"/>
      <w:bookmarkStart w:id="224" w:name="_Toc36327309"/>
      <w:bookmarkStart w:id="225" w:name="_Toc27160"/>
      <w:bookmarkStart w:id="226" w:name="_Toc95915213"/>
      <w:bookmarkStart w:id="227" w:name="_Toc88350314"/>
      <w:bookmarkStart w:id="228" w:name="_Toc66976539"/>
      <w:bookmarkStart w:id="229" w:name="_Toc78140821"/>
      <w:bookmarkStart w:id="230" w:name="_Toc83683783"/>
      <w:bookmarkStart w:id="231" w:name="_Toc83539046"/>
      <w:bookmarkStart w:id="232" w:name="_Toc15677"/>
      <w:r>
        <w:rPr>
          <w:rFonts w:hint="eastAsia" w:hAnsi="宋体"/>
          <w:color w:val="auto"/>
          <w:highlight w:val="none"/>
        </w:rPr>
        <w:t>2.招标人或者招标代理机构职责</w:t>
      </w:r>
      <w:bookmarkEnd w:id="223"/>
      <w:bookmarkEnd w:id="224"/>
      <w:bookmarkEnd w:id="225"/>
      <w:bookmarkEnd w:id="226"/>
      <w:bookmarkEnd w:id="227"/>
      <w:bookmarkEnd w:id="228"/>
      <w:bookmarkEnd w:id="229"/>
      <w:bookmarkEnd w:id="230"/>
      <w:bookmarkEnd w:id="231"/>
      <w:bookmarkEnd w:id="232"/>
      <w:r>
        <w:rPr>
          <w:rFonts w:hint="eastAsia" w:hAnsi="宋体"/>
          <w:color w:val="auto"/>
          <w:highlight w:val="none"/>
        </w:rPr>
        <w:t xml:space="preserve"> </w:t>
      </w:r>
    </w:p>
    <w:p w14:paraId="3C7A313E">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招标人或者招标代理机构负责组织评标工作，并履行下列职责：</w:t>
      </w:r>
    </w:p>
    <w:p w14:paraId="6827269B">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（一）核对评审专家身份和招标人代表授权函，对评审专家在政府采购活动中的职责履行情况予以记录，并及时将有关违法违规行为向财政部门报告；</w:t>
      </w:r>
    </w:p>
    <w:p w14:paraId="2DC83A98">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（二）宣布评标纪律； </w:t>
      </w:r>
    </w:p>
    <w:p w14:paraId="3F63CFE9">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（三）公布投标人名单，告知评审专家应当回避的情形；</w:t>
      </w:r>
    </w:p>
    <w:p w14:paraId="4A293FFF">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（四）组织评标委员会推选评标组长，招标人代表不得担任组长；</w:t>
      </w:r>
    </w:p>
    <w:p w14:paraId="527EB10D">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（五）在评标期间采取必要的通讯管理措施，保证评标活动不受外界干扰；</w:t>
      </w:r>
    </w:p>
    <w:p w14:paraId="3FAF3F98">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（六）根据评标委员会的要求介绍政府采购相关政策法规、招标文件；</w:t>
      </w:r>
    </w:p>
    <w:p w14:paraId="487FB6C8">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（七）维护评标秩序，监督评标委员会依照招标文件规定的评标程序、方法和标准进行独立评审，及时制止和纠正招标人代表、评审专家的倾向性言论或者违法违规行为；</w:t>
      </w:r>
    </w:p>
    <w:p w14:paraId="0DA51A4B">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（八）核对评标结果，有本办法第六十四条规定情形的，要求评标委员会复核或者书面说明理由，评标委员会拒绝的，应予记录并向本级财政部门报告；</w:t>
      </w:r>
    </w:p>
    <w:p w14:paraId="7FCF5AD6">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（九）评审工作完成后，按照规定向评审专家支付劳务报酬和异地评审差旅费，不得向评审专家以外的其他人员支付评审劳务报酬； </w:t>
      </w:r>
    </w:p>
    <w:p w14:paraId="6E0694AD">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（十）处理与评标有关的其他事项。 </w:t>
      </w:r>
    </w:p>
    <w:p w14:paraId="256B087E">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招标人可以在评标前说明项目背景和</w:t>
      </w:r>
      <w:r>
        <w:rPr>
          <w:rFonts w:hint="eastAsia" w:ascii="宋体" w:hAnsi="宋体"/>
          <w:color w:val="auto"/>
          <w:sz w:val="24"/>
          <w:highlight w:val="none"/>
          <w:lang w:eastAsia="zh-CN"/>
        </w:rPr>
        <w:t>服务需求</w:t>
      </w:r>
      <w:r>
        <w:rPr>
          <w:rFonts w:hint="eastAsia" w:ascii="宋体" w:hAnsi="宋体"/>
          <w:color w:val="auto"/>
          <w:sz w:val="24"/>
          <w:highlight w:val="none"/>
        </w:rPr>
        <w:t>，说明内容不得含有歧视性、倾向性意见，不得超出招标文件所述范围。</w:t>
      </w:r>
    </w:p>
    <w:p w14:paraId="6D8F7A00">
      <w:pPr>
        <w:pStyle w:val="3"/>
        <w:tabs>
          <w:tab w:val="left" w:pos="1021"/>
        </w:tabs>
        <w:spacing w:line="460" w:lineRule="exact"/>
        <w:rPr>
          <w:rFonts w:hAnsi="宋体"/>
          <w:color w:val="auto"/>
          <w:highlight w:val="none"/>
        </w:rPr>
      </w:pPr>
      <w:bookmarkStart w:id="233" w:name="_Toc26350404"/>
      <w:bookmarkStart w:id="234" w:name="_Toc95915214"/>
      <w:bookmarkStart w:id="235" w:name="_Toc1758"/>
      <w:bookmarkStart w:id="236" w:name="_Toc25372"/>
      <w:bookmarkStart w:id="237" w:name="_Toc83683784"/>
      <w:bookmarkStart w:id="238" w:name="_Toc78140822"/>
      <w:bookmarkStart w:id="239" w:name="_Toc88350315"/>
      <w:bookmarkStart w:id="240" w:name="_Toc36327310"/>
      <w:bookmarkStart w:id="241" w:name="_Toc66976540"/>
      <w:bookmarkStart w:id="242" w:name="_Toc83539047"/>
      <w:r>
        <w:rPr>
          <w:rFonts w:hint="eastAsia" w:hAnsi="宋体"/>
          <w:color w:val="auto"/>
          <w:highlight w:val="none"/>
        </w:rPr>
        <w:t>3.评标委员会职责</w:t>
      </w:r>
      <w:bookmarkEnd w:id="233"/>
      <w:bookmarkEnd w:id="234"/>
      <w:bookmarkEnd w:id="235"/>
      <w:bookmarkEnd w:id="236"/>
      <w:bookmarkEnd w:id="237"/>
      <w:bookmarkEnd w:id="238"/>
      <w:bookmarkEnd w:id="239"/>
      <w:bookmarkEnd w:id="240"/>
      <w:bookmarkEnd w:id="241"/>
      <w:bookmarkEnd w:id="242"/>
    </w:p>
    <w:p w14:paraId="6BF45E11">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评标委员会负责具体评标事务，并独立履行下列职责： </w:t>
      </w:r>
    </w:p>
    <w:p w14:paraId="6BF7600B">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（一）审查、评价投标文件是否符合招标文件的商务、技术等实质性要求； </w:t>
      </w:r>
    </w:p>
    <w:p w14:paraId="1506B66C">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（二）要求投标人对投标文件有关事项作出澄清或者说明； </w:t>
      </w:r>
    </w:p>
    <w:p w14:paraId="6B63686B">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（三）对投标文件进行比较和评价； </w:t>
      </w:r>
    </w:p>
    <w:p w14:paraId="4B7374A1">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（四）确定中标候选人名单，以及根据招标人委托直接确定中标人； </w:t>
      </w:r>
    </w:p>
    <w:p w14:paraId="5D658880">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（五）向招标人、招标代理机构或者有关部门报告评标中发现的违法行为。</w:t>
      </w:r>
    </w:p>
    <w:p w14:paraId="20A94397">
      <w:pPr>
        <w:pStyle w:val="3"/>
        <w:tabs>
          <w:tab w:val="left" w:pos="1021"/>
        </w:tabs>
        <w:spacing w:line="460" w:lineRule="exact"/>
        <w:rPr>
          <w:rFonts w:hAnsi="宋体"/>
          <w:color w:val="auto"/>
          <w:highlight w:val="none"/>
        </w:rPr>
      </w:pPr>
      <w:bookmarkStart w:id="243" w:name="_Toc88350316"/>
      <w:bookmarkStart w:id="244" w:name="_Toc23807"/>
      <w:bookmarkStart w:id="245" w:name="_Toc15876"/>
      <w:bookmarkStart w:id="246" w:name="_Toc95915215"/>
      <w:bookmarkStart w:id="247" w:name="_Toc66976541"/>
      <w:bookmarkStart w:id="248" w:name="_Toc83683785"/>
      <w:bookmarkStart w:id="249" w:name="_Toc36327311"/>
      <w:bookmarkStart w:id="250" w:name="_Toc78140823"/>
      <w:bookmarkStart w:id="251" w:name="_Toc26350405"/>
      <w:bookmarkStart w:id="252" w:name="_Toc83539048"/>
      <w:r>
        <w:rPr>
          <w:rFonts w:hint="eastAsia" w:hAnsi="宋体"/>
          <w:color w:val="auto"/>
          <w:highlight w:val="none"/>
        </w:rPr>
        <w:t>4.评标纪律</w:t>
      </w:r>
      <w:bookmarkEnd w:id="243"/>
      <w:bookmarkEnd w:id="244"/>
      <w:bookmarkEnd w:id="245"/>
      <w:bookmarkEnd w:id="246"/>
      <w:bookmarkEnd w:id="247"/>
      <w:bookmarkEnd w:id="248"/>
      <w:bookmarkEnd w:id="249"/>
      <w:bookmarkEnd w:id="250"/>
      <w:bookmarkEnd w:id="251"/>
      <w:bookmarkEnd w:id="252"/>
    </w:p>
    <w:p w14:paraId="7D7F317B">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（一）对评标内容和评标过程要严格保密，不得向投标人或与该过程无关的其它人员泄露。 </w:t>
      </w:r>
    </w:p>
    <w:p w14:paraId="5978D171">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（二）评标期间的一切资料，包括评标意见、评标记录和评标结论，一律不得向外传和泄露。</w:t>
      </w:r>
    </w:p>
    <w:p w14:paraId="6A276550">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（三）任何属于投标文件审查、澄清、评价和比较的资料，不得向投标人或与该过程无关的其它人员泄露。 </w:t>
      </w:r>
    </w:p>
    <w:p w14:paraId="57F32E64">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（四）所有资料（包括招标文件、投标文件、评标表格及各种文字记录）在评标结束后均应分别整理、存档备查，任何人不得复制和保留。 </w:t>
      </w:r>
    </w:p>
    <w:p w14:paraId="4CB523BA">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（五）评标期间，未经允许评标委员会以外的任何单位或部门不得参加评标和采访评标工作。 </w:t>
      </w:r>
    </w:p>
    <w:p w14:paraId="4F6A71A4">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（六）评标期间，评标人员不得外出，确需外出时应事先请假。 </w:t>
      </w:r>
    </w:p>
    <w:p w14:paraId="4D76BB4D">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（七）评标期间，所有与会人员均不得私自以任何方式和投标人进行联系，需询问、澄清的问题由评委会统一组织办理。</w:t>
      </w:r>
    </w:p>
    <w:p w14:paraId="6DC6316B">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（八）评标结束后，与会人员不得向外界透露评标人员的评标意见，如因此造成的后果由责任者承担。</w:t>
      </w:r>
    </w:p>
    <w:p w14:paraId="5978BD75">
      <w:pPr>
        <w:pStyle w:val="3"/>
        <w:tabs>
          <w:tab w:val="left" w:pos="1021"/>
        </w:tabs>
        <w:spacing w:line="460" w:lineRule="exact"/>
        <w:rPr>
          <w:rFonts w:hAnsi="宋体"/>
          <w:color w:val="auto"/>
          <w:highlight w:val="none"/>
        </w:rPr>
      </w:pPr>
      <w:bookmarkStart w:id="253" w:name="_Toc78140824"/>
      <w:bookmarkStart w:id="254" w:name="_Toc88350317"/>
      <w:bookmarkStart w:id="255" w:name="_Toc83539049"/>
      <w:bookmarkStart w:id="256" w:name="_Toc66976542"/>
      <w:bookmarkStart w:id="257" w:name="_Toc3758"/>
      <w:bookmarkStart w:id="258" w:name="_Toc95915216"/>
      <w:bookmarkStart w:id="259" w:name="_Toc83683786"/>
      <w:bookmarkStart w:id="260" w:name="_Toc14196"/>
      <w:bookmarkStart w:id="261" w:name="_Toc36327312"/>
      <w:bookmarkStart w:id="262" w:name="_Toc26350406"/>
      <w:r>
        <w:rPr>
          <w:rFonts w:hint="eastAsia" w:hAnsi="宋体"/>
          <w:color w:val="auto"/>
          <w:highlight w:val="none"/>
        </w:rPr>
        <w:t>5.评标原则</w:t>
      </w:r>
      <w:bookmarkEnd w:id="253"/>
      <w:bookmarkEnd w:id="254"/>
      <w:bookmarkEnd w:id="255"/>
      <w:bookmarkEnd w:id="256"/>
      <w:bookmarkEnd w:id="257"/>
      <w:bookmarkEnd w:id="258"/>
      <w:bookmarkEnd w:id="259"/>
      <w:bookmarkEnd w:id="260"/>
      <w:bookmarkEnd w:id="261"/>
      <w:bookmarkEnd w:id="262"/>
    </w:p>
    <w:p w14:paraId="4A9F06EE">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评标将遵循下列原则：</w:t>
      </w:r>
    </w:p>
    <w:p w14:paraId="6A04B700">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（一）坚持公平、公正、科学、择优的原则，本着实事求是的精神，不带有任何主观意愿和偏见，认真负责地做好评标工作，公平、公正地对待每一个投标人。</w:t>
      </w:r>
    </w:p>
    <w:p w14:paraId="541759B7">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（二）全面分析，综合评审。 </w:t>
      </w:r>
    </w:p>
    <w:p w14:paraId="1E627D95">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（三）评标只对投标人的投标文件进行评审，投标文件以外的资料、信息不应作为评标的依据。</w:t>
      </w:r>
    </w:p>
    <w:p w14:paraId="5954FFE1">
      <w:pPr>
        <w:pStyle w:val="3"/>
        <w:tabs>
          <w:tab w:val="left" w:pos="1021"/>
        </w:tabs>
        <w:spacing w:line="460" w:lineRule="exact"/>
        <w:rPr>
          <w:rFonts w:hAnsi="宋体"/>
          <w:color w:val="auto"/>
          <w:highlight w:val="none"/>
        </w:rPr>
      </w:pPr>
      <w:bookmarkStart w:id="263" w:name="_Toc25535"/>
      <w:bookmarkStart w:id="264" w:name="_Toc83539050"/>
      <w:bookmarkStart w:id="265" w:name="_Toc88350318"/>
      <w:bookmarkStart w:id="266" w:name="_Toc78140825"/>
      <w:bookmarkStart w:id="267" w:name="_Toc11005"/>
      <w:bookmarkStart w:id="268" w:name="_Toc95915217"/>
      <w:bookmarkStart w:id="269" w:name="_Toc83683787"/>
      <w:r>
        <w:rPr>
          <w:rFonts w:hint="eastAsia" w:hAnsi="宋体"/>
          <w:color w:val="auto"/>
          <w:highlight w:val="none"/>
        </w:rPr>
        <w:t>6</w:t>
      </w:r>
      <w:r>
        <w:rPr>
          <w:rFonts w:hAnsi="宋体"/>
          <w:color w:val="auto"/>
          <w:highlight w:val="none"/>
        </w:rPr>
        <w:t>.</w:t>
      </w:r>
      <w:r>
        <w:rPr>
          <w:rFonts w:hint="eastAsia" w:hAnsi="宋体"/>
          <w:color w:val="auto"/>
          <w:highlight w:val="none"/>
        </w:rPr>
        <w:t>评审标准</w:t>
      </w:r>
      <w:bookmarkEnd w:id="263"/>
      <w:bookmarkEnd w:id="264"/>
      <w:bookmarkEnd w:id="265"/>
      <w:bookmarkEnd w:id="266"/>
      <w:bookmarkEnd w:id="267"/>
      <w:bookmarkEnd w:id="268"/>
      <w:bookmarkEnd w:id="269"/>
    </w:p>
    <w:p w14:paraId="66906061">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6.1符合性评审标准：见</w:t>
      </w:r>
      <w:r>
        <w:rPr>
          <w:rFonts w:hint="eastAsia" w:ascii="宋体" w:hAnsi="宋体"/>
          <w:color w:val="auto"/>
          <w:sz w:val="24"/>
          <w:highlight w:val="none"/>
        </w:rPr>
        <w:t>符合性审查前附表</w:t>
      </w:r>
    </w:p>
    <w:p w14:paraId="1FB3EB57">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.2分值构成与评分标准</w:t>
      </w:r>
    </w:p>
    <w:p w14:paraId="61DCCDF4">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6.2.1分值构成</w:t>
      </w:r>
    </w:p>
    <w:p w14:paraId="290DF16B">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投标报价</w:t>
      </w:r>
      <w:r>
        <w:rPr>
          <w:rFonts w:ascii="宋体" w:hAnsi="宋体"/>
          <w:color w:val="auto"/>
          <w:sz w:val="24"/>
          <w:highlight w:val="none"/>
        </w:rPr>
        <w:t>：见评</w:t>
      </w:r>
      <w:r>
        <w:rPr>
          <w:rFonts w:hint="eastAsia" w:ascii="宋体" w:hAnsi="宋体"/>
          <w:color w:val="auto"/>
          <w:sz w:val="24"/>
          <w:highlight w:val="none"/>
        </w:rPr>
        <w:t>标</w:t>
      </w:r>
      <w:r>
        <w:rPr>
          <w:rFonts w:ascii="宋体" w:hAnsi="宋体"/>
          <w:color w:val="auto"/>
          <w:sz w:val="24"/>
          <w:highlight w:val="none"/>
        </w:rPr>
        <w:t>办法前附表；</w:t>
      </w:r>
    </w:p>
    <w:p w14:paraId="64604D93">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技术部分</w:t>
      </w:r>
      <w:r>
        <w:rPr>
          <w:rFonts w:ascii="宋体" w:hAnsi="宋体"/>
          <w:color w:val="auto"/>
          <w:sz w:val="24"/>
          <w:highlight w:val="none"/>
        </w:rPr>
        <w:t>：见评</w:t>
      </w:r>
      <w:r>
        <w:rPr>
          <w:rFonts w:hint="eastAsia" w:ascii="宋体" w:hAnsi="宋体"/>
          <w:color w:val="auto"/>
          <w:sz w:val="24"/>
          <w:highlight w:val="none"/>
        </w:rPr>
        <w:t>标</w:t>
      </w:r>
      <w:r>
        <w:rPr>
          <w:rFonts w:ascii="宋体" w:hAnsi="宋体"/>
          <w:color w:val="auto"/>
          <w:sz w:val="24"/>
          <w:highlight w:val="none"/>
        </w:rPr>
        <w:t>办法前附表；</w:t>
      </w:r>
    </w:p>
    <w:p w14:paraId="728454F8">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6.2.2评分标准</w:t>
      </w:r>
    </w:p>
    <w:p w14:paraId="213D376D">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按</w:t>
      </w:r>
      <w:r>
        <w:rPr>
          <w:rFonts w:hint="eastAsia" w:ascii="宋体" w:hAnsi="宋体"/>
          <w:color w:val="auto"/>
          <w:sz w:val="24"/>
          <w:highlight w:val="none"/>
        </w:rPr>
        <w:t>招标</w:t>
      </w:r>
      <w:r>
        <w:rPr>
          <w:rFonts w:ascii="宋体" w:hAnsi="宋体"/>
          <w:color w:val="auto"/>
          <w:sz w:val="24"/>
          <w:highlight w:val="none"/>
        </w:rPr>
        <w:t>文件中规定的评审方法和标准，对资格评审和符合性评审合格的</w:t>
      </w:r>
      <w:r>
        <w:rPr>
          <w:rFonts w:hint="eastAsia" w:ascii="宋体" w:hAnsi="宋体"/>
          <w:color w:val="auto"/>
          <w:sz w:val="24"/>
          <w:highlight w:val="none"/>
        </w:rPr>
        <w:t>投标</w:t>
      </w:r>
      <w:r>
        <w:rPr>
          <w:rFonts w:ascii="宋体" w:hAnsi="宋体"/>
          <w:color w:val="auto"/>
          <w:sz w:val="24"/>
          <w:highlight w:val="none"/>
        </w:rPr>
        <w:t>文件进行</w:t>
      </w:r>
      <w:r>
        <w:rPr>
          <w:rFonts w:hint="eastAsia" w:ascii="宋体" w:hAnsi="宋体"/>
          <w:color w:val="auto"/>
          <w:sz w:val="24"/>
          <w:highlight w:val="none"/>
        </w:rPr>
        <w:t>投标</w:t>
      </w:r>
      <w:r>
        <w:rPr>
          <w:rFonts w:ascii="宋体" w:hAnsi="宋体"/>
          <w:color w:val="auto"/>
          <w:sz w:val="24"/>
          <w:highlight w:val="none"/>
        </w:rPr>
        <w:t>报价和技术部分评估，综合比较与评价。</w:t>
      </w:r>
    </w:p>
    <w:p w14:paraId="301A5819">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投标报价</w:t>
      </w:r>
      <w:r>
        <w:rPr>
          <w:rFonts w:ascii="宋体" w:hAnsi="宋体"/>
          <w:color w:val="auto"/>
          <w:sz w:val="24"/>
          <w:highlight w:val="none"/>
        </w:rPr>
        <w:t>评分标准：见评</w:t>
      </w:r>
      <w:r>
        <w:rPr>
          <w:rFonts w:hint="eastAsia" w:ascii="宋体" w:hAnsi="宋体"/>
          <w:color w:val="auto"/>
          <w:sz w:val="24"/>
          <w:highlight w:val="none"/>
        </w:rPr>
        <w:t>标</w:t>
      </w:r>
      <w:r>
        <w:rPr>
          <w:rFonts w:ascii="宋体" w:hAnsi="宋体"/>
          <w:color w:val="auto"/>
          <w:sz w:val="24"/>
          <w:highlight w:val="none"/>
        </w:rPr>
        <w:t>办法前附表；</w:t>
      </w:r>
    </w:p>
    <w:p w14:paraId="27CC0AFF">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技术部分</w:t>
      </w:r>
      <w:r>
        <w:rPr>
          <w:rFonts w:ascii="宋体" w:hAnsi="宋体"/>
          <w:color w:val="auto"/>
          <w:sz w:val="24"/>
          <w:highlight w:val="none"/>
        </w:rPr>
        <w:t>评分标准：见评</w:t>
      </w:r>
      <w:r>
        <w:rPr>
          <w:rFonts w:hint="eastAsia" w:ascii="宋体" w:hAnsi="宋体"/>
          <w:color w:val="auto"/>
          <w:sz w:val="24"/>
          <w:highlight w:val="none"/>
        </w:rPr>
        <w:t>标</w:t>
      </w:r>
      <w:r>
        <w:rPr>
          <w:rFonts w:ascii="宋体" w:hAnsi="宋体"/>
          <w:color w:val="auto"/>
          <w:sz w:val="24"/>
          <w:highlight w:val="none"/>
        </w:rPr>
        <w:t>办法前附表；</w:t>
      </w:r>
    </w:p>
    <w:p w14:paraId="2777FC20">
      <w:pPr>
        <w:pStyle w:val="3"/>
        <w:tabs>
          <w:tab w:val="left" w:pos="1021"/>
        </w:tabs>
        <w:spacing w:line="460" w:lineRule="exact"/>
        <w:rPr>
          <w:rFonts w:hAnsi="宋体"/>
          <w:color w:val="auto"/>
          <w:highlight w:val="none"/>
        </w:rPr>
      </w:pPr>
      <w:bookmarkStart w:id="270" w:name="_Toc83539051"/>
      <w:bookmarkStart w:id="271" w:name="_Toc3541"/>
      <w:bookmarkStart w:id="272" w:name="_Toc95915218"/>
      <w:bookmarkStart w:id="273" w:name="_Toc26350407"/>
      <w:bookmarkStart w:id="274" w:name="_Toc83683788"/>
      <w:bookmarkStart w:id="275" w:name="_Toc78140826"/>
      <w:bookmarkStart w:id="276" w:name="_Toc36327313"/>
      <w:bookmarkStart w:id="277" w:name="_Toc88350319"/>
      <w:bookmarkStart w:id="278" w:name="_Toc15191"/>
      <w:bookmarkStart w:id="279" w:name="_Toc66976543"/>
      <w:r>
        <w:rPr>
          <w:rFonts w:hAnsi="宋体"/>
          <w:color w:val="auto"/>
          <w:highlight w:val="none"/>
        </w:rPr>
        <w:t>7</w:t>
      </w:r>
      <w:r>
        <w:rPr>
          <w:rFonts w:hint="eastAsia" w:hAnsi="宋体"/>
          <w:color w:val="auto"/>
          <w:highlight w:val="none"/>
        </w:rPr>
        <w:t>.评标程序</w:t>
      </w:r>
      <w:bookmarkEnd w:id="270"/>
      <w:bookmarkEnd w:id="271"/>
      <w:bookmarkEnd w:id="272"/>
      <w:bookmarkEnd w:id="273"/>
      <w:bookmarkEnd w:id="274"/>
      <w:bookmarkEnd w:id="275"/>
      <w:bookmarkEnd w:id="276"/>
      <w:bookmarkEnd w:id="277"/>
      <w:bookmarkEnd w:id="278"/>
      <w:bookmarkEnd w:id="279"/>
      <w:r>
        <w:rPr>
          <w:rFonts w:hint="eastAsia" w:hAnsi="宋体"/>
          <w:color w:val="auto"/>
          <w:highlight w:val="none"/>
        </w:rPr>
        <w:t xml:space="preserve"> </w:t>
      </w:r>
    </w:p>
    <w:p w14:paraId="59A3C426">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本次招标所采用的评标方法为中华人民共和国财政部令第87号《政府采购货物和服务招标投标管理办法》第五十五条规定的“综合评分法”，即：投标文件满足招标文件全部实质性要求，且按照评审因素的量化指标评审得分最高的投标人为中标候选人的评标方法。 </w:t>
      </w:r>
    </w:p>
    <w:p w14:paraId="0B0DF7C6">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评标只对通过资格审查的投标文件进行评审。评标按：符合性审查→商务和技术评估、综合比较与评价（详细评审）→得分汇总→评标报告编写的程序进行。</w:t>
      </w:r>
    </w:p>
    <w:p w14:paraId="2A33E4C7">
      <w:pPr>
        <w:pStyle w:val="4"/>
        <w:tabs>
          <w:tab w:val="left" w:pos="900"/>
        </w:tabs>
        <w:spacing w:line="460" w:lineRule="exact"/>
        <w:ind w:firstLine="241"/>
        <w:rPr>
          <w:color w:val="auto"/>
          <w:szCs w:val="24"/>
          <w:highlight w:val="none"/>
        </w:rPr>
      </w:pPr>
      <w:r>
        <w:rPr>
          <w:color w:val="auto"/>
          <w:szCs w:val="24"/>
          <w:highlight w:val="none"/>
        </w:rPr>
        <w:t>7</w:t>
      </w:r>
      <w:r>
        <w:rPr>
          <w:rFonts w:hint="eastAsia"/>
          <w:color w:val="auto"/>
          <w:szCs w:val="24"/>
          <w:highlight w:val="none"/>
        </w:rPr>
        <w:t>.1符合性审查</w:t>
      </w:r>
    </w:p>
    <w:p w14:paraId="07C4B192">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评标委员会对符合资格的投标人的投标文件进行符合性审查，以确定其是否满足招标文件的实质性要求。</w:t>
      </w:r>
    </w:p>
    <w:p w14:paraId="01C9A9F0">
      <w:pPr>
        <w:pStyle w:val="4"/>
        <w:tabs>
          <w:tab w:val="left" w:pos="900"/>
        </w:tabs>
        <w:spacing w:line="460" w:lineRule="exact"/>
        <w:ind w:firstLine="241"/>
        <w:rPr>
          <w:color w:val="auto"/>
          <w:szCs w:val="24"/>
          <w:highlight w:val="none"/>
        </w:rPr>
      </w:pPr>
      <w:r>
        <w:rPr>
          <w:color w:val="auto"/>
          <w:szCs w:val="24"/>
          <w:highlight w:val="none"/>
        </w:rPr>
        <w:t>7</w:t>
      </w:r>
      <w:r>
        <w:rPr>
          <w:rFonts w:hint="eastAsia"/>
          <w:color w:val="auto"/>
          <w:szCs w:val="24"/>
          <w:highlight w:val="none"/>
        </w:rPr>
        <w:t>.2澄清有关问题</w:t>
      </w:r>
    </w:p>
    <w:p w14:paraId="000CF56D">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 xml:space="preserve">.2.1投标文件内容澄清 </w:t>
      </w:r>
    </w:p>
    <w:p w14:paraId="713A1B20">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 </w:t>
      </w:r>
    </w:p>
    <w:p w14:paraId="0DC6E276">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 xml:space="preserve">.2.2报价不一致情形澄清 </w:t>
      </w:r>
    </w:p>
    <w:p w14:paraId="010515D2">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投标文件报价出现前后不一致的，除招标文件另有规定外，按照下列规定修正： </w:t>
      </w:r>
    </w:p>
    <w:p w14:paraId="470634FD">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（1）投标文件中《开标一览表》内容与投标文件中相应内容不一致的，以《开标一览表》为准；</w:t>
      </w:r>
    </w:p>
    <w:p w14:paraId="11CE4F88">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 </w:t>
      </w:r>
    </w:p>
    <w:p w14:paraId="5167653B">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 </w:t>
      </w:r>
    </w:p>
    <w:p w14:paraId="625FDA10">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 </w:t>
      </w:r>
    </w:p>
    <w:p w14:paraId="2B524462">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同时出现两种以上不一致的，按照前款规定的顺序修正。修正后的报价经投标人确认后产生约束力，投标人不确认的，其投标无效。</w:t>
      </w:r>
    </w:p>
    <w:p w14:paraId="08EB3015">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 xml:space="preserve">.2.3报价过低情形澄清 </w:t>
      </w:r>
    </w:p>
    <w:p w14:paraId="002341FF">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93E0A13">
      <w:pPr>
        <w:tabs>
          <w:tab w:val="left" w:pos="3165"/>
        </w:tabs>
        <w:spacing w:line="460" w:lineRule="exact"/>
        <w:jc w:val="left"/>
        <w:outlineLvl w:val="2"/>
        <w:rPr>
          <w:rFonts w:ascii="宋体" w:hAnsi="宋体"/>
          <w:b/>
          <w:color w:val="auto"/>
          <w:sz w:val="24"/>
          <w:highlight w:val="none"/>
        </w:rPr>
      </w:pPr>
      <w:r>
        <w:rPr>
          <w:rFonts w:ascii="宋体" w:hAnsi="宋体"/>
          <w:b/>
          <w:color w:val="auto"/>
          <w:sz w:val="24"/>
          <w:highlight w:val="none"/>
        </w:rPr>
        <w:t>7</w:t>
      </w:r>
      <w:r>
        <w:rPr>
          <w:rFonts w:hint="eastAsia" w:ascii="宋体" w:hAnsi="宋体"/>
          <w:b/>
          <w:color w:val="auto"/>
          <w:sz w:val="24"/>
          <w:highlight w:val="none"/>
        </w:rPr>
        <w:t>.3商务和技术评估、综合比较与评价（详细评审）</w:t>
      </w:r>
    </w:p>
    <w:p w14:paraId="4D137200">
      <w:pPr>
        <w:tabs>
          <w:tab w:val="left" w:pos="3165"/>
        </w:tabs>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评标委员会按本章第</w:t>
      </w:r>
      <w:r>
        <w:rPr>
          <w:rFonts w:ascii="宋体" w:hAnsi="宋体"/>
          <w:color w:val="auto"/>
          <w:sz w:val="24"/>
          <w:highlight w:val="none"/>
        </w:rPr>
        <w:t>6.2.2</w:t>
      </w:r>
      <w:r>
        <w:rPr>
          <w:rFonts w:hint="eastAsia" w:ascii="宋体" w:hAnsi="宋体"/>
          <w:color w:val="auto"/>
          <w:sz w:val="24"/>
          <w:highlight w:val="none"/>
        </w:rPr>
        <w:t>款规定的量化因素和分值进行打分，并计算出投标人的评标总得分。</w:t>
      </w:r>
    </w:p>
    <w:p w14:paraId="7CCC3227">
      <w:pPr>
        <w:tabs>
          <w:tab w:val="left" w:pos="3165"/>
        </w:tabs>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（1）按本章第</w:t>
      </w:r>
      <w:r>
        <w:rPr>
          <w:rFonts w:ascii="宋体" w:hAnsi="宋体"/>
          <w:color w:val="auto"/>
          <w:sz w:val="24"/>
          <w:highlight w:val="none"/>
        </w:rPr>
        <w:t>6.2.2</w:t>
      </w:r>
      <w:r>
        <w:rPr>
          <w:rFonts w:hint="eastAsia" w:ascii="宋体" w:hAnsi="宋体"/>
          <w:color w:val="auto"/>
          <w:sz w:val="24"/>
          <w:highlight w:val="none"/>
        </w:rPr>
        <w:t>（1）目规定的评审因素和分值对投标报价计算出得分F1；</w:t>
      </w:r>
    </w:p>
    <w:p w14:paraId="7653BE7A">
      <w:pPr>
        <w:tabs>
          <w:tab w:val="left" w:pos="3165"/>
        </w:tabs>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（2）按本章第</w:t>
      </w:r>
      <w:r>
        <w:rPr>
          <w:rFonts w:ascii="宋体" w:hAnsi="宋体"/>
          <w:color w:val="auto"/>
          <w:sz w:val="24"/>
          <w:highlight w:val="none"/>
        </w:rPr>
        <w:t>6.2.2</w:t>
      </w:r>
      <w:r>
        <w:rPr>
          <w:rFonts w:hint="eastAsia" w:ascii="宋体" w:hAnsi="宋体"/>
          <w:color w:val="auto"/>
          <w:sz w:val="24"/>
          <w:highlight w:val="none"/>
        </w:rPr>
        <w:t>（2）目规定的评审因素和分值对技术部分计算出得分F2；</w:t>
      </w:r>
    </w:p>
    <w:p w14:paraId="1D980D26">
      <w:pPr>
        <w:tabs>
          <w:tab w:val="left" w:pos="3165"/>
        </w:tabs>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）按本章第</w:t>
      </w:r>
      <w:r>
        <w:rPr>
          <w:rFonts w:ascii="宋体" w:hAnsi="宋体"/>
          <w:color w:val="auto"/>
          <w:sz w:val="24"/>
          <w:highlight w:val="none"/>
        </w:rPr>
        <w:t>6</w:t>
      </w:r>
      <w:r>
        <w:rPr>
          <w:rFonts w:hint="eastAsia" w:ascii="宋体" w:hAnsi="宋体"/>
          <w:color w:val="auto"/>
          <w:sz w:val="24"/>
          <w:highlight w:val="none"/>
        </w:rPr>
        <w:t>.2.1项所列公式计算评标总得分。</w:t>
      </w:r>
    </w:p>
    <w:p w14:paraId="50A340BF">
      <w:pPr>
        <w:pStyle w:val="4"/>
        <w:tabs>
          <w:tab w:val="left" w:pos="900"/>
        </w:tabs>
        <w:spacing w:line="460" w:lineRule="exact"/>
        <w:ind w:firstLine="241"/>
        <w:rPr>
          <w:color w:val="auto"/>
          <w:szCs w:val="24"/>
          <w:highlight w:val="none"/>
        </w:rPr>
      </w:pPr>
      <w:r>
        <w:rPr>
          <w:color w:val="auto"/>
          <w:szCs w:val="24"/>
          <w:highlight w:val="none"/>
        </w:rPr>
        <w:t>7</w:t>
      </w:r>
      <w:r>
        <w:rPr>
          <w:rFonts w:hint="eastAsia"/>
          <w:color w:val="auto"/>
          <w:szCs w:val="24"/>
          <w:highlight w:val="none"/>
        </w:rPr>
        <w:t>.4得分汇总</w:t>
      </w:r>
    </w:p>
    <w:p w14:paraId="7A42C8EA">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.4</w:t>
      </w:r>
      <w:r>
        <w:rPr>
          <w:rFonts w:ascii="宋体" w:hAnsi="宋体"/>
          <w:color w:val="auto"/>
          <w:sz w:val="24"/>
          <w:highlight w:val="none"/>
        </w:rPr>
        <w:t>.1</w:t>
      </w:r>
      <w:r>
        <w:rPr>
          <w:rFonts w:hint="eastAsia" w:ascii="宋体" w:hAnsi="宋体"/>
          <w:color w:val="auto"/>
          <w:sz w:val="24"/>
          <w:highlight w:val="none"/>
        </w:rPr>
        <w:t xml:space="preserve">评委应首先对各投标人投标文件进行评审，写出书面意见并按招标文件规定分值评分，各分档评分中间不得用插入法评分。 </w:t>
      </w:r>
    </w:p>
    <w:p w14:paraId="2740037F">
      <w:pPr>
        <w:tabs>
          <w:tab w:val="left" w:pos="3165"/>
        </w:tabs>
        <w:spacing w:line="460" w:lineRule="exact"/>
        <w:ind w:firstLine="480" w:firstLineChars="20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.4</w:t>
      </w:r>
      <w:r>
        <w:rPr>
          <w:rFonts w:ascii="宋体" w:hAnsi="宋体"/>
          <w:color w:val="auto"/>
          <w:sz w:val="24"/>
          <w:highlight w:val="none"/>
        </w:rPr>
        <w:t>.2</w:t>
      </w:r>
      <w:r>
        <w:rPr>
          <w:rFonts w:hint="eastAsia" w:ascii="宋体" w:hAnsi="宋体"/>
          <w:color w:val="auto"/>
          <w:sz w:val="24"/>
          <w:highlight w:val="none"/>
        </w:rPr>
        <w:t>技术部分（F2）得分由评标委员会成员独立评分，计算各投标人得分的算术平均值计入各投标人总分。评分分值计算保留小数点后两位，小数点后第三位“四舍五入”。</w:t>
      </w:r>
    </w:p>
    <w:p w14:paraId="28652731">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.4</w:t>
      </w:r>
      <w:r>
        <w:rPr>
          <w:rFonts w:ascii="宋体" w:hAnsi="宋体"/>
          <w:color w:val="auto"/>
          <w:sz w:val="24"/>
          <w:highlight w:val="none"/>
        </w:rPr>
        <w:t>.3</w:t>
      </w:r>
      <w:r>
        <w:rPr>
          <w:rFonts w:hint="eastAsia" w:ascii="宋体" w:hAnsi="宋体"/>
          <w:color w:val="auto"/>
          <w:sz w:val="24"/>
          <w:highlight w:val="none"/>
        </w:rPr>
        <w:t xml:space="preserve">统分原则：计算评委打分的算术平均值为投标人的该项评分因素的得分，投标报价得分除外（保留小数点后两位）。 </w:t>
      </w:r>
    </w:p>
    <w:p w14:paraId="5F127220">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.4</w:t>
      </w:r>
      <w:r>
        <w:rPr>
          <w:rFonts w:ascii="宋体" w:hAnsi="宋体"/>
          <w:color w:val="auto"/>
          <w:sz w:val="24"/>
          <w:highlight w:val="none"/>
        </w:rPr>
        <w:t>.4</w:t>
      </w:r>
      <w:r>
        <w:rPr>
          <w:rFonts w:hint="eastAsia" w:ascii="宋体" w:hAnsi="宋体"/>
          <w:color w:val="auto"/>
          <w:sz w:val="24"/>
          <w:highlight w:val="none"/>
        </w:rPr>
        <w:t xml:space="preserve">得分汇总：按各项评分因素得分乘以相对应的权重系数后的总和即为投标人最后得分。 </w:t>
      </w:r>
    </w:p>
    <w:p w14:paraId="3D01B507">
      <w:pPr>
        <w:spacing w:line="460" w:lineRule="exact"/>
        <w:ind w:firstLine="480" w:firstLineChars="20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.4</w:t>
      </w:r>
      <w:r>
        <w:rPr>
          <w:rFonts w:ascii="宋体" w:hAnsi="宋体"/>
          <w:color w:val="auto"/>
          <w:sz w:val="24"/>
          <w:highlight w:val="none"/>
        </w:rPr>
        <w:t>.5</w:t>
      </w:r>
      <w:r>
        <w:rPr>
          <w:rFonts w:hint="eastAsia" w:ascii="宋体" w:hAnsi="宋体"/>
          <w:color w:val="auto"/>
          <w:sz w:val="24"/>
          <w:highlight w:val="none"/>
        </w:rPr>
        <w:t>经评标委员会认定评分畸高、畸低的，评标委员会应当当场修改评标结果，并在评标报告中记载。</w:t>
      </w:r>
    </w:p>
    <w:p w14:paraId="49398BE7">
      <w:pPr>
        <w:tabs>
          <w:tab w:val="left" w:pos="3165"/>
        </w:tabs>
        <w:spacing w:line="460" w:lineRule="exact"/>
        <w:ind w:firstLine="480" w:firstLineChars="200"/>
        <w:jc w:val="lef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.4</w:t>
      </w:r>
      <w:r>
        <w:rPr>
          <w:rFonts w:ascii="宋体" w:hAnsi="宋体"/>
          <w:color w:val="auto"/>
          <w:sz w:val="24"/>
          <w:highlight w:val="none"/>
        </w:rPr>
        <w:t>.6</w:t>
      </w:r>
      <w:r>
        <w:rPr>
          <w:rFonts w:hint="eastAsia" w:ascii="宋体" w:hAnsi="宋体"/>
          <w:color w:val="auto"/>
          <w:sz w:val="24"/>
          <w:highlight w:val="none"/>
        </w:rPr>
        <w:t>评标中若遇特殊问题，由评标委员会根据有关法律、法规研究决定。</w:t>
      </w:r>
    </w:p>
    <w:p w14:paraId="43E07C84">
      <w:pPr>
        <w:pStyle w:val="3"/>
        <w:tabs>
          <w:tab w:val="left" w:pos="1021"/>
        </w:tabs>
        <w:spacing w:line="460" w:lineRule="exact"/>
        <w:rPr>
          <w:rFonts w:hAnsi="宋体"/>
          <w:color w:val="auto"/>
          <w:highlight w:val="none"/>
        </w:rPr>
      </w:pPr>
      <w:bookmarkStart w:id="280" w:name="_Toc78140827"/>
      <w:bookmarkStart w:id="281" w:name="_Toc66976544"/>
      <w:bookmarkStart w:id="282" w:name="_Toc83539052"/>
      <w:bookmarkStart w:id="283" w:name="_Toc83683789"/>
      <w:bookmarkStart w:id="284" w:name="_Toc22630"/>
      <w:bookmarkStart w:id="285" w:name="_Toc88350320"/>
      <w:bookmarkStart w:id="286" w:name="_Toc11868"/>
      <w:bookmarkStart w:id="287" w:name="_Toc26350408"/>
      <w:bookmarkStart w:id="288" w:name="_Toc36327314"/>
      <w:bookmarkStart w:id="289" w:name="_Toc95915219"/>
      <w:r>
        <w:rPr>
          <w:rFonts w:hAnsi="宋体"/>
          <w:color w:val="auto"/>
          <w:highlight w:val="none"/>
        </w:rPr>
        <w:t>8</w:t>
      </w:r>
      <w:r>
        <w:rPr>
          <w:rFonts w:hint="eastAsia" w:hAnsi="宋体"/>
          <w:color w:val="auto"/>
          <w:highlight w:val="none"/>
        </w:rPr>
        <w:t>.推荐</w:t>
      </w:r>
      <w:bookmarkEnd w:id="280"/>
      <w:bookmarkEnd w:id="281"/>
      <w:bookmarkEnd w:id="282"/>
      <w:bookmarkEnd w:id="283"/>
      <w:bookmarkEnd w:id="284"/>
      <w:bookmarkEnd w:id="285"/>
      <w:bookmarkEnd w:id="286"/>
      <w:bookmarkEnd w:id="287"/>
      <w:bookmarkEnd w:id="288"/>
      <w:bookmarkEnd w:id="289"/>
      <w:r>
        <w:rPr>
          <w:rFonts w:hint="eastAsia" w:hAnsi="宋体"/>
          <w:color w:val="auto"/>
          <w:highlight w:val="none"/>
        </w:rPr>
        <w:t xml:space="preserve"> </w:t>
      </w:r>
    </w:p>
    <w:p w14:paraId="2B266908">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评标委员会计算出各投标人的总得分，评标结果按评审后得分由高到低顺序排列。投标文件满足招标文件全部实质性要求，且按照评审因素的量化指标评审得分最高的投标人为排名第一的中标候选人。得分相同的，按投标报价由低到高顺序排列。得分且投标报价相同的并列。在得分和报价均相同时，由评标委员会不记名投票决定。</w:t>
      </w:r>
    </w:p>
    <w:p w14:paraId="7A5283B1">
      <w:pPr>
        <w:pStyle w:val="3"/>
        <w:tabs>
          <w:tab w:val="left" w:pos="1021"/>
        </w:tabs>
        <w:spacing w:line="460" w:lineRule="exact"/>
        <w:rPr>
          <w:rFonts w:hAnsi="宋体"/>
          <w:color w:val="auto"/>
          <w:highlight w:val="none"/>
        </w:rPr>
      </w:pPr>
      <w:bookmarkStart w:id="290" w:name="_Toc78140828"/>
      <w:bookmarkStart w:id="291" w:name="_Toc4136"/>
      <w:bookmarkStart w:id="292" w:name="_Toc88350321"/>
      <w:bookmarkStart w:id="293" w:name="_Toc83683790"/>
      <w:bookmarkStart w:id="294" w:name="_Toc26350409"/>
      <w:bookmarkStart w:id="295" w:name="_Toc66976545"/>
      <w:bookmarkStart w:id="296" w:name="_Toc95915220"/>
      <w:bookmarkStart w:id="297" w:name="_Toc36327315"/>
      <w:bookmarkStart w:id="298" w:name="_Toc83539053"/>
      <w:bookmarkStart w:id="299" w:name="_Toc31302"/>
      <w:r>
        <w:rPr>
          <w:rFonts w:hAnsi="宋体"/>
          <w:color w:val="auto"/>
          <w:highlight w:val="none"/>
        </w:rPr>
        <w:t>9</w:t>
      </w:r>
      <w:r>
        <w:rPr>
          <w:rFonts w:hint="eastAsia" w:hAnsi="宋体"/>
          <w:color w:val="auto"/>
          <w:highlight w:val="none"/>
        </w:rPr>
        <w:t>.评标报告编写</w:t>
      </w:r>
      <w:bookmarkEnd w:id="290"/>
      <w:bookmarkEnd w:id="291"/>
      <w:bookmarkEnd w:id="292"/>
      <w:bookmarkEnd w:id="293"/>
      <w:bookmarkEnd w:id="294"/>
      <w:bookmarkEnd w:id="295"/>
      <w:bookmarkEnd w:id="296"/>
      <w:bookmarkEnd w:id="297"/>
      <w:bookmarkEnd w:id="298"/>
      <w:bookmarkEnd w:id="299"/>
      <w:r>
        <w:rPr>
          <w:rFonts w:hint="eastAsia" w:hAnsi="宋体"/>
          <w:color w:val="auto"/>
          <w:highlight w:val="none"/>
        </w:rPr>
        <w:t xml:space="preserve"> </w:t>
      </w:r>
    </w:p>
    <w:p w14:paraId="3F6FDB87">
      <w:pPr>
        <w:spacing w:line="460" w:lineRule="exact"/>
        <w:ind w:firstLine="480" w:firstLineChars="200"/>
        <w:jc w:val="left"/>
        <w:rPr>
          <w:rFonts w:ascii="宋体" w:hAnsi="宋体"/>
          <w:color w:val="auto"/>
          <w:sz w:val="24"/>
          <w:highlight w:val="none"/>
        </w:rPr>
      </w:pPr>
      <w:r>
        <w:rPr>
          <w:rFonts w:hint="eastAsia" w:ascii="宋体" w:hAnsi="宋体"/>
          <w:color w:val="auto"/>
          <w:sz w:val="24"/>
          <w:highlight w:val="none"/>
        </w:rPr>
        <w:t>评标委员会根据全体评标成员签字的原始评标记录和评标结果编写评标报告。</w:t>
      </w:r>
    </w:p>
    <w:bookmarkEnd w:id="222"/>
    <w:p w14:paraId="133CEF99">
      <w:pPr>
        <w:pStyle w:val="23"/>
        <w:shd w:val="clear" w:color="auto" w:fill="FFFFFF"/>
        <w:spacing w:line="480" w:lineRule="exact"/>
        <w:ind w:left="420" w:leftChars="200"/>
        <w:rPr>
          <w:b/>
          <w:color w:val="auto"/>
          <w:highlight w:val="none"/>
        </w:rPr>
      </w:pPr>
    </w:p>
    <w:p w14:paraId="7F9ACD55">
      <w:pPr>
        <w:pStyle w:val="23"/>
        <w:shd w:val="clear" w:color="auto" w:fill="FFFFFF"/>
        <w:spacing w:line="480" w:lineRule="exact"/>
        <w:ind w:left="420" w:leftChars="200"/>
        <w:rPr>
          <w:b/>
          <w:color w:val="auto"/>
          <w:highlight w:val="none"/>
        </w:rPr>
      </w:pPr>
    </w:p>
    <w:p w14:paraId="7DA6C3A8">
      <w:pPr>
        <w:pStyle w:val="23"/>
        <w:shd w:val="clear" w:color="auto" w:fill="FFFFFF"/>
        <w:spacing w:line="480" w:lineRule="exact"/>
        <w:ind w:left="420" w:leftChars="200"/>
        <w:rPr>
          <w:b/>
          <w:color w:val="auto"/>
          <w:highlight w:val="none"/>
        </w:rPr>
      </w:pPr>
    </w:p>
    <w:p w14:paraId="0950FBCE">
      <w:pPr>
        <w:pStyle w:val="23"/>
        <w:shd w:val="clear" w:color="auto" w:fill="FFFFFF"/>
        <w:spacing w:line="480" w:lineRule="exact"/>
        <w:ind w:left="420" w:leftChars="200"/>
        <w:rPr>
          <w:b/>
          <w:color w:val="auto"/>
          <w:highlight w:val="none"/>
        </w:rPr>
      </w:pPr>
    </w:p>
    <w:p w14:paraId="44C0D358">
      <w:pPr>
        <w:pStyle w:val="23"/>
        <w:shd w:val="clear" w:color="auto" w:fill="FFFFFF"/>
        <w:spacing w:line="480" w:lineRule="exact"/>
        <w:ind w:left="420" w:leftChars="200"/>
        <w:rPr>
          <w:b/>
          <w:color w:val="auto"/>
          <w:highlight w:val="none"/>
        </w:rPr>
      </w:pPr>
    </w:p>
    <w:p w14:paraId="64B01236">
      <w:pPr>
        <w:rPr>
          <w:rFonts w:hint="eastAsia"/>
          <w:color w:val="auto"/>
          <w:szCs w:val="30"/>
          <w:highlight w:val="none"/>
        </w:rPr>
      </w:pPr>
      <w:bookmarkStart w:id="300" w:name="_Toc5394"/>
      <w:r>
        <w:rPr>
          <w:rFonts w:hint="eastAsia"/>
          <w:color w:val="auto"/>
          <w:szCs w:val="30"/>
          <w:highlight w:val="none"/>
        </w:rPr>
        <w:br w:type="page"/>
      </w:r>
    </w:p>
    <w:p w14:paraId="2843783D">
      <w:pPr>
        <w:pStyle w:val="2"/>
        <w:spacing w:line="480" w:lineRule="exact"/>
        <w:rPr>
          <w:rFonts w:hint="eastAsia" w:eastAsia="宋体" w:cs="宋体"/>
          <w:color w:val="auto"/>
          <w:kern w:val="0"/>
          <w:sz w:val="24"/>
          <w:highlight w:val="none"/>
          <w:lang w:eastAsia="zh-CN"/>
        </w:rPr>
      </w:pPr>
      <w:r>
        <w:rPr>
          <w:rFonts w:hint="eastAsia"/>
          <w:color w:val="auto"/>
          <w:szCs w:val="30"/>
          <w:highlight w:val="none"/>
        </w:rPr>
        <w:t xml:space="preserve">第七章 </w:t>
      </w:r>
      <w:bookmarkEnd w:id="300"/>
      <w:r>
        <w:rPr>
          <w:rFonts w:hint="eastAsia"/>
          <w:color w:val="auto"/>
          <w:szCs w:val="30"/>
          <w:highlight w:val="none"/>
          <w:lang w:eastAsia="zh-CN"/>
        </w:rPr>
        <w:t>服务需求</w:t>
      </w:r>
    </w:p>
    <w:p w14:paraId="4DD8DB6B">
      <w:pPr>
        <w:pStyle w:val="23"/>
        <w:shd w:val="clear" w:color="auto" w:fill="FFFFFF"/>
        <w:spacing w:line="480" w:lineRule="exact"/>
        <w:outlineLvl w:val="1"/>
        <w:rPr>
          <w:b/>
          <w:color w:val="auto"/>
          <w:sz w:val="28"/>
          <w:szCs w:val="28"/>
          <w:highlight w:val="none"/>
        </w:rPr>
      </w:pPr>
      <w:bookmarkStart w:id="301" w:name="_Toc2534"/>
      <w:r>
        <w:rPr>
          <w:rFonts w:hint="eastAsia"/>
          <w:b/>
          <w:color w:val="auto"/>
          <w:sz w:val="28"/>
          <w:szCs w:val="28"/>
          <w:highlight w:val="none"/>
        </w:rPr>
        <w:t>一、项目概况</w:t>
      </w:r>
      <w:bookmarkEnd w:id="301"/>
    </w:p>
    <w:p w14:paraId="690E117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1、项目名称：</w:t>
      </w:r>
      <w:r>
        <w:rPr>
          <w:rFonts w:hint="eastAsia" w:ascii="宋体" w:hAnsi="宋体" w:cs="宋体"/>
          <w:color w:val="auto"/>
          <w:sz w:val="24"/>
          <w:highlight w:val="none"/>
          <w:lang w:eastAsia="zh-CN"/>
        </w:rPr>
        <w:t>玉溪一中拔尖创新人才培养项目之小初高贯通数学竞赛培训课程</w:t>
      </w:r>
      <w:r>
        <w:rPr>
          <w:rFonts w:hint="eastAsia" w:ascii="宋体" w:hAnsi="宋体" w:eastAsia="宋体" w:cs="宋体"/>
          <w:color w:val="auto"/>
          <w:sz w:val="24"/>
          <w:highlight w:val="none"/>
        </w:rPr>
        <w:t>。</w:t>
      </w:r>
    </w:p>
    <w:p w14:paraId="365EA1D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2、项目预算：￥</w:t>
      </w:r>
      <w:r>
        <w:rPr>
          <w:rFonts w:hint="eastAsia" w:ascii="宋体" w:hAnsi="宋体" w:cs="宋体"/>
          <w:color w:val="auto"/>
          <w:sz w:val="24"/>
          <w:highlight w:val="none"/>
          <w:lang w:val="en-US" w:eastAsia="zh-CN"/>
        </w:rPr>
        <w:t>2000000.00元</w:t>
      </w:r>
      <w:r>
        <w:rPr>
          <w:rFonts w:hint="eastAsia" w:ascii="宋体" w:hAnsi="宋体" w:eastAsia="宋体" w:cs="宋体"/>
          <w:color w:val="auto"/>
          <w:sz w:val="24"/>
          <w:highlight w:val="none"/>
        </w:rPr>
        <w:t>（大写：</w:t>
      </w:r>
      <w:r>
        <w:rPr>
          <w:rFonts w:hint="eastAsia" w:ascii="宋体" w:hAnsi="宋体" w:cs="宋体"/>
          <w:color w:val="auto"/>
          <w:sz w:val="24"/>
          <w:highlight w:val="none"/>
          <w:lang w:eastAsia="zh-CN"/>
        </w:rPr>
        <w:t>人民币</w:t>
      </w:r>
      <w:r>
        <w:rPr>
          <w:rFonts w:hint="eastAsia" w:ascii="宋体" w:hAnsi="宋体" w:cs="宋体"/>
          <w:color w:val="auto"/>
          <w:sz w:val="24"/>
          <w:highlight w:val="none"/>
          <w:lang w:val="en-US" w:eastAsia="zh-CN"/>
        </w:rPr>
        <w:t>贰佰万元整</w:t>
      </w:r>
      <w:r>
        <w:rPr>
          <w:rFonts w:hint="eastAsia" w:ascii="宋体" w:hAnsi="宋体" w:eastAsia="宋体" w:cs="宋体"/>
          <w:color w:val="auto"/>
          <w:sz w:val="24"/>
          <w:highlight w:val="none"/>
        </w:rPr>
        <w:t>）。</w:t>
      </w:r>
    </w:p>
    <w:p w14:paraId="6532D9A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lang w:eastAsia="zh-CN"/>
        </w:rPr>
        <w:t>需求：本项目为玉溪一中拔尖创新人才培养项目之小初高贯通数学竞赛培训课程，共设</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个标段，具体内容如下：</w:t>
      </w:r>
    </w:p>
    <w:tbl>
      <w:tblPr>
        <w:tblStyle w:val="27"/>
        <w:tblW w:w="9004" w:type="dxa"/>
        <w:jc w:val="center"/>
        <w:tblLayout w:type="fixed"/>
        <w:tblCellMar>
          <w:top w:w="0" w:type="dxa"/>
          <w:left w:w="108" w:type="dxa"/>
          <w:bottom w:w="0" w:type="dxa"/>
          <w:right w:w="108" w:type="dxa"/>
        </w:tblCellMar>
      </w:tblPr>
      <w:tblGrid>
        <w:gridCol w:w="831"/>
        <w:gridCol w:w="1483"/>
        <w:gridCol w:w="2790"/>
        <w:gridCol w:w="1755"/>
        <w:gridCol w:w="2145"/>
      </w:tblGrid>
      <w:tr w14:paraId="6ED305F2">
        <w:tblPrEx>
          <w:tblCellMar>
            <w:top w:w="0" w:type="dxa"/>
            <w:left w:w="108" w:type="dxa"/>
            <w:bottom w:w="0" w:type="dxa"/>
            <w:right w:w="108" w:type="dxa"/>
          </w:tblCellMar>
        </w:tblPrEx>
        <w:trPr>
          <w:trHeight w:val="96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2F92C8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483" w:type="dxa"/>
            <w:tcBorders>
              <w:top w:val="single" w:color="000000" w:sz="4" w:space="0"/>
              <w:left w:val="single" w:color="000000" w:sz="4" w:space="0"/>
              <w:bottom w:val="single" w:color="000000" w:sz="4" w:space="0"/>
              <w:right w:val="single" w:color="000000" w:sz="4" w:space="0"/>
            </w:tcBorders>
            <w:vAlign w:val="center"/>
          </w:tcPr>
          <w:p w14:paraId="6F49DD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标段号</w:t>
            </w:r>
          </w:p>
        </w:tc>
        <w:tc>
          <w:tcPr>
            <w:tcW w:w="2790" w:type="dxa"/>
            <w:tcBorders>
              <w:top w:val="single" w:color="000000" w:sz="4" w:space="0"/>
              <w:left w:val="single" w:color="000000" w:sz="4" w:space="0"/>
              <w:bottom w:val="single" w:color="000000" w:sz="4" w:space="0"/>
              <w:right w:val="single" w:color="000000" w:sz="4" w:space="0"/>
            </w:tcBorders>
            <w:vAlign w:val="center"/>
          </w:tcPr>
          <w:p w14:paraId="6E5323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标段名称</w:t>
            </w:r>
          </w:p>
        </w:tc>
        <w:tc>
          <w:tcPr>
            <w:tcW w:w="1755" w:type="dxa"/>
            <w:tcBorders>
              <w:top w:val="single" w:color="000000" w:sz="4" w:space="0"/>
              <w:left w:val="single" w:color="000000" w:sz="4" w:space="0"/>
              <w:bottom w:val="single" w:color="000000" w:sz="4" w:space="0"/>
              <w:right w:val="single" w:color="auto" w:sz="4" w:space="0"/>
            </w:tcBorders>
            <w:vAlign w:val="center"/>
          </w:tcPr>
          <w:p w14:paraId="261D18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预算总价(元)</w:t>
            </w:r>
          </w:p>
        </w:tc>
        <w:tc>
          <w:tcPr>
            <w:tcW w:w="2145" w:type="dxa"/>
            <w:tcBorders>
              <w:top w:val="single" w:color="000000" w:sz="4" w:space="0"/>
              <w:left w:val="single" w:color="auto" w:sz="4" w:space="0"/>
              <w:bottom w:val="single" w:color="000000" w:sz="4" w:space="0"/>
              <w:right w:val="single" w:color="000000" w:sz="4" w:space="0"/>
            </w:tcBorders>
            <w:vAlign w:val="center"/>
          </w:tcPr>
          <w:p w14:paraId="257A9E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最高限价(元)</w:t>
            </w:r>
          </w:p>
        </w:tc>
      </w:tr>
      <w:tr w14:paraId="71E3CC7C">
        <w:tblPrEx>
          <w:tblCellMar>
            <w:top w:w="0" w:type="dxa"/>
            <w:left w:w="108" w:type="dxa"/>
            <w:bottom w:w="0" w:type="dxa"/>
            <w:right w:w="108" w:type="dxa"/>
          </w:tblCellMar>
        </w:tblPrEx>
        <w:trPr>
          <w:trHeight w:val="96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15EC26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83" w:type="dxa"/>
            <w:tcBorders>
              <w:top w:val="single" w:color="000000" w:sz="4" w:space="0"/>
              <w:left w:val="single" w:color="000000" w:sz="4" w:space="0"/>
              <w:bottom w:val="single" w:color="000000" w:sz="4" w:space="0"/>
              <w:right w:val="single" w:color="000000" w:sz="4" w:space="0"/>
            </w:tcBorders>
            <w:vAlign w:val="center"/>
          </w:tcPr>
          <w:p w14:paraId="2A16FB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一标段</w:t>
            </w:r>
          </w:p>
        </w:tc>
        <w:tc>
          <w:tcPr>
            <w:tcW w:w="2790" w:type="dxa"/>
            <w:tcBorders>
              <w:top w:val="single" w:color="000000" w:sz="4" w:space="0"/>
              <w:left w:val="single" w:color="000000" w:sz="4" w:space="0"/>
              <w:bottom w:val="single" w:color="000000" w:sz="4" w:space="0"/>
              <w:right w:val="single" w:color="000000" w:sz="4" w:space="0"/>
            </w:tcBorders>
            <w:vAlign w:val="center"/>
          </w:tcPr>
          <w:p w14:paraId="5660924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高中数学培优课程</w:t>
            </w:r>
          </w:p>
        </w:tc>
        <w:tc>
          <w:tcPr>
            <w:tcW w:w="1755" w:type="dxa"/>
            <w:tcBorders>
              <w:top w:val="single" w:color="000000" w:sz="4" w:space="0"/>
              <w:left w:val="single" w:color="000000" w:sz="4" w:space="0"/>
              <w:bottom w:val="single" w:color="000000" w:sz="4" w:space="0"/>
              <w:right w:val="single" w:color="auto" w:sz="4" w:space="0"/>
            </w:tcBorders>
            <w:vAlign w:val="center"/>
          </w:tcPr>
          <w:p w14:paraId="122E53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lang w:val="en-US" w:eastAsia="zh-CN"/>
              </w:rPr>
              <w:t>0000.00</w:t>
            </w:r>
          </w:p>
        </w:tc>
        <w:tc>
          <w:tcPr>
            <w:tcW w:w="2145" w:type="dxa"/>
            <w:tcBorders>
              <w:top w:val="single" w:color="000000" w:sz="4" w:space="0"/>
              <w:left w:val="single" w:color="auto" w:sz="4" w:space="0"/>
              <w:bottom w:val="single" w:color="000000" w:sz="4" w:space="0"/>
              <w:right w:val="single" w:color="000000" w:sz="4" w:space="0"/>
            </w:tcBorders>
            <w:vAlign w:val="center"/>
          </w:tcPr>
          <w:p w14:paraId="04838A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lang w:val="en-US" w:eastAsia="zh-CN"/>
              </w:rPr>
              <w:t>0000.00</w:t>
            </w:r>
          </w:p>
        </w:tc>
      </w:tr>
      <w:tr w14:paraId="72A65733">
        <w:tblPrEx>
          <w:tblCellMar>
            <w:top w:w="0" w:type="dxa"/>
            <w:left w:w="108" w:type="dxa"/>
            <w:bottom w:w="0" w:type="dxa"/>
            <w:right w:w="108" w:type="dxa"/>
          </w:tblCellMar>
        </w:tblPrEx>
        <w:trPr>
          <w:trHeight w:val="96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135AEB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483" w:type="dxa"/>
            <w:tcBorders>
              <w:top w:val="single" w:color="000000" w:sz="4" w:space="0"/>
              <w:left w:val="single" w:color="000000" w:sz="4" w:space="0"/>
              <w:bottom w:val="single" w:color="000000" w:sz="4" w:space="0"/>
              <w:right w:val="single" w:color="000000" w:sz="4" w:space="0"/>
            </w:tcBorders>
            <w:vAlign w:val="center"/>
          </w:tcPr>
          <w:p w14:paraId="6840E3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二标段</w:t>
            </w:r>
          </w:p>
        </w:tc>
        <w:tc>
          <w:tcPr>
            <w:tcW w:w="2790" w:type="dxa"/>
            <w:tcBorders>
              <w:top w:val="single" w:color="000000" w:sz="4" w:space="0"/>
              <w:left w:val="single" w:color="000000" w:sz="4" w:space="0"/>
              <w:bottom w:val="single" w:color="000000" w:sz="4" w:space="0"/>
              <w:right w:val="single" w:color="000000" w:sz="4" w:space="0"/>
            </w:tcBorders>
            <w:vAlign w:val="center"/>
          </w:tcPr>
          <w:p w14:paraId="15BB53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小初高贯通数学竞赛培训课程</w:t>
            </w:r>
          </w:p>
        </w:tc>
        <w:tc>
          <w:tcPr>
            <w:tcW w:w="1755" w:type="dxa"/>
            <w:tcBorders>
              <w:top w:val="single" w:color="000000" w:sz="4" w:space="0"/>
              <w:left w:val="single" w:color="000000" w:sz="4" w:space="0"/>
              <w:bottom w:val="single" w:color="000000" w:sz="4" w:space="0"/>
              <w:right w:val="single" w:color="auto" w:sz="4" w:space="0"/>
            </w:tcBorders>
            <w:vAlign w:val="center"/>
          </w:tcPr>
          <w:p w14:paraId="3FC72C8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lang w:val="en-US" w:eastAsia="zh-CN"/>
              </w:rPr>
              <w:t>0000.00</w:t>
            </w:r>
          </w:p>
        </w:tc>
        <w:tc>
          <w:tcPr>
            <w:tcW w:w="2145" w:type="dxa"/>
            <w:tcBorders>
              <w:top w:val="single" w:color="000000" w:sz="4" w:space="0"/>
              <w:left w:val="single" w:color="auto" w:sz="4" w:space="0"/>
              <w:bottom w:val="single" w:color="000000" w:sz="4" w:space="0"/>
              <w:right w:val="single" w:color="000000" w:sz="4" w:space="0"/>
            </w:tcBorders>
            <w:vAlign w:val="center"/>
          </w:tcPr>
          <w:p w14:paraId="39DD17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15</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lang w:val="en-US" w:eastAsia="zh-CN"/>
              </w:rPr>
              <w:t>0000.00</w:t>
            </w:r>
          </w:p>
        </w:tc>
      </w:tr>
    </w:tbl>
    <w:p w14:paraId="743854E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★注：1、本项目划分为2个标段。每个标段选取1家中标人，投标人可同时参加多个标段，且不限制同时中选多个标段，但投标人应分包制作、分别投递投标文件。</w:t>
      </w:r>
    </w:p>
    <w:p w14:paraId="62688DF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、合同履行期限：</w:t>
      </w:r>
    </w:p>
    <w:p w14:paraId="4396347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一标段：两年（以合同约定为准）或合同总金额执行完毕。</w:t>
      </w:r>
    </w:p>
    <w:p w14:paraId="1B8CAA7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Times New Roman" w:hAnsi="Times New Roman" w:cs="Times New Roman"/>
          <w:color w:val="auto"/>
          <w:sz w:val="24"/>
          <w:highlight w:val="none"/>
          <w:lang w:val="en-US" w:eastAsia="zh-CN"/>
        </w:rPr>
        <w:t>二标段：三年（以合同约定为准）或合同总金额执行完毕。</w:t>
      </w:r>
    </w:p>
    <w:p w14:paraId="6C83BB2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5、质量要求：符合国家现行行业质量标准、规范和要求，在相应学期内完成课程规定的教学任务，为其提供高质量服务。</w:t>
      </w:r>
    </w:p>
    <w:p w14:paraId="7E0BB3D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6.服务地点：云南省玉溪第一中学校内或招标人指定地点。</w:t>
      </w:r>
    </w:p>
    <w:p w14:paraId="20917B6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color w:val="auto"/>
        </w:rPr>
      </w:pPr>
      <w:r>
        <w:rPr>
          <w:rFonts w:hint="eastAsia" w:ascii="宋体" w:hAnsi="宋体" w:cs="宋体"/>
          <w:color w:val="auto"/>
          <w:sz w:val="24"/>
          <w:highlight w:val="none"/>
          <w:lang w:val="en-US" w:eastAsia="zh-CN"/>
        </w:rPr>
        <w:t>7.服务目标：玉溪一中拔尖创新人才培养项目之小初高贯通数学竞赛培训课程以针对新五年级至高二年级优秀学生群体，提前预热数学竞赛预备课程，课程内容涵盖学习高中学科竞赛所需要的初高中知识，每学期12教学周，是针对有潜力获得省赛及以上的奖项的学生进入高中之前、为竞赛学习打基础做准备的课程。该课程内容为初中、高中必修及选修内容，对标高考难度。该课程旨在为学生进入高中后尽早开始学习难度更高的竞赛课程打下良好基础。</w:t>
      </w:r>
    </w:p>
    <w:p w14:paraId="7FAD4AB3">
      <w:pPr>
        <w:pStyle w:val="23"/>
        <w:keepNext w:val="0"/>
        <w:keepLines w:val="0"/>
        <w:pageBreakBefore w:val="0"/>
        <w:shd w:val="clear" w:color="auto" w:fill="FFFFFF"/>
        <w:kinsoku/>
        <w:wordWrap/>
        <w:overflowPunct/>
        <w:topLinePunct w:val="0"/>
        <w:autoSpaceDE/>
        <w:autoSpaceDN/>
        <w:bidi w:val="0"/>
        <w:adjustRightInd/>
        <w:snapToGrid/>
        <w:spacing w:line="480" w:lineRule="exact"/>
        <w:textAlignment w:val="auto"/>
        <w:outlineLvl w:val="1"/>
        <w:rPr>
          <w:rFonts w:hint="eastAsia"/>
          <w:b/>
          <w:color w:val="auto"/>
          <w:sz w:val="28"/>
          <w:szCs w:val="28"/>
          <w:highlight w:val="none"/>
          <w:lang w:eastAsia="zh-CN"/>
        </w:rPr>
      </w:pPr>
      <w:r>
        <w:rPr>
          <w:rFonts w:hint="eastAsia"/>
          <w:b/>
          <w:color w:val="auto"/>
          <w:sz w:val="28"/>
          <w:szCs w:val="28"/>
          <w:highlight w:val="none"/>
        </w:rPr>
        <w:t>二、</w:t>
      </w:r>
      <w:r>
        <w:rPr>
          <w:rFonts w:hint="eastAsia"/>
          <w:b/>
          <w:color w:val="auto"/>
          <w:sz w:val="28"/>
          <w:szCs w:val="28"/>
          <w:highlight w:val="none"/>
          <w:lang w:val="en-US" w:eastAsia="zh-CN"/>
        </w:rPr>
        <w:t>服务内容</w:t>
      </w:r>
      <w:r>
        <w:rPr>
          <w:rFonts w:hint="eastAsia"/>
          <w:b/>
          <w:color w:val="auto"/>
          <w:sz w:val="28"/>
          <w:szCs w:val="28"/>
          <w:highlight w:val="none"/>
          <w:lang w:eastAsia="zh-CN"/>
        </w:rPr>
        <w:t>清单（</w:t>
      </w:r>
      <w:r>
        <w:rPr>
          <w:rFonts w:hint="eastAsia"/>
          <w:b/>
          <w:color w:val="auto"/>
          <w:sz w:val="28"/>
          <w:szCs w:val="28"/>
          <w:highlight w:val="none"/>
          <w:lang w:val="en-US" w:eastAsia="zh-CN"/>
        </w:rPr>
        <w:t>课程教学大纲</w:t>
      </w:r>
      <w:r>
        <w:rPr>
          <w:rFonts w:hint="eastAsia"/>
          <w:b/>
          <w:color w:val="auto"/>
          <w:sz w:val="28"/>
          <w:szCs w:val="28"/>
          <w:highlight w:val="none"/>
          <w:lang w:eastAsia="zh-CN"/>
        </w:rPr>
        <w:t>）</w:t>
      </w:r>
    </w:p>
    <w:p w14:paraId="7D142E1B">
      <w:pPr>
        <w:pStyle w:val="23"/>
        <w:keepNext w:val="0"/>
        <w:keepLines w:val="0"/>
        <w:pageBreakBefore w:val="0"/>
        <w:shd w:val="clear" w:color="auto" w:fill="FFFFFF"/>
        <w:kinsoku/>
        <w:wordWrap/>
        <w:overflowPunct/>
        <w:topLinePunct w:val="0"/>
        <w:autoSpaceDE/>
        <w:autoSpaceDN/>
        <w:bidi w:val="0"/>
        <w:adjustRightInd/>
        <w:snapToGrid/>
        <w:spacing w:line="480" w:lineRule="exact"/>
        <w:textAlignment w:val="auto"/>
        <w:outlineLvl w:val="1"/>
        <w:rPr>
          <w:rFonts w:hint="eastAsia"/>
          <w:b/>
          <w:color w:val="auto"/>
          <w:sz w:val="24"/>
          <w:szCs w:val="24"/>
          <w:highlight w:val="none"/>
          <w:lang w:val="en-US" w:eastAsia="zh-CN"/>
        </w:rPr>
      </w:pPr>
    </w:p>
    <w:p w14:paraId="2617BBF0">
      <w:pPr>
        <w:pStyle w:val="23"/>
        <w:keepNext w:val="0"/>
        <w:keepLines w:val="0"/>
        <w:pageBreakBefore w:val="0"/>
        <w:shd w:val="clear" w:color="auto" w:fill="FFFFFF"/>
        <w:kinsoku/>
        <w:wordWrap/>
        <w:overflowPunct/>
        <w:topLinePunct w:val="0"/>
        <w:autoSpaceDE/>
        <w:autoSpaceDN/>
        <w:bidi w:val="0"/>
        <w:adjustRightInd/>
        <w:snapToGrid/>
        <w:spacing w:line="480" w:lineRule="exact"/>
        <w:textAlignment w:val="auto"/>
        <w:outlineLvl w:val="1"/>
        <w:rPr>
          <w:rFonts w:hint="eastAsia"/>
          <w:b/>
          <w:color w:val="auto"/>
          <w:sz w:val="24"/>
          <w:szCs w:val="24"/>
          <w:highlight w:val="none"/>
          <w:lang w:val="en-US" w:eastAsia="zh-CN"/>
        </w:rPr>
      </w:pPr>
    </w:p>
    <w:p w14:paraId="379C6787">
      <w:pPr>
        <w:pStyle w:val="23"/>
        <w:keepNext w:val="0"/>
        <w:keepLines w:val="0"/>
        <w:pageBreakBefore w:val="0"/>
        <w:shd w:val="clear" w:color="auto" w:fill="FFFFFF"/>
        <w:kinsoku/>
        <w:wordWrap/>
        <w:overflowPunct/>
        <w:topLinePunct w:val="0"/>
        <w:autoSpaceDE/>
        <w:autoSpaceDN/>
        <w:bidi w:val="0"/>
        <w:adjustRightInd/>
        <w:snapToGrid/>
        <w:spacing w:line="480" w:lineRule="exact"/>
        <w:textAlignment w:val="auto"/>
        <w:outlineLvl w:val="1"/>
        <w:rPr>
          <w:rFonts w:hint="eastAsia"/>
          <w:b/>
          <w:color w:val="auto"/>
          <w:sz w:val="24"/>
          <w:szCs w:val="24"/>
          <w:highlight w:val="none"/>
          <w:lang w:val="en-US" w:eastAsia="zh-CN"/>
        </w:rPr>
      </w:pPr>
      <w:r>
        <w:rPr>
          <w:rFonts w:hint="eastAsia"/>
          <w:b/>
          <w:color w:val="auto"/>
          <w:sz w:val="24"/>
          <w:szCs w:val="24"/>
          <w:highlight w:val="none"/>
          <w:lang w:val="en-US" w:eastAsia="zh-CN"/>
        </w:rPr>
        <w:t>一标段：高中数学培优课程</w:t>
      </w:r>
    </w:p>
    <w:p w14:paraId="77DF9952">
      <w:pPr>
        <w:pStyle w:val="23"/>
        <w:keepNext w:val="0"/>
        <w:keepLines w:val="0"/>
        <w:pageBreakBefore w:val="0"/>
        <w:shd w:val="clear" w:color="auto" w:fill="FFFFFF"/>
        <w:kinsoku/>
        <w:wordWrap/>
        <w:overflowPunct/>
        <w:topLinePunct w:val="0"/>
        <w:autoSpaceDE/>
        <w:autoSpaceDN/>
        <w:bidi w:val="0"/>
        <w:adjustRightInd/>
        <w:snapToGrid/>
        <w:spacing w:line="480" w:lineRule="exact"/>
        <w:ind w:firstLine="241" w:firstLineChars="100"/>
        <w:textAlignment w:val="auto"/>
        <w:outlineLvl w:val="9"/>
        <w:rPr>
          <w:rFonts w:hint="default"/>
          <w:b/>
          <w:color w:val="auto"/>
          <w:sz w:val="24"/>
          <w:szCs w:val="24"/>
          <w:highlight w:val="none"/>
          <w:lang w:val="en-US" w:eastAsia="zh-CN"/>
        </w:rPr>
      </w:pPr>
      <w:r>
        <w:rPr>
          <w:rFonts w:hint="eastAsia"/>
          <w:b/>
          <w:color w:val="auto"/>
          <w:sz w:val="24"/>
          <w:szCs w:val="24"/>
          <w:highlight w:val="none"/>
          <w:lang w:val="en-US" w:eastAsia="zh-CN"/>
        </w:rPr>
        <w:t>高一板块：</w:t>
      </w:r>
    </w:p>
    <w:tbl>
      <w:tblPr>
        <w:tblStyle w:val="27"/>
        <w:tblW w:w="9499"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58"/>
        <w:gridCol w:w="2609"/>
        <w:gridCol w:w="2952"/>
        <w:gridCol w:w="2609"/>
      </w:tblGrid>
      <w:tr w14:paraId="7C07A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2" w:hRule="atLeast"/>
        </w:trPr>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F738C">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学期/课次</w:t>
            </w:r>
          </w:p>
        </w:tc>
        <w:tc>
          <w:tcPr>
            <w:tcW w:w="2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A990E">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高一下</w:t>
            </w:r>
          </w:p>
        </w:tc>
        <w:tc>
          <w:tcPr>
            <w:tcW w:w="2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782AA">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高二上</w:t>
            </w:r>
          </w:p>
        </w:tc>
        <w:tc>
          <w:tcPr>
            <w:tcW w:w="2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78041">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高二下</w:t>
            </w:r>
          </w:p>
        </w:tc>
      </w:tr>
      <w:tr w14:paraId="29008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15A7D">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0843F">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高中板块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1BC00">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联赛板块</w:t>
            </w:r>
          </w:p>
        </w:tc>
      </w:tr>
      <w:tr w14:paraId="27048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212D">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CF7EB">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函数基本性质（一）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382FF">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空间位置关系的判定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03A03">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均值不等式</w:t>
            </w:r>
          </w:p>
        </w:tc>
      </w:tr>
      <w:tr w14:paraId="42423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C1A34">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8E5C6">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函数基本性质（二）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CF80B">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标准几何体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11DB">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柯西不等式</w:t>
            </w:r>
          </w:p>
        </w:tc>
      </w:tr>
      <w:tr w14:paraId="1E357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379DD">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C3C7">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基本初等函数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6CF4">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内切球、外接球、棱切球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807F1">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排序不等式</w:t>
            </w:r>
          </w:p>
        </w:tc>
      </w:tr>
      <w:tr w14:paraId="201B0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FC843">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AFFE8">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导数及其应用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FDDB3">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空间直角坐标系</w:t>
            </w:r>
          </w:p>
        </w:tc>
        <w:tc>
          <w:tcPr>
            <w:tcW w:w="0" w:type="auto"/>
            <w:tcBorders>
              <w:top w:val="nil"/>
              <w:left w:val="single" w:color="000000" w:sz="4" w:space="0"/>
              <w:bottom w:val="nil"/>
              <w:right w:val="single" w:color="000000" w:sz="4" w:space="0"/>
            </w:tcBorders>
            <w:shd w:val="clear" w:color="auto" w:fill="auto"/>
            <w:noWrap/>
            <w:vAlign w:val="center"/>
          </w:tcPr>
          <w:p w14:paraId="4AC70623">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琴生不等式</w:t>
            </w:r>
          </w:p>
        </w:tc>
      </w:tr>
      <w:tr w14:paraId="61E08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33B9">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76E49">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函数综合训练（一）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AFC1E">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立体几何综合能力提升（一）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3E558">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调整法解不等式问题</w:t>
            </w:r>
          </w:p>
        </w:tc>
      </w:tr>
      <w:tr w14:paraId="4DD52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5C38E">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05519">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函数综合训练（二）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A589C">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立体几何综合能力提升（二）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08EA8">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局部不等式</w:t>
            </w:r>
          </w:p>
        </w:tc>
      </w:tr>
      <w:tr w14:paraId="20C77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F4BA4">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46331">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函数综合训练（三）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6B659">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等差、等比数列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563B0">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不等式的常见解法</w:t>
            </w:r>
          </w:p>
        </w:tc>
      </w:tr>
      <w:tr w14:paraId="1C587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45A6E">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1491D">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函数综合训练（四）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9B3FA">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数列前n项和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C9775">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不等式综合训练（一）</w:t>
            </w:r>
          </w:p>
        </w:tc>
      </w:tr>
      <w:tr w14:paraId="603D4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4BB89">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DA680">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解三角形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AEC4B">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数列递推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DB7E">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不等式综合训练（二）</w:t>
            </w:r>
          </w:p>
        </w:tc>
      </w:tr>
      <w:tr w14:paraId="16751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82DEF">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219DF">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平面向量（一）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F7792">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数列综合能力提升（一）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E99DA">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不等式综合训练（三）</w:t>
            </w:r>
          </w:p>
        </w:tc>
      </w:tr>
      <w:tr w14:paraId="7EB89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23687">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04327">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平面向量（二）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F5616">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数列综合能力提升（二）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59DA6">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不等式综合训练（四）</w:t>
            </w:r>
          </w:p>
        </w:tc>
      </w:tr>
      <w:tr w14:paraId="31FBE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7FCED">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FA8B6">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复数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F873F">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数列综合能力提升（三）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1162B">
            <w:pPr>
              <w:pStyle w:val="23"/>
              <w:keepNext w:val="0"/>
              <w:keepLines w:val="0"/>
              <w:pageBreakBefore w:val="0"/>
              <w:shd w:val="clear" w:color="auto" w:fill="FFFFFF"/>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不等式综合训练（五）</w:t>
            </w:r>
          </w:p>
        </w:tc>
      </w:tr>
    </w:tbl>
    <w:p w14:paraId="77F0E8BF">
      <w:pPr>
        <w:pStyle w:val="23"/>
        <w:keepNext w:val="0"/>
        <w:keepLines w:val="0"/>
        <w:pageBreakBefore w:val="0"/>
        <w:shd w:val="clear" w:color="auto" w:fill="FFFFFF"/>
        <w:kinsoku/>
        <w:wordWrap/>
        <w:overflowPunct/>
        <w:topLinePunct w:val="0"/>
        <w:autoSpaceDE/>
        <w:autoSpaceDN/>
        <w:bidi w:val="0"/>
        <w:adjustRightInd/>
        <w:snapToGrid/>
        <w:spacing w:line="480" w:lineRule="exact"/>
        <w:textAlignment w:val="auto"/>
        <w:outlineLvl w:val="2"/>
        <w:rPr>
          <w:rFonts w:hint="default"/>
          <w:b/>
          <w:color w:val="auto"/>
          <w:sz w:val="28"/>
          <w:szCs w:val="28"/>
          <w:highlight w:val="none"/>
          <w:lang w:val="en-US" w:eastAsia="zh-CN"/>
        </w:rPr>
      </w:pPr>
    </w:p>
    <w:p w14:paraId="2A3CBA5A">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r>
    </w:p>
    <w:p w14:paraId="20F80A4F">
      <w:pPr>
        <w:pStyle w:val="36"/>
        <w:spacing w:line="50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高二板块：</w:t>
      </w:r>
    </w:p>
    <w:tbl>
      <w:tblPr>
        <w:tblStyle w:val="27"/>
        <w:tblpPr w:leftFromText="180" w:rightFromText="180" w:vertAnchor="text" w:horzAnchor="page" w:tblpX="1669" w:tblpY="497"/>
        <w:tblOverlap w:val="never"/>
        <w:tblW w:w="87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05"/>
        <w:gridCol w:w="3878"/>
        <w:gridCol w:w="3475"/>
      </w:tblGrid>
      <w:tr w14:paraId="79A97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14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878F2">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学期/课次</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3DF6">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高二下</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93DF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高二上</w:t>
            </w:r>
          </w:p>
        </w:tc>
      </w:tr>
      <w:tr w14:paraId="2685E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89770">
            <w:pPr>
              <w:pStyle w:val="36"/>
              <w:spacing w:line="500" w:lineRule="exact"/>
              <w:ind w:left="0" w:leftChars="0" w:firstLine="0" w:firstLineChars="0"/>
              <w:jc w:val="center"/>
              <w:rPr>
                <w:rFonts w:hint="default"/>
                <w:b/>
                <w:bCs/>
                <w:color w:val="auto"/>
                <w:lang w:val="en-US" w:eastAsia="zh-CN"/>
              </w:rPr>
            </w:pP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D4042">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高中板块</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6382">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联赛板块</w:t>
            </w:r>
          </w:p>
        </w:tc>
      </w:tr>
      <w:tr w14:paraId="02E30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022A9">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1</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48099">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直线方程</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69E65">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全等、相似三角形</w:t>
            </w:r>
          </w:p>
        </w:tc>
      </w:tr>
      <w:tr w14:paraId="6C0C7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4A133">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2</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5D32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圆方程及圆与直线位置关系</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53A60">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等差幂线</w:t>
            </w:r>
          </w:p>
        </w:tc>
      </w:tr>
      <w:tr w14:paraId="1608B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F240B">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3</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D18F0">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椭圆方程</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B66BF">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圆幂定理及根轴、根心</w:t>
            </w:r>
          </w:p>
        </w:tc>
      </w:tr>
      <w:tr w14:paraId="540A5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7A8BB">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4</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3ED4D">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双曲线方程</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D7C7E">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三角形重心、垂心、外心</w:t>
            </w:r>
          </w:p>
        </w:tc>
      </w:tr>
      <w:tr w14:paraId="7B279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9E39B">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5</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1F803">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抛物线方程</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8703F">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三角形内心及旁心</w:t>
            </w:r>
          </w:p>
        </w:tc>
      </w:tr>
      <w:tr w14:paraId="5D702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D63AE">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6</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F4147">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定点问题</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ECD67">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三点共线问题</w:t>
            </w:r>
          </w:p>
        </w:tc>
      </w:tr>
      <w:tr w14:paraId="670AE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D0F45">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7</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8DE06">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定值问题</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E731C">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三线共点问题</w:t>
            </w:r>
          </w:p>
        </w:tc>
      </w:tr>
      <w:tr w14:paraId="36FCA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745A5">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8</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1FA1E">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面积问题</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988F2">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点共圆问题</w:t>
            </w:r>
          </w:p>
        </w:tc>
      </w:tr>
      <w:tr w14:paraId="4D766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EE4E0">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9</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F0A21">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弦长问题</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7E42">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平面几何基本模型（一）</w:t>
            </w:r>
          </w:p>
        </w:tc>
      </w:tr>
      <w:tr w14:paraId="46057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837ED">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10</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4019C">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解析几何综合能力提升</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20AA6">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平面几何基本模型（二）</w:t>
            </w:r>
          </w:p>
        </w:tc>
      </w:tr>
      <w:tr w14:paraId="1DE39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BBB9">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11</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BE60B">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解析几何综合能力提升</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1E2E7">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平面几何综合（一）</w:t>
            </w:r>
          </w:p>
        </w:tc>
      </w:tr>
      <w:tr w14:paraId="6E4E7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37F36">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12</w:t>
            </w:r>
          </w:p>
        </w:tc>
        <w:tc>
          <w:tcPr>
            <w:tcW w:w="3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46E2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解析几何综合能力提升</w:t>
            </w:r>
          </w:p>
        </w:tc>
        <w:tc>
          <w:tcPr>
            <w:tcW w:w="3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D9415">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平面几何综合（二）</w:t>
            </w:r>
          </w:p>
        </w:tc>
      </w:tr>
    </w:tbl>
    <w:p w14:paraId="6C10FEF9">
      <w:pPr>
        <w:pStyle w:val="36"/>
        <w:spacing w:line="500" w:lineRule="exact"/>
        <w:ind w:left="0" w:leftChars="0" w:firstLine="0" w:firstLineChars="0"/>
        <w:rPr>
          <w:rFonts w:hint="default"/>
          <w:color w:val="auto"/>
          <w:lang w:val="en-US" w:eastAsia="zh-CN"/>
        </w:rPr>
      </w:pPr>
    </w:p>
    <w:p w14:paraId="10B2FAA5">
      <w:pPr>
        <w:pStyle w:val="36"/>
        <w:spacing w:line="500" w:lineRule="exact"/>
        <w:rPr>
          <w:rFonts w:hint="eastAsia" w:ascii="宋体" w:hAnsi="宋体" w:cs="宋体"/>
          <w:b/>
          <w:bCs/>
          <w:color w:val="auto"/>
          <w:sz w:val="24"/>
          <w:szCs w:val="24"/>
          <w:highlight w:val="none"/>
          <w:lang w:val="en-US" w:eastAsia="zh-CN"/>
        </w:rPr>
      </w:pPr>
    </w:p>
    <w:p w14:paraId="7415E4AE">
      <w:pPr>
        <w:pStyle w:val="36"/>
        <w:spacing w:line="500" w:lineRule="exact"/>
        <w:rPr>
          <w:rFonts w:hint="eastAsia" w:ascii="宋体" w:hAnsi="宋体" w:cs="宋体"/>
          <w:b/>
          <w:bCs/>
          <w:color w:val="auto"/>
          <w:sz w:val="24"/>
          <w:szCs w:val="24"/>
          <w:highlight w:val="none"/>
          <w:lang w:val="en-US" w:eastAsia="zh-CN"/>
        </w:rPr>
      </w:pPr>
    </w:p>
    <w:p w14:paraId="5E14D3E5">
      <w:pPr>
        <w:pStyle w:val="36"/>
        <w:spacing w:line="500" w:lineRule="exact"/>
        <w:rPr>
          <w:rFonts w:hint="eastAsia" w:ascii="宋体" w:hAnsi="宋体" w:cs="宋体"/>
          <w:b/>
          <w:bCs/>
          <w:color w:val="auto"/>
          <w:sz w:val="24"/>
          <w:szCs w:val="24"/>
          <w:highlight w:val="none"/>
          <w:lang w:val="en-US" w:eastAsia="zh-CN"/>
        </w:rPr>
      </w:pPr>
    </w:p>
    <w:p w14:paraId="5C3C5D44">
      <w:pPr>
        <w:pStyle w:val="36"/>
        <w:spacing w:line="500" w:lineRule="exact"/>
        <w:rPr>
          <w:rFonts w:hint="eastAsia" w:ascii="宋体" w:hAnsi="宋体" w:cs="宋体"/>
          <w:b/>
          <w:bCs/>
          <w:color w:val="auto"/>
          <w:sz w:val="24"/>
          <w:szCs w:val="24"/>
          <w:highlight w:val="none"/>
          <w:lang w:val="en-US" w:eastAsia="zh-CN"/>
        </w:rPr>
      </w:pPr>
    </w:p>
    <w:p w14:paraId="32F26905">
      <w:pPr>
        <w:pStyle w:val="36"/>
        <w:spacing w:line="500" w:lineRule="exact"/>
        <w:rPr>
          <w:rFonts w:hint="eastAsia" w:ascii="宋体" w:hAnsi="宋体" w:cs="宋体"/>
          <w:b/>
          <w:bCs/>
          <w:color w:val="auto"/>
          <w:sz w:val="24"/>
          <w:szCs w:val="24"/>
          <w:highlight w:val="none"/>
          <w:lang w:val="en-US" w:eastAsia="zh-CN"/>
        </w:rPr>
      </w:pPr>
    </w:p>
    <w:p w14:paraId="5BA49F04">
      <w:pPr>
        <w:pStyle w:val="36"/>
        <w:spacing w:line="500" w:lineRule="exact"/>
        <w:rPr>
          <w:rFonts w:hint="eastAsia" w:ascii="宋体" w:hAnsi="宋体" w:cs="宋体"/>
          <w:b/>
          <w:bCs/>
          <w:color w:val="auto"/>
          <w:sz w:val="24"/>
          <w:szCs w:val="24"/>
          <w:highlight w:val="none"/>
          <w:lang w:val="en-US" w:eastAsia="zh-CN"/>
        </w:rPr>
      </w:pPr>
    </w:p>
    <w:p w14:paraId="4498C7E2">
      <w:pPr>
        <w:pStyle w:val="36"/>
        <w:spacing w:line="500" w:lineRule="exact"/>
        <w:rPr>
          <w:rFonts w:hint="eastAsia" w:ascii="宋体" w:hAnsi="宋体" w:cs="宋体"/>
          <w:b/>
          <w:bCs/>
          <w:color w:val="auto"/>
          <w:sz w:val="24"/>
          <w:szCs w:val="24"/>
          <w:highlight w:val="none"/>
          <w:lang w:val="en-US" w:eastAsia="zh-CN"/>
        </w:rPr>
      </w:pPr>
    </w:p>
    <w:p w14:paraId="200E26FC">
      <w:pPr>
        <w:pStyle w:val="36"/>
        <w:spacing w:line="500" w:lineRule="exact"/>
        <w:rPr>
          <w:rFonts w:hint="eastAsia"/>
          <w:color w:val="auto"/>
          <w:lang w:val="en-US" w:eastAsia="zh-CN"/>
        </w:rPr>
      </w:pPr>
      <w:r>
        <w:rPr>
          <w:rFonts w:hint="eastAsia" w:ascii="宋体" w:hAnsi="宋体" w:cs="宋体"/>
          <w:b/>
          <w:bCs/>
          <w:color w:val="auto"/>
          <w:sz w:val="24"/>
          <w:szCs w:val="24"/>
          <w:highlight w:val="none"/>
          <w:lang w:val="en-US" w:eastAsia="zh-CN"/>
        </w:rPr>
        <w:t>高二物理：</w:t>
      </w:r>
    </w:p>
    <w:tbl>
      <w:tblPr>
        <w:tblStyle w:val="27"/>
        <w:tblpPr w:leftFromText="180" w:rightFromText="180" w:vertAnchor="text" w:horzAnchor="page" w:tblpXSpec="center" w:tblpY="477"/>
        <w:tblOverlap w:val="never"/>
        <w:tblW w:w="96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8"/>
        <w:gridCol w:w="2421"/>
        <w:gridCol w:w="2507"/>
        <w:gridCol w:w="1959"/>
        <w:gridCol w:w="1893"/>
      </w:tblGrid>
      <w:tr w14:paraId="658B6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nil"/>
              <w:right w:val="single" w:color="000000" w:sz="4" w:space="0"/>
            </w:tcBorders>
            <w:shd w:val="clear" w:color="auto" w:fill="auto"/>
            <w:noWrap/>
            <w:vAlign w:val="center"/>
          </w:tcPr>
          <w:p w14:paraId="0535E458">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学期/课次</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0CA10">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高二上</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257D6">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高二下</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E1AF">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高三上</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5AC2">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高三下</w:t>
            </w:r>
          </w:p>
        </w:tc>
      </w:tr>
      <w:tr w14:paraId="15F03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EE2E1">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1</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82008">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电场力的性质</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7D35">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磁场专题1：运动类型与洛伦兹力分量式</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3AB6B">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直线运动的两类求解方法</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BF00">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复杂情境的电路分析</w:t>
            </w:r>
          </w:p>
        </w:tc>
      </w:tr>
      <w:tr w14:paraId="599F6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496D0">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2</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547A7">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电场能的性质（1）</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CD225">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磁场专题2：磁聚焦、磁扩散、动态圆</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91735">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牛顿第二定律的综合应用（1）</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31196">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电学创新实验专题</w:t>
            </w:r>
          </w:p>
        </w:tc>
      </w:tr>
      <w:tr w14:paraId="02B20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CB3A6">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3</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C7A32">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电场能的性质（2）</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F787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磁场专题3：带电粒子在组合场中的运动</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948E5">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牛顿第二定律的综合应用（2）</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C086D">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力学创新实验专题</w:t>
            </w:r>
          </w:p>
        </w:tc>
      </w:tr>
      <w:tr w14:paraId="57C38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5C23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4</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F2C81">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静电屏蔽与电容器</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957D9">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磁场专题4：带电粒子在叠加场中的运动</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B7F8D">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牛顿第二定律的综合应用（3）</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3D8DD">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物理中的估算、近似问题</w:t>
            </w:r>
          </w:p>
        </w:tc>
      </w:tr>
      <w:tr w14:paraId="35747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06D05">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5</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FBE31">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带电粒子在电场中的运动（1）</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6BFB8">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电磁感应专题1：感生电动势</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8DB57">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运动的合成分解及平抛斜抛</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F9E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物理中的微元思想</w:t>
            </w:r>
          </w:p>
        </w:tc>
      </w:tr>
      <w:tr w14:paraId="6D6AE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76C32">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6</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D2212">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带电粒子在电场中的运动（2）</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15D40">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电磁感应专题2：单杆问题</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C6981">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圆周运动的综合问题</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7531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物理中最值问题的求解思路</w:t>
            </w:r>
          </w:p>
        </w:tc>
      </w:tr>
      <w:tr w14:paraId="0687D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B4629">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7</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8101">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恒定电路</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17B1">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电磁感应专题3：双杆及线框问题</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7A417">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天体运动的综合问题</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918DF">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物理中的过程拼接与状态跨越</w:t>
            </w:r>
          </w:p>
        </w:tc>
      </w:tr>
      <w:tr w14:paraId="52D06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EF053">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8</w:t>
            </w:r>
          </w:p>
        </w:tc>
        <w:tc>
          <w:tcPr>
            <w:tcW w:w="2421" w:type="dxa"/>
            <w:tcBorders>
              <w:top w:val="nil"/>
              <w:left w:val="nil"/>
              <w:bottom w:val="nil"/>
              <w:right w:val="nil"/>
            </w:tcBorders>
            <w:shd w:val="clear" w:color="auto" w:fill="auto"/>
            <w:noWrap/>
            <w:vAlign w:val="center"/>
          </w:tcPr>
          <w:p w14:paraId="0FFBFAE5">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电路的分析</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D661B">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电磁感应专题4：电磁感应的综合问题</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FEF97">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能量专题（1）</w:t>
            </w:r>
          </w:p>
        </w:tc>
        <w:tc>
          <w:tcPr>
            <w:tcW w:w="1893" w:type="dxa"/>
            <w:tcBorders>
              <w:top w:val="nil"/>
              <w:left w:val="nil"/>
              <w:bottom w:val="nil"/>
              <w:right w:val="nil"/>
            </w:tcBorders>
            <w:shd w:val="clear" w:color="auto" w:fill="auto"/>
            <w:noWrap/>
            <w:vAlign w:val="center"/>
          </w:tcPr>
          <w:p w14:paraId="0419AE3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物理中的类比、猜想</w:t>
            </w:r>
          </w:p>
        </w:tc>
      </w:tr>
      <w:tr w14:paraId="2E04A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AC948">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9</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39D16">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电学实验（1）：改表与电阻的测量</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D468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机械振动与机械波、光学</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2A96C">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能量专题（2）</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883D">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物理中的周期性问题（1）</w:t>
            </w:r>
          </w:p>
        </w:tc>
      </w:tr>
      <w:tr w14:paraId="6A24C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65E43">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10</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46963">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电学实验（2）：万用表与测电源E与r</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4A3CC">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热力学</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B3CC3">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动量专题（1）</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CEE83">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物理中的周期性问题（2）</w:t>
            </w:r>
          </w:p>
        </w:tc>
      </w:tr>
      <w:tr w14:paraId="15171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CC55C">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11</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261DE">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电学实验（3）：电学实验综合问题</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4669">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受力分析专题（1）</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8454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动量专题（2）</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D2824">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物理中的数列问题（1）</w:t>
            </w:r>
          </w:p>
        </w:tc>
      </w:tr>
      <w:tr w14:paraId="584A9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96A01">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12</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557EA">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安培力与洛伦兹力</w:t>
            </w:r>
          </w:p>
        </w:tc>
        <w:tc>
          <w:tcPr>
            <w:tcW w:w="2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623CD">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受力分析专题（2）</w:t>
            </w:r>
          </w:p>
        </w:tc>
        <w:tc>
          <w:tcPr>
            <w:tcW w:w="1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DC2C2">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能量与动量的综合问题</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A0563">
            <w:pPr>
              <w:pStyle w:val="36"/>
              <w:spacing w:line="240" w:lineRule="auto"/>
              <w:ind w:left="0" w:leftChars="0" w:firstLine="0" w:firstLineChars="0"/>
              <w:jc w:val="center"/>
              <w:rPr>
                <w:rFonts w:hint="default"/>
                <w:b/>
                <w:bCs/>
                <w:color w:val="auto"/>
                <w:lang w:val="en-US" w:eastAsia="zh-CN"/>
              </w:rPr>
            </w:pPr>
            <w:r>
              <w:rPr>
                <w:rFonts w:hint="default"/>
                <w:b/>
                <w:bCs/>
                <w:color w:val="auto"/>
                <w:lang w:val="en-US" w:eastAsia="zh-CN"/>
              </w:rPr>
              <w:t>物理中的数列问题（2）</w:t>
            </w:r>
          </w:p>
        </w:tc>
      </w:tr>
    </w:tbl>
    <w:p w14:paraId="6C28844B">
      <w:pPr>
        <w:pStyle w:val="36"/>
        <w:spacing w:line="500" w:lineRule="exact"/>
        <w:ind w:left="0" w:leftChars="0" w:firstLine="0" w:firstLineChars="0"/>
        <w:rPr>
          <w:rFonts w:hint="eastAsia"/>
          <w:color w:val="auto"/>
          <w:lang w:val="en-US" w:eastAsia="zh-CN"/>
        </w:rPr>
      </w:pPr>
    </w:p>
    <w:p w14:paraId="3193CAB5">
      <w:pPr>
        <w:pStyle w:val="36"/>
        <w:spacing w:line="500" w:lineRule="exact"/>
        <w:ind w:left="0" w:leftChars="0" w:firstLine="0" w:firstLineChars="0"/>
        <w:rPr>
          <w:rFonts w:hint="default"/>
          <w:color w:val="auto"/>
          <w:lang w:val="en-US" w:eastAsia="zh-CN"/>
        </w:rPr>
        <w:sectPr>
          <w:footerReference r:id="rId16" w:type="default"/>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p>
    <w:p w14:paraId="3CD5D734">
      <w:pPr>
        <w:pStyle w:val="36"/>
        <w:spacing w:line="500" w:lineRule="exact"/>
        <w:ind w:left="0" w:leftChars="0" w:firstLine="0" w:firstLineChars="0"/>
        <w:outlineLvl w:val="1"/>
        <w:rPr>
          <w:rFonts w:hint="eastAsia"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二标段</w:t>
      </w:r>
      <w:r>
        <w:rPr>
          <w:rFonts w:hint="eastAsia" w:ascii="宋体" w:hAnsi="宋体" w:cs="宋体"/>
          <w:b/>
          <w:color w:val="auto"/>
          <w:kern w:val="0"/>
          <w:sz w:val="24"/>
          <w:szCs w:val="24"/>
          <w:highlight w:val="none"/>
          <w:lang w:val="en-US" w:eastAsia="zh-CN" w:bidi="ar-SA"/>
        </w:rPr>
        <w:t>：</w:t>
      </w:r>
      <w:r>
        <w:rPr>
          <w:rFonts w:hint="default" w:ascii="宋体" w:hAnsi="宋体" w:cs="宋体"/>
          <w:b/>
          <w:color w:val="auto"/>
          <w:kern w:val="0"/>
          <w:sz w:val="24"/>
          <w:szCs w:val="24"/>
          <w:highlight w:val="none"/>
          <w:lang w:val="en-US" w:eastAsia="zh-CN" w:bidi="ar-SA"/>
        </w:rPr>
        <w:t>小初高贯通数学竞赛培训课程</w:t>
      </w:r>
      <w:r>
        <w:rPr>
          <w:rFonts w:hint="eastAsia" w:ascii="宋体" w:hAnsi="宋体" w:cs="宋体"/>
          <w:b/>
          <w:color w:val="auto"/>
          <w:kern w:val="0"/>
          <w:sz w:val="24"/>
          <w:szCs w:val="24"/>
          <w:highlight w:val="none"/>
          <w:lang w:val="en-US" w:eastAsia="zh-CN" w:bidi="ar-SA"/>
        </w:rPr>
        <w:t xml:space="preserve">   </w:t>
      </w:r>
      <w:r>
        <w:rPr>
          <w:rFonts w:hint="default" w:ascii="宋体" w:hAnsi="宋体" w:cs="宋体"/>
          <w:b/>
          <w:color w:val="auto"/>
          <w:kern w:val="0"/>
          <w:sz w:val="24"/>
          <w:szCs w:val="24"/>
          <w:highlight w:val="none"/>
          <w:lang w:val="en-US" w:eastAsia="zh-CN" w:bidi="ar-SA"/>
        </w:rPr>
        <w:t>小学五年级</w:t>
      </w:r>
      <w:r>
        <w:rPr>
          <w:rFonts w:hint="eastAsia" w:ascii="宋体" w:hAnsi="宋体" w:cs="宋体"/>
          <w:b/>
          <w:color w:val="auto"/>
          <w:kern w:val="0"/>
          <w:sz w:val="24"/>
          <w:szCs w:val="24"/>
          <w:highlight w:val="none"/>
          <w:lang w:val="en-US" w:eastAsia="zh-CN" w:bidi="ar-SA"/>
        </w:rPr>
        <w:t>：</w:t>
      </w:r>
    </w:p>
    <w:tbl>
      <w:tblPr>
        <w:tblStyle w:val="27"/>
        <w:tblW w:w="14731" w:type="dxa"/>
        <w:tblInd w:w="-1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5"/>
        <w:gridCol w:w="1968"/>
        <w:gridCol w:w="2242"/>
        <w:gridCol w:w="2585"/>
        <w:gridCol w:w="2449"/>
        <w:gridCol w:w="2380"/>
        <w:gridCol w:w="2242"/>
      </w:tblGrid>
      <w:tr w14:paraId="5C42D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865" w:type="dxa"/>
            <w:vMerge w:val="restart"/>
            <w:tcBorders>
              <w:top w:val="single" w:color="000000" w:sz="4" w:space="0"/>
              <w:left w:val="single" w:color="000000" w:sz="4" w:space="0"/>
              <w:right w:val="single" w:color="000000" w:sz="4" w:space="0"/>
            </w:tcBorders>
            <w:shd w:val="clear" w:color="auto" w:fill="auto"/>
            <w:vAlign w:val="center"/>
          </w:tcPr>
          <w:p w14:paraId="791E37C1">
            <w:pPr>
              <w:pStyle w:val="36"/>
              <w:spacing w:line="240" w:lineRule="auto"/>
              <w:ind w:left="0" w:leftChars="0" w:firstLine="0" w:firstLineChars="0"/>
              <w:jc w:val="both"/>
              <w:rPr>
                <w:rFonts w:hint="default" w:ascii="宋体" w:hAnsi="宋体" w:cs="宋体"/>
                <w:b/>
                <w:color w:val="auto"/>
                <w:kern w:val="0"/>
                <w:sz w:val="22"/>
                <w:szCs w:val="22"/>
                <w:highlight w:val="none"/>
                <w:lang w:val="en-US" w:eastAsia="zh-CN" w:bidi="ar-SA"/>
              </w:rPr>
            </w:pPr>
            <w:r>
              <w:rPr>
                <w:rFonts w:hint="eastAsia" w:ascii="宋体" w:hAnsi="宋体" w:cs="宋体"/>
                <w:b/>
                <w:color w:val="auto"/>
                <w:kern w:val="0"/>
                <w:sz w:val="22"/>
                <w:szCs w:val="22"/>
                <w:highlight w:val="none"/>
                <w:lang w:val="en-US" w:eastAsia="zh-CN" w:bidi="ar-SA"/>
              </w:rPr>
              <w:t>学期/课次</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29FD1">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eastAsia" w:ascii="宋体" w:hAnsi="宋体" w:cs="宋体"/>
                <w:b/>
                <w:color w:val="auto"/>
                <w:kern w:val="0"/>
                <w:sz w:val="22"/>
                <w:szCs w:val="22"/>
                <w:highlight w:val="none"/>
                <w:lang w:val="en-US" w:eastAsia="zh-CN" w:bidi="ar-SA"/>
              </w:rPr>
              <w:t>五年级下</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5F4C3">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eastAsia" w:ascii="宋体" w:hAnsi="宋体" w:cs="宋体"/>
                <w:b/>
                <w:color w:val="auto"/>
                <w:kern w:val="0"/>
                <w:sz w:val="22"/>
                <w:szCs w:val="22"/>
                <w:highlight w:val="none"/>
                <w:lang w:val="en-US" w:eastAsia="zh-CN" w:bidi="ar-SA"/>
              </w:rPr>
              <w:t>六年级上</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1D298">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eastAsia" w:ascii="宋体" w:hAnsi="宋体" w:cs="宋体"/>
                <w:b/>
                <w:color w:val="auto"/>
                <w:kern w:val="0"/>
                <w:sz w:val="22"/>
                <w:szCs w:val="22"/>
                <w:highlight w:val="none"/>
                <w:lang w:val="en-US" w:eastAsia="zh-CN" w:bidi="ar-SA"/>
              </w:rPr>
              <w:t>六年级下</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0A980">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eastAsia" w:ascii="宋体" w:hAnsi="宋体" w:cs="宋体"/>
                <w:b/>
                <w:color w:val="auto"/>
                <w:kern w:val="0"/>
                <w:sz w:val="22"/>
                <w:szCs w:val="22"/>
                <w:highlight w:val="none"/>
                <w:lang w:val="en-US" w:eastAsia="zh-CN" w:bidi="ar-SA"/>
              </w:rPr>
              <w:t>初一上</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CE55D">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eastAsia" w:ascii="宋体" w:hAnsi="宋体" w:cs="宋体"/>
                <w:b/>
                <w:color w:val="auto"/>
                <w:kern w:val="0"/>
                <w:sz w:val="22"/>
                <w:szCs w:val="22"/>
                <w:highlight w:val="none"/>
                <w:lang w:val="en-US" w:eastAsia="zh-CN" w:bidi="ar-SA"/>
              </w:rPr>
              <w:t>初一下</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0E334">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eastAsia" w:ascii="宋体" w:hAnsi="宋体" w:cs="宋体"/>
                <w:b/>
                <w:color w:val="auto"/>
                <w:kern w:val="0"/>
                <w:sz w:val="22"/>
                <w:szCs w:val="22"/>
                <w:highlight w:val="none"/>
                <w:lang w:val="en-US" w:eastAsia="zh-CN" w:bidi="ar-SA"/>
              </w:rPr>
              <w:t>初二上</w:t>
            </w:r>
          </w:p>
        </w:tc>
      </w:tr>
      <w:tr w14:paraId="2780B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vMerge w:val="continue"/>
            <w:tcBorders>
              <w:left w:val="single" w:color="000000" w:sz="4" w:space="0"/>
              <w:bottom w:val="single" w:color="000000" w:sz="4" w:space="0"/>
              <w:right w:val="single" w:color="000000" w:sz="4" w:space="0"/>
            </w:tcBorders>
            <w:shd w:val="clear" w:color="auto" w:fill="auto"/>
            <w:noWrap/>
            <w:vAlign w:val="center"/>
          </w:tcPr>
          <w:p w14:paraId="1CF3C3CD">
            <w:pPr>
              <w:pStyle w:val="36"/>
              <w:spacing w:line="240" w:lineRule="auto"/>
              <w:ind w:firstLine="480"/>
              <w:rPr>
                <w:rFonts w:hint="default" w:ascii="宋体" w:hAnsi="宋体" w:cs="宋体"/>
                <w:b/>
                <w:color w:val="auto"/>
                <w:kern w:val="0"/>
                <w:sz w:val="22"/>
                <w:szCs w:val="22"/>
                <w:highlight w:val="none"/>
                <w:lang w:val="en-US" w:eastAsia="zh-CN" w:bidi="ar-SA"/>
              </w:rPr>
            </w:pPr>
          </w:p>
        </w:tc>
        <w:tc>
          <w:tcPr>
            <w:tcW w:w="42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AE1DB">
            <w:pPr>
              <w:pStyle w:val="36"/>
              <w:spacing w:line="240" w:lineRule="auto"/>
              <w:ind w:firstLine="480"/>
              <w:jc w:val="center"/>
              <w:rPr>
                <w:rFonts w:hint="default" w:ascii="宋体" w:hAnsi="宋体" w:cs="宋体"/>
                <w:b/>
                <w:color w:val="auto"/>
                <w:kern w:val="0"/>
                <w:sz w:val="22"/>
                <w:szCs w:val="22"/>
                <w:highlight w:val="none"/>
                <w:lang w:val="en-US" w:eastAsia="zh-CN" w:bidi="ar-SA"/>
              </w:rPr>
            </w:pPr>
            <w:r>
              <w:rPr>
                <w:rFonts w:hint="eastAsia" w:ascii="宋体" w:hAnsi="宋体" w:cs="宋体"/>
                <w:b/>
                <w:color w:val="auto"/>
                <w:kern w:val="0"/>
                <w:sz w:val="22"/>
                <w:szCs w:val="22"/>
                <w:highlight w:val="none"/>
                <w:lang w:val="en-US" w:eastAsia="zh-CN" w:bidi="ar-SA"/>
              </w:rPr>
              <w:t>小学板块</w:t>
            </w:r>
          </w:p>
        </w:tc>
        <w:tc>
          <w:tcPr>
            <w:tcW w:w="50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23416">
            <w:pPr>
              <w:pStyle w:val="36"/>
              <w:spacing w:line="240" w:lineRule="auto"/>
              <w:ind w:firstLine="480"/>
              <w:jc w:val="center"/>
              <w:rPr>
                <w:rFonts w:hint="default" w:ascii="宋体" w:hAnsi="宋体" w:cs="宋体"/>
                <w:b/>
                <w:color w:val="auto"/>
                <w:kern w:val="0"/>
                <w:sz w:val="22"/>
                <w:szCs w:val="22"/>
                <w:highlight w:val="none"/>
                <w:lang w:val="en-US" w:eastAsia="zh-CN" w:bidi="ar-SA"/>
              </w:rPr>
            </w:pPr>
            <w:r>
              <w:rPr>
                <w:rFonts w:hint="eastAsia" w:ascii="宋体" w:hAnsi="宋体" w:cs="宋体"/>
                <w:b/>
                <w:color w:val="auto"/>
                <w:kern w:val="0"/>
                <w:sz w:val="22"/>
                <w:szCs w:val="22"/>
                <w:highlight w:val="none"/>
                <w:lang w:val="en-US" w:eastAsia="zh-CN" w:bidi="ar-SA"/>
              </w:rPr>
              <w:t>初中板块</w:t>
            </w:r>
          </w:p>
        </w:tc>
        <w:tc>
          <w:tcPr>
            <w:tcW w:w="4622" w:type="dxa"/>
            <w:gridSpan w:val="2"/>
            <w:tcBorders>
              <w:top w:val="single" w:color="000000" w:sz="4" w:space="0"/>
              <w:left w:val="nil"/>
              <w:bottom w:val="single" w:color="000000" w:sz="4" w:space="0"/>
              <w:right w:val="single" w:color="000000" w:sz="4" w:space="0"/>
            </w:tcBorders>
            <w:shd w:val="clear" w:color="auto" w:fill="auto"/>
            <w:noWrap/>
            <w:vAlign w:val="center"/>
          </w:tcPr>
          <w:p w14:paraId="232C62FB">
            <w:pPr>
              <w:pStyle w:val="36"/>
              <w:spacing w:line="240" w:lineRule="auto"/>
              <w:ind w:firstLine="480"/>
              <w:jc w:val="center"/>
              <w:rPr>
                <w:rFonts w:hint="default" w:ascii="宋体" w:hAnsi="宋体" w:cs="宋体"/>
                <w:b/>
                <w:color w:val="auto"/>
                <w:kern w:val="0"/>
                <w:sz w:val="22"/>
                <w:szCs w:val="22"/>
                <w:highlight w:val="none"/>
                <w:lang w:val="en-US" w:eastAsia="zh-CN" w:bidi="ar-SA"/>
              </w:rPr>
            </w:pPr>
            <w:r>
              <w:rPr>
                <w:rFonts w:hint="eastAsia" w:ascii="宋体" w:hAnsi="宋体" w:cs="宋体"/>
                <w:b/>
                <w:color w:val="auto"/>
                <w:kern w:val="0"/>
                <w:sz w:val="22"/>
                <w:szCs w:val="22"/>
                <w:highlight w:val="none"/>
                <w:lang w:val="en-US" w:eastAsia="zh-CN" w:bidi="ar-SA"/>
              </w:rPr>
              <w:t>高中板块</w:t>
            </w:r>
          </w:p>
        </w:tc>
      </w:tr>
      <w:tr w14:paraId="5DEE3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42C3D">
            <w:pPr>
              <w:pStyle w:val="36"/>
              <w:spacing w:line="240" w:lineRule="auto"/>
              <w:ind w:left="0" w:leftChars="0"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1</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F59F1">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小数巧算综合</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70731">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特殊长方体的表面积</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ACF48">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方程及方程的解</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C26EF">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三角形初步</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F006F">
            <w:pPr>
              <w:pStyle w:val="36"/>
              <w:spacing w:line="240" w:lineRule="auto"/>
              <w:ind w:firstLine="48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集合</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20360">
            <w:pPr>
              <w:pStyle w:val="36"/>
              <w:spacing w:line="240" w:lineRule="auto"/>
              <w:ind w:firstLine="48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直线方程</w:t>
            </w:r>
          </w:p>
        </w:tc>
      </w:tr>
      <w:tr w14:paraId="698D9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E0C21">
            <w:pPr>
              <w:pStyle w:val="36"/>
              <w:spacing w:line="240" w:lineRule="auto"/>
              <w:ind w:left="0" w:leftChars="0"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2</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D96DD">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质数与合数、分解质因数</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51515">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特殊长方体的体积、浸没问题</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C16AD">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一元一次方程及一元一次方程的解</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830F">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全等三角形性质及判定</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7D8F8">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函数初步</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44D68">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圆方程及位置关系</w:t>
            </w:r>
          </w:p>
        </w:tc>
      </w:tr>
      <w:tr w14:paraId="73946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8D45">
            <w:pPr>
              <w:pStyle w:val="36"/>
              <w:spacing w:line="240" w:lineRule="auto"/>
              <w:ind w:left="0" w:leftChars="0"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3</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F379B">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割补法、格点法</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A265A">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余同缺同</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44604">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二元一次方程及多元一次方程（组）</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71FC9">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角平分线定理及垂直平分线定理</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EA0D">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函数性质（一）</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53C5">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直线、圆方程综合运用</w:t>
            </w:r>
          </w:p>
        </w:tc>
      </w:tr>
      <w:tr w14:paraId="030D1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2ACFE">
            <w:pPr>
              <w:pStyle w:val="36"/>
              <w:spacing w:line="240" w:lineRule="auto"/>
              <w:ind w:left="0" w:leftChars="0"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4</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9BD02">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流水行船问题</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1FA2D">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分数巧算</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53E43">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多元方程组的解及不定方程</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D0B98">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全等三角形综合能力提升</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1058">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函数性质（二）</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E2740">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椭圆初步</w:t>
            </w:r>
          </w:p>
        </w:tc>
      </w:tr>
      <w:tr w14:paraId="09B52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69B8A">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5</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51A8C">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位值原理</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A8797">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量率对应</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D25B8">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一次方程问题实际应用</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AE9F0">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函数定义</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6BE0C">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指数、对数函数</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3F0D3">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椭圆方程的位置关系</w:t>
            </w:r>
          </w:p>
        </w:tc>
      </w:tr>
      <w:tr w14:paraId="32EA2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31EDA">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6</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F575D">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图形中的比例关系和计算</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5EC00">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不统一的单位一</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29CA6">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不等式及不等式的解</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9B5D">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一次函数及图像</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40744">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幂函数及函数图像变化</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868A8">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双曲线初步</w:t>
            </w:r>
          </w:p>
        </w:tc>
      </w:tr>
      <w:tr w14:paraId="7425D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99664">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7</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766BE">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乘法原理进阶</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B83CA">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比</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40D69">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一元一次不等式</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8102C">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二次函数及图像</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B4266">
            <w:pPr>
              <w:pStyle w:val="36"/>
              <w:spacing w:line="240" w:lineRule="auto"/>
              <w:ind w:firstLine="48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函数与方程问题</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4936F">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双曲线方程的位置关系</w:t>
            </w:r>
          </w:p>
        </w:tc>
      </w:tr>
      <w:tr w14:paraId="7F223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9582A">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8</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94C74">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公因数与公倍数进阶</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2F73">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圆与扇形</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95FAA">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平面几何初步</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001C7">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反比例函数及图像</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7A3E6">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函数综合能力提升</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AA27C">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抛物线初步</w:t>
            </w:r>
          </w:p>
        </w:tc>
      </w:tr>
      <w:tr w14:paraId="73D3A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E8EBA">
            <w:pPr>
              <w:pStyle w:val="36"/>
              <w:spacing w:line="240" w:lineRule="auto"/>
              <w:ind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9</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79E8B">
            <w:pPr>
              <w:pStyle w:val="36"/>
              <w:spacing w:line="240" w:lineRule="auto"/>
              <w:ind w:firstLine="480"/>
              <w:jc w:val="center"/>
              <w:rPr>
                <w:rFonts w:hint="default" w:ascii="宋体" w:hAnsi="宋体" w:cs="宋体"/>
                <w:b/>
                <w:color w:val="auto"/>
                <w:kern w:val="0"/>
                <w:sz w:val="21"/>
                <w:szCs w:val="21"/>
                <w:highlight w:val="none"/>
                <w:lang w:val="en-US" w:eastAsia="zh-CN" w:bidi="ar-SA"/>
              </w:rPr>
            </w:pP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A8CFC">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等高模型风筝模型</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F804A">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三线八角及其应用</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8B969">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函数综合能力提升（一）</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8F59D">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三角函数定义及基本等量关系</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DE908">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抛物线方程的位置关系</w:t>
            </w:r>
          </w:p>
        </w:tc>
      </w:tr>
      <w:tr w14:paraId="1A836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95C2C">
            <w:pPr>
              <w:pStyle w:val="36"/>
              <w:spacing w:line="240" w:lineRule="auto"/>
              <w:ind w:left="0" w:leftChars="0"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10</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F0221">
            <w:pPr>
              <w:pStyle w:val="36"/>
              <w:spacing w:line="240" w:lineRule="auto"/>
              <w:ind w:firstLine="480"/>
              <w:jc w:val="center"/>
              <w:rPr>
                <w:rFonts w:hint="default" w:ascii="宋体" w:hAnsi="宋体" w:cs="宋体"/>
                <w:b/>
                <w:color w:val="auto"/>
                <w:kern w:val="0"/>
                <w:sz w:val="21"/>
                <w:szCs w:val="21"/>
                <w:highlight w:val="none"/>
                <w:lang w:val="en-US" w:eastAsia="zh-CN" w:bidi="ar-SA"/>
              </w:rPr>
            </w:pP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F42FC">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鸟头模型</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FB0EB">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平行线综合运用（一）</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A24B5">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函数综合能力提升（二）</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74E9F">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正弦函数、余弦函数图像及变换</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2D3D6">
            <w:pPr>
              <w:pStyle w:val="36"/>
              <w:spacing w:line="240" w:lineRule="auto"/>
              <w:ind w:firstLine="48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线性规划</w:t>
            </w:r>
          </w:p>
        </w:tc>
      </w:tr>
      <w:tr w14:paraId="647B7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FF500">
            <w:pPr>
              <w:pStyle w:val="36"/>
              <w:spacing w:line="240" w:lineRule="auto"/>
              <w:ind w:left="0" w:leftChars="0"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11</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90600">
            <w:pPr>
              <w:pStyle w:val="36"/>
              <w:spacing w:line="240" w:lineRule="auto"/>
              <w:ind w:firstLine="480"/>
              <w:jc w:val="center"/>
              <w:rPr>
                <w:rFonts w:hint="default" w:ascii="宋体" w:hAnsi="宋体" w:cs="宋体"/>
                <w:b/>
                <w:color w:val="auto"/>
                <w:kern w:val="0"/>
                <w:sz w:val="21"/>
                <w:szCs w:val="21"/>
                <w:highlight w:val="none"/>
                <w:lang w:val="en-US" w:eastAsia="zh-CN" w:bidi="ar-SA"/>
              </w:rPr>
            </w:pP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8546C">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不统一的不变量</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6F584">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平行线综合运用（二）</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0013A">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二次不等式</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61B9E">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三角函数很等变换及应用（一）</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71C0F">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解析几何综合能力提升（一）</w:t>
            </w:r>
          </w:p>
        </w:tc>
      </w:tr>
      <w:tr w14:paraId="16D8E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2F20E">
            <w:pPr>
              <w:pStyle w:val="36"/>
              <w:spacing w:line="240" w:lineRule="auto"/>
              <w:ind w:left="0" w:leftChars="0" w:firstLine="0" w:firstLineChars="0"/>
              <w:jc w:val="center"/>
              <w:rPr>
                <w:rFonts w:hint="default" w:ascii="宋体" w:hAnsi="宋体" w:cs="宋体"/>
                <w:b/>
                <w:color w:val="auto"/>
                <w:kern w:val="0"/>
                <w:sz w:val="22"/>
                <w:szCs w:val="22"/>
                <w:highlight w:val="none"/>
                <w:lang w:val="en-US" w:eastAsia="zh-CN" w:bidi="ar-SA"/>
              </w:rPr>
            </w:pPr>
            <w:r>
              <w:rPr>
                <w:rFonts w:hint="default" w:ascii="宋体" w:hAnsi="宋体" w:cs="宋体"/>
                <w:b/>
                <w:color w:val="auto"/>
                <w:kern w:val="0"/>
                <w:sz w:val="22"/>
                <w:szCs w:val="22"/>
                <w:highlight w:val="none"/>
                <w:lang w:val="en-US" w:eastAsia="zh-CN" w:bidi="ar-SA"/>
              </w:rPr>
              <w:t>12</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64DC5">
            <w:pPr>
              <w:pStyle w:val="36"/>
              <w:spacing w:line="240" w:lineRule="auto"/>
              <w:ind w:firstLine="480"/>
              <w:jc w:val="center"/>
              <w:rPr>
                <w:rFonts w:hint="default" w:ascii="宋体" w:hAnsi="宋体" w:cs="宋体"/>
                <w:b/>
                <w:color w:val="auto"/>
                <w:kern w:val="0"/>
                <w:sz w:val="21"/>
                <w:szCs w:val="21"/>
                <w:highlight w:val="none"/>
                <w:lang w:val="en-US" w:eastAsia="zh-CN" w:bidi="ar-SA"/>
              </w:rPr>
            </w:pP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3A8D">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设数法解应用题</w:t>
            </w:r>
          </w:p>
        </w:tc>
        <w:tc>
          <w:tcPr>
            <w:tcW w:w="2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6D76E">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平面直角坐标系</w:t>
            </w:r>
          </w:p>
        </w:tc>
        <w:tc>
          <w:tcPr>
            <w:tcW w:w="2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C7D3">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二次方程根的分布问题</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B0165">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三角函数很等变换及应用（二）</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09098">
            <w:pPr>
              <w:pStyle w:val="36"/>
              <w:spacing w:line="240" w:lineRule="auto"/>
              <w:ind w:left="0" w:leftChars="0" w:firstLine="0" w:firstLineChars="0"/>
              <w:jc w:val="center"/>
              <w:rPr>
                <w:rFonts w:hint="default" w:ascii="宋体" w:hAnsi="宋体" w:cs="宋体"/>
                <w:b/>
                <w:color w:val="auto"/>
                <w:kern w:val="0"/>
                <w:sz w:val="21"/>
                <w:szCs w:val="21"/>
                <w:highlight w:val="none"/>
                <w:lang w:val="en-US" w:eastAsia="zh-CN" w:bidi="ar-SA"/>
              </w:rPr>
            </w:pPr>
            <w:r>
              <w:rPr>
                <w:rFonts w:hint="default" w:ascii="宋体" w:hAnsi="宋体" w:cs="宋体"/>
                <w:b/>
                <w:color w:val="auto"/>
                <w:kern w:val="0"/>
                <w:sz w:val="21"/>
                <w:szCs w:val="21"/>
                <w:highlight w:val="none"/>
                <w:lang w:val="en-US" w:eastAsia="zh-CN" w:bidi="ar-SA"/>
              </w:rPr>
              <w:t>解析几何综合能力提升（二）</w:t>
            </w:r>
          </w:p>
        </w:tc>
      </w:tr>
    </w:tbl>
    <w:p w14:paraId="2A4AC8B2">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br w:type="page"/>
      </w:r>
    </w:p>
    <w:p w14:paraId="64828517">
      <w:pPr>
        <w:pStyle w:val="36"/>
        <w:spacing w:line="500" w:lineRule="exact"/>
        <w:ind w:firstLine="480"/>
        <w:rPr>
          <w:rFonts w:hint="eastAsia" w:ascii="宋体" w:hAnsi="宋体" w:cs="宋体"/>
          <w:b/>
          <w:color w:val="auto"/>
          <w:kern w:val="0"/>
          <w:sz w:val="24"/>
          <w:szCs w:val="24"/>
          <w:highlight w:val="none"/>
          <w:lang w:val="en-US" w:eastAsia="zh-CN" w:bidi="ar-SA"/>
        </w:rPr>
      </w:pPr>
      <w:r>
        <w:rPr>
          <w:rFonts w:hint="eastAsia" w:ascii="宋体" w:hAnsi="宋体" w:cs="宋体"/>
          <w:b/>
          <w:color w:val="auto"/>
          <w:kern w:val="0"/>
          <w:sz w:val="24"/>
          <w:szCs w:val="24"/>
          <w:highlight w:val="none"/>
          <w:lang w:val="en-US" w:eastAsia="zh-CN" w:bidi="ar-SA"/>
        </w:rPr>
        <w:t>小学六年级：</w:t>
      </w:r>
    </w:p>
    <w:tbl>
      <w:tblPr>
        <w:tblStyle w:val="27"/>
        <w:tblW w:w="14668"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6"/>
        <w:gridCol w:w="2760"/>
        <w:gridCol w:w="2422"/>
        <w:gridCol w:w="2147"/>
        <w:gridCol w:w="2147"/>
        <w:gridCol w:w="2009"/>
        <w:gridCol w:w="2147"/>
      </w:tblGrid>
      <w:tr w14:paraId="1239B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1036" w:type="dxa"/>
            <w:vMerge w:val="restart"/>
            <w:tcBorders>
              <w:top w:val="single" w:color="000000" w:sz="4" w:space="0"/>
              <w:left w:val="single" w:color="000000" w:sz="4" w:space="0"/>
              <w:right w:val="single" w:color="000000" w:sz="4" w:space="0"/>
            </w:tcBorders>
            <w:shd w:val="clear" w:color="auto" w:fill="auto"/>
            <w:noWrap/>
            <w:vAlign w:val="center"/>
          </w:tcPr>
          <w:p w14:paraId="30E7534B">
            <w:pPr>
              <w:keepNext w:val="0"/>
              <w:keepLines w:val="0"/>
              <w:widowControl/>
              <w:suppressLineNumbers w:val="0"/>
              <w:jc w:val="center"/>
              <w:textAlignment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i w:val="0"/>
                <w:iCs w:val="0"/>
                <w:color w:val="auto"/>
                <w:kern w:val="0"/>
                <w:sz w:val="24"/>
                <w:szCs w:val="24"/>
                <w:u w:val="none"/>
                <w:lang w:val="en-US" w:eastAsia="zh-CN" w:bidi="ar"/>
              </w:rPr>
              <w:t>学期/课次</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8C5C6">
            <w:pPr>
              <w:keepNext w:val="0"/>
              <w:keepLines w:val="0"/>
              <w:widowControl/>
              <w:suppressLineNumbers w:val="0"/>
              <w:jc w:val="center"/>
              <w:textAlignment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i w:val="0"/>
                <w:iCs w:val="0"/>
                <w:color w:val="auto"/>
                <w:kern w:val="0"/>
                <w:sz w:val="24"/>
                <w:szCs w:val="24"/>
                <w:u w:val="none"/>
                <w:lang w:val="en-US" w:eastAsia="zh-CN" w:bidi="ar"/>
              </w:rPr>
              <w:t>六年级下</w:t>
            </w: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DD289">
            <w:pPr>
              <w:keepNext w:val="0"/>
              <w:keepLines w:val="0"/>
              <w:widowControl/>
              <w:suppressLineNumbers w:val="0"/>
              <w:jc w:val="center"/>
              <w:textAlignment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i w:val="0"/>
                <w:iCs w:val="0"/>
                <w:color w:val="auto"/>
                <w:kern w:val="0"/>
                <w:sz w:val="24"/>
                <w:szCs w:val="24"/>
                <w:u w:val="none"/>
                <w:lang w:val="en-US" w:eastAsia="zh-CN" w:bidi="ar"/>
              </w:rPr>
              <w:t>初一上</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3FAB4">
            <w:pPr>
              <w:keepNext w:val="0"/>
              <w:keepLines w:val="0"/>
              <w:widowControl/>
              <w:suppressLineNumbers w:val="0"/>
              <w:jc w:val="center"/>
              <w:textAlignment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i w:val="0"/>
                <w:iCs w:val="0"/>
                <w:color w:val="auto"/>
                <w:kern w:val="0"/>
                <w:sz w:val="24"/>
                <w:szCs w:val="24"/>
                <w:u w:val="none"/>
                <w:lang w:val="en-US" w:eastAsia="zh-CN" w:bidi="ar"/>
              </w:rPr>
              <w:t>初一下</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53304">
            <w:pPr>
              <w:keepNext w:val="0"/>
              <w:keepLines w:val="0"/>
              <w:widowControl/>
              <w:suppressLineNumbers w:val="0"/>
              <w:jc w:val="center"/>
              <w:textAlignment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i w:val="0"/>
                <w:iCs w:val="0"/>
                <w:color w:val="auto"/>
                <w:kern w:val="0"/>
                <w:sz w:val="24"/>
                <w:szCs w:val="24"/>
                <w:u w:val="none"/>
                <w:lang w:val="en-US" w:eastAsia="zh-CN" w:bidi="ar"/>
              </w:rPr>
              <w:t>初二上</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21A12">
            <w:pPr>
              <w:keepNext w:val="0"/>
              <w:keepLines w:val="0"/>
              <w:widowControl/>
              <w:suppressLineNumbers w:val="0"/>
              <w:jc w:val="center"/>
              <w:textAlignment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i w:val="0"/>
                <w:iCs w:val="0"/>
                <w:color w:val="auto"/>
                <w:kern w:val="0"/>
                <w:sz w:val="24"/>
                <w:szCs w:val="24"/>
                <w:u w:val="none"/>
                <w:lang w:val="en-US" w:eastAsia="zh-CN" w:bidi="ar"/>
              </w:rPr>
              <w:t>初二下</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7FAFD">
            <w:pPr>
              <w:keepNext w:val="0"/>
              <w:keepLines w:val="0"/>
              <w:widowControl/>
              <w:suppressLineNumbers w:val="0"/>
              <w:jc w:val="center"/>
              <w:textAlignment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i w:val="0"/>
                <w:iCs w:val="0"/>
                <w:color w:val="auto"/>
                <w:kern w:val="0"/>
                <w:sz w:val="24"/>
                <w:szCs w:val="24"/>
                <w:u w:val="none"/>
                <w:lang w:val="en-US" w:eastAsia="zh-CN" w:bidi="ar"/>
              </w:rPr>
              <w:t>初三上</w:t>
            </w:r>
          </w:p>
        </w:tc>
      </w:tr>
      <w:tr w14:paraId="0B5B6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vMerge w:val="continue"/>
            <w:tcBorders>
              <w:left w:val="single" w:color="000000" w:sz="4" w:space="0"/>
              <w:bottom w:val="single" w:color="000000" w:sz="4" w:space="0"/>
              <w:right w:val="single" w:color="000000" w:sz="4" w:space="0"/>
            </w:tcBorders>
            <w:shd w:val="clear" w:color="auto" w:fill="auto"/>
            <w:noWrap/>
            <w:vAlign w:val="center"/>
          </w:tcPr>
          <w:p w14:paraId="64A38558">
            <w:pPr>
              <w:pStyle w:val="36"/>
              <w:spacing w:line="240" w:lineRule="auto"/>
              <w:ind w:firstLine="480"/>
              <w:jc w:val="center"/>
              <w:rPr>
                <w:rFonts w:hint="eastAsia" w:ascii="宋体" w:hAnsi="宋体" w:eastAsia="宋体" w:cs="宋体"/>
                <w:b/>
                <w:bCs/>
                <w:color w:val="auto"/>
                <w:kern w:val="0"/>
                <w:sz w:val="24"/>
                <w:szCs w:val="24"/>
                <w:highlight w:val="none"/>
                <w:lang w:val="en-US" w:eastAsia="zh-CN" w:bidi="ar-SA"/>
              </w:rPr>
            </w:pP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A2FFA">
            <w:pPr>
              <w:pStyle w:val="36"/>
              <w:spacing w:line="240" w:lineRule="auto"/>
              <w:ind w:firstLine="48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小学板块</w:t>
            </w:r>
          </w:p>
        </w:tc>
        <w:tc>
          <w:tcPr>
            <w:tcW w:w="456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D6EF">
            <w:pPr>
              <w:pStyle w:val="36"/>
              <w:spacing w:line="240" w:lineRule="auto"/>
              <w:ind w:firstLine="48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初中板块</w:t>
            </w:r>
          </w:p>
        </w:tc>
        <w:tc>
          <w:tcPr>
            <w:tcW w:w="630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DC605">
            <w:pPr>
              <w:pStyle w:val="36"/>
              <w:spacing w:line="240" w:lineRule="auto"/>
              <w:ind w:firstLine="48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高中板块</w:t>
            </w:r>
          </w:p>
        </w:tc>
      </w:tr>
      <w:tr w14:paraId="3B051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B1AE4">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83306">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计算综合能力训练</w:t>
            </w: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2F422">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方程及方程的解</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DB198">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三角形初步</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BD92A">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集合</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89E06">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直线方程</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3C7C1">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数列定义、等差数列、等比数列</w:t>
            </w:r>
          </w:p>
        </w:tc>
      </w:tr>
      <w:tr w14:paraId="326D9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6BD1B">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297B2">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比例、复合比的计算</w:t>
            </w: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B435E">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一元一次方程及一元一次方程的解</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DB624">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全等三角形性质及判定</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0C306">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函数初步</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C309C">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圆方程及位置关系</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DB179">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数列前N项和</w:t>
            </w:r>
          </w:p>
        </w:tc>
      </w:tr>
      <w:tr w14:paraId="5C861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EA1F">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F3FD4">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正反比例、齿轮问题、比例法解决工程、行程问题</w:t>
            </w: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87355">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二元一次方程及多元一次方程（组）</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1255">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角平分线定理及垂直平分线定理</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C6F27">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函数性质（一）</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DD8CD">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直线、圆方程综合运用</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CA8AD">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数列递推关系下的通项求解</w:t>
            </w:r>
          </w:p>
        </w:tc>
      </w:tr>
      <w:tr w14:paraId="0C659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451C9">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79B24">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等高模型、沙漏模型</w:t>
            </w: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57E1A">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多元方程组的解及不定方程</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B0E2C">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全等三角形综合能力提升</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2F738">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函数性质（二）</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E24E3">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椭圆初步</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59816">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数列综合能力提升（一）</w:t>
            </w:r>
          </w:p>
        </w:tc>
      </w:tr>
      <w:tr w14:paraId="773C3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BD786">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5</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B8C86">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复杂的立体几何问题、容器问题、水中置物问题</w:t>
            </w:r>
          </w:p>
        </w:tc>
        <w:tc>
          <w:tcPr>
            <w:tcW w:w="2422" w:type="dxa"/>
            <w:tcBorders>
              <w:top w:val="nil"/>
              <w:left w:val="nil"/>
              <w:bottom w:val="nil"/>
              <w:right w:val="nil"/>
            </w:tcBorders>
            <w:shd w:val="clear" w:color="auto" w:fill="auto"/>
            <w:noWrap/>
            <w:vAlign w:val="center"/>
          </w:tcPr>
          <w:p w14:paraId="6F150FAD">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一次方程问题实际应用</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CEAFC">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函数定义</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45997">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指数、对数函数</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459CE">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椭圆方程的位置关系</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93051">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数列综合能力提升（二）</w:t>
            </w:r>
          </w:p>
        </w:tc>
      </w:tr>
      <w:tr w14:paraId="5C41F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89881">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6</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82E50">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水管问题、牛吃草问题</w:t>
            </w: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8C82">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不等式及不等式的解</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17022">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一次函数及图像</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63560">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幂函数及函数图像变化</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B1E8D">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双曲线初步</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47B8">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计数原理初步—分类、分步计数</w:t>
            </w:r>
          </w:p>
        </w:tc>
      </w:tr>
      <w:tr w14:paraId="503AC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BE2A8">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7</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CBA74">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浓度问题</w:t>
            </w: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DAA22">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一元一次不等式</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42D73">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二次函数及图像</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A0892">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函数与方程问题</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81FFA">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双曲线方程的位置关系</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70A2E">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排列公式、组合公式的应用</w:t>
            </w:r>
          </w:p>
        </w:tc>
      </w:tr>
      <w:tr w14:paraId="7C1DD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344D">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8</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FA17A">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经济问题</w:t>
            </w: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1F14">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平面几何初步</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DFBE3">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反比例函数及图像</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5C33B">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函数综合能力提升</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3D844">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抛物线初步</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CFA23">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排列、组合的基本方法及技巧</w:t>
            </w:r>
          </w:p>
        </w:tc>
      </w:tr>
      <w:tr w14:paraId="4B8A4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FE4AF">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9</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74D43">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5FDE">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三线八角及其应用</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EFE4F">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函数综合能力提升（一）</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8CBDD">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三角函数定义及基本等量关系</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2BC6A">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抛物线方程的位置关系</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007CD">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二项式定理及应用</w:t>
            </w:r>
          </w:p>
        </w:tc>
      </w:tr>
      <w:tr w14:paraId="5CDDA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A728A">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10</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15368">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644DA">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平行线综合运用（一）</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93C3F">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函数综合能力提升（二）</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D31F6">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正弦函数、余弦函数图像及变换</w:t>
            </w:r>
          </w:p>
        </w:tc>
        <w:tc>
          <w:tcPr>
            <w:tcW w:w="2009" w:type="dxa"/>
            <w:tcBorders>
              <w:top w:val="nil"/>
              <w:left w:val="nil"/>
              <w:bottom w:val="nil"/>
              <w:right w:val="nil"/>
            </w:tcBorders>
            <w:shd w:val="clear" w:color="auto" w:fill="auto"/>
            <w:noWrap/>
            <w:vAlign w:val="center"/>
          </w:tcPr>
          <w:p w14:paraId="38E2D923">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线性规划</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78317">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统计学初步</w:t>
            </w:r>
          </w:p>
        </w:tc>
      </w:tr>
      <w:tr w14:paraId="42984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851A0">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11</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0C9D">
            <w:pPr>
              <w:pStyle w:val="36"/>
              <w:spacing w:line="240" w:lineRule="auto"/>
              <w:ind w:firstLine="480"/>
              <w:jc w:val="center"/>
              <w:rPr>
                <w:rFonts w:hint="eastAsia" w:ascii="宋体" w:hAnsi="宋体" w:eastAsia="宋体" w:cs="宋体"/>
                <w:b/>
                <w:bCs/>
                <w:color w:val="auto"/>
                <w:kern w:val="0"/>
                <w:sz w:val="24"/>
                <w:szCs w:val="24"/>
                <w:highlight w:val="none"/>
                <w:lang w:val="en-US" w:eastAsia="zh-CN" w:bidi="ar-SA"/>
              </w:rPr>
            </w:pP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97463">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平行线综合运用（二）</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D880A">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二次不等式</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ABC19">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三角函数很等变换及应用（一）</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443AB">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解析几何综合能力提升（一）</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8E587">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离散型分布及连续型分布</w:t>
            </w:r>
          </w:p>
        </w:tc>
      </w:tr>
      <w:tr w14:paraId="2439C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CBF7C">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12</w:t>
            </w:r>
          </w:p>
        </w:tc>
        <w:tc>
          <w:tcPr>
            <w:tcW w:w="2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31420">
            <w:pPr>
              <w:pStyle w:val="36"/>
              <w:spacing w:line="240" w:lineRule="auto"/>
              <w:ind w:firstLine="480"/>
              <w:jc w:val="center"/>
              <w:rPr>
                <w:rFonts w:hint="eastAsia" w:ascii="宋体" w:hAnsi="宋体" w:eastAsia="宋体" w:cs="宋体"/>
                <w:b/>
                <w:bCs/>
                <w:color w:val="auto"/>
                <w:kern w:val="0"/>
                <w:sz w:val="24"/>
                <w:szCs w:val="24"/>
                <w:highlight w:val="none"/>
                <w:lang w:val="en-US" w:eastAsia="zh-CN" w:bidi="ar-SA"/>
              </w:rPr>
            </w:pP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267A">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平面直角坐标系</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EF1FF">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二次方程根的分布问题</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F3F71">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三角函数很等变换及应用（二）</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5123A">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解析几何综合能力提升（二）</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27A4F">
            <w:pPr>
              <w:pStyle w:val="36"/>
              <w:spacing w:line="240" w:lineRule="auto"/>
              <w:ind w:firstLine="0" w:firstLineChars="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独立性检验及线性回归方程</w:t>
            </w:r>
          </w:p>
        </w:tc>
      </w:tr>
    </w:tbl>
    <w:p w14:paraId="3A7DC3BD">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br w:type="page"/>
      </w:r>
      <w:r>
        <w:rPr>
          <w:rFonts w:hint="default" w:ascii="宋体" w:hAnsi="宋体" w:cs="宋体"/>
          <w:b/>
          <w:color w:val="auto"/>
          <w:kern w:val="0"/>
          <w:sz w:val="24"/>
          <w:szCs w:val="24"/>
          <w:highlight w:val="none"/>
          <w:lang w:val="en-US" w:eastAsia="zh-CN" w:bidi="ar-SA"/>
        </w:rPr>
        <w:t>初中一年级：</w:t>
      </w:r>
    </w:p>
    <w:tbl>
      <w:tblPr>
        <w:tblStyle w:val="27"/>
        <w:tblpPr w:leftFromText="180" w:rightFromText="180" w:vertAnchor="text" w:horzAnchor="page" w:tblpX="1049" w:tblpY="488"/>
        <w:tblOverlap w:val="never"/>
        <w:tblW w:w="147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0"/>
        <w:gridCol w:w="2003"/>
        <w:gridCol w:w="2152"/>
        <w:gridCol w:w="2450"/>
        <w:gridCol w:w="2598"/>
        <w:gridCol w:w="2301"/>
        <w:gridCol w:w="2152"/>
      </w:tblGrid>
      <w:tr w14:paraId="0D021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797F5">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学期/课次</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E8E3B">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初一下</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49556">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初二上</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D1C11">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初二下</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00DD3">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初三上</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E37DF">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初三下</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2075C">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高一上</w:t>
            </w:r>
          </w:p>
        </w:tc>
      </w:tr>
      <w:tr w14:paraId="2503A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 w:hRule="atLeast"/>
        </w:trPr>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A5E4A">
            <w:pPr>
              <w:rPr>
                <w:rFonts w:hint="default" w:ascii="宋体" w:hAnsi="宋体" w:cs="宋体"/>
                <w:b/>
                <w:color w:val="auto"/>
                <w:kern w:val="0"/>
                <w:sz w:val="24"/>
                <w:szCs w:val="24"/>
                <w:highlight w:val="none"/>
                <w:lang w:val="en-US" w:eastAsia="zh-CN" w:bidi="ar-SA"/>
              </w:rPr>
            </w:pPr>
          </w:p>
        </w:tc>
        <w:tc>
          <w:tcPr>
            <w:tcW w:w="660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02910">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初中板块</w:t>
            </w:r>
          </w:p>
        </w:tc>
        <w:tc>
          <w:tcPr>
            <w:tcW w:w="705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79C09">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高中板块</w:t>
            </w:r>
          </w:p>
        </w:tc>
      </w:tr>
      <w:tr w14:paraId="6DA73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C0DFF">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1</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9A15">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有理数运算能力提升（一）</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AF94A">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二次方程及二次方程的解</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E5026">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全等三角形能力提升</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C9F47">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三角函数定义及基本等量关系</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B3167">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数列定义、等差数列、等比数列</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7566">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空间位置关系</w:t>
            </w:r>
          </w:p>
        </w:tc>
      </w:tr>
      <w:tr w14:paraId="15548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154BB">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2</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2747E">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有理数运算能力提升（二）</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79EFC">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二次方程中的韦达定理及应用</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56A09">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相似三角形能力提升</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0BCAF">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正弦函数、余弦函数图像及变换</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1F5C">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数列前N项和</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60689">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标准几何体</w:t>
            </w:r>
          </w:p>
        </w:tc>
      </w:tr>
      <w:tr w14:paraId="05560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CE5F2">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3</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6572">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一次方程及一次方程的解</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37C73">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函数定义</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4ABC4">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锐角三角函数</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0BA61">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三角函数很等变换及应用（一）</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001D1">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数列递推关系下的通项求解</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2506D">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内切球、棱切球、外接球问题</w:t>
            </w:r>
          </w:p>
        </w:tc>
      </w:tr>
      <w:tr w14:paraId="4E49E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CD3A6">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4</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2F0E8">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多元方程组及不定方程求解</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E097D">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一次函数及图像</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55DED">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三角函数在几何学中的应用</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E2AE3">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三角函数很等变换及应用（二）</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81561">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数列综合能力提升（一）</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463E8">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空间直角坐标系</w:t>
            </w:r>
          </w:p>
        </w:tc>
      </w:tr>
      <w:tr w14:paraId="521E2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1AB9F">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5</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357B5">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一元一次不等式（一）</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2768F">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二次函数及图像</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C99BC">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四边形能力提升</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55DFF">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三角函数综合能力提升训练</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97B58">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数列综合能力提升（二）</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318FC">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立体几何综合能力提升</w:t>
            </w:r>
          </w:p>
        </w:tc>
      </w:tr>
      <w:tr w14:paraId="09A9A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564D8">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6</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50AD0">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实数及根式运算</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9AA0B">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反比例函数及图像</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D767C">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圆形综合能力提升</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55579">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平面向量基本运算</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11029">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计数原理初步—分类、分步计数</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0F441">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基本不等式—均值不等式</w:t>
            </w:r>
          </w:p>
        </w:tc>
      </w:tr>
      <w:tr w14:paraId="42A70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5C277">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7</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1F8A2">
            <w:pPr>
              <w:rPr>
                <w:rFonts w:hint="default" w:ascii="宋体" w:hAnsi="宋体" w:cs="宋体"/>
                <w:b/>
                <w:color w:val="auto"/>
                <w:kern w:val="0"/>
                <w:sz w:val="24"/>
                <w:szCs w:val="24"/>
                <w:highlight w:val="none"/>
                <w:lang w:val="en-US" w:eastAsia="zh-CN" w:bidi="ar-SA"/>
              </w:rPr>
            </w:pP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C14A7">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函数综合能力提升（一）</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25459">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平面几何能力综合提升训练（一）</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E7B1C">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平面向量基底及坐标</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38123">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排列公式、组合公式的应用</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A17E8">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基本不等式—柯西不等式</w:t>
            </w:r>
          </w:p>
        </w:tc>
      </w:tr>
      <w:tr w14:paraId="11D35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AC225">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8</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E29AC">
            <w:pPr>
              <w:rPr>
                <w:rFonts w:hint="default" w:ascii="宋体" w:hAnsi="宋体" w:cs="宋体"/>
                <w:b/>
                <w:color w:val="auto"/>
                <w:kern w:val="0"/>
                <w:sz w:val="24"/>
                <w:szCs w:val="24"/>
                <w:highlight w:val="none"/>
                <w:lang w:val="en-US" w:eastAsia="zh-CN" w:bidi="ar-SA"/>
              </w:rPr>
            </w:pP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02ED">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函数综合能力提升（二）</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6B4B">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平面几何能力综合提升训练（二）</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285E1">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平面向量基本等量关系及三角形四心</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A875E">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排列、组合的基本方法及技巧</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43864">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基本不等式—排序不等式</w:t>
            </w:r>
          </w:p>
        </w:tc>
      </w:tr>
      <w:tr w14:paraId="246F2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3CDA8">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9</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B5DFD">
            <w:pPr>
              <w:rPr>
                <w:rFonts w:hint="default" w:ascii="宋体" w:hAnsi="宋体" w:cs="宋体"/>
                <w:b/>
                <w:color w:val="auto"/>
                <w:kern w:val="0"/>
                <w:sz w:val="24"/>
                <w:szCs w:val="24"/>
                <w:highlight w:val="none"/>
                <w:lang w:val="en-US" w:eastAsia="zh-CN" w:bidi="ar-SA"/>
              </w:rPr>
            </w:pP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12B2E">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函数综合能力提升（三）</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B6511">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平面几何能力综合提升训练（三）</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81124">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平面向量在几何中的应用</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2630A">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二项式定理及应用</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3C6E7">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基本不等式—琴生不等式</w:t>
            </w:r>
          </w:p>
        </w:tc>
      </w:tr>
      <w:tr w14:paraId="7B1B5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6A992">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10</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7857">
            <w:pPr>
              <w:rPr>
                <w:rFonts w:hint="default" w:ascii="宋体" w:hAnsi="宋体" w:cs="宋体"/>
                <w:b/>
                <w:color w:val="auto"/>
                <w:kern w:val="0"/>
                <w:sz w:val="24"/>
                <w:szCs w:val="24"/>
                <w:highlight w:val="none"/>
                <w:lang w:val="en-US" w:eastAsia="zh-CN" w:bidi="ar-SA"/>
              </w:rPr>
            </w:pP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52844">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二次不等式</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014EE">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平面几何能力综合提升训练（四）</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C5F58">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解三角形正弦定理及余弦定理</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987DE">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统计学初步</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84903">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不等式综合能力提升（一）</w:t>
            </w:r>
          </w:p>
        </w:tc>
      </w:tr>
      <w:tr w14:paraId="2FDE3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26D3F">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11</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21BC0">
            <w:pPr>
              <w:rPr>
                <w:rFonts w:hint="default" w:ascii="宋体" w:hAnsi="宋体" w:cs="宋体"/>
                <w:b/>
                <w:color w:val="auto"/>
                <w:kern w:val="0"/>
                <w:sz w:val="24"/>
                <w:szCs w:val="24"/>
                <w:highlight w:val="none"/>
                <w:lang w:val="en-US" w:eastAsia="zh-CN" w:bidi="ar-SA"/>
              </w:rPr>
            </w:pP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5CEBA">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二次方程根的分布问题</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82FF0">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平面几何能力综合提升训练（五）</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99FF">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解三角形综合能力提升（一）</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9CF09">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离散型分布及连续型分布</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0938D">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不等式综合能力提升（二）</w:t>
            </w:r>
          </w:p>
        </w:tc>
      </w:tr>
      <w:tr w14:paraId="0768D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0507A">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12</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09CB">
            <w:pPr>
              <w:rPr>
                <w:rFonts w:hint="default" w:ascii="宋体" w:hAnsi="宋体" w:cs="宋体"/>
                <w:b/>
                <w:color w:val="auto"/>
                <w:kern w:val="0"/>
                <w:sz w:val="24"/>
                <w:szCs w:val="24"/>
                <w:highlight w:val="none"/>
                <w:lang w:val="en-US" w:eastAsia="zh-CN" w:bidi="ar-SA"/>
              </w:rPr>
            </w:pP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A10B8">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二次不等式综合能力提升</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D4B9">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平面几何能力综合提升训练（六）</w:t>
            </w:r>
          </w:p>
        </w:tc>
        <w:tc>
          <w:tcPr>
            <w:tcW w:w="2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8A0FE">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解三角形综合能力提升（二）</w:t>
            </w:r>
          </w:p>
        </w:tc>
        <w:tc>
          <w:tcPr>
            <w:tcW w:w="2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06691">
            <w:pPr>
              <w:rPr>
                <w:rFonts w:hint="default" w:ascii="宋体" w:hAnsi="宋体" w:cs="宋体"/>
                <w:b/>
                <w:color w:val="auto"/>
                <w:kern w:val="0"/>
                <w:sz w:val="24"/>
                <w:szCs w:val="24"/>
                <w:highlight w:val="none"/>
                <w:lang w:val="en-US" w:eastAsia="zh-CN" w:bidi="ar-SA"/>
              </w:rPr>
            </w:pPr>
            <w:r>
              <w:rPr>
                <w:rFonts w:hint="default" w:ascii="宋体" w:hAnsi="宋体" w:cs="宋体"/>
                <w:b/>
                <w:color w:val="auto"/>
                <w:kern w:val="0"/>
                <w:sz w:val="24"/>
                <w:szCs w:val="24"/>
                <w:highlight w:val="none"/>
                <w:lang w:val="en-US" w:eastAsia="zh-CN" w:bidi="ar-SA"/>
              </w:rPr>
              <w:t>独立性检验及线性回归方程</w:t>
            </w:r>
          </w:p>
        </w:tc>
        <w:tc>
          <w:tcPr>
            <w:tcW w:w="2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AE24D">
            <w:pPr>
              <w:rPr>
                <w:rFonts w:hint="default" w:ascii="宋体" w:hAnsi="宋体" w:cs="宋体"/>
                <w:b/>
                <w:color w:val="auto"/>
                <w:kern w:val="0"/>
                <w:sz w:val="24"/>
                <w:szCs w:val="24"/>
                <w:highlight w:val="none"/>
                <w:lang w:val="en-US" w:eastAsia="zh-CN" w:bidi="ar-SA"/>
              </w:rPr>
            </w:pPr>
          </w:p>
        </w:tc>
      </w:tr>
    </w:tbl>
    <w:p w14:paraId="2463F7E9">
      <w:pPr>
        <w:rPr>
          <w:rFonts w:hint="eastAsia" w:ascii="宋体" w:hAnsi="宋体" w:cs="宋体"/>
          <w:b/>
          <w:color w:val="auto"/>
          <w:kern w:val="0"/>
          <w:sz w:val="24"/>
          <w:szCs w:val="24"/>
          <w:highlight w:val="none"/>
          <w:lang w:val="en-US" w:eastAsia="zh-CN" w:bidi="ar-SA"/>
        </w:rPr>
      </w:pPr>
    </w:p>
    <w:p w14:paraId="3DFDD5CD">
      <w:pPr>
        <w:pStyle w:val="36"/>
        <w:spacing w:line="500" w:lineRule="exact"/>
        <w:ind w:firstLine="480"/>
        <w:rPr>
          <w:rFonts w:hint="eastAsia" w:ascii="宋体" w:hAnsi="宋体" w:cs="宋体"/>
          <w:b/>
          <w:color w:val="auto"/>
          <w:kern w:val="0"/>
          <w:sz w:val="24"/>
          <w:szCs w:val="24"/>
          <w:highlight w:val="none"/>
          <w:lang w:val="en-US" w:eastAsia="zh-CN" w:bidi="ar-SA"/>
        </w:rPr>
      </w:pPr>
      <w:r>
        <w:rPr>
          <w:rFonts w:hint="eastAsia" w:ascii="宋体" w:hAnsi="宋体" w:cs="宋体"/>
          <w:b/>
          <w:color w:val="auto"/>
          <w:kern w:val="0"/>
          <w:sz w:val="24"/>
          <w:szCs w:val="24"/>
          <w:highlight w:val="none"/>
          <w:lang w:val="en-US" w:eastAsia="zh-CN" w:bidi="ar-SA"/>
        </w:rPr>
        <w:t>初中二年级：</w:t>
      </w:r>
    </w:p>
    <w:tbl>
      <w:tblPr>
        <w:tblStyle w:val="27"/>
        <w:tblW w:w="14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8"/>
        <w:gridCol w:w="1903"/>
        <w:gridCol w:w="2455"/>
        <w:gridCol w:w="2605"/>
        <w:gridCol w:w="2306"/>
        <w:gridCol w:w="2157"/>
        <w:gridCol w:w="2606"/>
      </w:tblGrid>
      <w:tr w14:paraId="4851E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2CF7D">
            <w:pPr>
              <w:pStyle w:val="36"/>
              <w:spacing w:line="240" w:lineRule="auto"/>
              <w:ind w:left="0" w:leftChars="0"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学期/课次</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D6B30">
            <w:pPr>
              <w:keepNext w:val="0"/>
              <w:keepLines w:val="0"/>
              <w:widowControl/>
              <w:suppressLineNumbers w:val="0"/>
              <w:jc w:val="center"/>
              <w:textAlignment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i w:val="0"/>
                <w:iCs w:val="0"/>
                <w:color w:val="auto"/>
                <w:kern w:val="0"/>
                <w:sz w:val="21"/>
                <w:szCs w:val="21"/>
                <w:u w:val="none"/>
                <w:lang w:val="en-US" w:eastAsia="zh-CN" w:bidi="ar"/>
              </w:rPr>
              <w:t>初二下</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41CE">
            <w:pPr>
              <w:keepNext w:val="0"/>
              <w:keepLines w:val="0"/>
              <w:widowControl/>
              <w:suppressLineNumbers w:val="0"/>
              <w:jc w:val="center"/>
              <w:textAlignment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i w:val="0"/>
                <w:iCs w:val="0"/>
                <w:color w:val="auto"/>
                <w:kern w:val="0"/>
                <w:sz w:val="21"/>
                <w:szCs w:val="21"/>
                <w:u w:val="none"/>
                <w:lang w:val="en-US" w:eastAsia="zh-CN" w:bidi="ar"/>
              </w:rPr>
              <w:t>初三上</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9A7CB">
            <w:pPr>
              <w:keepNext w:val="0"/>
              <w:keepLines w:val="0"/>
              <w:widowControl/>
              <w:suppressLineNumbers w:val="0"/>
              <w:jc w:val="center"/>
              <w:textAlignment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i w:val="0"/>
                <w:iCs w:val="0"/>
                <w:color w:val="auto"/>
                <w:kern w:val="0"/>
                <w:sz w:val="21"/>
                <w:szCs w:val="21"/>
                <w:u w:val="none"/>
                <w:lang w:val="en-US" w:eastAsia="zh-CN" w:bidi="ar"/>
              </w:rPr>
              <w:t>初三下</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A315">
            <w:pPr>
              <w:keepNext w:val="0"/>
              <w:keepLines w:val="0"/>
              <w:widowControl/>
              <w:suppressLineNumbers w:val="0"/>
              <w:jc w:val="center"/>
              <w:textAlignment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i w:val="0"/>
                <w:iCs w:val="0"/>
                <w:color w:val="auto"/>
                <w:kern w:val="0"/>
                <w:sz w:val="21"/>
                <w:szCs w:val="21"/>
                <w:u w:val="none"/>
                <w:lang w:val="en-US" w:eastAsia="zh-CN" w:bidi="ar"/>
              </w:rPr>
              <w:t>高一上</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DCAE7">
            <w:pPr>
              <w:keepNext w:val="0"/>
              <w:keepLines w:val="0"/>
              <w:widowControl/>
              <w:suppressLineNumbers w:val="0"/>
              <w:jc w:val="center"/>
              <w:textAlignment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i w:val="0"/>
                <w:iCs w:val="0"/>
                <w:color w:val="auto"/>
                <w:kern w:val="0"/>
                <w:sz w:val="21"/>
                <w:szCs w:val="21"/>
                <w:u w:val="none"/>
                <w:lang w:val="en-US" w:eastAsia="zh-CN" w:bidi="ar"/>
              </w:rPr>
              <w:t>高一下</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4E67E">
            <w:pPr>
              <w:keepNext w:val="0"/>
              <w:keepLines w:val="0"/>
              <w:widowControl/>
              <w:suppressLineNumbers w:val="0"/>
              <w:jc w:val="center"/>
              <w:textAlignment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i w:val="0"/>
                <w:iCs w:val="0"/>
                <w:color w:val="auto"/>
                <w:kern w:val="0"/>
                <w:sz w:val="21"/>
                <w:szCs w:val="21"/>
                <w:u w:val="none"/>
                <w:lang w:val="en-US" w:eastAsia="zh-CN" w:bidi="ar"/>
              </w:rPr>
              <w:t>高二上</w:t>
            </w:r>
          </w:p>
        </w:tc>
      </w:tr>
      <w:tr w14:paraId="47B68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33E09">
            <w:pPr>
              <w:pStyle w:val="36"/>
              <w:spacing w:line="240" w:lineRule="auto"/>
              <w:ind w:firstLine="480"/>
              <w:rPr>
                <w:rFonts w:hint="eastAsia" w:ascii="宋体" w:hAnsi="宋体" w:eastAsia="宋体" w:cs="宋体"/>
                <w:b/>
                <w:bCs w:val="0"/>
                <w:color w:val="auto"/>
                <w:kern w:val="0"/>
                <w:sz w:val="21"/>
                <w:szCs w:val="21"/>
                <w:highlight w:val="none"/>
                <w:lang w:val="en-US" w:eastAsia="zh-CN" w:bidi="ar-SA"/>
              </w:rPr>
            </w:pPr>
          </w:p>
        </w:tc>
        <w:tc>
          <w:tcPr>
            <w:tcW w:w="435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95783">
            <w:pPr>
              <w:pStyle w:val="36"/>
              <w:spacing w:line="240" w:lineRule="auto"/>
              <w:ind w:firstLine="48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初中板块</w:t>
            </w:r>
          </w:p>
        </w:tc>
        <w:tc>
          <w:tcPr>
            <w:tcW w:w="706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3298F">
            <w:pPr>
              <w:pStyle w:val="36"/>
              <w:spacing w:line="240" w:lineRule="auto"/>
              <w:ind w:firstLine="48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高中板块</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1BEBB">
            <w:pPr>
              <w:pStyle w:val="36"/>
              <w:spacing w:line="240" w:lineRule="auto"/>
              <w:ind w:firstLine="480"/>
              <w:jc w:val="both"/>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联赛板块</w:t>
            </w:r>
          </w:p>
        </w:tc>
      </w:tr>
      <w:tr w14:paraId="48E61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C2E44">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1</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35DE3">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有理数运算能力提升（一）</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238E8">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二次不等式</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48A90">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三角函数定义及基本等量关系</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22236">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数列定义、等差数列、等比数列</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58A64">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空间位置关系</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B013">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平面几何—全等、相似模型</w:t>
            </w:r>
          </w:p>
        </w:tc>
      </w:tr>
      <w:tr w14:paraId="77800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DB221">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2</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B5095">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有理数运算能力提升（二）</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EB6F0">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二次方程根的分布问题</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D6951">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正弦函数、余弦函数图像及变换</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5A51">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数列前N项和</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C1181">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标准几何体</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C555C">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平面几何—旋转相似模型</w:t>
            </w:r>
          </w:p>
        </w:tc>
      </w:tr>
      <w:tr w14:paraId="32FD2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2B4C8">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3</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83F2C">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一次方程及一次方程的解</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94923">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二次不等式综合能力提升</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AD2AE">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三角函数很等变换及应用（一）</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87FF3">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数列递推关系下的通项求解</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535C2">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内切球、棱切球、外接球问题</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3752">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平面几何—等差幂线</w:t>
            </w:r>
          </w:p>
        </w:tc>
      </w:tr>
      <w:tr w14:paraId="13EEE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BC32E">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4</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293C8">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多元方程组及不定方程求解</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97AEE">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锐角三角函数</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330E1">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三角函数很等变换及应用（二）</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1BA18">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数列综合能力提升（一）</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C3F93">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空间直角坐标系</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29FEF">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平面几何—三角形重心、垂心、外心</w:t>
            </w:r>
          </w:p>
        </w:tc>
      </w:tr>
      <w:tr w14:paraId="5644C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43184">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5</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ABBCB">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一元一次不等式（一）</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D800E">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三角函数在几何学中的应用</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ABE03">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三角函数综合能力提升训练</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FEF52">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数列综合能力提升（二）</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CC5CF">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立体几何综合能力提升</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DCCC3">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平面几何—三角形内心、旁心</w:t>
            </w:r>
          </w:p>
        </w:tc>
      </w:tr>
      <w:tr w14:paraId="377E5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F9279">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6</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61D11">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实数及根式运算</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F8970">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全等三角形能力提升</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15837">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平面向量基本运算</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ADEDB">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计数原理初步—分类、分步计数</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B819">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基本不等式—均值不等式</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DD551">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平面几何—三点共线问题</w:t>
            </w:r>
          </w:p>
        </w:tc>
      </w:tr>
      <w:tr w14:paraId="4FDCF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4C31F">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7</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F068A">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B3EFB">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相似三角形能力提升</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E18CF">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平面向量基底及坐标</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5721">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排列公式、组合公式的应用</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D595E">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基本不等式—柯西不等式</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9A198">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平面几何—三线共点问题</w:t>
            </w:r>
          </w:p>
        </w:tc>
      </w:tr>
      <w:tr w14:paraId="7CB07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68E1">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8</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F408C">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2ADD5">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四边形能力提升</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5E529">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平面向量基本等量关系及三角形四心</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DAF39">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排列、组合的基本方法及技巧</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CBA40">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基本不等式—排序不等式</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8E21">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平面几何—点共圆问题</w:t>
            </w:r>
          </w:p>
        </w:tc>
      </w:tr>
      <w:tr w14:paraId="1A041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1EF41">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9</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AB44F">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C8BC6">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圆形综合能力提升</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52DB0">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平面向量在几何中的应用</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289C0">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二项式定理及应用</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1EBC5">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基本不等式—琴生不等式</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B9957">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平面几何—两个基本模型</w:t>
            </w:r>
          </w:p>
        </w:tc>
      </w:tr>
      <w:tr w14:paraId="5E326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0DBA3">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10</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35A91">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4E32F">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平面几何能力综合提升训练（一）</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9ECBC">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解三角形正弦定理及余弦定理</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B913">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统计学初步</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9FEFF">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不等式综合能力提升（一）</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D507">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平面几何综合能力提升（一）</w:t>
            </w:r>
          </w:p>
        </w:tc>
      </w:tr>
      <w:tr w14:paraId="26672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3AED">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11</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96C09">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B6CB9">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平面几何能力综合提升训练（二）</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C578C">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解三角形综合能力提升（一）</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49FAB">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离散型分布及连续型分布</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CBED0">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不等式综合能力提升（二）</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68BE9">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平面几何综合能力提升（二）</w:t>
            </w:r>
          </w:p>
        </w:tc>
      </w:tr>
      <w:tr w14:paraId="727FB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5D8DF">
            <w:pPr>
              <w:pStyle w:val="36"/>
              <w:spacing w:line="240" w:lineRule="auto"/>
              <w:ind w:firstLine="0" w:firstLineChars="0"/>
              <w:jc w:val="center"/>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12</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0E475">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AC336">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平面几何能力综合提升训练（三）</w:t>
            </w:r>
          </w:p>
        </w:tc>
        <w:tc>
          <w:tcPr>
            <w:tcW w:w="2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08B54">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解三角形综合能力提升（二）</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F5673">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独立性检验及线性回归方程</w:t>
            </w:r>
          </w:p>
        </w:tc>
        <w:tc>
          <w:tcPr>
            <w:tcW w:w="2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724D7">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lang w:val="en-US" w:eastAsia="zh-CN" w:bidi="ar-SA"/>
              </w:rPr>
              <w:t>不等式综合能力提升（三）</w:t>
            </w:r>
          </w:p>
        </w:tc>
        <w:tc>
          <w:tcPr>
            <w:tcW w:w="2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5FB0B">
            <w:pPr>
              <w:pStyle w:val="36"/>
              <w:spacing w:line="240" w:lineRule="auto"/>
              <w:ind w:firstLine="0" w:firstLineChars="0"/>
              <w:rPr>
                <w:rFonts w:hint="eastAsia" w:ascii="宋体" w:hAnsi="宋体" w:eastAsia="宋体" w:cs="宋体"/>
                <w:b/>
                <w:bCs w:val="0"/>
                <w:color w:val="auto"/>
                <w:kern w:val="0"/>
                <w:sz w:val="21"/>
                <w:szCs w:val="21"/>
                <w:highlight w:val="none"/>
                <w:lang w:val="en-US" w:eastAsia="zh-CN" w:bidi="ar-SA"/>
              </w:rPr>
            </w:pPr>
          </w:p>
        </w:tc>
      </w:tr>
    </w:tbl>
    <w:p w14:paraId="1ACC72EA">
      <w:pPr>
        <w:rPr>
          <w:rFonts w:hint="default" w:ascii="宋体" w:hAnsi="宋体" w:cs="宋体"/>
          <w:b/>
          <w:color w:val="auto"/>
          <w:kern w:val="0"/>
          <w:sz w:val="24"/>
          <w:szCs w:val="24"/>
          <w:highlight w:val="none"/>
          <w:lang w:val="en-US" w:eastAsia="zh-CN" w:bidi="ar-SA"/>
        </w:rPr>
      </w:pPr>
    </w:p>
    <w:sectPr>
      <w:pgSz w:w="16838" w:h="11906" w:orient="landscape"/>
      <w:pgMar w:top="10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2FF" w:usb1="420024FF" w:usb2="00000000" w:usb3="00000000" w:csb0="200001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1977E">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EA831">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54C">
    <w:pPr>
      <w:pStyle w:val="18"/>
      <w:rPr>
        <w:rFonts w:ascii="宋体" w:hAnsi="宋体" w:eastAsia="宋体"/>
        <w:b/>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2A2B2">
    <w:pPr>
      <w:pStyle w:val="18"/>
      <w:jc w:val="center"/>
      <w:rPr>
        <w:rFonts w:ascii="宋体" w:hAnsi="宋体" w:eastAsia="宋体"/>
        <w:b/>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ECF84C">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DECF84C">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67203">
    <w:pPr>
      <w:pStyle w:val="18"/>
      <w:jc w:val="center"/>
      <w:rPr>
        <w:rFonts w:ascii="宋体" w:hAnsi="宋体" w:eastAsia="宋体"/>
        <w:b/>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D0FD9C">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50</w:t>
                          </w:r>
                          <w:r>
                            <w:rPr>
                              <w:rFonts w:ascii="宋体" w:hAnsi="宋体" w:eastAsia="宋体"/>
                              <w:b/>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3D0FD9C">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50</w:t>
                    </w:r>
                    <w:r>
                      <w:rPr>
                        <w:rFonts w:ascii="宋体" w:hAnsi="宋体" w:eastAsia="宋体"/>
                        <w:b/>
                        <w:sz w:val="21"/>
                        <w:szCs w:val="21"/>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45ECC">
    <w:pPr>
      <w:pStyle w:val="18"/>
      <w:jc w:val="center"/>
      <w:rPr>
        <w:rFonts w:ascii="宋体" w:hAnsi="宋体" w:eastAsia="宋体"/>
        <w:b/>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26913">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48</w:t>
                          </w:r>
                          <w:r>
                            <w:rPr>
                              <w:rFonts w:ascii="宋体" w:hAnsi="宋体" w:eastAsia="宋体"/>
                              <w:b/>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AC26913">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48</w:t>
                    </w:r>
                    <w:r>
                      <w:rPr>
                        <w:rFonts w:ascii="宋体" w:hAnsi="宋体" w:eastAsia="宋体"/>
                        <w:b/>
                        <w:sz w:val="21"/>
                        <w:szCs w:val="21"/>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1EBD2">
    <w:pPr>
      <w:pStyle w:val="18"/>
      <w:jc w:val="center"/>
      <w:rPr>
        <w:rFonts w:ascii="宋体" w:hAnsi="宋体" w:eastAsia="宋体"/>
        <w:b/>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F2F8E">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50</w:t>
                          </w:r>
                          <w:r>
                            <w:rPr>
                              <w:rFonts w:ascii="宋体" w:hAnsi="宋体" w:eastAsia="宋体"/>
                              <w:b/>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5AF2F8E">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50</w:t>
                    </w:r>
                    <w:r>
                      <w:rPr>
                        <w:rFonts w:ascii="宋体" w:hAnsi="宋体" w:eastAsia="宋体"/>
                        <w:b/>
                        <w:sz w:val="21"/>
                        <w:szCs w:val="21"/>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9ED44">
    <w:pPr>
      <w:pStyle w:val="18"/>
      <w:jc w:val="center"/>
      <w:rPr>
        <w:rFonts w:ascii="宋体" w:hAnsi="宋体" w:eastAsia="宋体"/>
        <w:b/>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41F737">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48</w:t>
                          </w:r>
                          <w:r>
                            <w:rPr>
                              <w:rFonts w:ascii="宋体" w:hAnsi="宋体" w:eastAsia="宋体"/>
                              <w:b/>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741F737">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48</w:t>
                    </w:r>
                    <w:r>
                      <w:rPr>
                        <w:rFonts w:ascii="宋体" w:hAnsi="宋体" w:eastAsia="宋体"/>
                        <w:b/>
                        <w:sz w:val="21"/>
                        <w:szCs w:val="21"/>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97BDE">
    <w:pPr>
      <w:pStyle w:val="18"/>
      <w:jc w:val="center"/>
      <w:rPr>
        <w:rFonts w:ascii="宋体" w:hAnsi="宋体" w:eastAsia="宋体"/>
        <w:b/>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685E41">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50</w:t>
                          </w:r>
                          <w:r>
                            <w:rPr>
                              <w:rFonts w:ascii="宋体" w:hAnsi="宋体" w:eastAsia="宋体"/>
                              <w:b/>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C685E41">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50</w:t>
                    </w:r>
                    <w:r>
                      <w:rPr>
                        <w:rFonts w:ascii="宋体" w:hAnsi="宋体" w:eastAsia="宋体"/>
                        <w:b/>
                        <w:sz w:val="21"/>
                        <w:szCs w:val="21"/>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8D82D">
    <w:pPr>
      <w:pStyle w:val="18"/>
      <w:jc w:val="center"/>
      <w:rPr>
        <w:rFonts w:ascii="宋体" w:hAnsi="宋体" w:eastAsia="宋体"/>
        <w:b/>
        <w:sz w:val="28"/>
        <w:szCs w:val="28"/>
      </w:rPr>
    </w:pPr>
    <w:r>
      <w:rPr>
        <w:sz w:val="28"/>
        <w:szCs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F7D953">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48</w:t>
                          </w:r>
                          <w:r>
                            <w:rPr>
                              <w:rFonts w:ascii="宋体" w:hAnsi="宋体" w:eastAsia="宋体"/>
                              <w:b/>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7F7D953">
                    <w:pPr>
                      <w:pStyle w:val="18"/>
                      <w:jc w:val="center"/>
                    </w:pPr>
                    <w:r>
                      <w:rPr>
                        <w:rFonts w:ascii="宋体" w:hAnsi="宋体" w:eastAsia="宋体"/>
                        <w:b/>
                        <w:sz w:val="21"/>
                        <w:szCs w:val="21"/>
                      </w:rPr>
                      <w:fldChar w:fldCharType="begin"/>
                    </w:r>
                    <w:r>
                      <w:rPr>
                        <w:rFonts w:ascii="宋体" w:hAnsi="宋体" w:eastAsia="宋体"/>
                        <w:b/>
                        <w:sz w:val="21"/>
                        <w:szCs w:val="21"/>
                      </w:rPr>
                      <w:instrText xml:space="preserve"> PAGE   \* MERGEFORMAT </w:instrText>
                    </w:r>
                    <w:r>
                      <w:rPr>
                        <w:rFonts w:ascii="宋体" w:hAnsi="宋体" w:eastAsia="宋体"/>
                        <w:b/>
                        <w:sz w:val="21"/>
                        <w:szCs w:val="21"/>
                      </w:rPr>
                      <w:fldChar w:fldCharType="separate"/>
                    </w:r>
                    <w:r>
                      <w:rPr>
                        <w:rFonts w:ascii="宋体" w:hAnsi="宋体" w:eastAsia="宋体"/>
                        <w:b/>
                        <w:sz w:val="21"/>
                        <w:szCs w:val="21"/>
                        <w:lang w:val="zh-CN"/>
                      </w:rPr>
                      <w:t>48</w:t>
                    </w:r>
                    <w:r>
                      <w:rPr>
                        <w:rFonts w:ascii="宋体" w:hAnsi="宋体" w:eastAsia="宋体"/>
                        <w:b/>
                        <w:sz w:val="21"/>
                        <w:szCs w:val="21"/>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CE2E0">
    <w:pPr>
      <w:pStyle w:val="11"/>
      <w:spacing w:line="188" w:lineRule="auto"/>
      <w:ind w:left="372"/>
      <w:rPr>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1F1E55">
                          <w:pPr>
                            <w:pStyle w:val="1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81F1E55">
                    <w:pPr>
                      <w:pStyle w:val="1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A1999">
    <w:pPr>
      <w:pStyle w:val="11"/>
      <w:spacing w:line="188" w:lineRule="auto"/>
      <w:ind w:left="372"/>
      <w:rPr>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A543C2">
                          <w:pPr>
                            <w:pStyle w:val="1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9A543C2">
                    <w:pPr>
                      <w:pStyle w:val="1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8A935">
    <w:pPr>
      <w:pStyle w:val="19"/>
      <w:pBdr>
        <w:bottom w:val="none" w:color="auto" w:sz="0" w:space="1"/>
      </w:pBdr>
      <w:ind w:firstLine="480" w:firstLineChars="200"/>
      <w:jc w:val="both"/>
      <w:rPr>
        <w:rFonts w:ascii="宋体" w:hAnsi="宋体"/>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AB7AC">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98AFF"/>
    <w:multiLevelType w:val="singleLevel"/>
    <w:tmpl w:val="85D98AFF"/>
    <w:lvl w:ilvl="0" w:tentative="0">
      <w:start w:val="1"/>
      <w:numFmt w:val="decimal"/>
      <w:suff w:val="nothing"/>
      <w:lvlText w:val="%1、"/>
      <w:lvlJc w:val="left"/>
    </w:lvl>
  </w:abstractNum>
  <w:abstractNum w:abstractNumId="1">
    <w:nsid w:val="A1862389"/>
    <w:multiLevelType w:val="singleLevel"/>
    <w:tmpl w:val="A1862389"/>
    <w:lvl w:ilvl="0" w:tentative="0">
      <w:start w:val="5"/>
      <w:numFmt w:val="decimal"/>
      <w:lvlText w:val="%1."/>
      <w:lvlJc w:val="left"/>
      <w:pPr>
        <w:tabs>
          <w:tab w:val="left" w:pos="312"/>
        </w:tabs>
      </w:pPr>
    </w:lvl>
  </w:abstractNum>
  <w:abstractNum w:abstractNumId="2">
    <w:nsid w:val="AB62D578"/>
    <w:multiLevelType w:val="singleLevel"/>
    <w:tmpl w:val="AB62D578"/>
    <w:lvl w:ilvl="0" w:tentative="0">
      <w:start w:val="3"/>
      <w:numFmt w:val="chineseCounting"/>
      <w:suff w:val="nothing"/>
      <w:lvlText w:val="（%1）"/>
      <w:lvlJc w:val="left"/>
      <w:rPr>
        <w:rFonts w:hint="eastAsia"/>
      </w:rPr>
    </w:lvl>
  </w:abstractNum>
  <w:abstractNum w:abstractNumId="3">
    <w:nsid w:val="155BF708"/>
    <w:multiLevelType w:val="singleLevel"/>
    <w:tmpl w:val="155BF708"/>
    <w:lvl w:ilvl="0" w:tentative="0">
      <w:start w:val="2"/>
      <w:numFmt w:val="chineseCounting"/>
      <w:suff w:val="nothing"/>
      <w:lvlText w:val="（%1）"/>
      <w:lvlJc w:val="left"/>
      <w:rPr>
        <w:rFonts w:hint="eastAsia"/>
      </w:rPr>
    </w:lvl>
  </w:abstractNum>
  <w:abstractNum w:abstractNumId="4">
    <w:nsid w:val="3FA481AC"/>
    <w:multiLevelType w:val="singleLevel"/>
    <w:tmpl w:val="3FA481AC"/>
    <w:lvl w:ilvl="0" w:tentative="0">
      <w:start w:val="1"/>
      <w:numFmt w:val="decimal"/>
      <w:suff w:val="nothing"/>
      <w:lvlText w:val="%1、"/>
      <w:lvlJc w:val="left"/>
    </w:lvl>
  </w:abstractNum>
  <w:abstractNum w:abstractNumId="5">
    <w:nsid w:val="53EB4D40"/>
    <w:multiLevelType w:val="singleLevel"/>
    <w:tmpl w:val="53EB4D40"/>
    <w:lvl w:ilvl="0" w:tentative="0">
      <w:start w:val="2"/>
      <w:numFmt w:val="chineseCounting"/>
      <w:suff w:val="nothing"/>
      <w:lvlText w:val="%1、"/>
      <w:lvlJc w:val="left"/>
      <w:rPr>
        <w:rFonts w:hint="eastAsia"/>
      </w:rPr>
    </w:lvl>
  </w:abstractNum>
  <w:abstractNum w:abstractNumId="6">
    <w:nsid w:val="5F2D7C37"/>
    <w:multiLevelType w:val="multilevel"/>
    <w:tmpl w:val="5F2D7C37"/>
    <w:lvl w:ilvl="0" w:tentative="0">
      <w:start w:val="1"/>
      <w:numFmt w:val="decimal"/>
      <w:lvlText w:val="%1."/>
      <w:lvlJc w:val="left"/>
      <w:pPr>
        <w:ind w:left="842" w:hanging="36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6A3948BC"/>
    <w:multiLevelType w:val="multilevel"/>
    <w:tmpl w:val="6A3948BC"/>
    <w:lvl w:ilvl="0" w:tentative="0">
      <w:start w:val="1"/>
      <w:numFmt w:val="japaneseCounting"/>
      <w:lvlText w:val="%1、"/>
      <w:lvlJc w:val="left"/>
      <w:pPr>
        <w:ind w:left="1202" w:hanging="72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1"/>
  </w:num>
  <w:num w:numId="2">
    <w:abstractNumId w:val="3"/>
  </w:num>
  <w:num w:numId="3">
    <w:abstractNumId w:val="5"/>
  </w:num>
  <w:num w:numId="4">
    <w:abstractNumId w:val="2"/>
  </w:num>
  <w:num w:numId="5">
    <w:abstractNumId w:val="7"/>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ZjMmQxNzNkM2I0YTcxMGQwZjc1ZWU3NTk1Mzc3ZGMifQ=="/>
  </w:docVars>
  <w:rsids>
    <w:rsidRoot w:val="002F2898"/>
    <w:rsid w:val="00115065"/>
    <w:rsid w:val="00151B38"/>
    <w:rsid w:val="001636D7"/>
    <w:rsid w:val="00192238"/>
    <w:rsid w:val="00213EA8"/>
    <w:rsid w:val="00244090"/>
    <w:rsid w:val="00255D55"/>
    <w:rsid w:val="002A6496"/>
    <w:rsid w:val="002B3BD8"/>
    <w:rsid w:val="002F2898"/>
    <w:rsid w:val="00323886"/>
    <w:rsid w:val="0035038D"/>
    <w:rsid w:val="003A7262"/>
    <w:rsid w:val="00417AAE"/>
    <w:rsid w:val="0044519F"/>
    <w:rsid w:val="004661B2"/>
    <w:rsid w:val="004966EB"/>
    <w:rsid w:val="004A14E1"/>
    <w:rsid w:val="005F0634"/>
    <w:rsid w:val="006C6AF3"/>
    <w:rsid w:val="006D6E88"/>
    <w:rsid w:val="00742504"/>
    <w:rsid w:val="007A3027"/>
    <w:rsid w:val="008605A3"/>
    <w:rsid w:val="00926774"/>
    <w:rsid w:val="00965208"/>
    <w:rsid w:val="00970965"/>
    <w:rsid w:val="00A14AC0"/>
    <w:rsid w:val="00A31259"/>
    <w:rsid w:val="00AC2361"/>
    <w:rsid w:val="00B37309"/>
    <w:rsid w:val="00CF4C0A"/>
    <w:rsid w:val="00D52001"/>
    <w:rsid w:val="00D529C5"/>
    <w:rsid w:val="00E72D47"/>
    <w:rsid w:val="00EB7C0E"/>
    <w:rsid w:val="00EE1893"/>
    <w:rsid w:val="00EF4562"/>
    <w:rsid w:val="00F27B09"/>
    <w:rsid w:val="00FC55CA"/>
    <w:rsid w:val="021567F9"/>
    <w:rsid w:val="03235BE0"/>
    <w:rsid w:val="03462647"/>
    <w:rsid w:val="03EC461B"/>
    <w:rsid w:val="043A06FC"/>
    <w:rsid w:val="055C52E5"/>
    <w:rsid w:val="06192760"/>
    <w:rsid w:val="065E7A8A"/>
    <w:rsid w:val="067E17C5"/>
    <w:rsid w:val="070752F4"/>
    <w:rsid w:val="08626ADB"/>
    <w:rsid w:val="08CF6D1F"/>
    <w:rsid w:val="08D659A1"/>
    <w:rsid w:val="09865F14"/>
    <w:rsid w:val="09EA688E"/>
    <w:rsid w:val="0A4968FE"/>
    <w:rsid w:val="0A4E0CA8"/>
    <w:rsid w:val="0AB90D9F"/>
    <w:rsid w:val="0BD0369C"/>
    <w:rsid w:val="0CA5616F"/>
    <w:rsid w:val="0D0C6FCA"/>
    <w:rsid w:val="0D2C2C2E"/>
    <w:rsid w:val="0D724950"/>
    <w:rsid w:val="0DAE235C"/>
    <w:rsid w:val="0DBD1298"/>
    <w:rsid w:val="0E56100F"/>
    <w:rsid w:val="0EBE2BB7"/>
    <w:rsid w:val="0F3126FC"/>
    <w:rsid w:val="0FB82FB3"/>
    <w:rsid w:val="10AA2027"/>
    <w:rsid w:val="115804A1"/>
    <w:rsid w:val="116F23E8"/>
    <w:rsid w:val="145204CA"/>
    <w:rsid w:val="149D101A"/>
    <w:rsid w:val="150A4EE6"/>
    <w:rsid w:val="153E164E"/>
    <w:rsid w:val="15457934"/>
    <w:rsid w:val="15751EFD"/>
    <w:rsid w:val="16134B07"/>
    <w:rsid w:val="16536391"/>
    <w:rsid w:val="168D7598"/>
    <w:rsid w:val="16F569BA"/>
    <w:rsid w:val="17A06166"/>
    <w:rsid w:val="18CD0120"/>
    <w:rsid w:val="18F3665A"/>
    <w:rsid w:val="1A1D2599"/>
    <w:rsid w:val="1A273353"/>
    <w:rsid w:val="1B8274D2"/>
    <w:rsid w:val="1BB232B0"/>
    <w:rsid w:val="1C8408F2"/>
    <w:rsid w:val="1D241D76"/>
    <w:rsid w:val="1DB16262"/>
    <w:rsid w:val="1DDD1FF3"/>
    <w:rsid w:val="20AE138B"/>
    <w:rsid w:val="20AF67DC"/>
    <w:rsid w:val="21090C3D"/>
    <w:rsid w:val="227D209E"/>
    <w:rsid w:val="22B009B6"/>
    <w:rsid w:val="238063CA"/>
    <w:rsid w:val="23C951D4"/>
    <w:rsid w:val="23D81F6E"/>
    <w:rsid w:val="25FF702F"/>
    <w:rsid w:val="284E1FD2"/>
    <w:rsid w:val="28592F13"/>
    <w:rsid w:val="290C413D"/>
    <w:rsid w:val="29BE3445"/>
    <w:rsid w:val="2A2E14D4"/>
    <w:rsid w:val="2AA170D3"/>
    <w:rsid w:val="2B88793D"/>
    <w:rsid w:val="2BC74EDB"/>
    <w:rsid w:val="2BF30AD8"/>
    <w:rsid w:val="2C0C79D5"/>
    <w:rsid w:val="2C187C37"/>
    <w:rsid w:val="2C1D33BB"/>
    <w:rsid w:val="2C7F31B6"/>
    <w:rsid w:val="2DD218DC"/>
    <w:rsid w:val="2ECF7BF7"/>
    <w:rsid w:val="2FEC04FB"/>
    <w:rsid w:val="3016601C"/>
    <w:rsid w:val="3184488C"/>
    <w:rsid w:val="319D4367"/>
    <w:rsid w:val="32C45D60"/>
    <w:rsid w:val="35CB4114"/>
    <w:rsid w:val="35CD41FD"/>
    <w:rsid w:val="35E66965"/>
    <w:rsid w:val="37752382"/>
    <w:rsid w:val="392D364F"/>
    <w:rsid w:val="398443D3"/>
    <w:rsid w:val="3A8C4498"/>
    <w:rsid w:val="3B11613A"/>
    <w:rsid w:val="3DBE1E8B"/>
    <w:rsid w:val="3DC1731A"/>
    <w:rsid w:val="3DED6DDC"/>
    <w:rsid w:val="3F752865"/>
    <w:rsid w:val="3F9C7E20"/>
    <w:rsid w:val="40006FD4"/>
    <w:rsid w:val="40414A46"/>
    <w:rsid w:val="40707609"/>
    <w:rsid w:val="40AD1E7D"/>
    <w:rsid w:val="40B437EF"/>
    <w:rsid w:val="417F390E"/>
    <w:rsid w:val="41CD220A"/>
    <w:rsid w:val="42197A8A"/>
    <w:rsid w:val="434537EE"/>
    <w:rsid w:val="4364010A"/>
    <w:rsid w:val="43830C6E"/>
    <w:rsid w:val="444D4894"/>
    <w:rsid w:val="479710A8"/>
    <w:rsid w:val="47A1104B"/>
    <w:rsid w:val="47BE6D02"/>
    <w:rsid w:val="48390778"/>
    <w:rsid w:val="49431536"/>
    <w:rsid w:val="498024F0"/>
    <w:rsid w:val="499F680C"/>
    <w:rsid w:val="4B455929"/>
    <w:rsid w:val="4B4F0F1E"/>
    <w:rsid w:val="4C5D5098"/>
    <w:rsid w:val="4D9D2287"/>
    <w:rsid w:val="4EC372F3"/>
    <w:rsid w:val="4FE97230"/>
    <w:rsid w:val="50DE5A0D"/>
    <w:rsid w:val="512D5AA3"/>
    <w:rsid w:val="51766288"/>
    <w:rsid w:val="51C97F6E"/>
    <w:rsid w:val="522B0225"/>
    <w:rsid w:val="5239608D"/>
    <w:rsid w:val="52612EFC"/>
    <w:rsid w:val="52817398"/>
    <w:rsid w:val="53031D56"/>
    <w:rsid w:val="537F7C8D"/>
    <w:rsid w:val="539E5931"/>
    <w:rsid w:val="53A04C47"/>
    <w:rsid w:val="542251E9"/>
    <w:rsid w:val="55B4361F"/>
    <w:rsid w:val="590B03C5"/>
    <w:rsid w:val="59A65848"/>
    <w:rsid w:val="59D60B64"/>
    <w:rsid w:val="5A65430E"/>
    <w:rsid w:val="5ACA3526"/>
    <w:rsid w:val="5B172CAC"/>
    <w:rsid w:val="5DD23EEA"/>
    <w:rsid w:val="5FBF45A0"/>
    <w:rsid w:val="60C76CB7"/>
    <w:rsid w:val="6102456D"/>
    <w:rsid w:val="61260204"/>
    <w:rsid w:val="61BE5E24"/>
    <w:rsid w:val="6202667E"/>
    <w:rsid w:val="621F67E9"/>
    <w:rsid w:val="62322946"/>
    <w:rsid w:val="633C5C42"/>
    <w:rsid w:val="63D65732"/>
    <w:rsid w:val="640B0072"/>
    <w:rsid w:val="6435653E"/>
    <w:rsid w:val="64C87897"/>
    <w:rsid w:val="652C7549"/>
    <w:rsid w:val="65633FC4"/>
    <w:rsid w:val="65B4646E"/>
    <w:rsid w:val="664468F6"/>
    <w:rsid w:val="667954BC"/>
    <w:rsid w:val="670E656C"/>
    <w:rsid w:val="67290264"/>
    <w:rsid w:val="67DF4E1A"/>
    <w:rsid w:val="6958027F"/>
    <w:rsid w:val="69FB1963"/>
    <w:rsid w:val="6A997287"/>
    <w:rsid w:val="6AAB7162"/>
    <w:rsid w:val="6AEE2D62"/>
    <w:rsid w:val="6B770FC4"/>
    <w:rsid w:val="6BC661B1"/>
    <w:rsid w:val="6C56607C"/>
    <w:rsid w:val="6D4661A7"/>
    <w:rsid w:val="6DE6435A"/>
    <w:rsid w:val="6E5637A4"/>
    <w:rsid w:val="6E8D322F"/>
    <w:rsid w:val="6FEF5A34"/>
    <w:rsid w:val="70E20EB9"/>
    <w:rsid w:val="715C1188"/>
    <w:rsid w:val="7232526D"/>
    <w:rsid w:val="73335F46"/>
    <w:rsid w:val="7358319E"/>
    <w:rsid w:val="742132E6"/>
    <w:rsid w:val="74AD6A1C"/>
    <w:rsid w:val="756E675F"/>
    <w:rsid w:val="75CF5870"/>
    <w:rsid w:val="75EC3672"/>
    <w:rsid w:val="76782652"/>
    <w:rsid w:val="77B4113A"/>
    <w:rsid w:val="77F26B5E"/>
    <w:rsid w:val="788430ED"/>
    <w:rsid w:val="7AA14940"/>
    <w:rsid w:val="7AF609C7"/>
    <w:rsid w:val="7B4161CA"/>
    <w:rsid w:val="7B7F00DA"/>
    <w:rsid w:val="7C875511"/>
    <w:rsid w:val="7D012ECA"/>
    <w:rsid w:val="7E0932F8"/>
    <w:rsid w:val="7FDB69B6"/>
    <w:rsid w:val="7FFE2047"/>
    <w:rsid w:val="FABFE95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autoRedefine/>
    <w:qFormat/>
    <w:uiPriority w:val="0"/>
    <w:pPr>
      <w:keepNext/>
      <w:spacing w:line="360" w:lineRule="auto"/>
      <w:jc w:val="center"/>
      <w:outlineLvl w:val="0"/>
    </w:pPr>
    <w:rPr>
      <w:rFonts w:ascii="宋体" w:hAnsi="宋体"/>
      <w:b/>
      <w:bCs/>
      <w:sz w:val="32"/>
    </w:rPr>
  </w:style>
  <w:style w:type="paragraph" w:styleId="3">
    <w:name w:val="heading 2"/>
    <w:basedOn w:val="1"/>
    <w:next w:val="1"/>
    <w:link w:val="33"/>
    <w:autoRedefine/>
    <w:qFormat/>
    <w:uiPriority w:val="0"/>
    <w:pPr>
      <w:keepNext/>
      <w:spacing w:line="360" w:lineRule="auto"/>
      <w:jc w:val="left"/>
      <w:outlineLvl w:val="1"/>
    </w:pPr>
    <w:rPr>
      <w:rFonts w:ascii="宋体"/>
      <w:b/>
      <w:sz w:val="24"/>
    </w:rPr>
  </w:style>
  <w:style w:type="paragraph" w:styleId="4">
    <w:name w:val="heading 3"/>
    <w:basedOn w:val="1"/>
    <w:next w:val="1"/>
    <w:autoRedefine/>
    <w:qFormat/>
    <w:uiPriority w:val="0"/>
    <w:pPr>
      <w:widowControl/>
      <w:spacing w:line="360" w:lineRule="auto"/>
      <w:jc w:val="left"/>
      <w:outlineLvl w:val="2"/>
    </w:pPr>
    <w:rPr>
      <w:rFonts w:ascii="宋体" w:hAnsi="宋体" w:cs="宋体"/>
      <w:b/>
      <w:bCs/>
      <w:kern w:val="0"/>
      <w:sz w:val="24"/>
      <w:szCs w:val="27"/>
    </w:rPr>
  </w:style>
  <w:style w:type="paragraph" w:styleId="5">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style>
  <w:style w:type="paragraph" w:styleId="7">
    <w:name w:val="Document Map"/>
    <w:basedOn w:val="1"/>
    <w:next w:val="1"/>
    <w:autoRedefine/>
    <w:unhideWhenUsed/>
    <w:qFormat/>
    <w:uiPriority w:val="0"/>
    <w:rPr>
      <w:rFonts w:ascii="宋体"/>
      <w:sz w:val="18"/>
      <w:szCs w:val="18"/>
    </w:rPr>
  </w:style>
  <w:style w:type="paragraph" w:styleId="8">
    <w:name w:val="toa heading"/>
    <w:basedOn w:val="1"/>
    <w:next w:val="1"/>
    <w:autoRedefine/>
    <w:semiHidden/>
    <w:qFormat/>
    <w:uiPriority w:val="0"/>
    <w:pPr>
      <w:spacing w:before="120"/>
    </w:pPr>
    <w:rPr>
      <w:rFonts w:ascii="Arial" w:hAnsi="Arial" w:cs="Arial"/>
      <w:sz w:val="24"/>
    </w:rPr>
  </w:style>
  <w:style w:type="paragraph" w:styleId="9">
    <w:name w:val="annotation text"/>
    <w:basedOn w:val="1"/>
    <w:autoRedefine/>
    <w:qFormat/>
    <w:uiPriority w:val="0"/>
    <w:pPr>
      <w:jc w:val="left"/>
    </w:pPr>
  </w:style>
  <w:style w:type="paragraph" w:styleId="10">
    <w:name w:val="Body Text 3"/>
    <w:basedOn w:val="1"/>
    <w:autoRedefine/>
    <w:qFormat/>
    <w:uiPriority w:val="0"/>
    <w:rPr>
      <w:sz w:val="16"/>
      <w:szCs w:val="16"/>
    </w:rPr>
  </w:style>
  <w:style w:type="paragraph" w:styleId="11">
    <w:name w:val="Body Text"/>
    <w:basedOn w:val="1"/>
    <w:autoRedefine/>
    <w:qFormat/>
    <w:uiPriority w:val="0"/>
    <w:pPr>
      <w:spacing w:line="500" w:lineRule="exact"/>
      <w:jc w:val="center"/>
    </w:pPr>
    <w:rPr>
      <w:rFonts w:eastAsia="华文仿宋"/>
      <w:sz w:val="24"/>
    </w:rPr>
  </w:style>
  <w:style w:type="paragraph" w:styleId="12">
    <w:name w:val="Body Text Indent"/>
    <w:basedOn w:val="1"/>
    <w:next w:val="1"/>
    <w:autoRedefine/>
    <w:qFormat/>
    <w:uiPriority w:val="0"/>
    <w:pPr>
      <w:spacing w:line="480" w:lineRule="atLeast"/>
      <w:ind w:left="958" w:firstLine="240"/>
    </w:pPr>
    <w:rPr>
      <w:rFonts w:ascii="楷体_GB2312" w:eastAsia="楷体_GB2312"/>
      <w:sz w:val="24"/>
    </w:rPr>
  </w:style>
  <w:style w:type="paragraph" w:styleId="13">
    <w:name w:val="List 2"/>
    <w:basedOn w:val="1"/>
    <w:autoRedefine/>
    <w:qFormat/>
    <w:uiPriority w:val="0"/>
    <w:pPr>
      <w:widowControl/>
      <w:ind w:left="840" w:hanging="420"/>
      <w:jc w:val="left"/>
    </w:pPr>
    <w:rPr>
      <w:rFonts w:ascii="宋体"/>
      <w:kern w:val="0"/>
      <w:sz w:val="22"/>
      <w:szCs w:val="20"/>
    </w:rPr>
  </w:style>
  <w:style w:type="paragraph" w:styleId="14">
    <w:name w:val="toc 5"/>
    <w:basedOn w:val="1"/>
    <w:next w:val="1"/>
    <w:autoRedefine/>
    <w:semiHidden/>
    <w:qFormat/>
    <w:uiPriority w:val="0"/>
    <w:pPr>
      <w:ind w:left="840"/>
      <w:jc w:val="left"/>
    </w:pPr>
    <w:rPr>
      <w:rFonts w:ascii="Times New Roman"/>
      <w:sz w:val="18"/>
      <w:szCs w:val="18"/>
    </w:rPr>
  </w:style>
  <w:style w:type="paragraph" w:styleId="15">
    <w:name w:val="Plain Text"/>
    <w:basedOn w:val="1"/>
    <w:next w:val="1"/>
    <w:autoRedefine/>
    <w:qFormat/>
    <w:uiPriority w:val="0"/>
    <w:rPr>
      <w:rFonts w:ascii="宋体" w:hAnsi="Courier New"/>
      <w:szCs w:val="21"/>
    </w:rPr>
  </w:style>
  <w:style w:type="paragraph" w:styleId="16">
    <w:name w:val="Body Text Indent 2"/>
    <w:basedOn w:val="1"/>
    <w:autoRedefine/>
    <w:qFormat/>
    <w:uiPriority w:val="0"/>
    <w:pPr>
      <w:spacing w:line="300" w:lineRule="atLeast"/>
      <w:ind w:firstLine="480"/>
    </w:pPr>
    <w:rPr>
      <w:rFonts w:ascii="楷体_GB2312" w:eastAsia="楷体_GB2312"/>
    </w:rPr>
  </w:style>
  <w:style w:type="paragraph" w:styleId="17">
    <w:name w:val="Balloon Text"/>
    <w:basedOn w:val="1"/>
    <w:autoRedefine/>
    <w:qFormat/>
    <w:uiPriority w:val="0"/>
    <w:rPr>
      <w:sz w:val="18"/>
      <w:szCs w:val="18"/>
    </w:rPr>
  </w:style>
  <w:style w:type="paragraph" w:styleId="18">
    <w:name w:val="footer"/>
    <w:basedOn w:val="1"/>
    <w:autoRedefine/>
    <w:qFormat/>
    <w:uiPriority w:val="99"/>
    <w:pPr>
      <w:tabs>
        <w:tab w:val="center" w:pos="4153"/>
        <w:tab w:val="right" w:pos="8306"/>
      </w:tabs>
      <w:snapToGrid w:val="0"/>
      <w:jc w:val="left"/>
    </w:pPr>
    <w:rPr>
      <w:rFonts w:eastAsia="华文仿宋"/>
      <w:sz w:val="18"/>
      <w:szCs w:val="18"/>
    </w:rPr>
  </w:style>
  <w:style w:type="paragraph" w:styleId="19">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pPr>
      <w:spacing w:line="360" w:lineRule="auto"/>
      <w:jc w:val="left"/>
    </w:pPr>
    <w:rPr>
      <w:rFonts w:ascii="Calibri" w:hAnsi="Calibri" w:cs="Calibri"/>
      <w:bCs/>
      <w:caps/>
      <w:szCs w:val="20"/>
    </w:rPr>
  </w:style>
  <w:style w:type="paragraph" w:styleId="21">
    <w:name w:val="Body Text Indent 3"/>
    <w:basedOn w:val="1"/>
    <w:qFormat/>
    <w:uiPriority w:val="0"/>
    <w:pPr>
      <w:ind w:left="1260" w:leftChars="600"/>
    </w:pPr>
    <w:rPr>
      <w:szCs w:val="20"/>
    </w:rPr>
  </w:style>
  <w:style w:type="paragraph" w:styleId="22">
    <w:name w:val="toc 2"/>
    <w:basedOn w:val="1"/>
    <w:next w:val="1"/>
    <w:autoRedefine/>
    <w:qFormat/>
    <w:uiPriority w:val="0"/>
    <w:pPr>
      <w:ind w:left="420" w:leftChars="200"/>
    </w:pPr>
  </w:style>
  <w:style w:type="paragraph" w:styleId="23">
    <w:name w:val="HTML Preformatted"/>
    <w:basedOn w:val="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4">
    <w:name w:val="Normal (Web)"/>
    <w:basedOn w:val="1"/>
    <w:autoRedefine/>
    <w:qFormat/>
    <w:uiPriority w:val="0"/>
    <w:pPr>
      <w:widowControl/>
      <w:adjustRightInd w:val="0"/>
      <w:spacing w:beforeAutospacing="1" w:afterAutospacing="1" w:line="360" w:lineRule="atLeast"/>
      <w:jc w:val="left"/>
      <w:textAlignment w:val="baseline"/>
    </w:pPr>
    <w:rPr>
      <w:rFonts w:ascii="宋体" w:hAnsi="宋体" w:cs="宋体"/>
      <w:kern w:val="0"/>
      <w:sz w:val="24"/>
    </w:rPr>
  </w:style>
  <w:style w:type="paragraph" w:styleId="25">
    <w:name w:val="Body Text First Indent"/>
    <w:basedOn w:val="11"/>
    <w:next w:val="1"/>
    <w:autoRedefine/>
    <w:qFormat/>
    <w:uiPriority w:val="0"/>
    <w:pPr>
      <w:tabs>
        <w:tab w:val="left" w:pos="360"/>
      </w:tabs>
      <w:spacing w:line="220" w:lineRule="exact"/>
      <w:ind w:left="360" w:hanging="360" w:firstLineChars="200"/>
      <w:jc w:val="left"/>
    </w:pPr>
    <w:rPr>
      <w:color w:val="7030A0"/>
    </w:rPr>
  </w:style>
  <w:style w:type="paragraph" w:styleId="26">
    <w:name w:val="Body Text First Indent 2"/>
    <w:basedOn w:val="12"/>
    <w:next w:val="1"/>
    <w:autoRedefine/>
    <w:qFormat/>
    <w:uiPriority w:val="0"/>
    <w:pPr>
      <w:spacing w:after="120" w:line="240" w:lineRule="auto"/>
      <w:ind w:left="420" w:leftChars="200" w:firstLine="420" w:firstLineChars="200"/>
    </w:pPr>
    <w:rPr>
      <w:rFonts w:ascii="Times New Roman" w:eastAsia="宋体"/>
      <w:kern w:val="0"/>
      <w:sz w:val="20"/>
      <w:szCs w:val="20"/>
    </w:rPr>
  </w:style>
  <w:style w:type="table" w:styleId="28">
    <w:name w:val="Table Grid"/>
    <w:basedOn w:val="27"/>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autoRedefine/>
    <w:qFormat/>
    <w:uiPriority w:val="22"/>
    <w:rPr>
      <w:b/>
    </w:rPr>
  </w:style>
  <w:style w:type="character" w:customStyle="1" w:styleId="31">
    <w:name w:val="标题 1 字符"/>
    <w:basedOn w:val="29"/>
    <w:link w:val="2"/>
    <w:autoRedefine/>
    <w:qFormat/>
    <w:uiPriority w:val="0"/>
    <w:rPr>
      <w:b/>
      <w:spacing w:val="20"/>
      <w:kern w:val="44"/>
      <w:sz w:val="32"/>
    </w:rPr>
  </w:style>
  <w:style w:type="character" w:customStyle="1" w:styleId="32">
    <w:name w:val="标题 1 Char"/>
    <w:autoRedefine/>
    <w:qFormat/>
    <w:uiPriority w:val="0"/>
    <w:rPr>
      <w:rFonts w:ascii="宋体" w:hAnsi="宋体"/>
      <w:b/>
      <w:bCs/>
      <w:sz w:val="32"/>
    </w:rPr>
  </w:style>
  <w:style w:type="character" w:customStyle="1" w:styleId="33">
    <w:name w:val="标题 2 字符"/>
    <w:link w:val="3"/>
    <w:autoRedefine/>
    <w:qFormat/>
    <w:uiPriority w:val="0"/>
    <w:rPr>
      <w:rFonts w:ascii="宋体"/>
      <w:b/>
      <w:sz w:val="24"/>
    </w:rPr>
  </w:style>
  <w:style w:type="paragraph" w:customStyle="1" w:styleId="34">
    <w:name w:val="表格文字"/>
    <w:basedOn w:val="35"/>
    <w:next w:val="1"/>
    <w:autoRedefine/>
    <w:qFormat/>
    <w:uiPriority w:val="0"/>
    <w:pPr>
      <w:adjustRightInd w:val="0"/>
      <w:spacing w:line="420" w:lineRule="atLeast"/>
      <w:jc w:val="left"/>
      <w:textAlignment w:val="baseline"/>
    </w:pPr>
    <w:rPr>
      <w:kern w:val="0"/>
    </w:rPr>
  </w:style>
  <w:style w:type="paragraph" w:customStyle="1" w:styleId="35">
    <w:name w:val="表格文字图表文字"/>
    <w:basedOn w:val="1"/>
    <w:autoRedefine/>
    <w:qFormat/>
    <w:uiPriority w:val="0"/>
    <w:pPr>
      <w:snapToGrid w:val="0"/>
      <w:ind w:firstLine="200" w:firstLineChars="200"/>
      <w:jc w:val="center"/>
    </w:pPr>
    <w:rPr>
      <w:color w:val="7030A0"/>
      <w:szCs w:val="20"/>
    </w:rPr>
  </w:style>
  <w:style w:type="paragraph" w:styleId="36">
    <w:name w:val="List Paragraph"/>
    <w:basedOn w:val="1"/>
    <w:autoRedefine/>
    <w:qFormat/>
    <w:uiPriority w:val="0"/>
    <w:pPr>
      <w:ind w:firstLine="420" w:firstLineChars="200"/>
    </w:pPr>
    <w:rPr>
      <w:rFonts w:ascii="Calibri" w:hAnsi="Calibri"/>
      <w:szCs w:val="22"/>
    </w:rPr>
  </w:style>
  <w:style w:type="paragraph" w:customStyle="1" w:styleId="37">
    <w:name w:val="Table Paragraph"/>
    <w:basedOn w:val="1"/>
    <w:autoRedefine/>
    <w:qFormat/>
    <w:uiPriority w:val="1"/>
    <w:rPr>
      <w:rFonts w:ascii="宋体" w:hAnsi="宋体" w:cs="宋体"/>
      <w:lang w:val="zh-CN" w:bidi="zh-CN"/>
    </w:rPr>
  </w:style>
  <w:style w:type="paragraph" w:customStyle="1" w:styleId="38">
    <w:name w:val="09正文_wh"/>
    <w:autoRedefine/>
    <w:qFormat/>
    <w:uiPriority w:val="0"/>
    <w:pPr>
      <w:spacing w:line="300" w:lineRule="auto"/>
      <w:ind w:firstLine="200" w:firstLineChars="200"/>
      <w:jc w:val="both"/>
    </w:pPr>
    <w:rPr>
      <w:rFonts w:ascii="Times New Roman" w:hAnsi="Times New Roman" w:eastAsia="宋体" w:cs="Times New Roman"/>
      <w:sz w:val="28"/>
      <w:szCs w:val="28"/>
      <w:lang w:val="en-US" w:eastAsia="zh-CN" w:bidi="ar-SA"/>
    </w:rPr>
  </w:style>
  <w:style w:type="paragraph" w:customStyle="1" w:styleId="39">
    <w:name w:val="实施方案正文"/>
    <w:basedOn w:val="1"/>
    <w:autoRedefine/>
    <w:qFormat/>
    <w:uiPriority w:val="0"/>
    <w:pPr>
      <w:ind w:firstLine="566" w:firstLineChars="202"/>
    </w:pPr>
    <w:rPr>
      <w:kern w:val="0"/>
      <w:szCs w:val="20"/>
    </w:rPr>
  </w:style>
  <w:style w:type="character" w:customStyle="1" w:styleId="40">
    <w:name w:val="grame"/>
    <w:basedOn w:val="29"/>
    <w:autoRedefine/>
    <w:qFormat/>
    <w:uiPriority w:val="0"/>
  </w:style>
  <w:style w:type="paragraph" w:customStyle="1" w:styleId="41">
    <w:name w:val="WPSOffice手动目录 1"/>
    <w:autoRedefine/>
    <w:qFormat/>
    <w:uiPriority w:val="0"/>
    <w:rPr>
      <w:rFonts w:ascii="Times New Roman" w:hAnsi="Times New Roman" w:eastAsia="宋体" w:cs="Times New Roman"/>
      <w:lang w:val="en-US" w:eastAsia="zh-CN" w:bidi="ar-SA"/>
    </w:rPr>
  </w:style>
  <w:style w:type="paragraph" w:customStyle="1" w:styleId="42">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43">
    <w:name w:val="font41"/>
    <w:basedOn w:val="29"/>
    <w:autoRedefine/>
    <w:qFormat/>
    <w:uiPriority w:val="0"/>
    <w:rPr>
      <w:rFonts w:hint="eastAsia" w:ascii="宋体" w:hAnsi="宋体" w:eastAsia="宋体" w:cs="宋体"/>
      <w:color w:val="000000"/>
      <w:sz w:val="24"/>
      <w:szCs w:val="24"/>
      <w:u w:val="none"/>
    </w:rPr>
  </w:style>
  <w:style w:type="character" w:customStyle="1" w:styleId="44">
    <w:name w:val="font31"/>
    <w:basedOn w:val="29"/>
    <w:autoRedefine/>
    <w:qFormat/>
    <w:uiPriority w:val="0"/>
    <w:rPr>
      <w:rFonts w:hint="eastAsia" w:ascii="宋体" w:hAnsi="宋体" w:eastAsia="宋体" w:cs="宋体"/>
      <w:color w:val="000000"/>
      <w:sz w:val="24"/>
      <w:szCs w:val="24"/>
      <w:u w:val="none"/>
    </w:rPr>
  </w:style>
  <w:style w:type="character" w:customStyle="1" w:styleId="45">
    <w:name w:val="font51"/>
    <w:basedOn w:val="29"/>
    <w:autoRedefine/>
    <w:qFormat/>
    <w:uiPriority w:val="0"/>
    <w:rPr>
      <w:rFonts w:hint="eastAsia" w:ascii="宋体" w:hAnsi="宋体" w:eastAsia="宋体" w:cs="宋体"/>
      <w:b/>
      <w:bCs/>
      <w:color w:val="000000"/>
      <w:sz w:val="18"/>
      <w:szCs w:val="18"/>
      <w:u w:val="none"/>
    </w:rPr>
  </w:style>
  <w:style w:type="character" w:customStyle="1" w:styleId="46">
    <w:name w:val="font12"/>
    <w:basedOn w:val="29"/>
    <w:autoRedefine/>
    <w:qFormat/>
    <w:uiPriority w:val="0"/>
    <w:rPr>
      <w:rFonts w:hint="eastAsia" w:ascii="宋体" w:hAnsi="宋体" w:eastAsia="宋体" w:cs="宋体"/>
      <w:b/>
      <w:bCs/>
      <w:color w:val="000000"/>
      <w:sz w:val="20"/>
      <w:szCs w:val="20"/>
      <w:u w:val="none"/>
    </w:rPr>
  </w:style>
  <w:style w:type="character" w:customStyle="1" w:styleId="47">
    <w:name w:val="font101"/>
    <w:basedOn w:val="29"/>
    <w:autoRedefine/>
    <w:qFormat/>
    <w:uiPriority w:val="0"/>
    <w:rPr>
      <w:rFonts w:hint="eastAsia" w:ascii="宋体" w:hAnsi="宋体" w:eastAsia="宋体" w:cs="宋体"/>
      <w:b/>
      <w:bCs/>
      <w:color w:val="FF0000"/>
      <w:sz w:val="18"/>
      <w:szCs w:val="18"/>
      <w:u w:val="none"/>
    </w:rPr>
  </w:style>
  <w:style w:type="character" w:customStyle="1" w:styleId="48">
    <w:name w:val="font111"/>
    <w:basedOn w:val="29"/>
    <w:autoRedefine/>
    <w:qFormat/>
    <w:uiPriority w:val="0"/>
    <w:rPr>
      <w:rFonts w:hint="eastAsia" w:ascii="宋体" w:hAnsi="宋体" w:eastAsia="宋体" w:cs="宋体"/>
      <w:b/>
      <w:bCs/>
      <w:color w:val="000000"/>
      <w:sz w:val="18"/>
      <w:szCs w:val="18"/>
      <w:u w:val="none"/>
    </w:rPr>
  </w:style>
  <w:style w:type="paragraph" w:customStyle="1" w:styleId="49">
    <w:name w:val="Table Text"/>
    <w:basedOn w:val="1"/>
    <w:autoRedefine/>
    <w:semiHidden/>
    <w:qFormat/>
    <w:uiPriority w:val="0"/>
    <w:rPr>
      <w:rFonts w:ascii="微软雅黑" w:hAnsi="微软雅黑" w:eastAsia="微软雅黑" w:cs="微软雅黑"/>
      <w:sz w:val="28"/>
      <w:szCs w:val="28"/>
      <w:lang w:val="en-US" w:eastAsia="en-US" w:bidi="ar-SA"/>
    </w:rPr>
  </w:style>
  <w:style w:type="table" w:customStyle="1" w:styleId="50">
    <w:name w:val="Table Normal"/>
    <w:autoRedefine/>
    <w:semiHidden/>
    <w:unhideWhenUsed/>
    <w:qFormat/>
    <w:uiPriority w:val="0"/>
    <w:tblPr>
      <w:tblCellMar>
        <w:top w:w="0" w:type="dxa"/>
        <w:left w:w="0" w:type="dxa"/>
        <w:bottom w:w="0" w:type="dxa"/>
        <w:right w:w="0" w:type="dxa"/>
      </w:tblCellMar>
    </w:tblPr>
  </w:style>
  <w:style w:type="paragraph" w:customStyle="1" w:styleId="5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2">
    <w:name w:val="列出段落1"/>
    <w:basedOn w:val="1"/>
    <w:autoRedefine/>
    <w:qFormat/>
    <w:uiPriority w:val="34"/>
    <w:pPr>
      <w:ind w:firstLine="420" w:firstLineChars="200"/>
    </w:pPr>
    <w:rPr>
      <w:szCs w:val="20"/>
    </w:rPr>
  </w:style>
  <w:style w:type="character" w:customStyle="1" w:styleId="53">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52E951-81CC-49B2-8EE1-8A919A8BFD90}">
  <ds:schemaRefs/>
</ds:datastoreItem>
</file>

<file path=docProps/app.xml><?xml version="1.0" encoding="utf-8"?>
<Properties xmlns="http://schemas.openxmlformats.org/officeDocument/2006/extended-properties" xmlns:vt="http://schemas.openxmlformats.org/officeDocument/2006/docPropsVTypes">
  <Template>Normal</Template>
  <Pages>66</Pages>
  <Words>15528</Words>
  <Characters>16908</Characters>
  <Lines>72</Lines>
  <Paragraphs>86</Paragraphs>
  <TotalTime>3</TotalTime>
  <ScaleCrop>false</ScaleCrop>
  <LinksUpToDate>false</LinksUpToDate>
  <CharactersWithSpaces>17747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2022-03-23T08:43:00Z</dcterms:created>
  <dc:creator>YH</dc:creator>
  <cp:lastModifiedBy>清冷</cp:lastModifiedBy>
  <cp:lastPrinted>2024-04-08T03:05:00Z</cp:lastPrinted>
  <dcterms:modified xsi:type="dcterms:W3CDTF">2025-07-10T06:52:33Z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590134663228424086FD14718BA86C28_13</vt:lpwstr>
  </property>
  <property fmtid="{D5CDD505-2E9C-101B-9397-08002B2CF9AE}" pid="3" name="KSOProductBuildVer">
    <vt:lpwstr>2052-12.1.0.21915</vt:lpwstr>
  </property>
  <property fmtid="{D5CDD505-2E9C-101B-9397-08002B2CF9AE}" pid="4" name="KSOTemplateDocerSaveRecord">
    <vt:lpwstr>eyJoZGlkIjoiN2ZjMmQxNzNkM2I0YTcxMGQwZjc1ZWU3NTk1Mzc3ZGMiLCJ1c2VySWQiOiIzMTYzNTE4NTMifQ==</vt:lpwstr>
  </property>
</Properties>
</file>