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27379A">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44"/>
          <w:szCs w:val="44"/>
          <w:highlight w:val="none"/>
        </w:rPr>
      </w:pPr>
    </w:p>
    <w:p w14:paraId="10BB0FE2">
      <w:pPr>
        <w:pageBreakBefore w:val="0"/>
        <w:widowControl w:val="0"/>
        <w:shd w:val="clear" w:color="auto" w:fill="auto"/>
        <w:kinsoku/>
        <w:autoSpaceDE/>
        <w:bidi w:val="0"/>
        <w:jc w:val="center"/>
        <w:rPr>
          <w:rFonts w:hint="eastAsia" w:asciiTheme="minorEastAsia" w:hAnsiTheme="minorEastAsia" w:eastAsiaTheme="minorEastAsia" w:cstheme="minorEastAsia"/>
          <w:color w:val="auto"/>
          <w:sz w:val="52"/>
          <w:szCs w:val="52"/>
          <w:highlight w:val="none"/>
        </w:rPr>
      </w:pPr>
      <w:r>
        <w:rPr>
          <w:rFonts w:hint="eastAsia" w:asciiTheme="minorEastAsia" w:hAnsiTheme="minorEastAsia" w:eastAsiaTheme="minorEastAsia" w:cstheme="minorEastAsia"/>
          <w:b/>
          <w:color w:val="auto"/>
          <w:sz w:val="40"/>
          <w:szCs w:val="40"/>
          <w:highlight w:val="none"/>
          <w:lang w:eastAsia="zh-CN"/>
        </w:rPr>
        <w:t>永德县永康林场国家澳洲坚果良种基地2025年中央财政林木良种培育补助项目</w:t>
      </w:r>
    </w:p>
    <w:p w14:paraId="5867D520">
      <w:pPr>
        <w:pStyle w:val="10"/>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4DCBD85A">
      <w:pPr>
        <w:pStyle w:val="14"/>
        <w:pageBreakBefore w:val="0"/>
        <w:widowControl w:val="0"/>
        <w:shd w:val="clear" w:color="auto" w:fill="auto"/>
        <w:kinsoku/>
        <w:autoSpaceDE/>
        <w:bidi w:val="0"/>
        <w:jc w:val="center"/>
        <w:rPr>
          <w:rFonts w:hint="eastAsia" w:asciiTheme="minorEastAsia" w:hAnsiTheme="minorEastAsia" w:eastAsiaTheme="minorEastAsia" w:cstheme="minorEastAsia"/>
          <w:color w:val="auto"/>
          <w:sz w:val="72"/>
          <w:highlight w:val="none"/>
        </w:rPr>
      </w:pPr>
    </w:p>
    <w:p w14:paraId="370A7FA8">
      <w:pPr>
        <w:pStyle w:val="14"/>
        <w:pageBreakBefore w:val="0"/>
        <w:widowControl w:val="0"/>
        <w:shd w:val="clear" w:color="auto" w:fill="auto"/>
        <w:kinsoku/>
        <w:autoSpaceDE/>
        <w:bidi w:val="0"/>
        <w:jc w:val="center"/>
        <w:rPr>
          <w:rFonts w:hint="eastAsia" w:asciiTheme="minorEastAsia" w:hAnsiTheme="minorEastAsia" w:eastAsiaTheme="minorEastAsia" w:cstheme="minorEastAsia"/>
          <w:color w:val="auto"/>
          <w:sz w:val="72"/>
          <w:highlight w:val="none"/>
        </w:rPr>
      </w:pPr>
    </w:p>
    <w:p w14:paraId="6CEA4B83">
      <w:pPr>
        <w:pStyle w:val="14"/>
        <w:pageBreakBefore w:val="0"/>
        <w:widowControl w:val="0"/>
        <w:shd w:val="clear" w:color="auto" w:fill="auto"/>
        <w:kinsoku/>
        <w:autoSpaceDE/>
        <w:bidi w:val="0"/>
        <w:jc w:val="both"/>
        <w:rPr>
          <w:rFonts w:hint="eastAsia" w:asciiTheme="minorEastAsia" w:hAnsiTheme="minorEastAsia" w:eastAsiaTheme="minorEastAsia" w:cstheme="minorEastAsia"/>
          <w:color w:val="auto"/>
          <w:sz w:val="72"/>
          <w:highlight w:val="none"/>
        </w:rPr>
      </w:pPr>
    </w:p>
    <w:p w14:paraId="2D6ACAF9">
      <w:pPr>
        <w:pStyle w:val="14"/>
        <w:pageBreakBefore w:val="0"/>
        <w:widowControl w:val="0"/>
        <w:shd w:val="clear" w:color="auto" w:fill="auto"/>
        <w:kinsoku/>
        <w:autoSpaceDE/>
        <w:bidi w:val="0"/>
        <w:jc w:val="both"/>
        <w:rPr>
          <w:rFonts w:hint="eastAsia" w:asciiTheme="minorEastAsia" w:hAnsiTheme="minorEastAsia" w:eastAsiaTheme="minorEastAsia" w:cstheme="minorEastAsia"/>
          <w:color w:val="auto"/>
          <w:sz w:val="28"/>
          <w:szCs w:val="28"/>
          <w:highlight w:val="none"/>
        </w:rPr>
      </w:pPr>
    </w:p>
    <w:p w14:paraId="55784010">
      <w:pPr>
        <w:pStyle w:val="14"/>
        <w:pageBreakBefore w:val="0"/>
        <w:widowControl w:val="0"/>
        <w:shd w:val="clear" w:color="auto" w:fill="auto"/>
        <w:kinsoku/>
        <w:autoSpaceDE/>
        <w:bidi w:val="0"/>
        <w:jc w:val="both"/>
        <w:rPr>
          <w:rFonts w:hint="eastAsia" w:asciiTheme="minorEastAsia" w:hAnsiTheme="minorEastAsia" w:eastAsiaTheme="minorEastAsia" w:cstheme="minorEastAsia"/>
          <w:color w:val="auto"/>
          <w:sz w:val="28"/>
          <w:szCs w:val="28"/>
          <w:highlight w:val="none"/>
        </w:rPr>
      </w:pPr>
    </w:p>
    <w:p w14:paraId="0EF3B02D">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52"/>
          <w:highlight w:val="none"/>
          <w:lang w:val="en-US" w:eastAsia="zh-CN"/>
        </w:rPr>
        <w:t xml:space="preserve">竞 争 性 磋 商 </w:t>
      </w:r>
      <w:r>
        <w:rPr>
          <w:rFonts w:hint="eastAsia" w:asciiTheme="minorEastAsia" w:hAnsiTheme="minorEastAsia" w:eastAsiaTheme="minorEastAsia" w:cstheme="minorEastAsia"/>
          <w:b/>
          <w:color w:val="auto"/>
          <w:sz w:val="52"/>
          <w:highlight w:val="none"/>
        </w:rPr>
        <w:t>文</w:t>
      </w:r>
      <w:r>
        <w:rPr>
          <w:rFonts w:hint="eastAsia" w:asciiTheme="minorEastAsia" w:hAnsiTheme="minorEastAsia" w:eastAsiaTheme="minorEastAsia" w:cstheme="minorEastAsia"/>
          <w:b/>
          <w:color w:val="auto"/>
          <w:sz w:val="52"/>
          <w:highlight w:val="none"/>
          <w:lang w:val="en-US" w:eastAsia="zh-CN"/>
        </w:rPr>
        <w:t xml:space="preserve"> </w:t>
      </w:r>
      <w:r>
        <w:rPr>
          <w:rFonts w:hint="eastAsia" w:asciiTheme="minorEastAsia" w:hAnsiTheme="minorEastAsia" w:eastAsiaTheme="minorEastAsia" w:cstheme="minorEastAsia"/>
          <w:b/>
          <w:color w:val="auto"/>
          <w:sz w:val="52"/>
          <w:highlight w:val="none"/>
        </w:rPr>
        <w:t>件</w:t>
      </w:r>
    </w:p>
    <w:p w14:paraId="11CCA1ED">
      <w:pPr>
        <w:pStyle w:val="14"/>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招标编号：</w:t>
      </w:r>
      <w:r>
        <w:rPr>
          <w:rFonts w:hint="eastAsia" w:asciiTheme="minorEastAsia" w:hAnsiTheme="minorEastAsia" w:eastAsiaTheme="minorEastAsia" w:cstheme="minorEastAsia"/>
          <w:b/>
          <w:color w:val="auto"/>
          <w:sz w:val="32"/>
          <w:szCs w:val="32"/>
          <w:highlight w:val="none"/>
          <w:lang w:eastAsia="zh-CN"/>
        </w:rPr>
        <w:t>BK-2026ZC-5023</w:t>
      </w:r>
    </w:p>
    <w:p w14:paraId="52FA1707">
      <w:pPr>
        <w:pStyle w:val="14"/>
        <w:pageBreakBefore w:val="0"/>
        <w:widowControl w:val="0"/>
        <w:shd w:val="clear" w:color="auto" w:fill="auto"/>
        <w:kinsoku/>
        <w:autoSpaceDE/>
        <w:bidi w:val="0"/>
        <w:jc w:val="center"/>
        <w:rPr>
          <w:rFonts w:hint="default"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项目编号:LCZC2026-C3-00483-YNBK-0022</w:t>
      </w:r>
    </w:p>
    <w:p w14:paraId="19D0337F">
      <w:pPr>
        <w:pStyle w:val="14"/>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0CC0E735">
      <w:pPr>
        <w:pStyle w:val="14"/>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3DD1244E">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36"/>
          <w:highlight w:val="none"/>
        </w:rPr>
      </w:pPr>
    </w:p>
    <w:p w14:paraId="11C74927">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36"/>
          <w:highlight w:val="none"/>
        </w:rPr>
      </w:pPr>
    </w:p>
    <w:p w14:paraId="1ACD02CC">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36"/>
          <w:highlight w:val="none"/>
        </w:rPr>
      </w:pPr>
    </w:p>
    <w:p w14:paraId="489BF656">
      <w:pPr>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1B1EE130">
      <w:pPr>
        <w:pStyle w:val="10"/>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5B1BE7A9">
      <w:pPr>
        <w:pStyle w:val="11"/>
        <w:pageBreakBefore w:val="0"/>
        <w:widowControl w:val="0"/>
        <w:kinsoku/>
        <w:autoSpaceDE/>
        <w:bidi w:val="0"/>
        <w:rPr>
          <w:rFonts w:hint="eastAsia" w:asciiTheme="minorEastAsia" w:hAnsiTheme="minorEastAsia" w:eastAsiaTheme="minorEastAsia" w:cstheme="minorEastAsia"/>
          <w:color w:val="auto"/>
          <w:highlight w:val="none"/>
        </w:rPr>
      </w:pPr>
    </w:p>
    <w:p w14:paraId="0D640465">
      <w:pPr>
        <w:pageBreakBefore w:val="0"/>
        <w:widowControl w:val="0"/>
        <w:kinsoku/>
        <w:autoSpaceDE/>
        <w:bidi w:val="0"/>
        <w:rPr>
          <w:rFonts w:hint="eastAsia"/>
          <w:color w:val="auto"/>
          <w:highlight w:val="none"/>
        </w:rPr>
      </w:pPr>
    </w:p>
    <w:p w14:paraId="58398A78">
      <w:pPr>
        <w:pageBreakBefore w:val="0"/>
        <w:widowControl w:val="0"/>
        <w:shd w:val="clear" w:color="auto" w:fill="auto"/>
        <w:kinsoku/>
        <w:autoSpaceDE/>
        <w:bidi w:val="0"/>
        <w:spacing w:line="800" w:lineRule="exact"/>
        <w:rPr>
          <w:rFonts w:hint="eastAsia" w:asciiTheme="minorEastAsia" w:hAnsiTheme="minorEastAsia" w:eastAsiaTheme="minorEastAsia" w:cstheme="minorEastAsia"/>
          <w:b/>
          <w:color w:val="auto"/>
          <w:sz w:val="36"/>
          <w:szCs w:val="36"/>
          <w:highlight w:val="none"/>
        </w:rPr>
      </w:pPr>
    </w:p>
    <w:p w14:paraId="740C4DC9">
      <w:pPr>
        <w:pageBreakBefore w:val="0"/>
        <w:widowControl w:val="0"/>
        <w:shd w:val="clear" w:color="auto" w:fill="auto"/>
        <w:kinsoku/>
        <w:autoSpaceDE/>
        <w:bidi w:val="0"/>
        <w:spacing w:line="800" w:lineRule="exact"/>
        <w:ind w:firstLine="723" w:firstLineChars="200"/>
        <w:rPr>
          <w:rFonts w:hint="eastAsia" w:asciiTheme="minorEastAsia" w:hAnsiTheme="minorEastAsia" w:eastAsiaTheme="minorEastAsia" w:cstheme="minorEastAsia"/>
          <w:b/>
          <w:color w:val="auto"/>
          <w:sz w:val="36"/>
          <w:szCs w:val="36"/>
          <w:highlight w:val="none"/>
          <w:u w:val="none"/>
        </w:rPr>
      </w:pPr>
      <w:r>
        <w:rPr>
          <w:rFonts w:hint="eastAsia" w:asciiTheme="minorEastAsia" w:hAnsiTheme="minorEastAsia" w:eastAsiaTheme="minorEastAsia" w:cstheme="minorEastAsia"/>
          <w:b/>
          <w:color w:val="auto"/>
          <w:sz w:val="36"/>
          <w:szCs w:val="36"/>
          <w:highlight w:val="none"/>
        </w:rPr>
        <w:t>采   购   人：</w:t>
      </w:r>
      <w:r>
        <w:rPr>
          <w:rFonts w:hint="eastAsia" w:asciiTheme="minorEastAsia" w:hAnsiTheme="minorEastAsia" w:eastAsiaTheme="minorEastAsia" w:cstheme="minorEastAsia"/>
          <w:b/>
          <w:color w:val="auto"/>
          <w:sz w:val="36"/>
          <w:szCs w:val="36"/>
          <w:highlight w:val="none"/>
          <w:lang w:eastAsia="zh-CN"/>
        </w:rPr>
        <w:t>永德县林业和草原局</w:t>
      </w:r>
    </w:p>
    <w:p w14:paraId="7826ADA3">
      <w:pPr>
        <w:pageBreakBefore w:val="0"/>
        <w:widowControl w:val="0"/>
        <w:shd w:val="clear" w:color="auto" w:fill="auto"/>
        <w:kinsoku/>
        <w:autoSpaceDE/>
        <w:bidi w:val="0"/>
        <w:spacing w:line="800" w:lineRule="exact"/>
        <w:ind w:firstLine="723" w:firstLineChars="200"/>
        <w:rPr>
          <w:rFonts w:hint="eastAsia" w:asciiTheme="minorEastAsia" w:hAnsiTheme="minorEastAsia" w:eastAsiaTheme="minorEastAsia" w:cstheme="minorEastAsia"/>
          <w:b/>
          <w:color w:val="auto"/>
          <w:sz w:val="36"/>
          <w:szCs w:val="36"/>
          <w:highlight w:val="none"/>
          <w:u w:val="none"/>
          <w:lang w:eastAsia="zh-CN"/>
        </w:rPr>
      </w:pPr>
      <w:r>
        <w:rPr>
          <w:rFonts w:hint="eastAsia" w:asciiTheme="minorEastAsia" w:hAnsiTheme="minorEastAsia" w:eastAsiaTheme="minorEastAsia" w:cstheme="minorEastAsia"/>
          <w:b/>
          <w:color w:val="auto"/>
          <w:sz w:val="36"/>
          <w:szCs w:val="36"/>
          <w:highlight w:val="none"/>
          <w:u w:val="none"/>
        </w:rPr>
        <w:t>采购代理机构：</w:t>
      </w:r>
      <w:r>
        <w:rPr>
          <w:rFonts w:hint="eastAsia" w:asciiTheme="minorEastAsia" w:hAnsiTheme="minorEastAsia" w:eastAsiaTheme="minorEastAsia" w:cstheme="minorEastAsia"/>
          <w:b/>
          <w:color w:val="auto"/>
          <w:sz w:val="36"/>
          <w:szCs w:val="36"/>
          <w:highlight w:val="none"/>
          <w:u w:val="none"/>
          <w:lang w:eastAsia="zh-CN"/>
        </w:rPr>
        <w:t>云南帮克工程咨询有限公司</w:t>
      </w:r>
    </w:p>
    <w:p w14:paraId="38C599E3">
      <w:pPr>
        <w:pageBreakBefore w:val="0"/>
        <w:widowControl w:val="0"/>
        <w:shd w:val="clear" w:color="auto" w:fill="auto"/>
        <w:kinsoku/>
        <w:autoSpaceDE/>
        <w:bidi w:val="0"/>
        <w:spacing w:line="800" w:lineRule="exact"/>
        <w:ind w:firstLine="723" w:firstLineChars="200"/>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日</w:t>
      </w:r>
      <w:r>
        <w:rPr>
          <w:rFonts w:hint="eastAsia" w:asciiTheme="minorEastAsia" w:hAnsiTheme="minorEastAsia" w:eastAsiaTheme="minorEastAsia" w:cstheme="minorEastAsia"/>
          <w:b/>
          <w:color w:val="auto"/>
          <w:sz w:val="36"/>
          <w:szCs w:val="36"/>
          <w:highlight w:val="none"/>
          <w:lang w:val="en-US" w:eastAsia="zh-CN"/>
        </w:rPr>
        <w:t xml:space="preserve">        </w:t>
      </w:r>
      <w:r>
        <w:rPr>
          <w:rFonts w:hint="eastAsia" w:asciiTheme="minorEastAsia" w:hAnsiTheme="minorEastAsia" w:eastAsiaTheme="minorEastAsia" w:cstheme="minorEastAsia"/>
          <w:b/>
          <w:color w:val="auto"/>
          <w:sz w:val="36"/>
          <w:szCs w:val="36"/>
          <w:highlight w:val="none"/>
        </w:rPr>
        <w:t>期：</w:t>
      </w:r>
      <w:r>
        <w:rPr>
          <w:rFonts w:hint="eastAsia" w:asciiTheme="minorEastAsia" w:hAnsiTheme="minorEastAsia" w:eastAsiaTheme="minorEastAsia" w:cstheme="minorEastAsia"/>
          <w:b/>
          <w:color w:val="auto"/>
          <w:sz w:val="36"/>
          <w:szCs w:val="36"/>
          <w:highlight w:val="none"/>
          <w:u w:val="none"/>
        </w:rPr>
        <w:t>202</w:t>
      </w:r>
      <w:r>
        <w:rPr>
          <w:rFonts w:hint="eastAsia" w:asciiTheme="minorEastAsia" w:hAnsiTheme="minorEastAsia" w:eastAsiaTheme="minorEastAsia" w:cstheme="minorEastAsia"/>
          <w:b/>
          <w:color w:val="auto"/>
          <w:sz w:val="36"/>
          <w:szCs w:val="36"/>
          <w:highlight w:val="none"/>
          <w:u w:val="none"/>
          <w:lang w:val="en-US" w:eastAsia="zh-CN"/>
        </w:rPr>
        <w:t>6</w:t>
      </w:r>
      <w:r>
        <w:rPr>
          <w:rFonts w:hint="eastAsia" w:asciiTheme="minorEastAsia" w:hAnsiTheme="minorEastAsia" w:eastAsiaTheme="minorEastAsia" w:cstheme="minorEastAsia"/>
          <w:b/>
          <w:color w:val="auto"/>
          <w:sz w:val="36"/>
          <w:szCs w:val="36"/>
          <w:highlight w:val="none"/>
          <w:u w:val="none"/>
        </w:rPr>
        <w:t>年</w:t>
      </w:r>
      <w:r>
        <w:rPr>
          <w:rFonts w:hint="eastAsia" w:asciiTheme="minorEastAsia" w:hAnsiTheme="minorEastAsia" w:eastAsiaTheme="minorEastAsia" w:cstheme="minorEastAsia"/>
          <w:b/>
          <w:color w:val="auto"/>
          <w:sz w:val="36"/>
          <w:szCs w:val="36"/>
          <w:highlight w:val="none"/>
          <w:u w:val="none"/>
          <w:lang w:val="en-US" w:eastAsia="zh-CN"/>
        </w:rPr>
        <w:t>6</w:t>
      </w:r>
      <w:r>
        <w:rPr>
          <w:rFonts w:hint="eastAsia" w:asciiTheme="minorEastAsia" w:hAnsiTheme="minorEastAsia" w:eastAsiaTheme="minorEastAsia" w:cstheme="minorEastAsia"/>
          <w:b/>
          <w:color w:val="auto"/>
          <w:sz w:val="36"/>
          <w:szCs w:val="36"/>
          <w:highlight w:val="none"/>
        </w:rPr>
        <w:t>月</w:t>
      </w:r>
    </w:p>
    <w:p w14:paraId="1DD5454D">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32"/>
          <w:szCs w:val="32"/>
          <w:highlight w:val="none"/>
        </w:rPr>
        <w:sectPr>
          <w:headerReference r:id="rId5" w:type="first"/>
          <w:headerReference r:id="rId3" w:type="default"/>
          <w:footerReference r:id="rId6" w:type="default"/>
          <w:headerReference r:id="rId4" w:type="even"/>
          <w:footerReference r:id="rId7" w:type="even"/>
          <w:pgSz w:w="11906" w:h="16838"/>
          <w:pgMar w:top="1440" w:right="1440" w:bottom="1440" w:left="1440" w:header="850" w:footer="992" w:gutter="0"/>
          <w:pgNumType w:fmt="decimal" w:start="1"/>
          <w:cols w:space="0" w:num="1"/>
          <w:rtlGutter w:val="0"/>
          <w:docGrid w:linePitch="321" w:charSpace="0"/>
        </w:sectPr>
      </w:pPr>
    </w:p>
    <w:p w14:paraId="30B634F6">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44"/>
          <w:szCs w:val="44"/>
          <w:highlight w:val="none"/>
        </w:rPr>
        <w:br w:type="page"/>
      </w:r>
      <w:r>
        <w:rPr>
          <w:rFonts w:hint="eastAsia" w:asciiTheme="minorEastAsia" w:hAnsiTheme="minorEastAsia" w:eastAsiaTheme="minorEastAsia" w:cstheme="minorEastAsia"/>
          <w:b/>
          <w:color w:val="auto"/>
          <w:sz w:val="36"/>
          <w:szCs w:val="36"/>
          <w:highlight w:val="none"/>
        </w:rPr>
        <w:t>目     录</w:t>
      </w:r>
    </w:p>
    <w:p w14:paraId="78066AFF">
      <w:pPr>
        <w:pageBreakBefore w:val="0"/>
        <w:widowControl w:val="0"/>
        <w:shd w:val="clear" w:color="auto" w:fill="auto"/>
        <w:kinsoku/>
        <w:autoSpaceDE/>
        <w:bidi w:val="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smallCaps/>
          <w:color w:val="auto"/>
          <w:sz w:val="36"/>
          <w:szCs w:val="36"/>
          <w:highlight w:val="none"/>
        </w:rPr>
        <w:t xml:space="preserve"> </w:t>
      </w:r>
    </w:p>
    <w:p w14:paraId="4FBE57A0">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 w:val="0"/>
          <w:bCs/>
          <w:color w:val="auto"/>
          <w:sz w:val="32"/>
          <w:szCs w:val="32"/>
          <w:highlight w:val="none"/>
        </w:rPr>
        <w:fldChar w:fldCharType="begin"/>
      </w:r>
      <w:r>
        <w:rPr>
          <w:rFonts w:hint="eastAsia" w:ascii="宋体" w:hAnsi="宋体" w:eastAsia="宋体" w:cs="宋体"/>
          <w:b w:val="0"/>
          <w:bCs/>
          <w:color w:val="auto"/>
          <w:sz w:val="32"/>
          <w:szCs w:val="32"/>
          <w:highlight w:val="none"/>
        </w:rPr>
        <w:instrText xml:space="preserve">TOC \o "1-3" \h \u </w:instrText>
      </w:r>
      <w:r>
        <w:rPr>
          <w:rFonts w:hint="eastAsia" w:ascii="宋体" w:hAnsi="宋体" w:eastAsia="宋体" w:cs="宋体"/>
          <w:b w:val="0"/>
          <w:bCs/>
          <w:color w:val="auto"/>
          <w:sz w:val="32"/>
          <w:szCs w:val="32"/>
          <w:highlight w:val="none"/>
        </w:rPr>
        <w:fldChar w:fldCharType="separate"/>
      </w: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_Toc21606 </w:instrText>
      </w:r>
      <w:r>
        <w:rPr>
          <w:rFonts w:hint="eastAsia" w:ascii="宋体" w:hAnsi="宋体" w:eastAsia="宋体" w:cs="宋体"/>
          <w:bCs/>
          <w:sz w:val="28"/>
          <w:szCs w:val="28"/>
          <w:highlight w:val="none"/>
        </w:rPr>
        <w:fldChar w:fldCharType="separate"/>
      </w:r>
      <w:r>
        <w:rPr>
          <w:rFonts w:hint="eastAsia" w:ascii="宋体" w:hAnsi="宋体" w:eastAsia="宋体" w:cs="宋体"/>
          <w:kern w:val="0"/>
          <w:sz w:val="28"/>
          <w:szCs w:val="28"/>
          <w:highlight w:val="none"/>
        </w:rPr>
        <w:t xml:space="preserve">第一章 </w:t>
      </w:r>
      <w:r>
        <w:rPr>
          <w:rFonts w:hint="eastAsia" w:ascii="宋体" w:hAnsi="宋体" w:eastAsia="宋体" w:cs="宋体"/>
          <w:kern w:val="0"/>
          <w:sz w:val="28"/>
          <w:szCs w:val="28"/>
          <w:highlight w:val="none"/>
          <w:lang w:eastAsia="zh-CN"/>
        </w:rPr>
        <w:t>竞争性磋商公告</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_Toc21606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326770FA">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_Toc31028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 xml:space="preserve">第二章 </w:t>
      </w:r>
      <w:r>
        <w:rPr>
          <w:rFonts w:hint="eastAsia" w:ascii="宋体" w:hAnsi="宋体" w:eastAsia="宋体" w:cs="宋体"/>
          <w:sz w:val="28"/>
          <w:szCs w:val="28"/>
          <w:highlight w:val="none"/>
          <w:lang w:val="en-US" w:eastAsia="zh-CN"/>
        </w:rPr>
        <w:t>竞争性磋商须知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_Toc31028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7</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6BB3E8C6">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_Toc1834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三</w:t>
      </w:r>
      <w:r>
        <w:rPr>
          <w:rFonts w:hint="eastAsia" w:ascii="宋体" w:hAnsi="宋体" w:eastAsia="宋体" w:cs="宋体"/>
          <w:sz w:val="28"/>
          <w:szCs w:val="28"/>
          <w:highlight w:val="none"/>
        </w:rPr>
        <w:t>章 竞争性磋商评审办法</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_Toc1834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17</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073F8103">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_Toc13975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lang w:val="en-US" w:eastAsia="zh-CN"/>
        </w:rPr>
        <w:t xml:space="preserve">第四章 </w:t>
      </w:r>
      <w:r>
        <w:rPr>
          <w:rFonts w:hint="eastAsia" w:ascii="宋体" w:hAnsi="宋体" w:eastAsia="宋体" w:cs="宋体"/>
          <w:sz w:val="28"/>
          <w:szCs w:val="28"/>
          <w:highlight w:val="none"/>
        </w:rPr>
        <w:t>合同主要条款</w:t>
      </w:r>
      <w:r>
        <w:rPr>
          <w:rFonts w:hint="eastAsia" w:ascii="宋体" w:hAnsi="宋体" w:eastAsia="宋体" w:cs="宋体"/>
          <w:sz w:val="28"/>
          <w:szCs w:val="28"/>
          <w:highlight w:val="none"/>
          <w:lang w:val="en-US" w:eastAsia="zh-CN"/>
        </w:rPr>
        <w:t>及</w:t>
      </w:r>
      <w:r>
        <w:rPr>
          <w:rFonts w:hint="eastAsia" w:ascii="宋体" w:hAnsi="宋体" w:eastAsia="宋体" w:cs="宋体"/>
          <w:sz w:val="28"/>
          <w:szCs w:val="28"/>
          <w:highlight w:val="none"/>
        </w:rPr>
        <w:t>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_Toc13975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29</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46346AE4">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_Toc28950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 xml:space="preserve">章 </w:t>
      </w:r>
      <w:r>
        <w:rPr>
          <w:rFonts w:hint="eastAsia" w:ascii="宋体" w:hAnsi="宋体" w:eastAsia="宋体" w:cs="宋体"/>
          <w:sz w:val="28"/>
          <w:szCs w:val="28"/>
          <w:highlight w:val="none"/>
          <w:lang w:eastAsia="zh-CN"/>
        </w:rPr>
        <w:t>竞争性磋商响应文件</w:t>
      </w:r>
      <w:r>
        <w:rPr>
          <w:rFonts w:hint="eastAsia" w:ascii="宋体" w:hAnsi="宋体" w:eastAsia="宋体" w:cs="宋体"/>
          <w:sz w:val="28"/>
          <w:szCs w:val="28"/>
          <w:highlight w:val="none"/>
        </w:rPr>
        <w:t>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_Toc28950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35</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15524418">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_Toc18710 </w:instrText>
      </w:r>
      <w:r>
        <w:rPr>
          <w:rFonts w:hint="eastAsia" w:ascii="宋体" w:hAnsi="宋体" w:eastAsia="宋体" w:cs="宋体"/>
          <w:bCs/>
          <w:sz w:val="28"/>
          <w:szCs w:val="28"/>
          <w:highlight w:val="none"/>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六</w:t>
      </w:r>
      <w:r>
        <w:rPr>
          <w:rFonts w:hint="eastAsia" w:ascii="宋体" w:hAnsi="宋体" w:eastAsia="宋体" w:cs="宋体"/>
          <w:sz w:val="28"/>
          <w:szCs w:val="28"/>
          <w:highlight w:val="none"/>
        </w:rPr>
        <w:t>章 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_Toc18710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53</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6992AB86">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rFonts w:hint="eastAsia" w:ascii="宋体" w:hAnsi="宋体" w:eastAsia="宋体" w:cs="宋体"/>
          <w:sz w:val="28"/>
          <w:szCs w:val="28"/>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_Toc30167 </w:instrText>
      </w:r>
      <w:r>
        <w:rPr>
          <w:rFonts w:hint="eastAsia" w:ascii="宋体" w:hAnsi="宋体" w:eastAsia="宋体" w:cs="宋体"/>
          <w:bCs/>
          <w:sz w:val="28"/>
          <w:szCs w:val="28"/>
          <w:highlight w:val="none"/>
        </w:rPr>
        <w:fldChar w:fldCharType="separate"/>
      </w:r>
      <w:r>
        <w:rPr>
          <w:rFonts w:hint="eastAsia" w:ascii="宋体" w:hAnsi="宋体" w:eastAsia="宋体" w:cs="宋体"/>
          <w:kern w:val="44"/>
          <w:sz w:val="28"/>
          <w:szCs w:val="28"/>
          <w:highlight w:val="none"/>
          <w:lang w:val="en-US" w:eastAsia="zh-CN" w:bidi="ar"/>
        </w:rPr>
        <w:t>第七章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磋商过程中可能实质性变动的内容</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_Toc30167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55</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4A3D00AF">
      <w:pPr>
        <w:pStyle w:val="17"/>
        <w:keepNext w:val="0"/>
        <w:keepLines w:val="0"/>
        <w:pageBreakBefore w:val="0"/>
        <w:widowControl w:val="0"/>
        <w:tabs>
          <w:tab w:val="right" w:leader="dot" w:pos="9026"/>
          <w:tab w:val="clear" w:pos="9628"/>
        </w:tabs>
        <w:kinsoku/>
        <w:wordWrap/>
        <w:overflowPunct/>
        <w:topLinePunct w:val="0"/>
        <w:autoSpaceDE/>
        <w:autoSpaceDN/>
        <w:bidi w:val="0"/>
        <w:adjustRightInd/>
        <w:snapToGrid/>
        <w:spacing w:line="600" w:lineRule="exact"/>
        <w:textAlignment w:val="auto"/>
        <w:rPr>
          <w:highlight w:val="none"/>
        </w:rPr>
      </w:pPr>
      <w:r>
        <w:rPr>
          <w:rFonts w:hint="eastAsia" w:ascii="宋体" w:hAnsi="宋体" w:eastAsia="宋体" w:cs="宋体"/>
          <w:bCs/>
          <w:color w:val="auto"/>
          <w:sz w:val="28"/>
          <w:szCs w:val="28"/>
          <w:highlight w:val="none"/>
        </w:rPr>
        <w:fldChar w:fldCharType="begin"/>
      </w:r>
      <w:r>
        <w:rPr>
          <w:rFonts w:hint="eastAsia" w:ascii="宋体" w:hAnsi="宋体" w:eastAsia="宋体" w:cs="宋体"/>
          <w:bCs/>
          <w:sz w:val="28"/>
          <w:szCs w:val="28"/>
          <w:highlight w:val="none"/>
        </w:rPr>
        <w:instrText xml:space="preserve"> HYPERLINK \l _Toc1382 </w:instrText>
      </w:r>
      <w:r>
        <w:rPr>
          <w:rFonts w:hint="eastAsia" w:ascii="宋体" w:hAnsi="宋体" w:eastAsia="宋体" w:cs="宋体"/>
          <w:bCs/>
          <w:sz w:val="28"/>
          <w:szCs w:val="28"/>
          <w:highlight w:val="none"/>
        </w:rPr>
        <w:fldChar w:fldCharType="separate"/>
      </w:r>
      <w:r>
        <w:rPr>
          <w:rFonts w:hint="eastAsia" w:ascii="宋体" w:hAnsi="宋体" w:eastAsia="宋体" w:cs="宋体"/>
          <w:kern w:val="44"/>
          <w:sz w:val="28"/>
          <w:szCs w:val="28"/>
          <w:highlight w:val="none"/>
          <w:lang w:val="en-US" w:eastAsia="zh-CN" w:bidi="ar"/>
        </w:rPr>
        <w:t xml:space="preserve">第八章 </w:t>
      </w:r>
      <w:r>
        <w:rPr>
          <w:rFonts w:hint="eastAsia" w:ascii="宋体" w:hAnsi="宋体" w:eastAsia="宋体" w:cs="宋体"/>
          <w:sz w:val="28"/>
          <w:szCs w:val="28"/>
          <w:highlight w:val="none"/>
          <w:lang w:val="en-US" w:eastAsia="zh-CN"/>
        </w:rPr>
        <w:t>最后报价及承诺函</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_Toc1382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56</w:t>
      </w:r>
      <w:r>
        <w:rPr>
          <w:rFonts w:hint="eastAsia" w:ascii="宋体" w:hAnsi="宋体" w:eastAsia="宋体" w:cs="宋体"/>
          <w:sz w:val="28"/>
          <w:szCs w:val="28"/>
          <w:highlight w:val="none"/>
        </w:rPr>
        <w:fldChar w:fldCharType="end"/>
      </w:r>
      <w:r>
        <w:rPr>
          <w:rFonts w:hint="eastAsia" w:ascii="宋体" w:hAnsi="宋体" w:eastAsia="宋体" w:cs="宋体"/>
          <w:bCs/>
          <w:color w:val="auto"/>
          <w:sz w:val="28"/>
          <w:szCs w:val="28"/>
          <w:highlight w:val="none"/>
        </w:rPr>
        <w:fldChar w:fldCharType="end"/>
      </w:r>
    </w:p>
    <w:p w14:paraId="0341C5B7">
      <w:pPr>
        <w:pStyle w:val="2"/>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00" w:lineRule="atLeast"/>
        <w:jc w:val="center"/>
        <w:textAlignment w:val="auto"/>
        <w:rPr>
          <w:rFonts w:hint="eastAsia" w:asciiTheme="minorEastAsia" w:hAnsiTheme="minorEastAsia" w:eastAsiaTheme="minorEastAsia" w:cstheme="minorEastAsia"/>
          <w:color w:val="auto"/>
          <w:sz w:val="36"/>
          <w:szCs w:val="36"/>
          <w:highlight w:val="none"/>
        </w:rPr>
        <w:sectPr>
          <w:headerReference r:id="rId8" w:type="first"/>
          <w:footerReference r:id="rId9" w:type="default"/>
          <w:type w:val="continuous"/>
          <w:pgSz w:w="11906" w:h="16838"/>
          <w:pgMar w:top="1440" w:right="1440" w:bottom="1440" w:left="1440" w:header="850" w:footer="992" w:gutter="0"/>
          <w:pgNumType w:fmt="decimal"/>
          <w:cols w:space="0" w:num="1"/>
          <w:rtlGutter w:val="0"/>
          <w:docGrid w:linePitch="321" w:charSpace="0"/>
        </w:sectPr>
      </w:pPr>
      <w:r>
        <w:rPr>
          <w:rFonts w:hint="eastAsia" w:ascii="宋体" w:hAnsi="宋体" w:eastAsia="宋体" w:cs="宋体"/>
          <w:bCs/>
          <w:color w:val="auto"/>
          <w:szCs w:val="32"/>
          <w:highlight w:val="none"/>
        </w:rPr>
        <w:fldChar w:fldCharType="end"/>
      </w:r>
      <w:bookmarkStart w:id="0" w:name="_Toc29933"/>
    </w:p>
    <w:bookmarkEnd w:id="0"/>
    <w:p w14:paraId="67A9AEF3">
      <w:pPr>
        <w:pStyle w:val="2"/>
        <w:keepNext w:val="0"/>
        <w:keepLines w:val="0"/>
        <w:pageBreakBefore w:val="0"/>
        <w:widowControl w:val="0"/>
        <w:shd w:val="clear" w:color="auto" w:fill="auto"/>
        <w:tabs>
          <w:tab w:val="left" w:pos="360"/>
        </w:tabs>
        <w:kinsoku/>
        <w:wordWrap/>
        <w:overflowPunct/>
        <w:topLinePunct w:val="0"/>
        <w:autoSpaceDE/>
        <w:autoSpaceDN/>
        <w:bidi w:val="0"/>
        <w:adjustRightInd/>
        <w:snapToGrid/>
        <w:spacing w:line="540" w:lineRule="exact"/>
        <w:jc w:val="center"/>
        <w:textAlignment w:val="auto"/>
        <w:rPr>
          <w:rFonts w:hint="eastAsia" w:asciiTheme="minorEastAsia" w:hAnsiTheme="minorEastAsia" w:eastAsiaTheme="minorEastAsia" w:cstheme="minorEastAsia"/>
          <w:color w:val="auto"/>
          <w:kern w:val="0"/>
          <w:sz w:val="32"/>
          <w:szCs w:val="32"/>
          <w:highlight w:val="none"/>
          <w:lang w:eastAsia="zh-CN"/>
        </w:rPr>
      </w:pPr>
      <w:bookmarkStart w:id="1" w:name="_Toc21606"/>
      <w:bookmarkStart w:id="2" w:name="_Toc2956"/>
      <w:bookmarkStart w:id="3" w:name="_Toc31028"/>
      <w:r>
        <w:rPr>
          <w:rFonts w:hint="eastAsia" w:asciiTheme="minorEastAsia" w:hAnsiTheme="minorEastAsia" w:eastAsiaTheme="minorEastAsia" w:cstheme="minorEastAsia"/>
          <w:color w:val="auto"/>
          <w:kern w:val="0"/>
          <w:sz w:val="32"/>
          <w:szCs w:val="32"/>
          <w:highlight w:val="none"/>
        </w:rPr>
        <w:t xml:space="preserve">第一章 </w:t>
      </w:r>
      <w:r>
        <w:rPr>
          <w:rFonts w:hint="eastAsia" w:asciiTheme="minorEastAsia" w:hAnsiTheme="minorEastAsia" w:eastAsiaTheme="minorEastAsia" w:cstheme="minorEastAsia"/>
          <w:color w:val="auto"/>
          <w:kern w:val="0"/>
          <w:sz w:val="32"/>
          <w:szCs w:val="32"/>
          <w:highlight w:val="none"/>
          <w:lang w:eastAsia="zh-CN"/>
        </w:rPr>
        <w:t>竞争性磋商公告</w:t>
      </w:r>
      <w:bookmarkEnd w:id="1"/>
    </w:p>
    <w:p w14:paraId="231672A6">
      <w:pPr>
        <w:keepNext w:val="0"/>
        <w:keepLines w:val="0"/>
        <w:pageBreakBefore w:val="0"/>
        <w:widowControl w:val="0"/>
        <w:shd w:val="clear" w:color="auto" w:fill="auto"/>
        <w:kinsoku/>
        <w:overflowPunct/>
        <w:topLinePunct w:val="0"/>
        <w:autoSpaceDE/>
        <w:bidi w:val="0"/>
        <w:adjustRightInd/>
        <w:snapToGrid/>
        <w:spacing w:line="540" w:lineRule="exact"/>
        <w:jc w:val="center"/>
        <w:textAlignment w:val="auto"/>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eastAsia="zh-CN"/>
        </w:rPr>
        <w:t>永德县永康林场国家澳洲坚果良种基地2025年中央财政林木良种培育</w:t>
      </w:r>
    </w:p>
    <w:p w14:paraId="2A2509A0">
      <w:pPr>
        <w:keepNext w:val="0"/>
        <w:keepLines w:val="0"/>
        <w:pageBreakBefore w:val="0"/>
        <w:widowControl w:val="0"/>
        <w:shd w:val="clear" w:color="auto" w:fill="auto"/>
        <w:kinsoku/>
        <w:overflowPunct/>
        <w:topLinePunct w:val="0"/>
        <w:autoSpaceDE/>
        <w:bidi w:val="0"/>
        <w:adjustRightInd/>
        <w:snapToGrid/>
        <w:spacing w:line="540" w:lineRule="exact"/>
        <w:jc w:val="center"/>
        <w:textAlignment w:val="auto"/>
        <w:rPr>
          <w:rFonts w:hint="eastAsia"/>
          <w:color w:val="auto"/>
          <w:highlight w:val="none"/>
          <w:lang w:eastAsia="zh-CN"/>
        </w:rPr>
      </w:pPr>
      <w:r>
        <w:rPr>
          <w:rFonts w:hint="eastAsia" w:ascii="宋体" w:hAnsi="宋体" w:cs="宋体"/>
          <w:b/>
          <w:bCs/>
          <w:color w:val="auto"/>
          <w:sz w:val="28"/>
          <w:szCs w:val="28"/>
          <w:highlight w:val="none"/>
          <w:lang w:eastAsia="zh-CN"/>
        </w:rPr>
        <w:t>补助项目竞争性磋商公告</w:t>
      </w:r>
    </w:p>
    <w:p w14:paraId="42EAF273">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7366628">
      <w:pPr>
        <w:keepNext w:val="0"/>
        <w:keepLines w:val="0"/>
        <w:pageBreakBefore w:val="0"/>
        <w:widowControl w:val="0"/>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00" w:lineRule="exact"/>
        <w:ind w:firstLine="240" w:firstLineChars="1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永德县永康林场国家澳洲坚果良种基地2025年中央财政林木良种培育补助项目</w:t>
      </w:r>
      <w:r>
        <w:rPr>
          <w:rFonts w:hint="eastAsia" w:ascii="宋体" w:hAnsi="宋体" w:eastAsia="宋体" w:cs="宋体"/>
          <w:color w:val="auto"/>
          <w:sz w:val="24"/>
          <w:szCs w:val="24"/>
          <w:highlight w:val="none"/>
        </w:rPr>
        <w:t>的潜在</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应在</w:t>
      </w:r>
      <w:r>
        <w:rPr>
          <w:rFonts w:hint="eastAsia" w:ascii="宋体" w:hAnsi="宋体" w:eastAsia="宋体" w:cs="宋体"/>
          <w:color w:val="auto"/>
          <w:sz w:val="24"/>
          <w:szCs w:val="24"/>
          <w:highlight w:val="none"/>
          <w:u w:val="single"/>
        </w:rPr>
        <w:t>政采云平台（</w:t>
      </w:r>
      <w:r>
        <w:rPr>
          <w:rFonts w:hint="eastAsia" w:ascii="宋体" w:hAnsi="宋体" w:eastAsia="宋体" w:cs="宋体"/>
          <w:color w:val="auto"/>
          <w:sz w:val="24"/>
          <w:szCs w:val="24"/>
          <w:highlight w:val="none"/>
          <w:u w:val="single"/>
        </w:rPr>
        <w:fldChar w:fldCharType="begin"/>
      </w:r>
      <w:r>
        <w:rPr>
          <w:rFonts w:hint="eastAsia" w:ascii="宋体" w:hAnsi="宋体" w:eastAsia="宋体" w:cs="宋体"/>
          <w:color w:val="auto"/>
          <w:sz w:val="24"/>
          <w:szCs w:val="24"/>
          <w:highlight w:val="none"/>
          <w:u w:val="single"/>
        </w:rPr>
        <w:instrText xml:space="preserve"> HYPERLINK "https://www.zcygov.cn/" </w:instrText>
      </w:r>
      <w:r>
        <w:rPr>
          <w:rFonts w:hint="eastAsia" w:ascii="宋体" w:hAnsi="宋体" w:eastAsia="宋体" w:cs="宋体"/>
          <w:color w:val="auto"/>
          <w:sz w:val="24"/>
          <w:szCs w:val="24"/>
          <w:highlight w:val="none"/>
          <w:u w:val="single"/>
        </w:rPr>
        <w:fldChar w:fldCharType="separate"/>
      </w:r>
      <w:r>
        <w:rPr>
          <w:rFonts w:hint="eastAsia" w:ascii="宋体" w:hAnsi="宋体" w:eastAsia="宋体" w:cs="宋体"/>
          <w:color w:val="auto"/>
          <w:sz w:val="24"/>
          <w:szCs w:val="24"/>
          <w:highlight w:val="none"/>
          <w:u w:val="single"/>
        </w:rPr>
        <w:t>https://www.zcygov.cn/</w:t>
      </w:r>
      <w:r>
        <w:rPr>
          <w:rFonts w:hint="eastAsia" w:ascii="宋体" w:hAnsi="宋体" w:eastAsia="宋体" w:cs="宋体"/>
          <w:color w:val="auto"/>
          <w:sz w:val="24"/>
          <w:szCs w:val="24"/>
          <w:highlight w:val="none"/>
          <w:u w:val="single"/>
        </w:rPr>
        <w:fldChar w:fldCharType="end"/>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lang w:val="en-US" w:eastAsia="zh-CN"/>
        </w:rPr>
        <w:t>下同</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获取</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，并于</w:t>
      </w:r>
      <w:r>
        <w:rPr>
          <w:rFonts w:hint="eastAsia" w:ascii="宋体" w:hAnsi="宋体" w:cs="宋体"/>
          <w:color w:val="auto"/>
          <w:sz w:val="24"/>
          <w:szCs w:val="24"/>
          <w:highlight w:val="none"/>
          <w:u w:val="single"/>
          <w:lang w:eastAsia="zh-CN"/>
        </w:rPr>
        <w:t>202</w:t>
      </w:r>
      <w:r>
        <w:rPr>
          <w:rFonts w:hint="eastAsia" w:ascii="宋体" w:hAnsi="宋体" w:cs="宋体"/>
          <w:color w:val="auto"/>
          <w:sz w:val="24"/>
          <w:szCs w:val="24"/>
          <w:highlight w:val="none"/>
          <w:u w:val="single"/>
          <w:lang w:val="en-US" w:eastAsia="zh-CN"/>
        </w:rPr>
        <w:t>6</w:t>
      </w:r>
      <w:r>
        <w:rPr>
          <w:rFonts w:hint="eastAsia" w:ascii="宋体" w:hAnsi="宋体" w:cs="宋体"/>
          <w:color w:val="auto"/>
          <w:sz w:val="24"/>
          <w:szCs w:val="24"/>
          <w:highlight w:val="none"/>
          <w:u w:val="single"/>
          <w:lang w:eastAsia="zh-CN"/>
        </w:rPr>
        <w:t>年</w:t>
      </w:r>
      <w:r>
        <w:rPr>
          <w:rFonts w:hint="eastAsia" w:ascii="宋体" w:hAnsi="宋体" w:cs="宋体"/>
          <w:color w:val="auto"/>
          <w:sz w:val="24"/>
          <w:szCs w:val="24"/>
          <w:highlight w:val="none"/>
          <w:u w:val="single"/>
          <w:lang w:val="en-US" w:eastAsia="zh-CN"/>
        </w:rPr>
        <w:t>7</w:t>
      </w:r>
      <w:r>
        <w:rPr>
          <w:rFonts w:hint="eastAsia" w:ascii="宋体" w:hAnsi="宋体" w:cs="宋体"/>
          <w:color w:val="auto"/>
          <w:sz w:val="24"/>
          <w:szCs w:val="24"/>
          <w:highlight w:val="none"/>
          <w:u w:val="single"/>
          <w:lang w:eastAsia="zh-CN"/>
        </w:rPr>
        <w:t>月</w:t>
      </w:r>
      <w:r>
        <w:rPr>
          <w:rFonts w:hint="eastAsia" w:ascii="宋体" w:hAnsi="宋体" w:cs="宋体"/>
          <w:color w:val="auto"/>
          <w:sz w:val="24"/>
          <w:szCs w:val="24"/>
          <w:highlight w:val="none"/>
          <w:u w:val="single"/>
          <w:lang w:val="en-US" w:eastAsia="zh-CN"/>
        </w:rPr>
        <w:t>3</w:t>
      </w:r>
      <w:r>
        <w:rPr>
          <w:rFonts w:hint="eastAsia" w:ascii="宋体" w:hAnsi="宋体" w:cs="宋体"/>
          <w:color w:val="auto"/>
          <w:sz w:val="24"/>
          <w:szCs w:val="24"/>
          <w:highlight w:val="none"/>
          <w:u w:val="single"/>
          <w:lang w:eastAsia="zh-CN"/>
        </w:rPr>
        <w:t>日</w:t>
      </w:r>
      <w:r>
        <w:rPr>
          <w:rFonts w:hint="eastAsia" w:ascii="宋体" w:hAnsi="宋体" w:cs="宋体"/>
          <w:bCs/>
          <w:color w:val="auto"/>
          <w:sz w:val="24"/>
          <w:szCs w:val="24"/>
          <w:highlight w:val="none"/>
          <w:u w:val="single"/>
          <w:lang w:val="en-US" w:eastAsia="zh-CN"/>
        </w:rPr>
        <w:t>15</w:t>
      </w:r>
      <w:r>
        <w:rPr>
          <w:rFonts w:hint="eastAsia" w:ascii="宋体" w:hAnsi="宋体" w:eastAsia="宋体" w:cs="宋体"/>
          <w:bCs/>
          <w:color w:val="auto"/>
          <w:sz w:val="24"/>
          <w:szCs w:val="24"/>
          <w:highlight w:val="none"/>
          <w:u w:val="single"/>
          <w:lang w:val="en-US" w:eastAsia="zh-CN"/>
        </w:rPr>
        <w:t>时</w:t>
      </w:r>
      <w:r>
        <w:rPr>
          <w:rFonts w:hint="eastAsia" w:ascii="宋体" w:hAnsi="宋体" w:cs="宋体"/>
          <w:bCs/>
          <w:color w:val="auto"/>
          <w:sz w:val="24"/>
          <w:szCs w:val="24"/>
          <w:highlight w:val="none"/>
          <w:u w:val="single"/>
          <w:lang w:val="en-US" w:eastAsia="zh-CN"/>
        </w:rPr>
        <w:t>00</w:t>
      </w:r>
      <w:r>
        <w:rPr>
          <w:rFonts w:hint="eastAsia" w:ascii="宋体" w:hAnsi="宋体" w:eastAsia="宋体" w:cs="宋体"/>
          <w:bCs/>
          <w:color w:val="auto"/>
          <w:sz w:val="24"/>
          <w:szCs w:val="24"/>
          <w:highlight w:val="none"/>
          <w:u w:val="single"/>
        </w:rPr>
        <w:t>分</w:t>
      </w:r>
      <w:r>
        <w:rPr>
          <w:rFonts w:hint="eastAsia" w:ascii="宋体" w:hAnsi="宋体" w:eastAsia="宋体" w:cs="宋体"/>
          <w:bCs/>
          <w:color w:val="auto"/>
          <w:sz w:val="24"/>
          <w:szCs w:val="24"/>
          <w:highlight w:val="none"/>
          <w:u w:val="single"/>
        </w:rPr>
        <w:t>（</w:t>
      </w:r>
      <w:r>
        <w:rPr>
          <w:rFonts w:hint="eastAsia" w:ascii="宋体" w:hAnsi="宋体" w:eastAsia="宋体" w:cs="宋体"/>
          <w:bCs/>
          <w:color w:val="auto"/>
          <w:sz w:val="24"/>
          <w:szCs w:val="24"/>
          <w:highlight w:val="none"/>
        </w:rPr>
        <w:t>北京时间）前</w:t>
      </w:r>
      <w:r>
        <w:rPr>
          <w:rFonts w:hint="eastAsia" w:ascii="宋体" w:hAnsi="宋体" w:cs="宋体"/>
          <w:bCs/>
          <w:color w:val="auto"/>
          <w:sz w:val="24"/>
          <w:szCs w:val="24"/>
          <w:highlight w:val="none"/>
          <w:lang w:val="en-US" w:eastAsia="zh-CN"/>
        </w:rPr>
        <w:t>上传电子</w:t>
      </w:r>
      <w:r>
        <w:rPr>
          <w:rFonts w:hint="eastAsia" w:ascii="宋体" w:hAnsi="宋体" w:cs="宋体"/>
          <w:bCs/>
          <w:color w:val="auto"/>
          <w:sz w:val="24"/>
          <w:szCs w:val="24"/>
          <w:highlight w:val="none"/>
          <w:lang w:eastAsia="zh-CN"/>
        </w:rPr>
        <w:t>竞争性磋商响应文件</w:t>
      </w:r>
      <w:r>
        <w:rPr>
          <w:rFonts w:hint="eastAsia" w:ascii="宋体" w:hAnsi="宋体" w:eastAsia="宋体" w:cs="宋体"/>
          <w:color w:val="auto"/>
          <w:sz w:val="24"/>
          <w:szCs w:val="24"/>
          <w:highlight w:val="none"/>
        </w:rPr>
        <w:t>。</w:t>
      </w:r>
    </w:p>
    <w:p w14:paraId="6F05461C">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color w:val="auto"/>
          <w:sz w:val="24"/>
          <w:szCs w:val="24"/>
          <w:highlight w:val="none"/>
        </w:rPr>
      </w:pPr>
      <w:bookmarkStart w:id="4" w:name="_Toc28359002"/>
      <w:bookmarkStart w:id="5" w:name="_Toc28359079"/>
      <w:bookmarkStart w:id="6" w:name="_Toc35393621"/>
      <w:bookmarkStart w:id="7" w:name="_Toc35393790"/>
      <w:bookmarkStart w:id="8" w:name="_Hlk24379207"/>
      <w:r>
        <w:rPr>
          <w:rFonts w:hint="eastAsia" w:ascii="宋体" w:hAnsi="宋体" w:eastAsia="宋体" w:cs="宋体"/>
          <w:b/>
          <w:bCs/>
          <w:color w:val="auto"/>
          <w:sz w:val="24"/>
          <w:szCs w:val="24"/>
          <w:highlight w:val="none"/>
        </w:rPr>
        <w:t>一、项目基本情况</w:t>
      </w:r>
      <w:bookmarkEnd w:id="4"/>
      <w:bookmarkEnd w:id="5"/>
      <w:bookmarkEnd w:id="6"/>
      <w:bookmarkEnd w:id="7"/>
    </w:p>
    <w:p w14:paraId="140E57E0">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cs="宋体"/>
          <w:color w:val="auto"/>
          <w:sz w:val="24"/>
          <w:szCs w:val="24"/>
          <w:highlight w:val="none"/>
          <w:lang w:val="en-US" w:eastAsia="zh-CN"/>
        </w:rPr>
        <w:t>LCZC2026-C3-00483-YNBK-0022</w:t>
      </w:r>
    </w:p>
    <w:p w14:paraId="3D7FB43B">
      <w:pPr>
        <w:keepNext w:val="0"/>
        <w:keepLines w:val="0"/>
        <w:pageBreakBefore w:val="0"/>
        <w:widowControl w:val="0"/>
        <w:shd w:val="clear" w:color="auto" w:fill="auto"/>
        <w:kinsoku/>
        <w:wordWrap/>
        <w:overflowPunct/>
        <w:topLinePunct w:val="0"/>
        <w:autoSpaceDE/>
        <w:bidi w:val="0"/>
        <w:adjustRightInd/>
        <w:snapToGrid/>
        <w:spacing w:line="510" w:lineRule="exact"/>
        <w:ind w:left="239" w:leftChars="114" w:firstLine="240" w:firstLineChars="1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bookmarkEnd w:id="8"/>
      <w:r>
        <w:rPr>
          <w:rFonts w:hint="eastAsia" w:ascii="宋体" w:hAnsi="宋体" w:cs="宋体"/>
          <w:color w:val="auto"/>
          <w:sz w:val="24"/>
          <w:szCs w:val="24"/>
          <w:highlight w:val="none"/>
          <w:lang w:eastAsia="zh-CN"/>
        </w:rPr>
        <w:t>永德县永康林场国家澳洲坚果良种基地2025年中央财政林木良种培育补助项目。</w:t>
      </w:r>
    </w:p>
    <w:p w14:paraId="556B8AFC">
      <w:pPr>
        <w:keepNext w:val="0"/>
        <w:keepLines w:val="0"/>
        <w:pageBreakBefore w:val="0"/>
        <w:widowControl w:val="0"/>
        <w:shd w:val="clear" w:color="auto" w:fill="auto"/>
        <w:kinsoku/>
        <w:wordWrap/>
        <w:overflowPunct/>
        <w:topLinePunct w:val="0"/>
        <w:autoSpaceDE/>
        <w:bidi w:val="0"/>
        <w:adjustRightInd/>
        <w:snapToGrid/>
        <w:spacing w:line="510" w:lineRule="exact"/>
        <w:ind w:left="239" w:leftChars="114" w:firstLine="240" w:firstLineChars="1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47.5</w:t>
      </w:r>
    </w:p>
    <w:p w14:paraId="6715C95A">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最高限价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47.5</w:t>
      </w:r>
    </w:p>
    <w:p w14:paraId="5427601F">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采购需求：</w:t>
      </w:r>
      <w:r>
        <w:rPr>
          <w:rFonts w:hint="eastAsia" w:ascii="宋体" w:hAnsi="宋体" w:cs="宋体"/>
          <w:b w:val="0"/>
          <w:bCs w:val="0"/>
          <w:color w:val="auto"/>
          <w:sz w:val="24"/>
          <w:szCs w:val="24"/>
          <w:highlight w:val="none"/>
          <w:lang w:val="en-US" w:eastAsia="zh-CN"/>
        </w:rPr>
        <w:t>完成永德县永康林场国家澳洲坚果良种基地2025年中央财政林木良种培育补助项目服务工作，具体内容详见“第六章采购需求”。</w:t>
      </w:r>
    </w:p>
    <w:p w14:paraId="749FC35A">
      <w:pPr>
        <w:keepNext w:val="0"/>
        <w:keepLines w:val="0"/>
        <w:pageBreakBefore w:val="0"/>
        <w:widowControl w:val="0"/>
        <w:shd w:val="clear" w:color="auto" w:fill="auto"/>
        <w:kinsoku/>
        <w:wordWrap/>
        <w:overflowPunct/>
        <w:topLinePunct w:val="0"/>
        <w:autoSpaceDE/>
        <w:autoSpaceDN w:val="0"/>
        <w:bidi w:val="0"/>
        <w:adjustRightInd/>
        <w:snapToGrid/>
        <w:spacing w:line="510" w:lineRule="exact"/>
        <w:ind w:firstLine="480" w:firstLineChars="200"/>
        <w:textAlignment w:val="auto"/>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服务期限：合同签订之日后，2026年12月31日前完成本项目涉及的所有工作。</w:t>
      </w:r>
    </w:p>
    <w:p w14:paraId="3E5B94EE">
      <w:pPr>
        <w:keepNext w:val="0"/>
        <w:keepLines w:val="0"/>
        <w:pageBreakBefore w:val="0"/>
        <w:widowControl w:val="0"/>
        <w:shd w:val="clear" w:color="auto" w:fill="auto"/>
        <w:kinsoku/>
        <w:wordWrap/>
        <w:overflowPunct/>
        <w:topLinePunct w:val="0"/>
        <w:autoSpaceDE/>
        <w:autoSpaceDN w:val="0"/>
        <w:bidi w:val="0"/>
        <w:adjustRightInd/>
        <w:snapToGrid/>
        <w:spacing w:line="510" w:lineRule="exact"/>
        <w:ind w:firstLine="480" w:firstLineChars="200"/>
        <w:textAlignment w:val="auto"/>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lang w:val="en-US" w:eastAsia="zh-CN"/>
        </w:rPr>
        <w:t>本项目不接受联合体磋商。</w:t>
      </w:r>
    </w:p>
    <w:p w14:paraId="001829A0">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rPr>
      </w:pPr>
      <w:bookmarkStart w:id="9" w:name="_Toc28359003"/>
      <w:bookmarkStart w:id="10" w:name="_Toc28359080"/>
      <w:bookmarkStart w:id="11" w:name="_Toc35393791"/>
      <w:bookmarkStart w:id="12" w:name="_Toc35393622"/>
      <w:r>
        <w:rPr>
          <w:rFonts w:hint="eastAsia" w:ascii="宋体" w:hAnsi="宋体" w:eastAsia="宋体" w:cs="宋体"/>
          <w:b/>
          <w:bCs/>
          <w:color w:val="auto"/>
          <w:sz w:val="24"/>
          <w:szCs w:val="24"/>
          <w:highlight w:val="none"/>
        </w:rPr>
        <w:t>二、</w:t>
      </w:r>
      <w:r>
        <w:rPr>
          <w:rFonts w:hint="eastAsia" w:ascii="宋体" w:hAnsi="宋体" w:cs="宋体"/>
          <w:b/>
          <w:bCs/>
          <w:color w:val="auto"/>
          <w:sz w:val="24"/>
          <w:szCs w:val="24"/>
          <w:highlight w:val="none"/>
          <w:lang w:val="en-US" w:eastAsia="zh-CN"/>
        </w:rPr>
        <w:t>供应商</w:t>
      </w:r>
      <w:r>
        <w:rPr>
          <w:rFonts w:hint="eastAsia" w:ascii="宋体" w:hAnsi="宋体" w:eastAsia="宋体" w:cs="宋体"/>
          <w:b/>
          <w:bCs/>
          <w:color w:val="auto"/>
          <w:sz w:val="24"/>
          <w:szCs w:val="24"/>
          <w:highlight w:val="none"/>
        </w:rPr>
        <w:t>的资格要求</w:t>
      </w:r>
      <w:bookmarkEnd w:id="9"/>
      <w:bookmarkEnd w:id="10"/>
      <w:bookmarkEnd w:id="11"/>
      <w:bookmarkEnd w:id="12"/>
    </w:p>
    <w:p w14:paraId="635B2A38">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bookmarkStart w:id="13" w:name="_Toc35393792"/>
      <w:bookmarkStart w:id="14" w:name="_Toc35393623"/>
      <w:r>
        <w:rPr>
          <w:rFonts w:hint="eastAsia" w:ascii="宋体" w:hAnsi="宋体" w:eastAsia="宋体" w:cs="宋体"/>
          <w:color w:val="auto"/>
          <w:sz w:val="24"/>
          <w:szCs w:val="24"/>
          <w:highlight w:val="none"/>
          <w:u w:val="none"/>
          <w:lang w:val="en-US" w:eastAsia="zh-CN"/>
        </w:rPr>
        <w:t>（一）满足《中华人民共和国政府采购法》第二十二条规定</w:t>
      </w:r>
    </w:p>
    <w:p w14:paraId="5F639A17">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1.具有独立承担民事责任的能力：</w:t>
      </w:r>
      <w:r>
        <w:rPr>
          <w:rFonts w:hint="eastAsia" w:ascii="宋体" w:hAnsi="宋体" w:cs="宋体"/>
          <w:color w:val="auto"/>
          <w:sz w:val="24"/>
          <w:szCs w:val="24"/>
          <w:highlight w:val="none"/>
          <w:u w:val="none"/>
          <w:lang w:val="en-US" w:eastAsia="zh-CN"/>
        </w:rPr>
        <w:t>供应商应为在中华人民共和国注册具有独立承担民事责任能力的法人或其他组织，持有有效的法人或者其他组织的营业执照等证明文件</w:t>
      </w:r>
      <w:r>
        <w:rPr>
          <w:rFonts w:hint="eastAsia" w:ascii="宋体" w:hAnsi="宋体" w:eastAsia="宋体" w:cs="宋体"/>
          <w:color w:val="auto"/>
          <w:sz w:val="24"/>
          <w:szCs w:val="24"/>
          <w:highlight w:val="none"/>
          <w:u w:val="none"/>
          <w:lang w:val="en-US" w:eastAsia="zh-CN"/>
        </w:rPr>
        <w:t>。</w:t>
      </w:r>
    </w:p>
    <w:p w14:paraId="404522C1">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2.</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须具有良好的商业信誉</w:t>
      </w:r>
      <w:r>
        <w:rPr>
          <w:rFonts w:hint="eastAsia" w:ascii="宋体" w:hAnsi="宋体" w:cs="宋体"/>
          <w:color w:val="auto"/>
          <w:sz w:val="24"/>
          <w:szCs w:val="24"/>
          <w:highlight w:val="none"/>
          <w:u w:val="none"/>
          <w:lang w:val="en-US" w:eastAsia="zh-CN"/>
        </w:rPr>
        <w:t>：供应商未被列入“中国执行信息公开网”未被列入失信被执行人记录；“信用中国”未被列入“重大税收违法失信主体”；未被列入“中国政府采购网”公布的“政府采购严重违法失信行为信息记录”名单（以采购代理机构于投标（响应）截止时间当天查询结果为准，如相关失信记录已失效，供应商需提供相关证明资料）；提供具有良好的商业信誉承诺书（格式自拟）</w:t>
      </w:r>
      <w:r>
        <w:rPr>
          <w:rFonts w:hint="eastAsia" w:ascii="宋体" w:hAnsi="宋体" w:eastAsia="宋体" w:cs="宋体"/>
          <w:color w:val="auto"/>
          <w:sz w:val="24"/>
          <w:szCs w:val="24"/>
          <w:highlight w:val="none"/>
          <w:u w:val="none"/>
          <w:lang w:val="en-US" w:eastAsia="zh-CN"/>
        </w:rPr>
        <w:t>。</w:t>
      </w:r>
    </w:p>
    <w:p w14:paraId="0CA89B4E">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3.</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须具有健全的财务会计制度</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lang w:val="en-US" w:eastAsia="zh-CN"/>
        </w:rPr>
        <w:t>提供财务状况报告（经审计的</w:t>
      </w:r>
      <w:r>
        <w:rPr>
          <w:rFonts w:hint="eastAsia" w:ascii="宋体" w:hAnsi="宋体" w:cs="宋体"/>
          <w:color w:val="auto"/>
          <w:sz w:val="24"/>
          <w:szCs w:val="24"/>
          <w:highlight w:val="none"/>
          <w:u w:val="none"/>
          <w:lang w:val="en-US" w:eastAsia="zh-CN"/>
        </w:rPr>
        <w:t>2023年-2025年任意一年的年度</w:t>
      </w:r>
      <w:r>
        <w:rPr>
          <w:rFonts w:hint="eastAsia" w:ascii="宋体" w:hAnsi="宋体" w:eastAsia="宋体" w:cs="宋体"/>
          <w:color w:val="auto"/>
          <w:sz w:val="24"/>
          <w:szCs w:val="24"/>
          <w:highlight w:val="none"/>
          <w:u w:val="none"/>
          <w:lang w:val="en-US" w:eastAsia="zh-CN"/>
        </w:rPr>
        <w:t>财务报告或银行出具的资信证明或</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应具备的财务资料）。</w:t>
      </w:r>
    </w:p>
    <w:p w14:paraId="384E8EFE">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4.</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须具有履行合同所必需的设备和专业技术能力</w:t>
      </w:r>
      <w:r>
        <w:rPr>
          <w:rFonts w:hint="eastAsia" w:ascii="宋体" w:hAnsi="宋体" w:cs="宋体"/>
          <w:color w:val="auto"/>
          <w:sz w:val="24"/>
          <w:szCs w:val="24"/>
          <w:highlight w:val="none"/>
          <w:u w:val="none"/>
          <w:lang w:val="en-US" w:eastAsia="zh-CN"/>
        </w:rPr>
        <w:t>：提供具有履行合同所必需的设备和专业技术能力相关证明材料或书面承诺。</w:t>
      </w:r>
    </w:p>
    <w:p w14:paraId="0A15EAE3">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5.</w:t>
      </w:r>
      <w:r>
        <w:rPr>
          <w:rFonts w:hint="eastAsia" w:ascii="宋体" w:hAnsi="宋体" w:cs="宋体"/>
          <w:color w:val="auto"/>
          <w:sz w:val="24"/>
          <w:szCs w:val="24"/>
          <w:highlight w:val="none"/>
          <w:u w:val="none"/>
          <w:lang w:val="en-US" w:eastAsia="zh-CN"/>
        </w:rPr>
        <w:t>供应商</w:t>
      </w:r>
      <w:r>
        <w:rPr>
          <w:rFonts w:hint="eastAsia" w:ascii="宋体" w:hAnsi="宋体" w:eastAsia="宋体" w:cs="宋体"/>
          <w:color w:val="auto"/>
          <w:sz w:val="24"/>
          <w:szCs w:val="24"/>
          <w:highlight w:val="none"/>
          <w:u w:val="none"/>
          <w:lang w:val="en-US" w:eastAsia="zh-CN"/>
        </w:rPr>
        <w:t>须具有依法缴纳税收和社保资金的良好记录</w:t>
      </w:r>
      <w:r>
        <w:rPr>
          <w:rFonts w:hint="eastAsia" w:ascii="宋体" w:hAnsi="宋体" w:cs="宋体"/>
          <w:color w:val="auto"/>
          <w:sz w:val="24"/>
          <w:szCs w:val="24"/>
          <w:highlight w:val="none"/>
          <w:u w:val="none"/>
          <w:lang w:val="en-US" w:eastAsia="zh-CN"/>
        </w:rPr>
        <w:t>：①</w:t>
      </w:r>
      <w:r>
        <w:rPr>
          <w:rFonts w:hint="eastAsia" w:ascii="宋体" w:hAnsi="宋体" w:eastAsia="宋体" w:cs="宋体"/>
          <w:color w:val="auto"/>
          <w:sz w:val="24"/>
          <w:szCs w:val="24"/>
          <w:highlight w:val="none"/>
          <w:u w:val="none"/>
          <w:lang w:val="en-US" w:eastAsia="zh-CN"/>
        </w:rPr>
        <w:t>提供2025年</w:t>
      </w:r>
      <w:r>
        <w:rPr>
          <w:rFonts w:hint="eastAsia" w:ascii="宋体" w:hAnsi="宋体" w:cs="宋体"/>
          <w:color w:val="auto"/>
          <w:sz w:val="24"/>
          <w:szCs w:val="24"/>
          <w:highlight w:val="none"/>
          <w:u w:val="none"/>
          <w:lang w:val="en-US" w:eastAsia="zh-CN"/>
        </w:rPr>
        <w:t>10</w:t>
      </w:r>
      <w:r>
        <w:rPr>
          <w:rFonts w:hint="eastAsia" w:ascii="宋体" w:hAnsi="宋体" w:eastAsia="宋体" w:cs="宋体"/>
          <w:color w:val="auto"/>
          <w:sz w:val="24"/>
          <w:szCs w:val="24"/>
          <w:highlight w:val="none"/>
          <w:u w:val="none"/>
          <w:lang w:val="en-US" w:eastAsia="zh-CN"/>
        </w:rPr>
        <w:t>月至响应文件递交截止时间前任意3个月依法缴税证明</w:t>
      </w:r>
      <w:r>
        <w:rPr>
          <w:rFonts w:hint="eastAsia" w:ascii="宋体" w:hAnsi="宋体" w:cs="宋体"/>
          <w:color w:val="auto"/>
          <w:sz w:val="24"/>
          <w:szCs w:val="24"/>
          <w:highlight w:val="none"/>
          <w:u w:val="none"/>
          <w:lang w:val="en-US" w:eastAsia="zh-CN"/>
        </w:rPr>
        <w:t>；②</w:t>
      </w:r>
      <w:r>
        <w:rPr>
          <w:rFonts w:hint="eastAsia" w:ascii="宋体" w:hAnsi="宋体" w:eastAsia="宋体" w:cs="宋体"/>
          <w:color w:val="auto"/>
          <w:sz w:val="24"/>
          <w:szCs w:val="24"/>
          <w:highlight w:val="none"/>
          <w:u w:val="none"/>
          <w:lang w:val="en-US" w:eastAsia="zh-CN"/>
        </w:rPr>
        <w:t>提供2025年10月至响应文件递交截止时间前任意3个月社会保险费缴纳证明</w:t>
      </w:r>
      <w:r>
        <w:rPr>
          <w:rFonts w:hint="eastAsia" w:ascii="宋体" w:hAnsi="宋体" w:cs="宋体"/>
          <w:color w:val="auto"/>
          <w:sz w:val="24"/>
          <w:szCs w:val="24"/>
          <w:highlight w:val="none"/>
          <w:u w:val="none"/>
          <w:lang w:val="en-US" w:eastAsia="zh-CN"/>
        </w:rPr>
        <w:t>或书面承诺函</w:t>
      </w:r>
      <w:r>
        <w:rPr>
          <w:rFonts w:hint="eastAsia" w:ascii="宋体" w:hAnsi="宋体" w:eastAsia="宋体" w:cs="宋体"/>
          <w:color w:val="auto"/>
          <w:sz w:val="24"/>
          <w:szCs w:val="24"/>
          <w:highlight w:val="none"/>
          <w:u w:val="none"/>
          <w:lang w:val="en-US" w:eastAsia="zh-CN"/>
        </w:rPr>
        <w:t>（成立未满3个月的提供自成立以来的依法缴税证明和社会保险费缴纳证明材料；依法免税的应提供依法免税的相关证明文件）。</w:t>
      </w:r>
    </w:p>
    <w:p w14:paraId="556E0D60">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6.</w:t>
      </w:r>
      <w:r>
        <w:rPr>
          <w:rFonts w:hint="eastAsia" w:ascii="宋体" w:hAnsi="宋体" w:cs="宋体"/>
          <w:color w:val="auto"/>
          <w:sz w:val="24"/>
          <w:szCs w:val="24"/>
          <w:highlight w:val="none"/>
          <w:u w:val="none"/>
          <w:lang w:val="en-US" w:eastAsia="zh-CN"/>
        </w:rPr>
        <w:t>参加政府采购活动前三年内，在经营活动中没有违法记录：供应商须提供参加政府采购活动前3年内在经营活动中没有重大违法记录的书面声明（重大违法记录是指供应商因违法经营受到刑事处罚或者责令停产停业、吊销许可证或者执照、较大数额罚款等行政处罚）。</w:t>
      </w:r>
    </w:p>
    <w:p w14:paraId="6068703C">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eastAsia"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lang w:val="en-US" w:eastAsia="zh-CN"/>
        </w:rPr>
        <w:t>.法律、行政法规规定的其他条件。</w:t>
      </w:r>
    </w:p>
    <w:p w14:paraId="7F0A2441">
      <w:pPr>
        <w:keepNext w:val="0"/>
        <w:keepLines w:val="0"/>
        <w:pageBreakBefore w:val="0"/>
        <w:widowControl w:val="0"/>
        <w:shd w:val="clear" w:color="auto" w:fill="auto"/>
        <w:kinsoku/>
        <w:wordWrap w:val="0"/>
        <w:overflowPunct/>
        <w:topLinePunct w:val="0"/>
        <w:autoSpaceDE/>
        <w:autoSpaceDN/>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落实政府采购政策需满足的资格要求：</w:t>
      </w:r>
    </w:p>
    <w:p w14:paraId="1F220485">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本项目专门面向中小企业采购的项目，中小企业划分标准属于行业为“其他未列明行业”；根据《关于政府采购支持监狱企业发展有关问题的通知》(财库〔2014〕68号)、《财政部、民政部、中国残疾人联合会关于促进残疾人就业政府采购政策的通知》（财库〔2017〕141号）等通知，监狱企业、残疾人福利性单位视同小型、微型企业。</w:t>
      </w:r>
    </w:p>
    <w:p w14:paraId="55EF21D6">
      <w:pPr>
        <w:keepNext w:val="0"/>
        <w:keepLines w:val="0"/>
        <w:pageBreakBefore w:val="0"/>
        <w:widowControl w:val="0"/>
        <w:kinsoku/>
        <w:wordWrap w:val="0"/>
        <w:overflowPunct/>
        <w:topLinePunct w:val="0"/>
        <w:autoSpaceDE/>
        <w:autoSpaceDN/>
        <w:bidi w:val="0"/>
        <w:adjustRightInd/>
        <w:snapToGrid/>
        <w:spacing w:line="510" w:lineRule="exact"/>
        <w:ind w:left="0" w:leftChars="0" w:firstLine="480" w:firstLineChars="200"/>
        <w:textAlignment w:val="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（三）本项目的特定资格要求</w:t>
      </w:r>
      <w:bookmarkStart w:id="15" w:name="OLE_LINK5"/>
      <w:bookmarkStart w:id="16" w:name="OLE_LINK6"/>
      <w:r>
        <w:rPr>
          <w:rFonts w:hint="eastAsia" w:ascii="宋体" w:hAnsi="宋体" w:cs="宋体"/>
          <w:color w:val="auto"/>
          <w:sz w:val="24"/>
          <w:szCs w:val="24"/>
          <w:highlight w:val="none"/>
          <w:u w:val="none"/>
          <w:lang w:val="en-US" w:eastAsia="zh-CN"/>
        </w:rPr>
        <w:t>：</w:t>
      </w:r>
      <w:bookmarkEnd w:id="15"/>
      <w:bookmarkEnd w:id="16"/>
      <w:r>
        <w:rPr>
          <w:rFonts w:hint="eastAsia" w:ascii="宋体" w:hAnsi="宋体" w:cs="宋体"/>
          <w:color w:val="auto"/>
          <w:sz w:val="24"/>
          <w:szCs w:val="24"/>
          <w:highlight w:val="none"/>
          <w:u w:val="none"/>
          <w:lang w:val="en-US" w:eastAsia="zh-CN"/>
        </w:rPr>
        <w:t>供应商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default" w:ascii="宋体" w:hAnsi="宋体" w:eastAsia="宋体" w:cs="宋体"/>
          <w:color w:val="auto"/>
          <w:sz w:val="24"/>
          <w:szCs w:val="24"/>
          <w:highlight w:val="none"/>
          <w:u w:val="none"/>
          <w:lang w:val="en-US" w:eastAsia="zh-CN"/>
        </w:rPr>
        <w:t>。</w:t>
      </w:r>
    </w:p>
    <w:p w14:paraId="47A66DE3">
      <w:pPr>
        <w:keepNext w:val="0"/>
        <w:keepLines w:val="0"/>
        <w:pageBreakBefore w:val="0"/>
        <w:widowControl w:val="0"/>
        <w:shd w:val="clear" w:color="auto" w:fill="auto"/>
        <w:kinsoku/>
        <w:wordWrap/>
        <w:overflowPunct/>
        <w:topLinePunct w:val="0"/>
        <w:autoSpaceDE/>
        <w:bidi w:val="0"/>
        <w:adjustRightInd/>
        <w:snapToGrid/>
        <w:spacing w:line="51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三、获取</w:t>
      </w:r>
      <w:bookmarkEnd w:id="13"/>
      <w:bookmarkEnd w:id="14"/>
      <w:r>
        <w:rPr>
          <w:rFonts w:hint="eastAsia" w:ascii="宋体" w:hAnsi="宋体" w:cs="宋体"/>
          <w:b/>
          <w:bCs/>
          <w:color w:val="auto"/>
          <w:sz w:val="24"/>
          <w:szCs w:val="24"/>
          <w:highlight w:val="none"/>
          <w:lang w:val="en-US" w:eastAsia="zh-CN"/>
        </w:rPr>
        <w:t>采购</w:t>
      </w:r>
      <w:r>
        <w:rPr>
          <w:rFonts w:hint="eastAsia" w:ascii="宋体" w:hAnsi="宋体" w:cs="宋体"/>
          <w:b/>
          <w:bCs/>
          <w:color w:val="auto"/>
          <w:sz w:val="24"/>
          <w:szCs w:val="24"/>
          <w:highlight w:val="none"/>
          <w:lang w:eastAsia="zh-CN"/>
        </w:rPr>
        <w:t>文件</w:t>
      </w:r>
      <w:r>
        <w:rPr>
          <w:rFonts w:hint="eastAsia" w:ascii="宋体" w:hAnsi="宋体" w:eastAsia="宋体" w:cs="宋体"/>
          <w:b/>
          <w:bCs/>
          <w:color w:val="auto"/>
          <w:sz w:val="24"/>
          <w:szCs w:val="24"/>
          <w:highlight w:val="none"/>
          <w:lang w:val="en-US" w:eastAsia="zh-CN"/>
        </w:rPr>
        <w:t xml:space="preserve">                                                                                                                                                                                                                                                                                                                                         </w:t>
      </w:r>
    </w:p>
    <w:p w14:paraId="7C3C1EAB">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lang w:eastAsia="zh-CN"/>
        </w:rPr>
      </w:pPr>
      <w:bookmarkStart w:id="17" w:name="_Toc28359005"/>
      <w:bookmarkStart w:id="18" w:name="_Toc28359082"/>
      <w:bookmarkStart w:id="19" w:name="_Toc35393624"/>
      <w:bookmarkStart w:id="20" w:name="_Toc35393793"/>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23</w:t>
      </w:r>
      <w:r>
        <w:rPr>
          <w:rFonts w:hint="eastAsia" w:ascii="宋体" w:hAnsi="宋体" w:eastAsia="宋体" w:cs="宋体"/>
          <w:color w:val="auto"/>
          <w:sz w:val="24"/>
          <w:szCs w:val="24"/>
          <w:highlight w:val="none"/>
          <w:u w:val="none"/>
        </w:rPr>
        <w:t>日至</w:t>
      </w:r>
      <w:r>
        <w:rPr>
          <w:rFonts w:hint="eastAsia" w:ascii="宋体" w:hAnsi="宋体" w:eastAsia="宋体" w:cs="宋体"/>
          <w:color w:val="auto"/>
          <w:sz w:val="24"/>
          <w:szCs w:val="24"/>
          <w:highlight w:val="none"/>
          <w:u w:val="none"/>
          <w:lang w:val="en-US" w:eastAsia="zh-CN"/>
        </w:rPr>
        <w:t>202</w:t>
      </w:r>
      <w:r>
        <w:rPr>
          <w:rFonts w:hint="eastAsia" w:ascii="宋体" w:hAnsi="宋体" w:cs="宋体"/>
          <w:color w:val="auto"/>
          <w:sz w:val="24"/>
          <w:szCs w:val="24"/>
          <w:highlight w:val="none"/>
          <w:u w:val="none"/>
          <w:lang w:val="en-US" w:eastAsia="zh-CN"/>
        </w:rPr>
        <w:t>6</w:t>
      </w:r>
      <w:r>
        <w:rPr>
          <w:rFonts w:hint="eastAsia" w:ascii="宋体" w:hAnsi="宋体" w:eastAsia="宋体" w:cs="宋体"/>
          <w:color w:val="auto"/>
          <w:sz w:val="24"/>
          <w:szCs w:val="24"/>
          <w:highlight w:val="none"/>
          <w:u w:val="none"/>
        </w:rPr>
        <w:t>年</w:t>
      </w:r>
      <w:r>
        <w:rPr>
          <w:rFonts w:hint="eastAsia" w:ascii="宋体" w:hAnsi="宋体" w:cs="宋体"/>
          <w:color w:val="auto"/>
          <w:sz w:val="24"/>
          <w:szCs w:val="24"/>
          <w:highlight w:val="none"/>
          <w:u w:val="none"/>
          <w:lang w:val="en-US" w:eastAsia="zh-CN"/>
        </w:rPr>
        <w:t>7</w:t>
      </w:r>
      <w:r>
        <w:rPr>
          <w:rFonts w:hint="eastAsia" w:ascii="宋体" w:hAnsi="宋体" w:eastAsia="宋体" w:cs="宋体"/>
          <w:color w:val="auto"/>
          <w:sz w:val="24"/>
          <w:szCs w:val="24"/>
          <w:highlight w:val="none"/>
          <w:u w:val="none"/>
        </w:rPr>
        <w:t>月</w:t>
      </w:r>
      <w:r>
        <w:rPr>
          <w:rFonts w:hint="eastAsia" w:ascii="宋体" w:hAnsi="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日</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u w:val="none"/>
          <w:lang w:val="en-US" w:eastAsia="zh-CN"/>
        </w:rPr>
        <w:t>每天上午6时00分至12时00分，下午12时00分至23时59分</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法定节假日除外</w:t>
      </w:r>
      <w:r>
        <w:rPr>
          <w:rFonts w:hint="eastAsia" w:ascii="宋体" w:hAnsi="宋体" w:eastAsia="宋体" w:cs="宋体"/>
          <w:color w:val="auto"/>
          <w:sz w:val="24"/>
          <w:szCs w:val="24"/>
          <w:highlight w:val="none"/>
        </w:rPr>
        <w:t>）</w:t>
      </w:r>
    </w:p>
    <w:p w14:paraId="6E0383B3">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政采云平台（</w:t>
      </w:r>
      <w:r>
        <w:rPr>
          <w:rFonts w:hint="eastAsia" w:ascii="宋体" w:hAnsi="宋体" w:cs="宋体"/>
          <w:color w:val="auto"/>
          <w:sz w:val="24"/>
          <w:szCs w:val="24"/>
          <w:highlight w:val="none"/>
          <w:lang w:val="en-US" w:eastAsia="zh-CN"/>
        </w:rPr>
        <w:t>https://www.zcygov.cn/</w:t>
      </w:r>
      <w:r>
        <w:rPr>
          <w:rFonts w:hint="eastAsia" w:ascii="宋体" w:hAnsi="宋体" w:eastAsia="宋体" w:cs="宋体"/>
          <w:color w:val="auto"/>
          <w:sz w:val="24"/>
          <w:szCs w:val="24"/>
          <w:highlight w:val="none"/>
          <w:lang w:val="en-US" w:eastAsia="zh-CN"/>
        </w:rPr>
        <w:t>）</w:t>
      </w:r>
    </w:p>
    <w:p w14:paraId="4DB634F2">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方式：1.凡有意参加</w:t>
      </w:r>
      <w:r>
        <w:rPr>
          <w:rFonts w:hint="eastAsia" w:ascii="宋体" w:hAnsi="宋体" w:cs="宋体"/>
          <w:color w:val="auto"/>
          <w:sz w:val="24"/>
          <w:szCs w:val="24"/>
          <w:highlight w:val="none"/>
          <w:lang w:val="en-US" w:eastAsia="zh-CN"/>
        </w:rPr>
        <w:t>本项目磋商的</w:t>
      </w:r>
      <w:r>
        <w:rPr>
          <w:rFonts w:hint="eastAsia" w:ascii="宋体" w:hAnsi="宋体" w:eastAsia="宋体" w:cs="宋体"/>
          <w:color w:val="auto"/>
          <w:sz w:val="24"/>
          <w:szCs w:val="24"/>
          <w:highlight w:val="none"/>
        </w:rPr>
        <w:t>，须在政采云平台办理数字证书（CA），并在政采云绑定数字证书（CA）后线上获取</w:t>
      </w:r>
      <w:r>
        <w:rPr>
          <w:rFonts w:hint="eastAsia" w:ascii="宋体" w:hAnsi="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及其它资料。CA申领链接：https://middle.zcygov.cn/ca/apply/list?_app_=zcy.sys，CA申领后需登陆政采云平台完成数字证书（CA）绑定才可以使用，数字证书（CA）详见其办理流程。</w:t>
      </w:r>
    </w:p>
    <w:p w14:paraId="6FDCA768">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2.按上述要求获取文件的</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视为合法获取了本项目</w:t>
      </w:r>
      <w:r>
        <w:rPr>
          <w:rFonts w:hint="eastAsia" w:ascii="宋体" w:hAnsi="宋体" w:cs="宋体"/>
          <w:color w:val="auto"/>
          <w:sz w:val="24"/>
          <w:szCs w:val="24"/>
          <w:highlight w:val="none"/>
          <w:lang w:val="en-US" w:eastAsia="zh-CN"/>
        </w:rPr>
        <w:t>竞争性磋商文件</w:t>
      </w:r>
      <w:r>
        <w:rPr>
          <w:rFonts w:hint="eastAsia" w:ascii="宋体" w:hAnsi="宋体" w:eastAsia="宋体" w:cs="宋体"/>
          <w:color w:val="auto"/>
          <w:sz w:val="24"/>
          <w:szCs w:val="24"/>
          <w:highlight w:val="none"/>
        </w:rPr>
        <w:t>，具备</w:t>
      </w:r>
      <w:r>
        <w:rPr>
          <w:rFonts w:hint="eastAsia" w:ascii="宋体" w:hAnsi="宋体" w:cs="宋体"/>
          <w:color w:val="auto"/>
          <w:sz w:val="24"/>
          <w:szCs w:val="24"/>
          <w:highlight w:val="none"/>
          <w:lang w:val="en-US" w:eastAsia="zh-CN"/>
        </w:rPr>
        <w:t>参加</w:t>
      </w:r>
      <w:r>
        <w:rPr>
          <w:rFonts w:hint="eastAsia" w:ascii="宋体" w:hAnsi="宋体" w:eastAsia="宋体" w:cs="宋体"/>
          <w:color w:val="auto"/>
          <w:sz w:val="24"/>
          <w:szCs w:val="24"/>
          <w:highlight w:val="none"/>
        </w:rPr>
        <w:t>本项目</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的资格。</w:t>
      </w:r>
    </w:p>
    <w:p w14:paraId="5F8B88C6">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.00元。</w:t>
      </w:r>
    </w:p>
    <w:p w14:paraId="37425FA0">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四、</w:t>
      </w:r>
      <w:bookmarkEnd w:id="17"/>
      <w:bookmarkEnd w:id="18"/>
      <w:r>
        <w:rPr>
          <w:rFonts w:hint="eastAsia" w:ascii="宋体" w:hAnsi="宋体" w:cs="宋体"/>
          <w:b/>
          <w:bCs/>
          <w:color w:val="auto"/>
          <w:sz w:val="24"/>
          <w:szCs w:val="24"/>
          <w:highlight w:val="none"/>
          <w:lang w:eastAsia="zh-CN"/>
        </w:rPr>
        <w:t>响应文件</w:t>
      </w:r>
      <w:bookmarkEnd w:id="19"/>
      <w:bookmarkEnd w:id="20"/>
      <w:r>
        <w:rPr>
          <w:rFonts w:hint="eastAsia" w:ascii="宋体" w:hAnsi="宋体" w:cs="宋体"/>
          <w:b/>
          <w:bCs/>
          <w:color w:val="auto"/>
          <w:sz w:val="24"/>
          <w:szCs w:val="24"/>
          <w:highlight w:val="none"/>
          <w:lang w:val="en-US" w:eastAsia="zh-CN"/>
        </w:rPr>
        <w:t>提交</w:t>
      </w:r>
      <w:bookmarkStart w:id="181" w:name="_GoBack"/>
      <w:bookmarkEnd w:id="181"/>
    </w:p>
    <w:p w14:paraId="4FBE5DDE">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color w:val="auto"/>
          <w:sz w:val="24"/>
          <w:szCs w:val="24"/>
          <w:highlight w:val="none"/>
          <w:lang w:val="en-US" w:eastAsia="zh-CN"/>
        </w:rPr>
      </w:pPr>
      <w:bookmarkStart w:id="21" w:name="_Toc35393794"/>
      <w:bookmarkStart w:id="22" w:name="_Toc28359007"/>
      <w:bookmarkStart w:id="23" w:name="_Toc35393625"/>
      <w:bookmarkStart w:id="24" w:name="_Toc28359084"/>
      <w:r>
        <w:rPr>
          <w:rFonts w:hint="eastAsia" w:ascii="宋体" w:hAnsi="宋体" w:cs="宋体"/>
          <w:color w:val="auto"/>
          <w:sz w:val="24"/>
          <w:szCs w:val="24"/>
          <w:highlight w:val="none"/>
          <w:lang w:val="en-US" w:eastAsia="zh-CN"/>
        </w:rPr>
        <w:t>截止时间：2026年7月3日</w:t>
      </w:r>
      <w:r>
        <w:rPr>
          <w:rFonts w:hint="eastAsia" w:ascii="宋体" w:hAnsi="宋体" w:cs="宋体"/>
          <w:color w:val="auto"/>
          <w:sz w:val="24"/>
          <w:szCs w:val="24"/>
          <w:highlight w:val="none"/>
          <w:u w:val="none"/>
          <w:lang w:val="en-US" w:eastAsia="zh-CN"/>
        </w:rPr>
        <w:t>15</w:t>
      </w:r>
      <w:r>
        <w:rPr>
          <w:rFonts w:hint="eastAsia" w:ascii="宋体" w:hAnsi="宋体" w:eastAsia="宋体" w:cs="宋体"/>
          <w:color w:val="auto"/>
          <w:sz w:val="24"/>
          <w:szCs w:val="24"/>
          <w:highlight w:val="none"/>
          <w:lang w:val="en-US" w:eastAsia="zh-CN"/>
        </w:rPr>
        <w:t>时</w:t>
      </w:r>
      <w:r>
        <w:rPr>
          <w:rFonts w:hint="eastAsia" w:ascii="宋体" w:hAnsi="宋体" w:cs="宋体"/>
          <w:color w:val="auto"/>
          <w:sz w:val="24"/>
          <w:szCs w:val="24"/>
          <w:highlight w:val="none"/>
          <w:u w:val="none"/>
          <w:lang w:val="en-US" w:eastAsia="zh-CN"/>
        </w:rPr>
        <w:t>00</w:t>
      </w:r>
      <w:r>
        <w:rPr>
          <w:rFonts w:hint="eastAsia" w:ascii="宋体" w:hAnsi="宋体" w:eastAsia="宋体" w:cs="宋体"/>
          <w:color w:val="auto"/>
          <w:sz w:val="24"/>
          <w:szCs w:val="24"/>
          <w:highlight w:val="none"/>
        </w:rPr>
        <w:t>分（北京时间）</w:t>
      </w:r>
    </w:p>
    <w:p w14:paraId="5865AE5D">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en-US" w:eastAsia="zh-CN"/>
        </w:rPr>
        <w:t>请</w:t>
      </w:r>
      <w:r>
        <w:rPr>
          <w:rFonts w:hint="eastAsia" w:ascii="宋体" w:hAnsi="宋体" w:eastAsia="宋体" w:cs="宋体"/>
          <w:color w:val="auto"/>
          <w:sz w:val="24"/>
          <w:szCs w:val="24"/>
          <w:highlight w:val="none"/>
        </w:rPr>
        <w:t>登录政采云平台客户端实行在线递交响应文件</w:t>
      </w:r>
    </w:p>
    <w:p w14:paraId="3C8BCF86">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五、</w:t>
      </w:r>
      <w:r>
        <w:rPr>
          <w:rFonts w:hint="eastAsia" w:ascii="宋体" w:hAnsi="宋体" w:eastAsia="宋体" w:cs="宋体"/>
          <w:b/>
          <w:bCs/>
          <w:color w:val="auto"/>
          <w:sz w:val="24"/>
          <w:szCs w:val="24"/>
          <w:highlight w:val="none"/>
          <w:lang w:val="en-US" w:eastAsia="zh-CN"/>
        </w:rPr>
        <w:t>开启</w:t>
      </w:r>
    </w:p>
    <w:p w14:paraId="343B5582">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时间：2026年7月3日</w:t>
      </w:r>
      <w:r>
        <w:rPr>
          <w:rFonts w:hint="eastAsia" w:ascii="宋体" w:hAnsi="宋体" w:cs="宋体"/>
          <w:color w:val="auto"/>
          <w:sz w:val="24"/>
          <w:szCs w:val="24"/>
          <w:highlight w:val="none"/>
          <w:u w:val="none"/>
          <w:lang w:val="en-US" w:eastAsia="zh-CN"/>
        </w:rPr>
        <w:t>15</w:t>
      </w:r>
      <w:r>
        <w:rPr>
          <w:rFonts w:hint="eastAsia" w:ascii="宋体" w:hAnsi="宋体" w:eastAsia="宋体" w:cs="宋体"/>
          <w:color w:val="auto"/>
          <w:sz w:val="24"/>
          <w:szCs w:val="24"/>
          <w:highlight w:val="none"/>
          <w:lang w:val="en-US" w:eastAsia="zh-CN"/>
        </w:rPr>
        <w:t>时</w:t>
      </w:r>
      <w:r>
        <w:rPr>
          <w:rFonts w:hint="eastAsia" w:ascii="宋体" w:hAnsi="宋体" w:cs="宋体"/>
          <w:color w:val="auto"/>
          <w:sz w:val="24"/>
          <w:szCs w:val="24"/>
          <w:highlight w:val="none"/>
          <w:u w:val="none"/>
          <w:lang w:val="en-US" w:eastAsia="zh-CN"/>
        </w:rPr>
        <w:t>00</w:t>
      </w:r>
      <w:r>
        <w:rPr>
          <w:rFonts w:hint="eastAsia" w:ascii="宋体" w:hAnsi="宋体" w:eastAsia="宋体" w:cs="宋体"/>
          <w:color w:val="auto"/>
          <w:sz w:val="24"/>
          <w:szCs w:val="24"/>
          <w:highlight w:val="none"/>
        </w:rPr>
        <w:t>分（北京时间）</w:t>
      </w:r>
    </w:p>
    <w:p w14:paraId="4D75E33B">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cs="宋体"/>
          <w:color w:val="auto"/>
          <w:sz w:val="24"/>
          <w:szCs w:val="24"/>
          <w:highlight w:val="none"/>
          <w:lang w:val="en-US" w:eastAsia="zh-CN"/>
        </w:rPr>
        <w:t>临沧市临翔区金旭之光2期8栋2204室</w:t>
      </w:r>
    </w:p>
    <w:p w14:paraId="78425964">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rPr>
        <w:t>公告期限</w:t>
      </w:r>
      <w:bookmarkEnd w:id="21"/>
      <w:bookmarkEnd w:id="22"/>
      <w:bookmarkEnd w:id="23"/>
      <w:bookmarkEnd w:id="24"/>
    </w:p>
    <w:p w14:paraId="4E04910B">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个工作日。</w:t>
      </w:r>
    </w:p>
    <w:p w14:paraId="7851CD39">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rPr>
      </w:pPr>
      <w:bookmarkStart w:id="25" w:name="_Toc35393795"/>
      <w:bookmarkStart w:id="26" w:name="_Toc35393626"/>
      <w:r>
        <w:rPr>
          <w:rFonts w:hint="eastAsia" w:ascii="宋体" w:hAnsi="宋体" w:cs="宋体"/>
          <w:b/>
          <w:bCs/>
          <w:color w:val="auto"/>
          <w:sz w:val="24"/>
          <w:szCs w:val="24"/>
          <w:highlight w:val="none"/>
          <w:lang w:val="en-US" w:eastAsia="zh-CN"/>
        </w:rPr>
        <w:t>七</w:t>
      </w:r>
      <w:r>
        <w:rPr>
          <w:rFonts w:hint="eastAsia" w:ascii="宋体" w:hAnsi="宋体" w:eastAsia="宋体" w:cs="宋体"/>
          <w:b/>
          <w:bCs/>
          <w:color w:val="auto"/>
          <w:sz w:val="24"/>
          <w:szCs w:val="24"/>
          <w:highlight w:val="none"/>
        </w:rPr>
        <w:t>、其他补充事宜</w:t>
      </w:r>
      <w:bookmarkEnd w:id="25"/>
      <w:bookmarkEnd w:id="26"/>
    </w:p>
    <w:p w14:paraId="2B8E140E">
      <w:pPr>
        <w:keepNext w:val="0"/>
        <w:keepLines w:val="0"/>
        <w:pageBreakBefore w:val="0"/>
        <w:widowControl w:val="0"/>
        <w:shd w:val="clear" w:color="auto" w:fill="auto"/>
        <w:kinsoku/>
        <w:wordWrap/>
        <w:overflowPunct/>
        <w:topLinePunct w:val="0"/>
        <w:autoSpaceDE/>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bookmarkStart w:id="27" w:name="_Toc28359085"/>
      <w:bookmarkStart w:id="28" w:name="_Toc35393796"/>
      <w:bookmarkStart w:id="29" w:name="_Toc28359008"/>
      <w:bookmarkStart w:id="30" w:name="_Toc35393627"/>
      <w:r>
        <w:rPr>
          <w:rFonts w:hint="eastAsia" w:ascii="宋体" w:hAnsi="宋体" w:eastAsia="宋体" w:cs="宋体"/>
          <w:b w:val="0"/>
          <w:bCs w:val="0"/>
          <w:color w:val="auto"/>
          <w:sz w:val="24"/>
          <w:szCs w:val="24"/>
          <w:highlight w:val="none"/>
          <w:lang w:val="en-US" w:eastAsia="zh-CN"/>
        </w:rPr>
        <w:t>（一）获取</w:t>
      </w:r>
      <w:r>
        <w:rPr>
          <w:rFonts w:hint="eastAsia" w:ascii="宋体" w:hAnsi="宋体" w:cs="宋体"/>
          <w:b w:val="0"/>
          <w:bCs w:val="0"/>
          <w:color w:val="auto"/>
          <w:sz w:val="24"/>
          <w:szCs w:val="24"/>
          <w:highlight w:val="none"/>
          <w:lang w:val="en-US" w:eastAsia="zh-CN"/>
        </w:rPr>
        <w:t>竞争性磋商文件</w:t>
      </w:r>
    </w:p>
    <w:p w14:paraId="541D2F7E">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1.凡有意参加本项目</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lang w:val="en-US" w:eastAsia="zh-CN"/>
        </w:rPr>
        <w:t>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，须在本项目规定的“获取</w:t>
      </w:r>
      <w:r>
        <w:rPr>
          <w:rFonts w:hint="eastAsia" w:ascii="宋体" w:hAnsi="宋体" w:cs="宋体"/>
          <w:b w:val="0"/>
          <w:bCs w:val="0"/>
          <w:color w:val="auto"/>
          <w:sz w:val="24"/>
          <w:szCs w:val="24"/>
          <w:highlight w:val="none"/>
          <w:lang w:val="en-US" w:eastAsia="zh-CN"/>
        </w:rPr>
        <w:t>竞争性磋商文件</w:t>
      </w:r>
      <w:r>
        <w:rPr>
          <w:rFonts w:hint="eastAsia" w:ascii="宋体" w:hAnsi="宋体" w:eastAsia="宋体" w:cs="宋体"/>
          <w:b w:val="0"/>
          <w:bCs w:val="0"/>
          <w:color w:val="auto"/>
          <w:sz w:val="24"/>
          <w:szCs w:val="24"/>
          <w:highlight w:val="none"/>
          <w:lang w:val="en-US" w:eastAsia="zh-CN"/>
        </w:rPr>
        <w:t>”时限内在政采云平台完成“注册”、“登录”、“办理数字证书（CA）”、“绑定数字证书（CA）”等流程后</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lang w:val="en-US" w:eastAsia="zh-CN"/>
        </w:rPr>
        <w:t>即可线上获取</w:t>
      </w:r>
      <w:r>
        <w:rPr>
          <w:rFonts w:hint="eastAsia" w:ascii="宋体" w:hAnsi="宋体" w:cs="宋体"/>
          <w:b w:val="0"/>
          <w:bCs w:val="0"/>
          <w:color w:val="auto"/>
          <w:sz w:val="24"/>
          <w:szCs w:val="24"/>
          <w:highlight w:val="none"/>
          <w:lang w:val="en-US" w:eastAsia="zh-CN"/>
        </w:rPr>
        <w:t>竞争性磋商文件</w:t>
      </w:r>
      <w:r>
        <w:rPr>
          <w:rFonts w:hint="eastAsia" w:ascii="宋体" w:hAnsi="宋体" w:eastAsia="宋体" w:cs="宋体"/>
          <w:b w:val="0"/>
          <w:bCs w:val="0"/>
          <w:color w:val="auto"/>
          <w:sz w:val="24"/>
          <w:szCs w:val="24"/>
          <w:highlight w:val="none"/>
          <w:lang w:val="en-US" w:eastAsia="zh-CN"/>
        </w:rPr>
        <w:t>及相关资料。</w:t>
      </w:r>
    </w:p>
    <w:p w14:paraId="79D5CF6F">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bookmarkStart w:id="31" w:name="OLE_LINK7"/>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已在政采云平台办理过数字证书（CA）的，直接绑定即可，无需重复办理。云南省外</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在政采云平台办理的其他CA可直接使用，无需重复办理。</w:t>
      </w:r>
      <w:bookmarkEnd w:id="31"/>
      <w:r>
        <w:rPr>
          <w:rFonts w:hint="eastAsia" w:ascii="宋体" w:hAnsi="宋体" w:eastAsia="宋体" w:cs="宋体"/>
          <w:b w:val="0"/>
          <w:bCs w:val="0"/>
          <w:color w:val="auto"/>
          <w:sz w:val="24"/>
          <w:szCs w:val="24"/>
          <w:highlight w:val="none"/>
          <w:lang w:val="en-US" w:eastAsia="zh-CN"/>
        </w:rPr>
        <w:t>若</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未办理数字证书（CA）的，政府采购云平台支持多家CA服务商，</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可根据自己需求，在政采云平台自主选择CA办理方式，其中：</w:t>
      </w:r>
    </w:p>
    <w:p w14:paraId="41591DBB">
      <w:pPr>
        <w:keepNext w:val="0"/>
        <w:keepLines w:val="0"/>
        <w:pageBreakBefore w:val="0"/>
        <w:widowControl w:val="0"/>
        <w:shd w:val="clear" w:color="auto" w:fill="auto"/>
        <w:kinsoku/>
        <w:wordWrap w:val="0"/>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方式一（云南壹证通CA）：CA申领链接为</w:t>
      </w:r>
      <w:r>
        <w:rPr>
          <w:rFonts w:hint="eastAsia" w:ascii="宋体" w:hAnsi="宋体" w:eastAsia="宋体" w:cs="宋体"/>
          <w:b w:val="0"/>
          <w:bCs w:val="0"/>
          <w:color w:val="auto"/>
          <w:sz w:val="24"/>
          <w:szCs w:val="24"/>
          <w:highlight w:val="none"/>
          <w:lang w:val="en-US" w:eastAsia="zh-CN"/>
        </w:rPr>
        <w:fldChar w:fldCharType="begin"/>
      </w:r>
      <w:r>
        <w:rPr>
          <w:rFonts w:hint="eastAsia" w:ascii="宋体" w:hAnsi="宋体" w:eastAsia="宋体" w:cs="宋体"/>
          <w:b w:val="0"/>
          <w:bCs w:val="0"/>
          <w:color w:val="auto"/>
          <w:sz w:val="24"/>
          <w:szCs w:val="24"/>
          <w:highlight w:val="none"/>
          <w:lang w:val="en-US" w:eastAsia="zh-CN"/>
        </w:rPr>
        <w:instrText xml:space="preserve"> HYPERLINK "http://yzt.ynsmartcert.cn/cms/yztlccb.html" </w:instrText>
      </w:r>
      <w:r>
        <w:rPr>
          <w:rFonts w:hint="eastAsia" w:ascii="宋体" w:hAnsi="宋体" w:eastAsia="宋体" w:cs="宋体"/>
          <w:b w:val="0"/>
          <w:bCs w:val="0"/>
          <w:color w:val="auto"/>
          <w:sz w:val="24"/>
          <w:szCs w:val="24"/>
          <w:highlight w:val="none"/>
          <w:lang w:val="en-US" w:eastAsia="zh-CN"/>
        </w:rPr>
        <w:fldChar w:fldCharType="separate"/>
      </w:r>
      <w:r>
        <w:rPr>
          <w:rFonts w:hint="eastAsia" w:ascii="宋体" w:hAnsi="宋体" w:eastAsia="宋体" w:cs="宋体"/>
          <w:b w:val="0"/>
          <w:bCs w:val="0"/>
          <w:color w:val="auto"/>
          <w:sz w:val="24"/>
          <w:szCs w:val="24"/>
          <w:highlight w:val="none"/>
          <w:lang w:val="en-US" w:eastAsia="zh-CN"/>
        </w:rPr>
        <w:t>http://yzt.ynsmartcert.cn/cms/yztlccb.html</w:t>
      </w:r>
      <w:r>
        <w:rPr>
          <w:rFonts w:hint="eastAsia"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，支持线上、线下办理方式，并提供7*24小时全天候客户服务支持，客服热线400-004-0628；</w:t>
      </w:r>
    </w:p>
    <w:p w14:paraId="50613AB9">
      <w:pPr>
        <w:keepNext w:val="0"/>
        <w:keepLines w:val="0"/>
        <w:pageBreakBefore w:val="0"/>
        <w:widowControl w:val="0"/>
        <w:shd w:val="clear" w:color="auto" w:fill="auto"/>
        <w:kinsoku/>
        <w:wordWrap w:val="0"/>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方式二（云南CA）：CA申领链接为</w:t>
      </w:r>
      <w:bookmarkStart w:id="32" w:name="OLE_LINK3"/>
      <w:r>
        <w:rPr>
          <w:rFonts w:hint="eastAsia" w:ascii="宋体" w:hAnsi="宋体" w:eastAsia="宋体" w:cs="宋体"/>
          <w:b w:val="0"/>
          <w:bCs w:val="0"/>
          <w:color w:val="auto"/>
          <w:sz w:val="24"/>
          <w:szCs w:val="24"/>
          <w:highlight w:val="none"/>
          <w:lang w:val="en-US" w:eastAsia="zh-CN"/>
        </w:rPr>
        <w:t>https://cap.yunnanca.net/，支持线上、线下办理方式，并提供7*24小时全天候客户服务支持，客服热线400-672-7666</w:t>
      </w:r>
      <w:bookmarkEnd w:id="32"/>
      <w:r>
        <w:rPr>
          <w:rFonts w:hint="eastAsia" w:ascii="宋体" w:hAnsi="宋体" w:eastAsia="宋体" w:cs="宋体"/>
          <w:b w:val="0"/>
          <w:bCs w:val="0"/>
          <w:color w:val="auto"/>
          <w:sz w:val="24"/>
          <w:szCs w:val="24"/>
          <w:highlight w:val="none"/>
          <w:lang w:val="en-US" w:eastAsia="zh-CN"/>
        </w:rPr>
        <w:t>。</w:t>
      </w:r>
    </w:p>
    <w:p w14:paraId="538145D4">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3.数字证书（CA）申领完成之后进入政采云平台，将企业账号与CA进行绑定，凭CA进行项目报名并下载</w:t>
      </w:r>
      <w:r>
        <w:rPr>
          <w:rFonts w:hint="eastAsia" w:ascii="宋体" w:hAnsi="宋体" w:cs="宋体"/>
          <w:b w:val="0"/>
          <w:bCs w:val="0"/>
          <w:color w:val="auto"/>
          <w:sz w:val="24"/>
          <w:szCs w:val="24"/>
          <w:highlight w:val="none"/>
          <w:lang w:val="en-US" w:eastAsia="zh-CN"/>
        </w:rPr>
        <w:t>竞争性磋商文件</w:t>
      </w:r>
      <w:r>
        <w:rPr>
          <w:rFonts w:hint="eastAsia" w:ascii="宋体" w:hAnsi="宋体" w:eastAsia="宋体" w:cs="宋体"/>
          <w:b w:val="0"/>
          <w:bCs w:val="0"/>
          <w:color w:val="auto"/>
          <w:sz w:val="24"/>
          <w:szCs w:val="24"/>
          <w:highlight w:val="none"/>
          <w:lang w:val="en-US" w:eastAsia="zh-CN"/>
        </w:rPr>
        <w:t>。</w:t>
      </w:r>
    </w:p>
    <w:p w14:paraId="56C35C65">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lang w:val="en-US" w:eastAsia="zh-CN"/>
        </w:rPr>
        <w:t>）提交</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方式</w:t>
      </w:r>
    </w:p>
    <w:p w14:paraId="01F767F3">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1.本项目为云南省全流程电子化项目，通过“政采云平台”（https://w ww.zcygov.cn/）实行在线电子投标，</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应先安装“政采云电子交易客户端”（请自行前往政采云平台进行下载），并按照本项目采购文件和政采云平台的要求编制、加密、提交</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w:t>
      </w:r>
    </w:p>
    <w:p w14:paraId="41B22AD9">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完成</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的编制、加密后，须在提交</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截止时间前上传至政采云平台，未按规定完成</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上传的，视为撤回</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w:t>
      </w:r>
    </w:p>
    <w:p w14:paraId="25203279">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在政采云平台提交电子版</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时，请填写参加远程采购活动经办人联系方式。</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应提前调试好网络、音视频设备并于提交</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截止时间（开标时间）前在系统上等待通知，并进行“</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远程解密及签字”等开标流程。</w:t>
      </w:r>
    </w:p>
    <w:p w14:paraId="557B6746">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w:t>
      </w:r>
      <w:r>
        <w:rPr>
          <w:rFonts w:hint="eastAsia" w:ascii="宋体" w:hAnsi="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lang w:val="en-US" w:eastAsia="zh-CN"/>
        </w:rPr>
        <w:t>）其他</w:t>
      </w:r>
    </w:p>
    <w:p w14:paraId="1940CBC5">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1.本次招标公告在“政采云平台”（https://www.zcygov.cn/）和“云南省政府采购网”（http://www.yngp.com/）上发布，公告内容和时间以云南省政府采购网发布的信息为准。因</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不留意网站公告，导致后果由其自行负责，采购人及采购代理机构不承担任何责任。采购人及采购代理机构对其他网站发布的同类信息不承担任何责任。</w:t>
      </w:r>
    </w:p>
    <w:p w14:paraId="313812CD">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将政采云电子交易客户端下载、安装完成后，通过账号密码或CA登录客户端进行</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的制作。各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应确保在开标前成为政采云平台的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，并完成CA数字证书申领，因未注册入库、未办理CA数字证书等原因造成无法投标或投标失败等后果由</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自行承担。</w:t>
      </w:r>
    </w:p>
    <w:p w14:paraId="162B565C">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3.在使用政采云电子交易客户端时，建议使用WIN7（64位）及以上操作系统。如因</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自身原因导致在规定时间内无法正常解密的（如：浏览器故障、未安装相关驱动、网络故障、加密CA与解密CA不一致等），</w:t>
      </w:r>
      <w:r>
        <w:rPr>
          <w:rFonts w:hint="eastAsia" w:ascii="宋体" w:hAnsi="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lang w:val="en-US" w:eastAsia="zh-CN"/>
        </w:rPr>
        <w:t>代理机构不予异常处理，视为</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放弃本次</w:t>
      </w:r>
      <w:r>
        <w:rPr>
          <w:rFonts w:hint="eastAsia" w:ascii="宋体" w:hAnsi="宋体" w:cs="宋体"/>
          <w:b w:val="0"/>
          <w:bCs w:val="0"/>
          <w:color w:val="auto"/>
          <w:sz w:val="24"/>
          <w:szCs w:val="24"/>
          <w:highlight w:val="none"/>
          <w:lang w:val="en-US" w:eastAsia="zh-CN"/>
        </w:rPr>
        <w:t>磋商</w:t>
      </w:r>
      <w:r>
        <w:rPr>
          <w:rFonts w:hint="eastAsia" w:ascii="宋体" w:hAnsi="宋体" w:eastAsia="宋体" w:cs="宋体"/>
          <w:b w:val="0"/>
          <w:bCs w:val="0"/>
          <w:color w:val="auto"/>
          <w:sz w:val="24"/>
          <w:szCs w:val="24"/>
          <w:highlight w:val="none"/>
          <w:lang w:val="en-US" w:eastAsia="zh-CN"/>
        </w:rPr>
        <w:t>。</w:t>
      </w:r>
    </w:p>
    <w:p w14:paraId="63B617B5">
      <w:pPr>
        <w:keepNext w:val="0"/>
        <w:keepLines w:val="0"/>
        <w:pageBreakBefore w:val="0"/>
        <w:widowControl w:val="0"/>
        <w:shd w:val="clear" w:color="auto" w:fill="auto"/>
        <w:kinsoku/>
        <w:wordWrap w:val="0"/>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注：政采云电子交易客户端可在政采云公司网站（</w:t>
      </w:r>
      <w:r>
        <w:rPr>
          <w:rFonts w:hint="eastAsia" w:ascii="宋体" w:hAnsi="宋体" w:eastAsia="宋体" w:cs="宋体"/>
          <w:b w:val="0"/>
          <w:bCs w:val="0"/>
          <w:color w:val="auto"/>
          <w:sz w:val="24"/>
          <w:szCs w:val="24"/>
          <w:highlight w:val="none"/>
          <w:lang w:val="en-US" w:eastAsia="zh-CN"/>
        </w:rPr>
        <w:fldChar w:fldCharType="begin"/>
      </w:r>
      <w:r>
        <w:rPr>
          <w:rFonts w:hint="eastAsia" w:ascii="宋体" w:hAnsi="宋体" w:eastAsia="宋体" w:cs="宋体"/>
          <w:b w:val="0"/>
          <w:bCs w:val="0"/>
          <w:color w:val="auto"/>
          <w:sz w:val="24"/>
          <w:szCs w:val="24"/>
          <w:highlight w:val="none"/>
          <w:lang w:val="en-US" w:eastAsia="zh-CN"/>
        </w:rPr>
        <w:instrText xml:space="preserve"> HYPERLINK "https://edu.zcygov.cn/luban/yunnan-dzjy-gys" </w:instrText>
      </w:r>
      <w:r>
        <w:rPr>
          <w:rFonts w:hint="eastAsia" w:ascii="宋体" w:hAnsi="宋体" w:eastAsia="宋体" w:cs="宋体"/>
          <w:b w:val="0"/>
          <w:bCs w:val="0"/>
          <w:color w:val="auto"/>
          <w:sz w:val="24"/>
          <w:szCs w:val="24"/>
          <w:highlight w:val="none"/>
          <w:lang w:val="en-US" w:eastAsia="zh-CN"/>
        </w:rPr>
        <w:fldChar w:fldCharType="separate"/>
      </w:r>
      <w:r>
        <w:rPr>
          <w:rFonts w:hint="eastAsia" w:ascii="宋体" w:hAnsi="宋体" w:eastAsia="宋体" w:cs="宋体"/>
          <w:b w:val="0"/>
          <w:bCs w:val="0"/>
          <w:color w:val="auto"/>
          <w:sz w:val="24"/>
          <w:szCs w:val="24"/>
          <w:highlight w:val="none"/>
          <w:lang w:val="en-US" w:eastAsia="zh-CN"/>
        </w:rPr>
        <w:t>https://edu.zcygov.cn/luban/yunnan-dzjy-gys</w:t>
      </w:r>
      <w:r>
        <w:rPr>
          <w:rFonts w:hint="eastAsia"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）进行查看下载，如有问题可拨打政采云客户服务热线400-881-7190或95763进行咨询。</w:t>
      </w:r>
    </w:p>
    <w:p w14:paraId="23761AF2">
      <w:pPr>
        <w:keepNext w:val="0"/>
        <w:keepLines w:val="0"/>
        <w:pageBreakBefore w:val="0"/>
        <w:widowControl w:val="0"/>
        <w:shd w:val="clear" w:color="auto" w:fill="auto"/>
        <w:kinsoku/>
        <w:wordWrap w:val="0"/>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4.未进行网上注册并办理数字证书（CA认证）的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将</w:t>
      </w:r>
      <w:r>
        <w:rPr>
          <w:rFonts w:hint="eastAsia" w:ascii="宋体" w:hAnsi="宋体" w:cs="宋体"/>
          <w:b w:val="0"/>
          <w:bCs w:val="0"/>
          <w:color w:val="auto"/>
          <w:sz w:val="24"/>
          <w:szCs w:val="24"/>
          <w:highlight w:val="none"/>
          <w:lang w:val="en-US" w:eastAsia="zh-CN"/>
        </w:rPr>
        <w:t>不能</w:t>
      </w:r>
      <w:r>
        <w:rPr>
          <w:rFonts w:hint="eastAsia" w:ascii="宋体" w:hAnsi="宋体" w:eastAsia="宋体" w:cs="宋体"/>
          <w:b w:val="0"/>
          <w:bCs w:val="0"/>
          <w:color w:val="auto"/>
          <w:sz w:val="24"/>
          <w:szCs w:val="24"/>
          <w:highlight w:val="none"/>
          <w:lang w:val="en-US" w:eastAsia="zh-CN"/>
        </w:rPr>
        <w:t>参与本项目采购活动，</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应提交</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截止时间前完成政采云平台的CA数字证书办理及</w:t>
      </w:r>
      <w:r>
        <w:rPr>
          <w:rFonts w:hint="eastAsia" w:ascii="宋体" w:hAnsi="宋体" w:cs="宋体"/>
          <w:b w:val="0"/>
          <w:bCs w:val="0"/>
          <w:color w:val="auto"/>
          <w:sz w:val="24"/>
          <w:szCs w:val="24"/>
          <w:highlight w:val="none"/>
          <w:lang w:val="en-US" w:eastAsia="zh-CN"/>
        </w:rPr>
        <w:t>竞争性磋商响应文件</w:t>
      </w:r>
      <w:r>
        <w:rPr>
          <w:rFonts w:hint="eastAsia" w:ascii="宋体" w:hAnsi="宋体" w:eastAsia="宋体" w:cs="宋体"/>
          <w:b w:val="0"/>
          <w:bCs w:val="0"/>
          <w:color w:val="auto"/>
          <w:sz w:val="24"/>
          <w:szCs w:val="24"/>
          <w:highlight w:val="none"/>
          <w:lang w:val="en-US" w:eastAsia="zh-CN"/>
        </w:rPr>
        <w:t>提交等。办理CA数字证书需花费一定的时间，请各</w:t>
      </w:r>
      <w:r>
        <w:rPr>
          <w:rFonts w:hint="eastAsia" w:ascii="宋体" w:hAnsi="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lang w:val="en-US" w:eastAsia="zh-CN"/>
        </w:rPr>
        <w:t>合理安排办理时间。</w:t>
      </w:r>
    </w:p>
    <w:p w14:paraId="67319EBE">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5.本</w:t>
      </w:r>
      <w:r>
        <w:rPr>
          <w:rFonts w:hint="eastAsia" w:ascii="宋体" w:hAnsi="宋体" w:cs="宋体"/>
          <w:b w:val="0"/>
          <w:bCs w:val="0"/>
          <w:color w:val="auto"/>
          <w:sz w:val="24"/>
          <w:szCs w:val="24"/>
          <w:highlight w:val="none"/>
          <w:lang w:val="en-US" w:eastAsia="zh-CN"/>
        </w:rPr>
        <w:t>竞争性磋商公告</w:t>
      </w:r>
      <w:r>
        <w:rPr>
          <w:rFonts w:hint="eastAsia" w:ascii="宋体" w:hAnsi="宋体" w:eastAsia="宋体" w:cs="宋体"/>
          <w:b w:val="0"/>
          <w:bCs w:val="0"/>
          <w:color w:val="auto"/>
          <w:sz w:val="24"/>
          <w:szCs w:val="24"/>
          <w:highlight w:val="none"/>
          <w:lang w:val="en-US" w:eastAsia="zh-CN"/>
        </w:rPr>
        <w:t>如与</w:t>
      </w:r>
      <w:r>
        <w:rPr>
          <w:rFonts w:hint="eastAsia" w:ascii="宋体" w:hAnsi="宋体" w:cs="宋体"/>
          <w:b w:val="0"/>
          <w:bCs w:val="0"/>
          <w:color w:val="auto"/>
          <w:sz w:val="24"/>
          <w:szCs w:val="24"/>
          <w:highlight w:val="none"/>
          <w:lang w:val="en-US" w:eastAsia="zh-CN"/>
        </w:rPr>
        <w:t>竞争性磋商文件</w:t>
      </w:r>
      <w:r>
        <w:rPr>
          <w:rFonts w:hint="eastAsia" w:ascii="宋体" w:hAnsi="宋体" w:eastAsia="宋体" w:cs="宋体"/>
          <w:b w:val="0"/>
          <w:bCs w:val="0"/>
          <w:color w:val="auto"/>
          <w:sz w:val="24"/>
          <w:szCs w:val="24"/>
          <w:highlight w:val="none"/>
          <w:lang w:val="en-US" w:eastAsia="zh-CN"/>
        </w:rPr>
        <w:t>不一致之处，以</w:t>
      </w:r>
      <w:r>
        <w:rPr>
          <w:rFonts w:hint="eastAsia" w:ascii="宋体" w:hAnsi="宋体" w:cs="宋体"/>
          <w:b w:val="0"/>
          <w:bCs w:val="0"/>
          <w:color w:val="auto"/>
          <w:sz w:val="24"/>
          <w:szCs w:val="24"/>
          <w:highlight w:val="none"/>
          <w:lang w:val="en-US" w:eastAsia="zh-CN"/>
        </w:rPr>
        <w:t>竞争性磋商文件</w:t>
      </w:r>
      <w:r>
        <w:rPr>
          <w:rFonts w:hint="eastAsia" w:ascii="宋体" w:hAnsi="宋体" w:eastAsia="宋体" w:cs="宋体"/>
          <w:b w:val="0"/>
          <w:bCs w:val="0"/>
          <w:color w:val="auto"/>
          <w:sz w:val="24"/>
          <w:szCs w:val="24"/>
          <w:highlight w:val="none"/>
          <w:lang w:val="en-US" w:eastAsia="zh-CN"/>
        </w:rPr>
        <w:t>为准。</w:t>
      </w:r>
    </w:p>
    <w:p w14:paraId="5DF99E2D">
      <w:pPr>
        <w:keepNext w:val="0"/>
        <w:keepLines w:val="0"/>
        <w:pageBreakBefore w:val="0"/>
        <w:widowControl w:val="0"/>
        <w:shd w:val="clear" w:color="auto" w:fill="auto"/>
        <w:kinsoku/>
        <w:wordWrap/>
        <w:overflowPunct/>
        <w:topLinePunct w:val="0"/>
        <w:autoSpaceDE/>
        <w:bidi w:val="0"/>
        <w:adjustRightInd/>
        <w:snapToGrid/>
        <w:spacing w:line="510" w:lineRule="exact"/>
        <w:jc w:val="left"/>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八</w:t>
      </w:r>
      <w:r>
        <w:rPr>
          <w:rFonts w:hint="eastAsia" w:ascii="宋体" w:hAnsi="宋体" w:eastAsia="宋体" w:cs="宋体"/>
          <w:b/>
          <w:bCs/>
          <w:color w:val="auto"/>
          <w:sz w:val="24"/>
          <w:szCs w:val="24"/>
          <w:highlight w:val="none"/>
        </w:rPr>
        <w:t>、对本次</w:t>
      </w:r>
      <w:r>
        <w:rPr>
          <w:rFonts w:hint="eastAsia" w:ascii="宋体" w:hAnsi="宋体" w:cs="宋体"/>
          <w:b/>
          <w:bCs/>
          <w:color w:val="auto"/>
          <w:sz w:val="24"/>
          <w:szCs w:val="24"/>
          <w:highlight w:val="none"/>
          <w:lang w:val="en-US" w:eastAsia="zh-CN"/>
        </w:rPr>
        <w:t>采购</w:t>
      </w:r>
      <w:r>
        <w:rPr>
          <w:rFonts w:hint="eastAsia" w:ascii="宋体" w:hAnsi="宋体" w:eastAsia="宋体" w:cs="宋体"/>
          <w:b/>
          <w:bCs/>
          <w:color w:val="auto"/>
          <w:sz w:val="24"/>
          <w:szCs w:val="24"/>
          <w:highlight w:val="none"/>
        </w:rPr>
        <w:t>提出询问，请按以下方式联系</w:t>
      </w:r>
      <w:bookmarkEnd w:id="27"/>
      <w:bookmarkEnd w:id="28"/>
      <w:bookmarkEnd w:id="29"/>
      <w:bookmarkEnd w:id="30"/>
    </w:p>
    <w:p w14:paraId="68831884">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w:t>
      </w:r>
      <w:r>
        <w:rPr>
          <w:rFonts w:hint="eastAsia" w:ascii="宋体" w:hAnsi="宋体" w:eastAsia="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信息</w:t>
      </w:r>
    </w:p>
    <w:p w14:paraId="688EBE36">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名称：</w:t>
      </w:r>
      <w:r>
        <w:rPr>
          <w:rFonts w:hint="eastAsia" w:ascii="宋体" w:hAnsi="宋体" w:cs="宋体"/>
          <w:b w:val="0"/>
          <w:bCs w:val="0"/>
          <w:color w:val="auto"/>
          <w:sz w:val="24"/>
          <w:szCs w:val="24"/>
          <w:highlight w:val="none"/>
          <w:lang w:eastAsia="zh-CN"/>
        </w:rPr>
        <w:t>永德县林业和草原局</w:t>
      </w:r>
    </w:p>
    <w:p w14:paraId="7A4F70EE">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地  址：</w:t>
      </w:r>
      <w:r>
        <w:rPr>
          <w:rFonts w:hint="eastAsia" w:ascii="宋体" w:hAnsi="宋体" w:cs="宋体"/>
          <w:b w:val="0"/>
          <w:bCs w:val="0"/>
          <w:color w:val="auto"/>
          <w:sz w:val="24"/>
          <w:szCs w:val="24"/>
          <w:highlight w:val="none"/>
          <w:lang w:val="en-US" w:eastAsia="zh-CN"/>
        </w:rPr>
        <w:t>永德县德党镇永安社区永安路1号</w:t>
      </w:r>
    </w:p>
    <w:p w14:paraId="7EDC50B4">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联系方式：</w:t>
      </w:r>
      <w:r>
        <w:rPr>
          <w:rFonts w:hint="eastAsia" w:ascii="宋体" w:hAnsi="宋体" w:cs="宋体"/>
          <w:b w:val="0"/>
          <w:bCs w:val="0"/>
          <w:color w:val="auto"/>
          <w:sz w:val="24"/>
          <w:szCs w:val="24"/>
          <w:highlight w:val="none"/>
          <w:lang w:val="en-US" w:eastAsia="zh-CN"/>
        </w:rPr>
        <w:t>13988354511</w:t>
      </w:r>
    </w:p>
    <w:p w14:paraId="25EBE5CE">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信息</w:t>
      </w:r>
    </w:p>
    <w:p w14:paraId="028C752F">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名称：</w:t>
      </w:r>
      <w:r>
        <w:rPr>
          <w:rFonts w:hint="eastAsia" w:ascii="宋体" w:hAnsi="宋体" w:cs="宋体"/>
          <w:b w:val="0"/>
          <w:bCs w:val="0"/>
          <w:color w:val="auto"/>
          <w:sz w:val="24"/>
          <w:szCs w:val="24"/>
          <w:highlight w:val="none"/>
          <w:lang w:eastAsia="zh-CN"/>
        </w:rPr>
        <w:t>云南帮克工程咨询有限公司</w:t>
      </w:r>
    </w:p>
    <w:p w14:paraId="64D81749">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地址：云南省昆明市盘龙区东华街道办事处新迎小区白龙路149号云南省工商行政管理学校3楼整层</w:t>
      </w:r>
    </w:p>
    <w:p w14:paraId="10F37C5C">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default"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联系方式：</w:t>
      </w:r>
      <w:r>
        <w:rPr>
          <w:rFonts w:hint="eastAsia" w:ascii="宋体" w:hAnsi="宋体" w:cs="宋体"/>
          <w:b w:val="0"/>
          <w:bCs w:val="0"/>
          <w:color w:val="auto"/>
          <w:sz w:val="24"/>
          <w:szCs w:val="24"/>
          <w:highlight w:val="none"/>
          <w:lang w:val="en-US" w:eastAsia="zh-CN"/>
        </w:rPr>
        <w:t>13987007703/18725378630</w:t>
      </w:r>
    </w:p>
    <w:p w14:paraId="61579585">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3.项目联系方式</w:t>
      </w:r>
    </w:p>
    <w:p w14:paraId="07A5B27B">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项目联系人：</w:t>
      </w:r>
      <w:r>
        <w:rPr>
          <w:rFonts w:hint="eastAsia" w:ascii="宋体" w:hAnsi="宋体" w:cs="宋体"/>
          <w:b w:val="0"/>
          <w:bCs w:val="0"/>
          <w:color w:val="auto"/>
          <w:sz w:val="24"/>
          <w:szCs w:val="24"/>
          <w:highlight w:val="none"/>
          <w:lang w:val="en-US" w:eastAsia="zh-CN"/>
        </w:rPr>
        <w:t>何木</w:t>
      </w:r>
    </w:p>
    <w:p w14:paraId="40C67CBB">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480" w:firstLineChars="200"/>
        <w:textAlignment w:val="auto"/>
        <w:rPr>
          <w:rFonts w:hint="default" w:ascii="宋体" w:hAnsi="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电话：</w:t>
      </w:r>
      <w:r>
        <w:rPr>
          <w:rFonts w:hint="eastAsia" w:ascii="宋体" w:hAnsi="宋体" w:cs="宋体"/>
          <w:b w:val="0"/>
          <w:bCs w:val="0"/>
          <w:color w:val="auto"/>
          <w:sz w:val="24"/>
          <w:szCs w:val="24"/>
          <w:highlight w:val="none"/>
          <w:lang w:val="en-US" w:eastAsia="zh-CN"/>
        </w:rPr>
        <w:t>13987007703/18725378630</w:t>
      </w:r>
    </w:p>
    <w:p w14:paraId="0EC48AD1">
      <w:pPr>
        <w:keepNext w:val="0"/>
        <w:keepLines w:val="0"/>
        <w:pageBreakBefore w:val="0"/>
        <w:widowControl w:val="0"/>
        <w:shd w:val="clear" w:color="auto" w:fill="auto"/>
        <w:kinsoku/>
        <w:wordWrap/>
        <w:overflowPunct/>
        <w:topLinePunct w:val="0"/>
        <w:autoSpaceDE/>
        <w:autoSpaceDN/>
        <w:bidi w:val="0"/>
        <w:adjustRightInd/>
        <w:snapToGrid/>
        <w:spacing w:line="510" w:lineRule="exact"/>
        <w:ind w:firstLine="360" w:firstLineChars="200"/>
        <w:textAlignment w:val="auto"/>
        <w:rPr>
          <w:rFonts w:hint="eastAsia"/>
          <w:color w:val="auto"/>
          <w:sz w:val="18"/>
          <w:szCs w:val="18"/>
          <w:highlight w:val="none"/>
        </w:rPr>
      </w:pPr>
    </w:p>
    <w:p w14:paraId="4C730B84">
      <w:pPr>
        <w:pageBreakBefore w:val="0"/>
        <w:widowControl w:val="0"/>
        <w:kinsoku/>
        <w:autoSpaceDE/>
        <w:bidi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4171402E">
      <w:pPr>
        <w:pStyle w:val="2"/>
        <w:pageBreakBefore w:val="0"/>
        <w:widowControl w:val="0"/>
        <w:shd w:val="clear" w:color="auto" w:fill="auto"/>
        <w:tabs>
          <w:tab w:val="left" w:pos="360"/>
        </w:tabs>
        <w:kinsoku/>
        <w:autoSpaceDE/>
        <w:bidi w:val="0"/>
        <w:spacing w:before="0" w:line="540" w:lineRule="exact"/>
        <w:ind w:left="0" w:firstLine="0"/>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2"/>
          <w:szCs w:val="32"/>
          <w:highlight w:val="none"/>
        </w:rPr>
        <w:t xml:space="preserve">第二章 </w:t>
      </w:r>
      <w:bookmarkEnd w:id="2"/>
      <w:r>
        <w:rPr>
          <w:rFonts w:hint="eastAsia" w:asciiTheme="minorEastAsia" w:hAnsiTheme="minorEastAsia" w:eastAsiaTheme="minorEastAsia" w:cstheme="minorEastAsia"/>
          <w:color w:val="auto"/>
          <w:sz w:val="32"/>
          <w:szCs w:val="32"/>
          <w:highlight w:val="none"/>
          <w:lang w:val="en-US" w:eastAsia="zh-CN"/>
        </w:rPr>
        <w:t>竞争性磋商须知</w:t>
      </w:r>
      <w:bookmarkEnd w:id="3"/>
    </w:p>
    <w:p w14:paraId="0C69ED21">
      <w:pPr>
        <w:pageBreakBefore w:val="0"/>
        <w:widowControl w:val="0"/>
        <w:shd w:val="clear" w:color="auto" w:fill="auto"/>
        <w:kinsoku/>
        <w:autoSpaceDE/>
        <w:bidi w:val="0"/>
        <w:spacing w:line="413" w:lineRule="auto"/>
        <w:ind w:right="960"/>
        <w:jc w:val="both"/>
        <w:rPr>
          <w:rFonts w:hint="eastAsia" w:asciiTheme="minorEastAsia" w:hAnsiTheme="minorEastAsia" w:eastAsiaTheme="minorEastAsia" w:cstheme="minorEastAsia"/>
          <w:b/>
          <w:bCs/>
          <w:color w:val="auto"/>
          <w:sz w:val="24"/>
          <w:szCs w:val="24"/>
          <w:highlight w:val="none"/>
        </w:rPr>
      </w:pPr>
      <w:bookmarkStart w:id="33" w:name="_Toc213141090"/>
      <w:bookmarkStart w:id="34" w:name="_Toc30758"/>
      <w:r>
        <w:rPr>
          <w:rFonts w:hint="eastAsia" w:asciiTheme="minorEastAsia" w:hAnsiTheme="minorEastAsia" w:eastAsiaTheme="minorEastAsia" w:cstheme="minorEastAsia"/>
          <w:b/>
          <w:bCs/>
          <w:color w:val="auto"/>
          <w:sz w:val="24"/>
          <w:szCs w:val="24"/>
          <w:highlight w:val="none"/>
          <w:lang w:eastAsia="zh-CN"/>
        </w:rPr>
        <w:t>须知前附表</w:t>
      </w:r>
    </w:p>
    <w:tbl>
      <w:tblPr>
        <w:tblStyle w:val="25"/>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37E3E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2" w:hRule="atLeast"/>
          <w:jc w:val="center"/>
        </w:trPr>
        <w:tc>
          <w:tcPr>
            <w:tcW w:w="1085" w:type="dxa"/>
            <w:noWrap w:val="0"/>
            <w:vAlign w:val="center"/>
          </w:tcPr>
          <w:p w14:paraId="79E07009">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noWrap w:val="0"/>
            <w:vAlign w:val="center"/>
          </w:tcPr>
          <w:p w14:paraId="5A317FD3">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noWrap w:val="0"/>
            <w:vAlign w:val="center"/>
          </w:tcPr>
          <w:p w14:paraId="6FFEDF49">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57A7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5" w:type="dxa"/>
            <w:vMerge w:val="restart"/>
            <w:noWrap w:val="0"/>
            <w:vAlign w:val="center"/>
          </w:tcPr>
          <w:p w14:paraId="26CB9F3A">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w:t>
            </w:r>
          </w:p>
        </w:tc>
        <w:tc>
          <w:tcPr>
            <w:tcW w:w="2340" w:type="dxa"/>
            <w:noWrap w:val="0"/>
            <w:vAlign w:val="center"/>
          </w:tcPr>
          <w:p w14:paraId="25BAD8B6">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采购人 </w:t>
            </w:r>
          </w:p>
        </w:tc>
        <w:tc>
          <w:tcPr>
            <w:tcW w:w="6054" w:type="dxa"/>
            <w:noWrap w:val="0"/>
            <w:vAlign w:val="center"/>
          </w:tcPr>
          <w:p w14:paraId="778F0617">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永德县林业和草原局</w:t>
            </w:r>
          </w:p>
        </w:tc>
      </w:tr>
      <w:tr w14:paraId="52723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85" w:type="dxa"/>
            <w:vMerge w:val="continue"/>
            <w:noWrap w:val="0"/>
            <w:vAlign w:val="center"/>
          </w:tcPr>
          <w:p w14:paraId="54FF4C7E">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43409FA4">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noWrap w:val="0"/>
            <w:vAlign w:val="center"/>
          </w:tcPr>
          <w:p w14:paraId="5656E5FF">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云南帮克工程咨询有限公司</w:t>
            </w:r>
          </w:p>
        </w:tc>
      </w:tr>
      <w:tr w14:paraId="5F42F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1085" w:type="dxa"/>
            <w:vMerge w:val="continue"/>
            <w:noWrap w:val="0"/>
            <w:vAlign w:val="center"/>
          </w:tcPr>
          <w:p w14:paraId="6B32E917">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p>
        </w:tc>
        <w:tc>
          <w:tcPr>
            <w:tcW w:w="2340" w:type="dxa"/>
            <w:noWrap w:val="0"/>
            <w:vAlign w:val="center"/>
          </w:tcPr>
          <w:p w14:paraId="6022F511">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p>
        </w:tc>
        <w:tc>
          <w:tcPr>
            <w:tcW w:w="6054" w:type="dxa"/>
            <w:noWrap w:val="0"/>
            <w:vAlign w:val="center"/>
          </w:tcPr>
          <w:p w14:paraId="3B00570F">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永德县永康林场国家澳洲坚果良种基地2025年中央财政林木良种培育补助项目</w:t>
            </w:r>
          </w:p>
        </w:tc>
      </w:tr>
      <w:tr w14:paraId="79FB4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7D112305">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w:t>
            </w:r>
          </w:p>
        </w:tc>
        <w:tc>
          <w:tcPr>
            <w:tcW w:w="2340" w:type="dxa"/>
            <w:noWrap w:val="0"/>
            <w:vAlign w:val="center"/>
          </w:tcPr>
          <w:p w14:paraId="298A1624">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noWrap w:val="0"/>
            <w:vAlign w:val="center"/>
          </w:tcPr>
          <w:p w14:paraId="10BE05D7">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财政资金</w:t>
            </w:r>
          </w:p>
        </w:tc>
      </w:tr>
      <w:tr w14:paraId="767BC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085" w:type="dxa"/>
            <w:noWrap w:val="0"/>
            <w:vAlign w:val="center"/>
          </w:tcPr>
          <w:p w14:paraId="10EB2727">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w:t>
            </w:r>
          </w:p>
        </w:tc>
        <w:tc>
          <w:tcPr>
            <w:tcW w:w="2340" w:type="dxa"/>
            <w:noWrap w:val="0"/>
            <w:vAlign w:val="center"/>
          </w:tcPr>
          <w:p w14:paraId="0E9100F2">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noWrap w:val="0"/>
            <w:vAlign w:val="center"/>
          </w:tcPr>
          <w:p w14:paraId="2EEA60DF">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eastAsia="zh-CN"/>
              </w:rPr>
              <w:t>竞争性磋商公告</w:t>
            </w:r>
            <w:r>
              <w:rPr>
                <w:rFonts w:hint="eastAsia" w:asciiTheme="minorEastAsia" w:hAnsiTheme="minorEastAsia" w:eastAsiaTheme="minorEastAsia" w:cstheme="minorEastAsia"/>
                <w:color w:val="auto"/>
                <w:sz w:val="24"/>
                <w:szCs w:val="24"/>
                <w:highlight w:val="none"/>
                <w:lang w:val="en-US" w:eastAsia="zh-CN"/>
              </w:rPr>
              <w:t>及竞争性磋商文件要求</w:t>
            </w:r>
          </w:p>
        </w:tc>
      </w:tr>
      <w:tr w14:paraId="32D7E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085" w:type="dxa"/>
            <w:noWrap w:val="0"/>
            <w:vAlign w:val="center"/>
          </w:tcPr>
          <w:p w14:paraId="69F60867">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4.1</w:t>
            </w:r>
          </w:p>
        </w:tc>
        <w:tc>
          <w:tcPr>
            <w:tcW w:w="2340" w:type="dxa"/>
            <w:noWrap w:val="0"/>
            <w:vAlign w:val="center"/>
          </w:tcPr>
          <w:p w14:paraId="1C8DD7CC">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资格要求</w:t>
            </w:r>
          </w:p>
        </w:tc>
        <w:tc>
          <w:tcPr>
            <w:tcW w:w="6054" w:type="dxa"/>
            <w:noWrap w:val="0"/>
            <w:vAlign w:val="center"/>
          </w:tcPr>
          <w:p w14:paraId="428280D2">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lang w:eastAsia="zh-CN"/>
              </w:rPr>
              <w:t>竞争性磋商公告</w:t>
            </w:r>
            <w:r>
              <w:rPr>
                <w:rFonts w:hint="eastAsia" w:asciiTheme="minorEastAsia" w:hAnsiTheme="minorEastAsia" w:eastAsiaTheme="minorEastAsia" w:cstheme="minorEastAsia"/>
                <w:color w:val="auto"/>
                <w:sz w:val="24"/>
                <w:szCs w:val="24"/>
                <w:highlight w:val="none"/>
                <w:lang w:val="en-US" w:eastAsia="zh-CN"/>
              </w:rPr>
              <w:t>要求</w:t>
            </w:r>
          </w:p>
        </w:tc>
      </w:tr>
      <w:tr w14:paraId="36EA1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27547239">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4.2</w:t>
            </w:r>
          </w:p>
        </w:tc>
        <w:tc>
          <w:tcPr>
            <w:tcW w:w="2340" w:type="dxa"/>
            <w:noWrap w:val="0"/>
            <w:vAlign w:val="center"/>
          </w:tcPr>
          <w:p w14:paraId="4025D55A">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联合体</w:t>
            </w:r>
            <w:r>
              <w:rPr>
                <w:rFonts w:hint="eastAsia" w:asciiTheme="minorEastAsia" w:hAnsiTheme="minorEastAsia" w:eastAsiaTheme="minorEastAsia" w:cstheme="minorEastAsia"/>
                <w:color w:val="auto"/>
                <w:sz w:val="24"/>
                <w:szCs w:val="24"/>
                <w:highlight w:val="none"/>
                <w:lang w:val="en-US" w:eastAsia="zh-CN"/>
              </w:rPr>
              <w:t>磋商</w:t>
            </w:r>
          </w:p>
        </w:tc>
        <w:tc>
          <w:tcPr>
            <w:tcW w:w="6054" w:type="dxa"/>
            <w:noWrap w:val="0"/>
            <w:vAlign w:val="center"/>
          </w:tcPr>
          <w:p w14:paraId="0EBA7161">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w:t>
            </w:r>
            <w:r>
              <w:rPr>
                <w:rFonts w:hint="eastAsia" w:asciiTheme="minorEastAsia" w:hAnsiTheme="minorEastAsia" w:eastAsiaTheme="minorEastAsia" w:cstheme="minorEastAsia"/>
                <w:color w:val="auto"/>
                <w:sz w:val="24"/>
                <w:szCs w:val="24"/>
                <w:highlight w:val="none"/>
                <w:lang w:val="en-US" w:eastAsia="zh-CN"/>
              </w:rPr>
              <w:t>磋商</w:t>
            </w:r>
          </w:p>
        </w:tc>
      </w:tr>
      <w:tr w14:paraId="71900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50615379">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1.4.3</w:t>
            </w:r>
          </w:p>
        </w:tc>
        <w:tc>
          <w:tcPr>
            <w:tcW w:w="2340" w:type="dxa"/>
            <w:noWrap w:val="0"/>
            <w:vAlign w:val="center"/>
          </w:tcPr>
          <w:p w14:paraId="1D4A05B4">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noWrap w:val="0"/>
            <w:vAlign w:val="center"/>
          </w:tcPr>
          <w:p w14:paraId="16AEC828">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0AFF9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631022C">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2.1.2</w:t>
            </w:r>
          </w:p>
        </w:tc>
        <w:tc>
          <w:tcPr>
            <w:tcW w:w="2340" w:type="dxa"/>
            <w:noWrap w:val="0"/>
            <w:vAlign w:val="center"/>
          </w:tcPr>
          <w:p w14:paraId="646D59FE">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磋商费用</w:t>
            </w:r>
          </w:p>
        </w:tc>
        <w:tc>
          <w:tcPr>
            <w:tcW w:w="6054" w:type="dxa"/>
            <w:noWrap w:val="0"/>
            <w:vAlign w:val="center"/>
          </w:tcPr>
          <w:p w14:paraId="68916178">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代理服务费：参照“云南省建设工程招标投标行业协会关于印发《云南省建设工程及政府采购代理服务收费参考意见》的通知”(云建招协[2026]11号)规定计取，由成交人承担，成交人在领取成交通知书时一次性支付。</w:t>
            </w:r>
          </w:p>
        </w:tc>
      </w:tr>
      <w:tr w14:paraId="4BF16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5C83519F">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2.6</w:t>
            </w:r>
          </w:p>
        </w:tc>
        <w:tc>
          <w:tcPr>
            <w:tcW w:w="2340" w:type="dxa"/>
            <w:noWrap w:val="0"/>
            <w:vAlign w:val="center"/>
          </w:tcPr>
          <w:p w14:paraId="4E9DEA17">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竞争性磋商有效期</w:t>
            </w:r>
          </w:p>
        </w:tc>
        <w:tc>
          <w:tcPr>
            <w:tcW w:w="6054" w:type="dxa"/>
            <w:noWrap w:val="0"/>
            <w:vAlign w:val="center"/>
          </w:tcPr>
          <w:p w14:paraId="56A05090">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60天</w:t>
            </w:r>
          </w:p>
        </w:tc>
      </w:tr>
      <w:tr w14:paraId="05D4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1085" w:type="dxa"/>
            <w:noWrap w:val="0"/>
            <w:vAlign w:val="center"/>
          </w:tcPr>
          <w:p w14:paraId="63E63FEA">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2.7.1</w:t>
            </w:r>
          </w:p>
        </w:tc>
        <w:tc>
          <w:tcPr>
            <w:tcW w:w="2340" w:type="dxa"/>
            <w:noWrap w:val="0"/>
            <w:vAlign w:val="center"/>
          </w:tcPr>
          <w:p w14:paraId="1DEA4556">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磋商保证金</w:t>
            </w:r>
          </w:p>
        </w:tc>
        <w:tc>
          <w:tcPr>
            <w:tcW w:w="6054" w:type="dxa"/>
            <w:noWrap w:val="0"/>
            <w:vAlign w:val="center"/>
          </w:tcPr>
          <w:p w14:paraId="1717B1BA">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本项目不收取磋商保证金。</w:t>
            </w:r>
          </w:p>
        </w:tc>
      </w:tr>
      <w:tr w14:paraId="3F305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05249038">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3.2.2</w:t>
            </w:r>
          </w:p>
        </w:tc>
        <w:tc>
          <w:tcPr>
            <w:tcW w:w="2340" w:type="dxa"/>
            <w:noWrap w:val="0"/>
            <w:vAlign w:val="center"/>
          </w:tcPr>
          <w:p w14:paraId="3F05EF54">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竞争性磋商文件</w:t>
            </w:r>
            <w:r>
              <w:rPr>
                <w:rFonts w:hint="eastAsia" w:asciiTheme="minorEastAsia" w:hAnsiTheme="minorEastAsia" w:eastAsiaTheme="minorEastAsia" w:cstheme="minorEastAsia"/>
                <w:color w:val="auto"/>
                <w:sz w:val="24"/>
                <w:szCs w:val="24"/>
                <w:highlight w:val="none"/>
              </w:rPr>
              <w:t>澄清截止时间</w:t>
            </w:r>
          </w:p>
        </w:tc>
        <w:tc>
          <w:tcPr>
            <w:tcW w:w="6054" w:type="dxa"/>
            <w:noWrap w:val="0"/>
            <w:vAlign w:val="center"/>
          </w:tcPr>
          <w:p w14:paraId="723464B9">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提交竞争性磋商响应文件截止时间至少5日前 </w:t>
            </w:r>
          </w:p>
        </w:tc>
      </w:tr>
      <w:tr w14:paraId="33D0E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0DFAA54E">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4.1.2</w:t>
            </w:r>
          </w:p>
        </w:tc>
        <w:tc>
          <w:tcPr>
            <w:tcW w:w="2340" w:type="dxa"/>
            <w:noWrap w:val="0"/>
            <w:vAlign w:val="center"/>
          </w:tcPr>
          <w:p w14:paraId="34FD29DD">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响应文件的组成</w:t>
            </w:r>
          </w:p>
        </w:tc>
        <w:tc>
          <w:tcPr>
            <w:tcW w:w="6054" w:type="dxa"/>
            <w:noWrap w:val="0"/>
            <w:vAlign w:val="center"/>
          </w:tcPr>
          <w:p w14:paraId="01258DD9">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default" w:eastAsia="宋体"/>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响应文件由竞争性磋商文件中“竞争性磋商响应文件格式”内容组成；由磋商小组提出、供应商对竞争性响应文件进行的澄清，实质性变动响应文件，最后报价及承诺函视为响应文件的组成部分。</w:t>
            </w:r>
          </w:p>
        </w:tc>
      </w:tr>
      <w:tr w14:paraId="7206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2510D641">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4.2.1</w:t>
            </w:r>
          </w:p>
        </w:tc>
        <w:tc>
          <w:tcPr>
            <w:tcW w:w="2340" w:type="dxa"/>
            <w:noWrap w:val="0"/>
            <w:vAlign w:val="center"/>
          </w:tcPr>
          <w:p w14:paraId="2436184C">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电子竞争性磋商响应文件的编制</w:t>
            </w:r>
          </w:p>
        </w:tc>
        <w:tc>
          <w:tcPr>
            <w:tcW w:w="6054" w:type="dxa"/>
            <w:noWrap w:val="0"/>
            <w:vAlign w:val="center"/>
          </w:tcPr>
          <w:p w14:paraId="1FA90F97">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电子竞争性磋商响应文件应使用政采云平台中下载的政采云电子投标客户端进行制作，编制要求详见“政采云平台”《供应商操作手册》。</w:t>
            </w:r>
          </w:p>
        </w:tc>
      </w:tr>
      <w:tr w14:paraId="5734C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6117EE11">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4.2.4</w:t>
            </w:r>
          </w:p>
        </w:tc>
        <w:tc>
          <w:tcPr>
            <w:tcW w:w="2340" w:type="dxa"/>
            <w:noWrap w:val="0"/>
            <w:vAlign w:val="center"/>
          </w:tcPr>
          <w:p w14:paraId="65F7FDB3">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签字或盖章要求</w:t>
            </w:r>
          </w:p>
        </w:tc>
        <w:tc>
          <w:tcPr>
            <w:tcW w:w="6054" w:type="dxa"/>
            <w:noWrap w:val="0"/>
            <w:vAlign w:val="center"/>
          </w:tcPr>
          <w:p w14:paraId="673700A7">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供应商应按照竞争性磋商响应文件格式，在需要电子签章的地方采用单位数字证书（CA）、法定代表人（或委托代理人）的个人数字证书（CA）进行电子签章。</w:t>
            </w:r>
          </w:p>
        </w:tc>
      </w:tr>
      <w:tr w14:paraId="52EFB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0D982DF0">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4.3.1</w:t>
            </w:r>
          </w:p>
        </w:tc>
        <w:tc>
          <w:tcPr>
            <w:tcW w:w="2340" w:type="dxa"/>
            <w:noWrap w:val="0"/>
            <w:vAlign w:val="center"/>
          </w:tcPr>
          <w:p w14:paraId="1BC97042">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纸质</w:t>
            </w:r>
            <w:r>
              <w:rPr>
                <w:rFonts w:hint="eastAsia" w:asciiTheme="minorEastAsia" w:hAnsiTheme="minorEastAsia" w:eastAsiaTheme="minorEastAsia" w:cstheme="minorEastAsia"/>
                <w:color w:val="auto"/>
                <w:sz w:val="24"/>
                <w:szCs w:val="24"/>
                <w:highlight w:val="none"/>
                <w:lang w:eastAsia="zh-CN"/>
              </w:rPr>
              <w:t>竞争性磋商响应文件</w:t>
            </w:r>
          </w:p>
        </w:tc>
        <w:tc>
          <w:tcPr>
            <w:tcW w:w="6054" w:type="dxa"/>
            <w:noWrap w:val="0"/>
            <w:vAlign w:val="center"/>
          </w:tcPr>
          <w:p w14:paraId="09521C70">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参加本项目的供应商无需提交纸质竞争性磋商响应文件，签订采购合同时成交单位须向采购人提交纸质竞争性磋商响应文件正本1份，副本1份，所提交纸质竞争性磋商响应文件应与供应商提交的电子竞争性磋商响应文件一致，若不一致的以电子竞争性磋商响应文件为主，且采购人可以就此作出对供应商最不利的处理决定。供应商向采购人提供的纸质竞争性磋商响应文件，应按照竞争性磋商须知4.1.2项规定的竞争性磋商响应文件组成内容编制，纸质文件正本与副本应分别装订成册，装订应牢固，不易拆散和换页，不得采用活页夹装订。</w:t>
            </w:r>
          </w:p>
        </w:tc>
      </w:tr>
      <w:tr w14:paraId="38717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0B752C02">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5.1</w:t>
            </w:r>
          </w:p>
        </w:tc>
        <w:tc>
          <w:tcPr>
            <w:tcW w:w="2340" w:type="dxa"/>
            <w:noWrap w:val="0"/>
            <w:vAlign w:val="center"/>
          </w:tcPr>
          <w:p w14:paraId="199A5EC2">
            <w:pPr>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提交电子竞争性磋商响应文件截止时间</w:t>
            </w:r>
          </w:p>
        </w:tc>
        <w:tc>
          <w:tcPr>
            <w:tcW w:w="6054" w:type="dxa"/>
            <w:noWrap w:val="0"/>
            <w:vAlign w:val="center"/>
          </w:tcPr>
          <w:p w14:paraId="03C6E3DD">
            <w:pPr>
              <w:pageBreakBefore w:val="0"/>
              <w:widowControl w:val="0"/>
              <w:shd w:val="clear" w:color="auto" w:fill="auto"/>
              <w:kinsoku/>
              <w:autoSpaceDE/>
              <w:bidi w:val="0"/>
              <w:spacing w:line="480" w:lineRule="exact"/>
              <w:jc w:val="left"/>
              <w:rPr>
                <w:rFonts w:hint="default"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2026年7月3日15时00分（北京时间）</w:t>
            </w:r>
          </w:p>
        </w:tc>
      </w:tr>
      <w:tr w14:paraId="71C03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5A7097BB">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5.2.2</w:t>
            </w:r>
          </w:p>
        </w:tc>
        <w:tc>
          <w:tcPr>
            <w:tcW w:w="2340" w:type="dxa"/>
            <w:noWrap w:val="0"/>
            <w:vAlign w:val="center"/>
          </w:tcPr>
          <w:p w14:paraId="63DAB1B4">
            <w:pPr>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提交电子竞争性磋商响应文件的网址</w:t>
            </w:r>
          </w:p>
        </w:tc>
        <w:tc>
          <w:tcPr>
            <w:tcW w:w="6054" w:type="dxa"/>
            <w:noWrap w:val="0"/>
            <w:vAlign w:val="center"/>
          </w:tcPr>
          <w:p w14:paraId="26F504EB">
            <w:pPr>
              <w:pageBreakBefore w:val="0"/>
              <w:widowControl w:val="0"/>
              <w:shd w:val="clear" w:color="auto" w:fill="auto"/>
              <w:kinsoku/>
              <w:autoSpaceDE/>
              <w:bidi w:val="0"/>
              <w:spacing w:line="480" w:lineRule="exact"/>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“政采云平台”（https://www.zcygov.cn/）</w:t>
            </w:r>
          </w:p>
        </w:tc>
      </w:tr>
      <w:tr w14:paraId="492D4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0F25D903">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6.1</w:t>
            </w:r>
          </w:p>
        </w:tc>
        <w:tc>
          <w:tcPr>
            <w:tcW w:w="2340" w:type="dxa"/>
            <w:noWrap w:val="0"/>
            <w:vAlign w:val="center"/>
          </w:tcPr>
          <w:p w14:paraId="0C34C989">
            <w:pPr>
              <w:pageBreakBefore w:val="0"/>
              <w:widowControl w:val="0"/>
              <w:shd w:val="clear" w:color="auto" w:fill="auto"/>
              <w:kinsoku/>
              <w:autoSpaceDE/>
              <w:bidi w:val="0"/>
              <w:spacing w:line="24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最高限价</w:t>
            </w:r>
          </w:p>
        </w:tc>
        <w:tc>
          <w:tcPr>
            <w:tcW w:w="6054" w:type="dxa"/>
            <w:noWrap w:val="0"/>
            <w:vAlign w:val="center"/>
          </w:tcPr>
          <w:p w14:paraId="1FC88DCB">
            <w:pPr>
              <w:keepNext w:val="0"/>
              <w:keepLines w:val="0"/>
              <w:pageBreakBefore w:val="0"/>
              <w:widowControl w:val="0"/>
              <w:shd w:val="clear" w:color="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1.供应商报价不得超过最高限价，超过最高限价的按无效磋商处理。</w:t>
            </w:r>
          </w:p>
          <w:p w14:paraId="2D6B90A4">
            <w:pPr>
              <w:pageBreakBefore w:val="0"/>
              <w:widowControl w:val="0"/>
              <w:shd w:val="clear" w:color="auto" w:fill="auto"/>
              <w:kinsoku/>
              <w:autoSpaceDE/>
              <w:bidi w:val="0"/>
              <w:spacing w:line="480" w:lineRule="exact"/>
              <w:jc w:val="lef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的报价不得低于其企业成本价。磋商小组认为供应商的报价明显低于其他通过完整性和响应程度审查供应商的报价，有可能影响服务标准或者不能诚信履约的，应当要求其在评审时通过电子交易平台在合理的时间内提供书面说明，必要时提交相关证明材料；供应商不能证明其报价合理性的，磋商小组应当将其作为无效磋商处理。</w:t>
            </w:r>
          </w:p>
        </w:tc>
      </w:tr>
      <w:tr w14:paraId="37E63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085" w:type="dxa"/>
            <w:noWrap w:val="0"/>
            <w:vAlign w:val="center"/>
          </w:tcPr>
          <w:p w14:paraId="3DEDBAC4">
            <w:pPr>
              <w:keepNext w:val="0"/>
              <w:keepLines w:val="0"/>
              <w:pageBreakBefore w:val="0"/>
              <w:widowControl w:val="0"/>
              <w:shd w:val="clear" w:color="auto" w:fill="auto"/>
              <w:kinsoku/>
              <w:wordWrap/>
              <w:overflowPunct/>
              <w:topLinePunct w:val="0"/>
              <w:autoSpaceDE/>
              <w:autoSpaceDN/>
              <w:bidi w:val="0"/>
              <w:adjustRightInd/>
              <w:snapToGrid/>
              <w:spacing w:line="44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6.2</w:t>
            </w:r>
          </w:p>
        </w:tc>
        <w:tc>
          <w:tcPr>
            <w:tcW w:w="2340" w:type="dxa"/>
            <w:noWrap w:val="0"/>
            <w:vAlign w:val="center"/>
          </w:tcPr>
          <w:p w14:paraId="171A6ECD">
            <w:pPr>
              <w:pageBreakBefore w:val="0"/>
              <w:widowControl w:val="0"/>
              <w:shd w:val="clear" w:color="auto" w:fill="auto"/>
              <w:kinsoku/>
              <w:autoSpaceDE/>
              <w:bidi w:val="0"/>
              <w:spacing w:line="240" w:lineRule="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磋商报价</w:t>
            </w:r>
          </w:p>
        </w:tc>
        <w:tc>
          <w:tcPr>
            <w:tcW w:w="6054" w:type="dxa"/>
            <w:noWrap w:val="0"/>
            <w:vAlign w:val="center"/>
          </w:tcPr>
          <w:p w14:paraId="3384F6FB">
            <w:pPr>
              <w:keepNext w:val="0"/>
              <w:keepLines w:val="0"/>
              <w:pageBreakBefore w:val="0"/>
              <w:widowControl w:val="0"/>
              <w:shd w:val="clear" w:color="auto" w:fill="auto"/>
              <w:kinsoku/>
              <w:wordWrap/>
              <w:overflowPunct/>
              <w:topLinePunct w:val="0"/>
              <w:autoSpaceDE/>
              <w:autoSpaceDN/>
              <w:bidi w:val="0"/>
              <w:adjustRightInd/>
              <w:snapToGrid/>
              <w:spacing w:line="44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磋商报价为完成本项目服务产生的所有费用，</w:t>
            </w:r>
            <w:r>
              <w:rPr>
                <w:rFonts w:hint="eastAsia" w:ascii="宋体" w:hAnsi="宋体" w:eastAsia="宋体" w:cs="宋体"/>
                <w:color w:val="auto"/>
                <w:sz w:val="24"/>
                <w:szCs w:val="24"/>
                <w:highlight w:val="none"/>
                <w:lang w:val="en-US" w:eastAsia="zh-CN"/>
              </w:rPr>
              <w:t>包括但不限于：人工费、差旅费、</w:t>
            </w:r>
            <w:r>
              <w:rPr>
                <w:rFonts w:hint="eastAsia" w:ascii="宋体" w:hAnsi="宋体" w:cs="宋体"/>
                <w:color w:val="auto"/>
                <w:sz w:val="24"/>
                <w:szCs w:val="24"/>
                <w:highlight w:val="none"/>
                <w:lang w:val="en-US" w:eastAsia="zh-CN"/>
              </w:rPr>
              <w:t>勘查费</w:t>
            </w:r>
            <w:r>
              <w:rPr>
                <w:rFonts w:hint="eastAsia" w:ascii="宋体" w:hAnsi="宋体" w:eastAsia="宋体" w:cs="宋体"/>
                <w:color w:val="auto"/>
                <w:sz w:val="24"/>
                <w:szCs w:val="24"/>
                <w:highlight w:val="none"/>
                <w:lang w:val="en-US" w:eastAsia="zh-CN"/>
              </w:rPr>
              <w:t>资料收集及现场调查产生的费用、成果资料编制及打印费、装订费、材料费、成果报批费、管理费、</w:t>
            </w:r>
            <w:r>
              <w:rPr>
                <w:rFonts w:hint="eastAsia" w:ascii="宋体" w:hAnsi="宋体" w:cs="宋体"/>
                <w:color w:val="auto"/>
                <w:sz w:val="24"/>
                <w:szCs w:val="24"/>
                <w:highlight w:val="none"/>
                <w:lang w:val="en-US" w:eastAsia="zh-CN"/>
              </w:rPr>
              <w:t>安全文明生产费、</w:t>
            </w:r>
            <w:r>
              <w:rPr>
                <w:rFonts w:hint="eastAsia" w:ascii="宋体" w:hAnsi="宋体" w:eastAsia="宋体" w:cs="宋体"/>
                <w:color w:val="auto"/>
                <w:sz w:val="24"/>
                <w:szCs w:val="24"/>
                <w:highlight w:val="none"/>
                <w:lang w:val="en-US" w:eastAsia="zh-CN"/>
              </w:rPr>
              <w:t>保险费、利润、税费等所有费用。报价应充分考虑市场风险、价格风险、政策风险、汇率风险等所有因素。</w:t>
            </w:r>
          </w:p>
        </w:tc>
      </w:tr>
    </w:tbl>
    <w:p w14:paraId="48F616D1">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bookmarkStart w:id="35" w:name="_Toc1256"/>
      <w:r>
        <w:rPr>
          <w:rFonts w:hint="eastAsia" w:ascii="宋体" w:hAnsi="宋体" w:eastAsia="宋体" w:cs="宋体"/>
          <w:b/>
          <w:bCs/>
          <w:color w:val="auto"/>
          <w:sz w:val="24"/>
          <w:szCs w:val="24"/>
          <w:highlight w:val="none"/>
          <w:lang w:val="en-US" w:eastAsia="zh-CN"/>
        </w:rPr>
        <w:t>一、项目概况</w:t>
      </w:r>
    </w:p>
    <w:p w14:paraId="760502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default"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采购代理机构</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项目名称</w:t>
      </w:r>
      <w:r>
        <w:rPr>
          <w:rFonts w:hint="eastAsia" w:ascii="宋体" w:hAnsi="宋体" w:eastAsia="宋体" w:cs="宋体"/>
          <w:color w:val="auto"/>
          <w:sz w:val="24"/>
          <w:szCs w:val="24"/>
          <w:highlight w:val="none"/>
          <w:lang w:val="en-US" w:eastAsia="zh-CN"/>
        </w:rPr>
        <w:t>详见须知前附表。</w:t>
      </w:r>
    </w:p>
    <w:p w14:paraId="418CC07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r>
        <w:rPr>
          <w:rFonts w:hint="default" w:ascii="宋体" w:hAnsi="宋体" w:eastAsia="宋体" w:cs="宋体"/>
          <w:color w:val="auto"/>
          <w:sz w:val="24"/>
          <w:szCs w:val="24"/>
          <w:highlight w:val="none"/>
          <w:lang w:val="en-US" w:eastAsia="zh-CN"/>
        </w:rPr>
        <w:t>资金来源</w:t>
      </w:r>
      <w:r>
        <w:rPr>
          <w:rFonts w:hint="eastAsia" w:ascii="宋体" w:hAnsi="宋体" w:eastAsia="宋体" w:cs="宋体"/>
          <w:color w:val="auto"/>
          <w:sz w:val="24"/>
          <w:szCs w:val="24"/>
          <w:highlight w:val="none"/>
          <w:lang w:val="en-US" w:eastAsia="zh-CN"/>
        </w:rPr>
        <w:t>：详见须知前附表。</w:t>
      </w:r>
    </w:p>
    <w:p w14:paraId="0AA8BE7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default" w:ascii="宋体" w:hAnsi="宋体" w:eastAsia="宋体" w:cs="宋体"/>
          <w:color w:val="auto"/>
          <w:sz w:val="24"/>
          <w:szCs w:val="24"/>
          <w:highlight w:val="none"/>
          <w:lang w:val="en-US" w:eastAsia="zh-CN"/>
        </w:rPr>
        <w:t>采购需求</w:t>
      </w:r>
      <w:r>
        <w:rPr>
          <w:rFonts w:hint="eastAsia" w:ascii="宋体" w:hAnsi="宋体" w:eastAsia="宋体" w:cs="宋体"/>
          <w:color w:val="auto"/>
          <w:sz w:val="24"/>
          <w:szCs w:val="24"/>
          <w:highlight w:val="none"/>
          <w:lang w:val="en-US" w:eastAsia="zh-CN"/>
        </w:rPr>
        <w:t>：详见须知前附表。</w:t>
      </w:r>
    </w:p>
    <w:p w14:paraId="3CDDF8F6">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1.4合格的供应商</w:t>
      </w:r>
    </w:p>
    <w:p w14:paraId="0B08047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1.4.1供应商资格要求详见竞争性磋商文件“须知前附表”。</w:t>
      </w:r>
    </w:p>
    <w:p w14:paraId="3A887C24">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1.4.2本项目不接受联合体磋商。</w:t>
      </w:r>
    </w:p>
    <w:p w14:paraId="2D026971">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1.4.3本项目不允许分包。</w:t>
      </w:r>
    </w:p>
    <w:p w14:paraId="20926E27">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二、竞争性磋商总则</w:t>
      </w:r>
    </w:p>
    <w:p w14:paraId="372C247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bookmarkStart w:id="36" w:name="_Toc152042311"/>
      <w:bookmarkStart w:id="37" w:name="_Toc247513958"/>
      <w:bookmarkStart w:id="38" w:name="_Toc247527559"/>
      <w:bookmarkStart w:id="39" w:name="_Toc144974503"/>
      <w:bookmarkStart w:id="40" w:name="_Toc446871011"/>
      <w:bookmarkStart w:id="41" w:name="_Toc152045535"/>
      <w:r>
        <w:rPr>
          <w:rFonts w:hint="eastAsia" w:ascii="宋体" w:hAnsi="宋体" w:eastAsia="宋体" w:cs="宋体"/>
          <w:color w:val="auto"/>
          <w:sz w:val="24"/>
          <w:szCs w:val="24"/>
          <w:highlight w:val="none"/>
          <w:lang w:val="en-US" w:eastAsia="zh-CN"/>
        </w:rPr>
        <w:t>2.1费用承担</w:t>
      </w:r>
      <w:bookmarkEnd w:id="36"/>
      <w:bookmarkEnd w:id="37"/>
      <w:bookmarkEnd w:id="38"/>
      <w:bookmarkEnd w:id="39"/>
      <w:bookmarkEnd w:id="40"/>
      <w:bookmarkEnd w:id="41"/>
    </w:p>
    <w:p w14:paraId="7EFB69BA">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2.1.1供应商准备和参加本次竞争性磋商活动发生的费用自理，无论是否成交，采购人对所有供应商均不支付任何补偿。</w:t>
      </w:r>
    </w:p>
    <w:p w14:paraId="213336B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2.1.2供应商需承担本项目的中标（成交）服务费，详见竞争性磋商文件“须知前附表”。</w:t>
      </w:r>
    </w:p>
    <w:p w14:paraId="06C8924F">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bookmarkStart w:id="42" w:name="_Toc446871012"/>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保密</w:t>
      </w:r>
      <w:bookmarkEnd w:id="42"/>
    </w:p>
    <w:p w14:paraId="48A4379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参与本次竞争性磋商的各方应对过程中获得的商业和技术等秘密保密，否则应承担相应的法律责任。 </w:t>
      </w:r>
    </w:p>
    <w:p w14:paraId="3C95205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auto"/>
          <w:sz w:val="24"/>
          <w:szCs w:val="24"/>
          <w:highlight w:val="none"/>
        </w:rPr>
      </w:pPr>
      <w:bookmarkStart w:id="43" w:name="_Toc144974505"/>
      <w:bookmarkStart w:id="44" w:name="_Toc152045537"/>
      <w:bookmarkStart w:id="45" w:name="_Toc446871013"/>
      <w:bookmarkStart w:id="46" w:name="_Toc247527561"/>
      <w:bookmarkStart w:id="47" w:name="_Toc247513960"/>
      <w:bookmarkStart w:id="48" w:name="_Toc152042313"/>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语言</w:t>
      </w:r>
      <w:bookmarkEnd w:id="43"/>
      <w:r>
        <w:rPr>
          <w:rFonts w:hint="eastAsia" w:ascii="宋体" w:hAnsi="宋体" w:eastAsia="宋体" w:cs="宋体"/>
          <w:color w:val="auto"/>
          <w:sz w:val="24"/>
          <w:szCs w:val="24"/>
          <w:highlight w:val="none"/>
        </w:rPr>
        <w:t>文字</w:t>
      </w:r>
      <w:bookmarkEnd w:id="44"/>
      <w:bookmarkEnd w:id="45"/>
      <w:bookmarkEnd w:id="46"/>
      <w:bookmarkEnd w:id="47"/>
      <w:bookmarkEnd w:id="48"/>
    </w:p>
    <w:p w14:paraId="418FFEF9">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本次竞争性磋商活动使用的语言文字为中文。</w:t>
      </w:r>
    </w:p>
    <w:p w14:paraId="34EA752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auto"/>
          <w:sz w:val="24"/>
          <w:szCs w:val="24"/>
          <w:highlight w:val="none"/>
        </w:rPr>
      </w:pPr>
      <w:bookmarkStart w:id="49" w:name="_Toc446871014"/>
      <w:bookmarkStart w:id="50" w:name="_Toc152042314"/>
      <w:bookmarkStart w:id="51" w:name="_Toc152045538"/>
      <w:bookmarkStart w:id="52" w:name="_Toc247527562"/>
      <w:bookmarkStart w:id="53" w:name="_Toc144974506"/>
      <w:bookmarkStart w:id="54" w:name="_Toc247513961"/>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计量单位</w:t>
      </w:r>
      <w:bookmarkEnd w:id="49"/>
      <w:bookmarkEnd w:id="50"/>
      <w:bookmarkEnd w:id="51"/>
      <w:bookmarkEnd w:id="52"/>
      <w:bookmarkEnd w:id="53"/>
      <w:bookmarkEnd w:id="54"/>
    </w:p>
    <w:p w14:paraId="74D44581">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所有计量均采用中华人民共和国法定计量单位。</w:t>
      </w:r>
    </w:p>
    <w:p w14:paraId="6A382C2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bookmarkStart w:id="55" w:name="_Toc446871015"/>
      <w:bookmarkStart w:id="56" w:name="_Toc247513962"/>
      <w:bookmarkStart w:id="57" w:name="_Toc144974507"/>
      <w:bookmarkStart w:id="58" w:name="_Toc152045539"/>
      <w:bookmarkStart w:id="59" w:name="_Toc152042315"/>
      <w:bookmarkStart w:id="60" w:name="_Toc247527563"/>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踏勘现场</w:t>
      </w:r>
      <w:bookmarkEnd w:id="55"/>
      <w:bookmarkEnd w:id="56"/>
      <w:bookmarkEnd w:id="57"/>
      <w:bookmarkEnd w:id="58"/>
      <w:bookmarkEnd w:id="59"/>
      <w:bookmarkEnd w:id="60"/>
    </w:p>
    <w:p w14:paraId="31D31566">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.1本项目采购人不组织现场踏勘，各供应商自行踏勘项目现场。</w:t>
      </w:r>
    </w:p>
    <w:p w14:paraId="35C169D9">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.2各供应商踏勘现场发生的费用自理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自行负责在踏勘现场中所发生的人员伤亡和财产损失。</w:t>
      </w:r>
    </w:p>
    <w:p w14:paraId="1FC44D93">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竞争性磋商有效期：60天。</w:t>
      </w:r>
    </w:p>
    <w:p w14:paraId="76D0D1E0">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磋商保证金</w:t>
      </w:r>
    </w:p>
    <w:p w14:paraId="7D0C24F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1供应商应在提交竞争性磋商响应文件截止时间前按“须知前附表”的规定提交磋商保证金。</w:t>
      </w:r>
    </w:p>
    <w:p w14:paraId="2C0528B8">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磋商过程中可能实质性变动的内容详见本竞争性磋商文件第七章</w:t>
      </w:r>
      <w:r>
        <w:rPr>
          <w:rFonts w:hint="eastAsia" w:ascii="宋体" w:hAnsi="宋体" w:eastAsia="宋体" w:cs="宋体"/>
          <w:color w:val="auto"/>
          <w:sz w:val="24"/>
          <w:szCs w:val="24"/>
          <w:highlight w:val="none"/>
          <w:lang w:val="en-US" w:eastAsia="zh-CN"/>
        </w:rPr>
        <w:t>。</w:t>
      </w:r>
    </w:p>
    <w:p w14:paraId="55BF701A">
      <w:pPr>
        <w:keepNext w:val="0"/>
        <w:keepLines w:val="0"/>
        <w:pageBreakBefore w:val="0"/>
        <w:widowControl w:val="0"/>
        <w:kinsoku/>
        <w:wordWrap/>
        <w:overflowPunct/>
        <w:topLinePunct w:val="0"/>
        <w:autoSpaceDE/>
        <w:autoSpaceDN/>
        <w:bidi w:val="0"/>
        <w:adjustRightInd/>
        <w:snapToGrid/>
        <w:spacing w:line="500" w:lineRule="exact"/>
        <w:ind w:firstLine="482" w:firstLineChars="200"/>
        <w:jc w:val="center"/>
        <w:textAlignment w:val="auto"/>
        <w:rPr>
          <w:rFonts w:hint="eastAsia" w:ascii="宋体" w:hAnsi="宋体" w:eastAsia="宋体" w:cs="宋体"/>
          <w:b/>
          <w:bCs/>
          <w:color w:val="auto"/>
          <w:sz w:val="24"/>
          <w:szCs w:val="24"/>
          <w:highlight w:val="none"/>
        </w:rPr>
      </w:pPr>
      <w:bookmarkStart w:id="61" w:name="_Toc144974510"/>
      <w:bookmarkStart w:id="62" w:name="_Toc247527567"/>
      <w:bookmarkStart w:id="63" w:name="_Toc446871019"/>
      <w:bookmarkStart w:id="64" w:name="_Toc152045542"/>
      <w:bookmarkStart w:id="65" w:name="_Toc152042318"/>
      <w:bookmarkStart w:id="66" w:name="_Toc247513966"/>
      <w:r>
        <w:rPr>
          <w:rFonts w:hint="eastAsia" w:ascii="宋体" w:hAnsi="宋体" w:eastAsia="宋体" w:cs="宋体"/>
          <w:b/>
          <w:bCs/>
          <w:color w:val="auto"/>
          <w:sz w:val="24"/>
          <w:szCs w:val="24"/>
          <w:highlight w:val="none"/>
        </w:rPr>
        <w:t>三</w:t>
      </w:r>
      <w:bookmarkEnd w:id="61"/>
      <w:bookmarkEnd w:id="62"/>
      <w:bookmarkEnd w:id="63"/>
      <w:bookmarkEnd w:id="64"/>
      <w:bookmarkEnd w:id="65"/>
      <w:bookmarkEnd w:id="66"/>
      <w:r>
        <w:rPr>
          <w:rFonts w:hint="eastAsia" w:ascii="宋体" w:hAnsi="宋体" w:eastAsia="宋体" w:cs="宋体"/>
          <w:b/>
          <w:bCs/>
          <w:color w:val="auto"/>
          <w:sz w:val="24"/>
          <w:szCs w:val="24"/>
          <w:highlight w:val="none"/>
        </w:rPr>
        <w:t>、竞争性磋商文件</w:t>
      </w:r>
    </w:p>
    <w:p w14:paraId="3FBE4270">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bookmarkStart w:id="67" w:name="_Toc144974511"/>
      <w:bookmarkStart w:id="68" w:name="_Toc247513967"/>
      <w:bookmarkStart w:id="69" w:name="_Toc152042319"/>
      <w:bookmarkStart w:id="70" w:name="_Toc247527568"/>
      <w:bookmarkStart w:id="71" w:name="_Toc152045543"/>
      <w:bookmarkStart w:id="72" w:name="_Toc446871020"/>
      <w:r>
        <w:rPr>
          <w:rFonts w:hint="eastAsia" w:ascii="宋体" w:hAnsi="宋体" w:eastAsia="宋体" w:cs="宋体"/>
          <w:color w:val="auto"/>
          <w:sz w:val="24"/>
          <w:szCs w:val="24"/>
          <w:highlight w:val="none"/>
        </w:rPr>
        <w:t>3.1竞争性磋商文件的组成</w:t>
      </w:r>
      <w:bookmarkEnd w:id="67"/>
      <w:bookmarkEnd w:id="68"/>
      <w:bookmarkEnd w:id="69"/>
      <w:bookmarkEnd w:id="70"/>
      <w:bookmarkEnd w:id="71"/>
      <w:bookmarkEnd w:id="72"/>
    </w:p>
    <w:p w14:paraId="0C3CE6CF">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磋商</w:t>
      </w:r>
      <w:r>
        <w:rPr>
          <w:rFonts w:hint="eastAsia" w:ascii="宋体" w:hAnsi="宋体" w:eastAsia="宋体" w:cs="宋体"/>
          <w:color w:val="auto"/>
          <w:sz w:val="24"/>
          <w:szCs w:val="24"/>
          <w:highlight w:val="none"/>
        </w:rPr>
        <w:t>文件包括：</w:t>
      </w:r>
    </w:p>
    <w:p w14:paraId="04EE816F">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第一章 竞争性磋商公告</w:t>
      </w:r>
      <w:r>
        <w:rPr>
          <w:rFonts w:hint="eastAsia" w:ascii="宋体" w:hAnsi="宋体" w:eastAsia="宋体" w:cs="宋体"/>
          <w:color w:val="auto"/>
          <w:sz w:val="24"/>
          <w:szCs w:val="24"/>
          <w:highlight w:val="none"/>
          <w:lang w:eastAsia="zh-CN"/>
        </w:rPr>
        <w:tab/>
      </w:r>
    </w:p>
    <w:p w14:paraId="56D20B60">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第二章 竞争性磋商须知</w:t>
      </w:r>
      <w:r>
        <w:rPr>
          <w:rFonts w:hint="eastAsia" w:ascii="宋体" w:hAnsi="宋体" w:eastAsia="宋体" w:cs="宋体"/>
          <w:color w:val="auto"/>
          <w:sz w:val="24"/>
          <w:szCs w:val="24"/>
          <w:highlight w:val="none"/>
          <w:lang w:eastAsia="zh-CN"/>
        </w:rPr>
        <w:tab/>
      </w:r>
    </w:p>
    <w:p w14:paraId="2639DC5C">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第三章 竞争性磋商评审办法</w:t>
      </w:r>
      <w:r>
        <w:rPr>
          <w:rFonts w:hint="eastAsia" w:ascii="宋体" w:hAnsi="宋体" w:eastAsia="宋体" w:cs="宋体"/>
          <w:color w:val="auto"/>
          <w:sz w:val="24"/>
          <w:szCs w:val="24"/>
          <w:highlight w:val="none"/>
          <w:lang w:eastAsia="zh-CN"/>
        </w:rPr>
        <w:tab/>
      </w:r>
    </w:p>
    <w:p w14:paraId="2C6E927D">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第四章 合同主要条款及格式</w:t>
      </w:r>
      <w:r>
        <w:rPr>
          <w:rFonts w:hint="eastAsia" w:ascii="宋体" w:hAnsi="宋体" w:eastAsia="宋体" w:cs="宋体"/>
          <w:color w:val="auto"/>
          <w:sz w:val="24"/>
          <w:szCs w:val="24"/>
          <w:highlight w:val="none"/>
          <w:lang w:eastAsia="zh-CN"/>
        </w:rPr>
        <w:tab/>
      </w:r>
    </w:p>
    <w:p w14:paraId="05870289">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第五章 竞争性磋商响应文件格式</w:t>
      </w:r>
      <w:r>
        <w:rPr>
          <w:rFonts w:hint="eastAsia" w:ascii="宋体" w:hAnsi="宋体" w:eastAsia="宋体" w:cs="宋体"/>
          <w:color w:val="auto"/>
          <w:sz w:val="24"/>
          <w:szCs w:val="24"/>
          <w:highlight w:val="none"/>
          <w:lang w:eastAsia="zh-CN"/>
        </w:rPr>
        <w:tab/>
      </w:r>
    </w:p>
    <w:p w14:paraId="75D414AE">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第六章 采购需求</w:t>
      </w:r>
      <w:r>
        <w:rPr>
          <w:rFonts w:hint="eastAsia" w:ascii="宋体" w:hAnsi="宋体" w:eastAsia="宋体" w:cs="宋体"/>
          <w:color w:val="auto"/>
          <w:sz w:val="24"/>
          <w:szCs w:val="24"/>
          <w:highlight w:val="none"/>
          <w:lang w:eastAsia="zh-CN"/>
        </w:rPr>
        <w:tab/>
      </w:r>
    </w:p>
    <w:p w14:paraId="32B74F2D">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第七章 磋商过程中可能实质性变动的内容</w:t>
      </w:r>
      <w:r>
        <w:rPr>
          <w:rFonts w:hint="eastAsia" w:ascii="宋体" w:hAnsi="宋体" w:eastAsia="宋体" w:cs="宋体"/>
          <w:color w:val="auto"/>
          <w:sz w:val="24"/>
          <w:szCs w:val="24"/>
          <w:highlight w:val="none"/>
          <w:lang w:eastAsia="zh-CN"/>
        </w:rPr>
        <w:tab/>
      </w:r>
    </w:p>
    <w:p w14:paraId="48EC7445">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第八章 最后报价及承诺函</w:t>
      </w:r>
    </w:p>
    <w:p w14:paraId="28988D13">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根据本章3.2款对竞争性磋商文件所作的澄清、修改，构成竞争性磋商文件的组成部分。</w:t>
      </w:r>
    </w:p>
    <w:p w14:paraId="026408BE">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bookmarkStart w:id="73" w:name="_Toc247527569"/>
      <w:bookmarkStart w:id="74" w:name="_Toc446871021"/>
      <w:bookmarkStart w:id="75" w:name="_Toc247513968"/>
      <w:bookmarkStart w:id="76" w:name="_Toc152045544"/>
      <w:bookmarkStart w:id="77" w:name="_Toc152042320"/>
      <w:bookmarkStart w:id="78" w:name="_Toc144974512"/>
      <w:r>
        <w:rPr>
          <w:rFonts w:hint="eastAsia" w:ascii="宋体" w:hAnsi="宋体" w:eastAsia="宋体" w:cs="宋体"/>
          <w:color w:val="auto"/>
          <w:sz w:val="24"/>
          <w:szCs w:val="24"/>
          <w:highlight w:val="none"/>
        </w:rPr>
        <w:t>3.2竞争性磋商文件的澄清</w:t>
      </w:r>
      <w:bookmarkEnd w:id="73"/>
      <w:bookmarkEnd w:id="74"/>
      <w:bookmarkEnd w:id="75"/>
      <w:bookmarkEnd w:id="76"/>
      <w:bookmarkEnd w:id="77"/>
      <w:bookmarkEnd w:id="78"/>
    </w:p>
    <w:p w14:paraId="2CE7FEEA">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供应商应仔细阅读和检查竞争性磋商文件的全部内容。如发现缺页或附件不全，应及时向采购人提出，以便补齐。如有疑问，应在规定的时间前以书面形式（包括信函、电报、传真等可以有形地表现所载内容的形式，下同），要求采购人对竞争性磋商文件予以澄清。</w:t>
      </w:r>
    </w:p>
    <w:p w14:paraId="2A3D4EB2">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w:t>
      </w:r>
      <w:r>
        <w:rPr>
          <w:rFonts w:hint="eastAsia" w:ascii="宋体" w:hAnsi="宋体" w:eastAsia="宋体" w:cs="宋体"/>
          <w:color w:val="auto"/>
          <w:sz w:val="24"/>
          <w:szCs w:val="24"/>
          <w:highlight w:val="none"/>
          <w:lang w:val="en-US" w:eastAsia="zh-CN"/>
        </w:rPr>
        <w:t>采购人或者采购代理机构可以对已发出的竞争性磋商文件进行必要的澄清或者修改，该澄清或者修改的内容为竞争性磋商文件的组成部分。该澄清或者修改内容将通过“政采云平台”（https://www.zcygov.cn/）发布。澄清或者修改的内容可能影响竞争性磋商响应文件编制的，采购人或者采购代理机构应当在提交竞争性磋商响应文件截止时间至少5日前澄清或者修改竞争性磋商文件；不足5日的，采购人或者采购代理机构应当顺延提交竞争性磋商响应文件的截止时间</w:t>
      </w:r>
      <w:r>
        <w:rPr>
          <w:rFonts w:hint="eastAsia" w:ascii="宋体" w:hAnsi="宋体" w:eastAsia="宋体" w:cs="宋体"/>
          <w:color w:val="auto"/>
          <w:sz w:val="24"/>
          <w:szCs w:val="24"/>
          <w:highlight w:val="none"/>
        </w:rPr>
        <w:t>。</w:t>
      </w:r>
    </w:p>
    <w:p w14:paraId="5EE43B6F">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3.2.3供应商</w:t>
      </w:r>
      <w:r>
        <w:rPr>
          <w:rFonts w:hint="eastAsia" w:ascii="宋体" w:hAnsi="宋体" w:eastAsia="宋体" w:cs="宋体"/>
          <w:color w:val="auto"/>
          <w:sz w:val="24"/>
          <w:szCs w:val="24"/>
          <w:highlight w:val="none"/>
          <w:lang w:val="en-US" w:eastAsia="zh-CN"/>
        </w:rPr>
        <w:t>自行登录“政采云平台”（https://www.zcygov.cn/）查看澄清和修改相关内容，无需</w:t>
      </w:r>
      <w:r>
        <w:rPr>
          <w:rFonts w:hint="eastAsia" w:ascii="宋体" w:hAnsi="宋体" w:eastAsia="宋体" w:cs="宋体"/>
          <w:color w:val="auto"/>
          <w:sz w:val="24"/>
          <w:szCs w:val="24"/>
          <w:highlight w:val="none"/>
        </w:rPr>
        <w:t>通知</w:t>
      </w:r>
      <w:r>
        <w:rPr>
          <w:rFonts w:hint="eastAsia" w:ascii="宋体" w:hAnsi="宋体" w:eastAsia="宋体" w:cs="宋体"/>
          <w:color w:val="auto"/>
          <w:sz w:val="24"/>
          <w:szCs w:val="24"/>
          <w:highlight w:val="none"/>
          <w:lang w:val="en-US" w:eastAsia="zh-CN"/>
        </w:rPr>
        <w:t>采购代理机构，确认已收到该澄清。</w:t>
      </w:r>
    </w:p>
    <w:p w14:paraId="6FE9542F">
      <w:pPr>
        <w:keepNext w:val="0"/>
        <w:keepLines w:val="0"/>
        <w:pageBreakBefore w:val="0"/>
        <w:widowControl w:val="0"/>
        <w:kinsoku/>
        <w:wordWrap/>
        <w:overflowPunct/>
        <w:topLinePunct w:val="0"/>
        <w:autoSpaceDE/>
        <w:autoSpaceDN/>
        <w:bidi w:val="0"/>
        <w:adjustRightInd/>
        <w:snapToGrid/>
        <w:spacing w:line="49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bookmarkStart w:id="79" w:name="_Toc247527571"/>
      <w:bookmarkStart w:id="80" w:name="_Toc152045546"/>
      <w:bookmarkStart w:id="81" w:name="_Toc152042322"/>
      <w:bookmarkStart w:id="82" w:name="_Toc144974514"/>
      <w:bookmarkStart w:id="83" w:name="_Toc247513970"/>
      <w:bookmarkStart w:id="84" w:name="_Toc446871023"/>
      <w:r>
        <w:rPr>
          <w:rFonts w:hint="eastAsia" w:ascii="宋体" w:hAnsi="宋体" w:eastAsia="宋体" w:cs="宋体"/>
          <w:b/>
          <w:bCs/>
          <w:color w:val="auto"/>
          <w:sz w:val="24"/>
          <w:szCs w:val="24"/>
          <w:highlight w:val="none"/>
          <w:lang w:val="en-US" w:eastAsia="zh-CN"/>
        </w:rPr>
        <w:t>四、响应文件</w:t>
      </w:r>
      <w:bookmarkEnd w:id="79"/>
      <w:bookmarkEnd w:id="80"/>
      <w:bookmarkEnd w:id="81"/>
      <w:bookmarkEnd w:id="82"/>
      <w:bookmarkEnd w:id="83"/>
      <w:bookmarkEnd w:id="84"/>
    </w:p>
    <w:p w14:paraId="79BB1AD1">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bookmarkStart w:id="85" w:name="_Toc446871024"/>
      <w:bookmarkStart w:id="86" w:name="_Toc247513971"/>
      <w:bookmarkStart w:id="87" w:name="_Toc247527572"/>
      <w:bookmarkStart w:id="88" w:name="_Toc152042323"/>
      <w:bookmarkStart w:id="89" w:name="_Toc152045547"/>
      <w:bookmarkStart w:id="90" w:name="_Toc144974515"/>
      <w:r>
        <w:rPr>
          <w:rFonts w:hint="eastAsia" w:ascii="宋体" w:hAnsi="宋体" w:eastAsia="宋体" w:cs="宋体"/>
          <w:color w:val="auto"/>
          <w:sz w:val="24"/>
          <w:szCs w:val="24"/>
          <w:highlight w:val="none"/>
        </w:rPr>
        <w:t>4.1响应文件的组成</w:t>
      </w:r>
      <w:bookmarkEnd w:id="85"/>
      <w:bookmarkEnd w:id="86"/>
      <w:bookmarkEnd w:id="87"/>
      <w:bookmarkEnd w:id="88"/>
      <w:bookmarkEnd w:id="89"/>
      <w:bookmarkEnd w:id="90"/>
    </w:p>
    <w:p w14:paraId="3AF53B8C">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4.1.1响应文件应包括内容详见本文件</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竞争性磋商响应文件格式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，供应商须按格式要求填写相应内容。</w:t>
      </w:r>
    </w:p>
    <w:p w14:paraId="00ED034D">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供应商应仔细阅读竞争性磋商文件，在完全了解本采购项目的实质性要求（技术要求和商务要求）后编写竞争性磋商响应文件。竞争性磋商响应文件必须响应竞争性磋商文件的实质性要求（技术要求和商务要求）。</w:t>
      </w:r>
    </w:p>
    <w:p w14:paraId="46A8C14F">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技术要求包括调查范围、服务内容等。</w:t>
      </w:r>
    </w:p>
    <w:p w14:paraId="727AF07D">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商务要求包括报价、服务标准、验收标准、合同履行期限等。</w:t>
      </w:r>
    </w:p>
    <w:p w14:paraId="6B457B5B">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4.1.2</w:t>
      </w:r>
      <w:r>
        <w:rPr>
          <w:rFonts w:hint="eastAsia" w:ascii="宋体" w:hAnsi="宋体" w:eastAsia="宋体" w:cs="宋体"/>
          <w:b w:val="0"/>
          <w:bCs w:val="0"/>
          <w:color w:val="auto"/>
          <w:sz w:val="24"/>
          <w:szCs w:val="24"/>
          <w:highlight w:val="none"/>
          <w:lang w:val="en-US" w:eastAsia="zh-CN"/>
        </w:rPr>
        <w:t>供应商应登录“政采云平台”（https://www.zcygov.cn/），下载安装安装“政采云电子交易客户端”，并按照本项目采购文件和政采云平台的要求编制、加密、提交竞争性磋商响应文件</w:t>
      </w:r>
      <w:r>
        <w:rPr>
          <w:rFonts w:hint="eastAsia" w:ascii="宋体" w:hAnsi="宋体" w:eastAsia="宋体" w:cs="宋体"/>
          <w:b w:val="0"/>
          <w:bCs w:val="0"/>
          <w:color w:val="auto"/>
          <w:sz w:val="24"/>
          <w:szCs w:val="24"/>
          <w:highlight w:val="none"/>
        </w:rPr>
        <w:t>。</w:t>
      </w:r>
    </w:p>
    <w:p w14:paraId="7E473B95">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4.2电子竞争性磋商响应文件的编制</w:t>
      </w:r>
    </w:p>
    <w:p w14:paraId="7103B9EE">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lang w:eastAsia="zh-CN"/>
        </w:rPr>
        <w:t>2.</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电子</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应使用</w:t>
      </w:r>
      <w:r>
        <w:rPr>
          <w:rFonts w:hint="eastAsia" w:asciiTheme="minorEastAsia" w:hAnsiTheme="minorEastAsia" w:eastAsiaTheme="minorEastAsia" w:cstheme="minorEastAsia"/>
          <w:b w:val="0"/>
          <w:bCs w:val="0"/>
          <w:color w:val="auto"/>
          <w:sz w:val="24"/>
          <w:szCs w:val="24"/>
          <w:highlight w:val="none"/>
          <w:lang w:val="en-US" w:eastAsia="zh-CN"/>
        </w:rPr>
        <w:t>“政采云电子交易客户端”</w:t>
      </w:r>
      <w:r>
        <w:rPr>
          <w:rFonts w:hint="eastAsia" w:asciiTheme="minorEastAsia" w:hAnsiTheme="minorEastAsia" w:eastAsiaTheme="minorEastAsia" w:cstheme="minorEastAsia"/>
          <w:b w:val="0"/>
          <w:bCs w:val="0"/>
          <w:color w:val="auto"/>
          <w:sz w:val="24"/>
          <w:szCs w:val="24"/>
          <w:highlight w:val="none"/>
          <w:lang w:eastAsia="zh-CN"/>
        </w:rPr>
        <w:t>编制，编制要求详见</w:t>
      </w:r>
      <w:r>
        <w:rPr>
          <w:rFonts w:hint="eastAsia" w:asciiTheme="minorEastAsia" w:hAnsiTheme="minorEastAsia" w:eastAsiaTheme="minorEastAsia" w:cstheme="minorEastAsia"/>
          <w:b w:val="0"/>
          <w:bCs w:val="0"/>
          <w:color w:val="auto"/>
          <w:sz w:val="24"/>
          <w:szCs w:val="24"/>
          <w:highlight w:val="none"/>
          <w:lang w:val="en-US" w:eastAsia="zh-CN"/>
        </w:rPr>
        <w:t>“政采云平台”</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b w:val="0"/>
          <w:bCs w:val="0"/>
          <w:color w:val="auto"/>
          <w:sz w:val="24"/>
          <w:szCs w:val="24"/>
          <w:highlight w:val="none"/>
        </w:rPr>
        <w:t>。</w:t>
      </w:r>
    </w:p>
    <w:p w14:paraId="320E86E2">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4.2.2在编制电子竞争性磋商响应文件时，上传的单个资料不能大于100MB或300MB（具体以政采云平台系统要求为准）。</w:t>
      </w:r>
    </w:p>
    <w:p w14:paraId="250FD6C5">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lang w:eastAsia="zh-CN"/>
        </w:rPr>
        <w:t>2.</w:t>
      </w:r>
      <w:r>
        <w:rPr>
          <w:rFonts w:hint="eastAsia" w:asciiTheme="minorEastAsia" w:hAnsiTheme="minorEastAsia" w:eastAsiaTheme="minorEastAsia" w:cstheme="minorEastAsia"/>
          <w:b w:val="0"/>
          <w:bCs w:val="0"/>
          <w:color w:val="auto"/>
          <w:sz w:val="24"/>
          <w:szCs w:val="24"/>
          <w:highlight w:val="none"/>
          <w:lang w:val="en-US" w:eastAsia="zh-CN"/>
        </w:rPr>
        <w:t>3</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中提供的资料（包括</w:t>
      </w:r>
      <w:r>
        <w:rPr>
          <w:rFonts w:hint="eastAsia" w:asciiTheme="minorEastAsia" w:hAnsiTheme="minorEastAsia" w:eastAsiaTheme="minorEastAsia" w:cstheme="minorEastAsia"/>
          <w:b w:val="0"/>
          <w:bCs w:val="0"/>
          <w:color w:val="auto"/>
          <w:sz w:val="24"/>
          <w:szCs w:val="24"/>
          <w:highlight w:val="none"/>
          <w:lang w:val="en-US" w:eastAsia="zh-CN"/>
        </w:rPr>
        <w:t>扫描件</w:t>
      </w:r>
      <w:r>
        <w:rPr>
          <w:rFonts w:hint="eastAsia" w:asciiTheme="minorEastAsia" w:hAnsiTheme="minorEastAsia" w:eastAsiaTheme="minorEastAsia" w:cstheme="minorEastAsia"/>
          <w:b w:val="0"/>
          <w:bCs w:val="0"/>
          <w:color w:val="auto"/>
          <w:sz w:val="24"/>
          <w:szCs w:val="24"/>
          <w:highlight w:val="none"/>
        </w:rPr>
        <w:t>），内容必须清晰可辨，若内容模糊</w:t>
      </w:r>
      <w:r>
        <w:rPr>
          <w:rFonts w:hint="eastAsia" w:asciiTheme="minorEastAsia" w:hAnsiTheme="minorEastAsia" w:eastAsiaTheme="minorEastAsia" w:cstheme="minorEastAsia"/>
          <w:b w:val="0"/>
          <w:bCs w:val="0"/>
          <w:color w:val="auto"/>
          <w:sz w:val="24"/>
          <w:szCs w:val="24"/>
          <w:highlight w:val="none"/>
          <w:lang w:val="en-US" w:eastAsia="zh-CN"/>
        </w:rPr>
        <w:t>不完整</w:t>
      </w:r>
      <w:r>
        <w:rPr>
          <w:rFonts w:hint="eastAsia" w:asciiTheme="minorEastAsia" w:hAnsiTheme="minorEastAsia" w:eastAsiaTheme="minorEastAsia" w:cstheme="minorEastAsia"/>
          <w:b w:val="0"/>
          <w:bCs w:val="0"/>
          <w:color w:val="auto"/>
          <w:sz w:val="24"/>
          <w:szCs w:val="24"/>
          <w:highlight w:val="none"/>
        </w:rPr>
        <w:t>，无法辨识</w:t>
      </w:r>
      <w:r>
        <w:rPr>
          <w:rFonts w:hint="eastAsia" w:asciiTheme="minorEastAsia" w:hAnsiTheme="minorEastAsia" w:eastAsiaTheme="minorEastAsia" w:cstheme="minorEastAsia"/>
          <w:b w:val="0"/>
          <w:bCs w:val="0"/>
          <w:color w:val="auto"/>
          <w:sz w:val="24"/>
          <w:szCs w:val="24"/>
          <w:highlight w:val="none"/>
          <w:lang w:eastAsia="zh-CN"/>
        </w:rPr>
        <w:t>的，</w:t>
      </w:r>
      <w:r>
        <w:rPr>
          <w:rFonts w:hint="eastAsia" w:asciiTheme="minorEastAsia" w:hAnsiTheme="minorEastAsia" w:eastAsiaTheme="minorEastAsia" w:cstheme="minorEastAsia"/>
          <w:b w:val="0"/>
          <w:bCs w:val="0"/>
          <w:color w:val="auto"/>
          <w:sz w:val="24"/>
          <w:szCs w:val="24"/>
          <w:highlight w:val="none"/>
          <w:lang w:val="en-US" w:eastAsia="zh-CN"/>
        </w:rPr>
        <w:t>磋商小组有权作出对供应商不利的处理决定。</w:t>
      </w:r>
    </w:p>
    <w:p w14:paraId="418D3031">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lang w:eastAsia="zh-CN"/>
        </w:rPr>
        <w:t>2.</w:t>
      </w:r>
      <w:r>
        <w:rPr>
          <w:rFonts w:hint="eastAsia" w:asciiTheme="minorEastAsia" w:hAnsiTheme="minorEastAsia" w:eastAsiaTheme="minorEastAsia" w:cstheme="minorEastAsia"/>
          <w:b w:val="0"/>
          <w:bCs w:val="0"/>
          <w:color w:val="auto"/>
          <w:sz w:val="24"/>
          <w:szCs w:val="24"/>
          <w:highlight w:val="none"/>
          <w:lang w:val="en-US" w:eastAsia="zh-CN"/>
        </w:rPr>
        <w:t>4</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应由法定代表人或其委托代理人在规定签字处签字，要求盖章处应盖单位章，签字及盖章要求详见</w:t>
      </w:r>
      <w:r>
        <w:rPr>
          <w:rFonts w:hint="eastAsia" w:asciiTheme="minorEastAsia" w:hAnsiTheme="minorEastAsia" w:eastAsiaTheme="minorEastAsia" w:cstheme="minorEastAsia"/>
          <w:b w:val="0"/>
          <w:bCs w:val="0"/>
          <w:color w:val="auto"/>
          <w:sz w:val="24"/>
          <w:szCs w:val="24"/>
          <w:highlight w:val="none"/>
          <w:lang w:eastAsia="zh-CN"/>
        </w:rPr>
        <w:t>须知前附表。</w:t>
      </w:r>
    </w:p>
    <w:p w14:paraId="4C467CFC">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4.3</w:t>
      </w:r>
      <w:r>
        <w:rPr>
          <w:rFonts w:hint="eastAsia" w:ascii="宋体" w:hAnsi="宋体" w:eastAsia="宋体" w:cs="宋体"/>
          <w:color w:val="auto"/>
          <w:sz w:val="24"/>
          <w:szCs w:val="24"/>
          <w:highlight w:val="none"/>
          <w:lang w:val="en-US" w:eastAsia="zh-CN"/>
        </w:rPr>
        <w:t>纸质竞争性磋商响应文件</w:t>
      </w:r>
    </w:p>
    <w:p w14:paraId="30CDA87D">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4.3.1成交单位提供的</w:t>
      </w:r>
      <w:r>
        <w:rPr>
          <w:rFonts w:hint="eastAsia" w:ascii="宋体" w:hAnsi="宋体" w:eastAsia="宋体" w:cs="宋体"/>
          <w:color w:val="auto"/>
          <w:sz w:val="24"/>
          <w:szCs w:val="24"/>
          <w:highlight w:val="none"/>
        </w:rPr>
        <w:t>纸质</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份数见“</w:t>
      </w:r>
      <w:r>
        <w:rPr>
          <w:rFonts w:hint="eastAsia" w:ascii="宋体" w:hAnsi="宋体" w:eastAsia="宋体" w:cs="宋体"/>
          <w:color w:val="auto"/>
          <w:sz w:val="24"/>
          <w:szCs w:val="24"/>
          <w:highlight w:val="none"/>
          <w:lang w:eastAsia="zh-CN"/>
        </w:rPr>
        <w:t>须知前附表</w:t>
      </w:r>
      <w:r>
        <w:rPr>
          <w:rFonts w:hint="eastAsia" w:ascii="宋体" w:hAnsi="宋体" w:eastAsia="宋体" w:cs="宋体"/>
          <w:color w:val="auto"/>
          <w:sz w:val="24"/>
          <w:szCs w:val="24"/>
          <w:highlight w:val="none"/>
        </w:rPr>
        <w:t>”要求。</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封面上应标明项目名称、</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名称等内容。</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内容须清晰可辨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编制目录装订成册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装订应牢固，不得采用活页夹</w:t>
      </w:r>
      <w:r>
        <w:rPr>
          <w:rFonts w:hint="eastAsia" w:ascii="宋体" w:hAnsi="宋体" w:eastAsia="宋体" w:cs="宋体"/>
          <w:color w:val="auto"/>
          <w:sz w:val="24"/>
          <w:szCs w:val="24"/>
          <w:highlight w:val="none"/>
          <w:lang w:val="en-US" w:eastAsia="zh-CN"/>
        </w:rPr>
        <w:t>。</w:t>
      </w:r>
    </w:p>
    <w:p w14:paraId="685ACB84">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4.3.2</w:t>
      </w:r>
      <w:r>
        <w:rPr>
          <w:rFonts w:hint="eastAsia" w:ascii="宋体" w:hAnsi="宋体" w:eastAsia="宋体" w:cs="宋体"/>
          <w:color w:val="auto"/>
          <w:sz w:val="24"/>
          <w:szCs w:val="24"/>
          <w:highlight w:val="none"/>
        </w:rPr>
        <w:t>响应文件的封面上应清楚地标记“正本”或“副本”的字样，当副本和正本不一致时，以正本为准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当纸质竞争性磋商响应文件与电子竞争性磋商响应文件不一致时，以电子竞争性磋商响应文件为准。</w:t>
      </w:r>
    </w:p>
    <w:p w14:paraId="0BCCAD26">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4.3.3</w:t>
      </w:r>
      <w:r>
        <w:rPr>
          <w:rFonts w:hint="eastAsia" w:ascii="宋体" w:hAnsi="宋体" w:eastAsia="宋体" w:cs="宋体"/>
          <w:color w:val="auto"/>
          <w:sz w:val="24"/>
          <w:szCs w:val="24"/>
          <w:highlight w:val="none"/>
        </w:rPr>
        <w:t>响应文件的正本与副本应分别装订成册，正本与副本应分别装订成册，然后统一密封在一个密封袋内，装订应牢固，不易拆散和换页，不得采用活页夹装订，若因装订不善造成响应文件内容丢失或不完整而影响评审的，其后果由供应商自行负责。</w:t>
      </w:r>
    </w:p>
    <w:p w14:paraId="034C4FFF">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bookmarkStart w:id="91" w:name="_Toc247513977"/>
      <w:bookmarkStart w:id="92" w:name="_Toc446871029"/>
      <w:bookmarkStart w:id="93" w:name="_Toc152042329"/>
      <w:bookmarkStart w:id="94" w:name="_Toc247527578"/>
      <w:bookmarkStart w:id="95" w:name="_Toc152045553"/>
      <w:bookmarkStart w:id="96" w:name="_Toc144974521"/>
      <w:r>
        <w:rPr>
          <w:rFonts w:hint="eastAsia" w:ascii="宋体" w:hAnsi="宋体" w:eastAsia="宋体" w:cs="宋体"/>
          <w:color w:val="auto"/>
          <w:sz w:val="24"/>
          <w:szCs w:val="24"/>
          <w:highlight w:val="none"/>
          <w:lang w:val="en-US" w:eastAsia="zh-CN"/>
        </w:rPr>
        <w:t>4.4</w:t>
      </w:r>
      <w:r>
        <w:rPr>
          <w:rFonts w:hint="eastAsia" w:ascii="宋体" w:hAnsi="宋体" w:eastAsia="宋体" w:cs="宋体"/>
          <w:color w:val="auto"/>
          <w:sz w:val="24"/>
          <w:szCs w:val="24"/>
          <w:highlight w:val="none"/>
        </w:rPr>
        <w:t>备选方案</w:t>
      </w:r>
      <w:bookmarkEnd w:id="91"/>
      <w:bookmarkEnd w:id="92"/>
      <w:bookmarkEnd w:id="93"/>
      <w:bookmarkEnd w:id="94"/>
      <w:bookmarkEnd w:id="95"/>
      <w:bookmarkEnd w:id="96"/>
    </w:p>
    <w:p w14:paraId="3C543E14">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除本文件另有规定外，供应商不得递交备选方案。允许供应商递交备选方案的，只有</w:t>
      </w:r>
      <w:r>
        <w:rPr>
          <w:rFonts w:hint="eastAsia" w:ascii="宋体" w:hAnsi="宋体" w:eastAsia="宋体" w:cs="宋体"/>
          <w:color w:val="auto"/>
          <w:sz w:val="24"/>
          <w:szCs w:val="24"/>
          <w:highlight w:val="none"/>
          <w:lang w:eastAsia="zh-CN"/>
        </w:rPr>
        <w:t>成交单位</w:t>
      </w:r>
      <w:r>
        <w:rPr>
          <w:rFonts w:hint="eastAsia" w:ascii="宋体" w:hAnsi="宋体" w:eastAsia="宋体" w:cs="宋体"/>
          <w:color w:val="auto"/>
          <w:sz w:val="24"/>
          <w:szCs w:val="24"/>
          <w:highlight w:val="none"/>
        </w:rPr>
        <w:t>所递交的备选方案方可予以考虑。磋商委员会认为</w:t>
      </w:r>
      <w:r>
        <w:rPr>
          <w:rFonts w:hint="eastAsia" w:ascii="宋体" w:hAnsi="宋体" w:eastAsia="宋体" w:cs="宋体"/>
          <w:color w:val="auto"/>
          <w:sz w:val="24"/>
          <w:szCs w:val="24"/>
          <w:highlight w:val="none"/>
          <w:lang w:eastAsia="zh-CN"/>
        </w:rPr>
        <w:t>成交单位</w:t>
      </w:r>
      <w:r>
        <w:rPr>
          <w:rFonts w:hint="eastAsia" w:ascii="宋体" w:hAnsi="宋体" w:eastAsia="宋体" w:cs="宋体"/>
          <w:color w:val="auto"/>
          <w:sz w:val="24"/>
          <w:szCs w:val="24"/>
          <w:highlight w:val="none"/>
        </w:rPr>
        <w:t>的备选方案优于其按照竞争性磋商文件要求编制的备选方案的，采购人可以接受该备选方案。</w:t>
      </w:r>
    </w:p>
    <w:p w14:paraId="0F9AE370">
      <w:pPr>
        <w:keepNext w:val="0"/>
        <w:keepLines w:val="0"/>
        <w:pageBreakBefore w:val="0"/>
        <w:widowControl w:val="0"/>
        <w:kinsoku/>
        <w:wordWrap/>
        <w:overflowPunct/>
        <w:topLinePunct w:val="0"/>
        <w:autoSpaceDE/>
        <w:autoSpaceDN/>
        <w:bidi w:val="0"/>
        <w:adjustRightInd/>
        <w:snapToGrid/>
        <w:spacing w:line="490" w:lineRule="exact"/>
        <w:ind w:firstLine="482" w:firstLineChars="200"/>
        <w:jc w:val="center"/>
        <w:textAlignment w:val="auto"/>
        <w:rPr>
          <w:rFonts w:hint="eastAsia" w:ascii="宋体" w:hAnsi="宋体" w:eastAsia="宋体" w:cs="宋体"/>
          <w:b/>
          <w:bCs/>
          <w:color w:val="auto"/>
          <w:sz w:val="24"/>
          <w:szCs w:val="24"/>
          <w:highlight w:val="none"/>
        </w:rPr>
      </w:pPr>
      <w:bookmarkStart w:id="97" w:name="_Toc310154400"/>
      <w:r>
        <w:rPr>
          <w:rFonts w:hint="eastAsia" w:ascii="宋体" w:hAnsi="宋体" w:eastAsia="宋体" w:cs="宋体"/>
          <w:b/>
          <w:bCs/>
          <w:color w:val="auto"/>
          <w:sz w:val="24"/>
          <w:szCs w:val="24"/>
          <w:highlight w:val="none"/>
        </w:rPr>
        <w:t>五、响应文件的递交</w:t>
      </w:r>
      <w:bookmarkEnd w:id="97"/>
    </w:p>
    <w:p w14:paraId="3381218A">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5.1提交电子竞争性磋商响应文件截止时间</w:t>
      </w:r>
    </w:p>
    <w:p w14:paraId="53B3F45D">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供应商须在响应文件提交截止时间前提交电子竞争性磋商响应文件，提交电子竞争性磋商响应文件截止时间详见</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须知前附表</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w:t>
      </w:r>
    </w:p>
    <w:p w14:paraId="7E807DB1">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5.2电子</w:t>
      </w:r>
      <w:r>
        <w:rPr>
          <w:rFonts w:hint="eastAsia" w:asciiTheme="minorEastAsia" w:hAnsiTheme="minorEastAsia" w:eastAsiaTheme="minorEastAsia" w:cstheme="minorEastAsia"/>
          <w:b/>
          <w:bCs/>
          <w:color w:val="auto"/>
          <w:sz w:val="24"/>
          <w:szCs w:val="24"/>
          <w:highlight w:val="none"/>
          <w:lang w:eastAsia="zh-CN"/>
        </w:rPr>
        <w:t>竞争性磋商响应文件</w:t>
      </w:r>
      <w:r>
        <w:rPr>
          <w:rFonts w:hint="eastAsia" w:asciiTheme="minorEastAsia" w:hAnsiTheme="minorEastAsia" w:eastAsiaTheme="minorEastAsia" w:cstheme="minorEastAsia"/>
          <w:b/>
          <w:bCs/>
          <w:color w:val="auto"/>
          <w:sz w:val="24"/>
          <w:szCs w:val="24"/>
          <w:highlight w:val="none"/>
        </w:rPr>
        <w:t>的</w:t>
      </w:r>
      <w:r>
        <w:rPr>
          <w:rFonts w:hint="eastAsia" w:asciiTheme="minorEastAsia" w:hAnsiTheme="minorEastAsia" w:eastAsiaTheme="minorEastAsia" w:cstheme="minorEastAsia"/>
          <w:b/>
          <w:bCs/>
          <w:color w:val="auto"/>
          <w:sz w:val="24"/>
          <w:szCs w:val="24"/>
          <w:highlight w:val="none"/>
          <w:lang w:eastAsia="zh-CN"/>
        </w:rPr>
        <w:t>提交</w:t>
      </w:r>
    </w:p>
    <w:p w14:paraId="16F43CB5">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5.2.1</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lang w:val="en-US" w:eastAsia="zh-CN"/>
        </w:rPr>
        <w:t>须</w:t>
      </w:r>
      <w:r>
        <w:rPr>
          <w:rFonts w:hint="eastAsia" w:asciiTheme="minorEastAsia" w:hAnsiTheme="minorEastAsia" w:eastAsiaTheme="minorEastAsia" w:cstheme="minorEastAsia"/>
          <w:b w:val="0"/>
          <w:bCs w:val="0"/>
          <w:color w:val="auto"/>
          <w:sz w:val="24"/>
          <w:szCs w:val="24"/>
          <w:highlight w:val="none"/>
        </w:rPr>
        <w:t>对</w:t>
      </w:r>
      <w:r>
        <w:rPr>
          <w:rFonts w:hint="eastAsia" w:asciiTheme="minorEastAsia" w:hAnsiTheme="minorEastAsia" w:eastAsiaTheme="minorEastAsia" w:cstheme="minorEastAsia"/>
          <w:b w:val="0"/>
          <w:bCs w:val="0"/>
          <w:color w:val="auto"/>
          <w:sz w:val="24"/>
          <w:szCs w:val="24"/>
          <w:highlight w:val="none"/>
          <w:lang w:val="en-US" w:eastAsia="zh-CN"/>
        </w:rPr>
        <w:t>电子</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进行加密</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未按要求加密的，采购人不予受理</w:t>
      </w:r>
      <w:r>
        <w:rPr>
          <w:rFonts w:hint="eastAsia" w:asciiTheme="minorEastAsia" w:hAnsiTheme="minorEastAsia" w:eastAsiaTheme="minorEastAsia" w:cstheme="minorEastAsia"/>
          <w:b w:val="0"/>
          <w:bCs w:val="0"/>
          <w:color w:val="auto"/>
          <w:sz w:val="24"/>
          <w:szCs w:val="24"/>
          <w:highlight w:val="none"/>
          <w:lang w:eastAsia="zh-CN"/>
        </w:rPr>
        <w:t>。</w:t>
      </w:r>
    </w:p>
    <w:p w14:paraId="57B66B3E">
      <w:pPr>
        <w:keepNext w:val="0"/>
        <w:keepLines w:val="0"/>
        <w:pageBreakBefore w:val="0"/>
        <w:widowControl w:val="0"/>
        <w:shd w:val="clear" w:color="auto" w:fill="auto"/>
        <w:kinsoku/>
        <w:wordWrap/>
        <w:overflowPunct/>
        <w:topLinePunct w:val="0"/>
        <w:autoSpaceDE/>
        <w:autoSpaceDN/>
        <w:bidi w:val="0"/>
        <w:adjustRightInd/>
        <w:snapToGrid/>
        <w:spacing w:line="49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5.2.2</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须在</w:t>
      </w:r>
      <w:r>
        <w:rPr>
          <w:rFonts w:hint="eastAsia" w:asciiTheme="minorEastAsia" w:hAnsiTheme="minorEastAsia" w:eastAsiaTheme="minorEastAsia" w:cstheme="minorEastAsia"/>
          <w:b w:val="0"/>
          <w:bCs w:val="0"/>
          <w:color w:val="auto"/>
          <w:sz w:val="24"/>
          <w:szCs w:val="24"/>
          <w:highlight w:val="none"/>
          <w:lang w:val="en-US" w:eastAsia="zh-CN"/>
        </w:rPr>
        <w:t>提交竞争性磋商响应文件截止时间</w:t>
      </w:r>
      <w:r>
        <w:rPr>
          <w:rFonts w:hint="eastAsia" w:asciiTheme="minorEastAsia" w:hAnsiTheme="minorEastAsia" w:eastAsiaTheme="minorEastAsia" w:cstheme="minorEastAsia"/>
          <w:b w:val="0"/>
          <w:bCs w:val="0"/>
          <w:color w:val="auto"/>
          <w:sz w:val="24"/>
          <w:szCs w:val="24"/>
          <w:highlight w:val="none"/>
        </w:rPr>
        <w:t>前</w:t>
      </w:r>
      <w:r>
        <w:rPr>
          <w:rFonts w:hint="eastAsia" w:asciiTheme="minorEastAsia" w:hAnsiTheme="minorEastAsia" w:eastAsiaTheme="minorEastAsia" w:cstheme="minorEastAsia"/>
          <w:b w:val="0"/>
          <w:bCs w:val="0"/>
          <w:color w:val="auto"/>
          <w:sz w:val="24"/>
          <w:szCs w:val="24"/>
          <w:highlight w:val="none"/>
          <w:lang w:val="en-US" w:eastAsia="zh-CN"/>
        </w:rPr>
        <w:t>登录政采云平台</w:t>
      </w:r>
      <w:r>
        <w:rPr>
          <w:rFonts w:hint="eastAsia" w:asciiTheme="minorEastAsia" w:hAnsiTheme="minorEastAsia" w:eastAsiaTheme="minorEastAsia" w:cstheme="minorEastAsia"/>
          <w:b w:val="0"/>
          <w:bCs w:val="0"/>
          <w:color w:val="auto"/>
          <w:sz w:val="24"/>
          <w:szCs w:val="24"/>
          <w:highlight w:val="none"/>
        </w:rPr>
        <w:t>完成所有</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的上传</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val="en-US" w:eastAsia="zh-CN"/>
        </w:rPr>
        <w:t>提交竞争性磋商响应文件截止时间</w:t>
      </w:r>
      <w:r>
        <w:rPr>
          <w:rFonts w:hint="eastAsia" w:asciiTheme="minorEastAsia" w:hAnsiTheme="minorEastAsia" w:eastAsiaTheme="minorEastAsia" w:cstheme="minorEastAsia"/>
          <w:b w:val="0"/>
          <w:bCs w:val="0"/>
          <w:color w:val="auto"/>
          <w:sz w:val="24"/>
          <w:szCs w:val="24"/>
          <w:highlight w:val="none"/>
        </w:rPr>
        <w:t>前未完成</w:t>
      </w:r>
      <w:r>
        <w:rPr>
          <w:rFonts w:hint="eastAsia" w:asciiTheme="minorEastAsia" w:hAnsiTheme="minorEastAsia" w:eastAsiaTheme="minorEastAsia" w:cstheme="minorEastAsia"/>
          <w:b w:val="0"/>
          <w:bCs w:val="0"/>
          <w:color w:val="auto"/>
          <w:sz w:val="24"/>
          <w:szCs w:val="24"/>
          <w:highlight w:val="none"/>
          <w:lang w:eastAsia="zh-CN"/>
        </w:rPr>
        <w:t>竞争性磋商响应文件</w:t>
      </w:r>
      <w:r>
        <w:rPr>
          <w:rFonts w:hint="eastAsia" w:asciiTheme="minorEastAsia" w:hAnsiTheme="minorEastAsia" w:eastAsiaTheme="minorEastAsia" w:cstheme="minorEastAsia"/>
          <w:b w:val="0"/>
          <w:bCs w:val="0"/>
          <w:color w:val="auto"/>
          <w:sz w:val="24"/>
          <w:szCs w:val="24"/>
          <w:highlight w:val="none"/>
        </w:rPr>
        <w:t>传输的，</w:t>
      </w:r>
      <w:r>
        <w:rPr>
          <w:rFonts w:hint="eastAsia" w:asciiTheme="minorEastAsia" w:hAnsiTheme="minorEastAsia" w:eastAsiaTheme="minorEastAsia" w:cstheme="minorEastAsia"/>
          <w:b w:val="0"/>
          <w:bCs w:val="0"/>
          <w:color w:val="auto"/>
          <w:sz w:val="24"/>
          <w:szCs w:val="24"/>
          <w:highlight w:val="none"/>
          <w:lang w:eastAsia="zh-CN"/>
        </w:rPr>
        <w:t>视为未提交竞争性磋商响应文件</w:t>
      </w:r>
      <w:r>
        <w:rPr>
          <w:rFonts w:hint="eastAsia" w:asciiTheme="minorEastAsia" w:hAnsiTheme="minorEastAsia" w:eastAsiaTheme="minorEastAsia" w:cstheme="minorEastAsia"/>
          <w:b w:val="0"/>
          <w:bCs w:val="0"/>
          <w:color w:val="auto"/>
          <w:sz w:val="24"/>
          <w:szCs w:val="24"/>
          <w:highlight w:val="none"/>
        </w:rPr>
        <w:t>。</w:t>
      </w:r>
    </w:p>
    <w:p w14:paraId="46A1F419">
      <w:pPr>
        <w:keepNext w:val="0"/>
        <w:keepLines w:val="0"/>
        <w:pageBreakBefore w:val="0"/>
        <w:widowControl w:val="0"/>
        <w:kinsoku/>
        <w:wordWrap/>
        <w:overflowPunct/>
        <w:topLinePunct w:val="0"/>
        <w:autoSpaceDE/>
        <w:autoSpaceDN/>
        <w:bidi w:val="0"/>
        <w:adjustRightInd/>
        <w:snapToGrid/>
        <w:spacing w:line="490" w:lineRule="exact"/>
        <w:ind w:firstLine="482" w:firstLineChars="200"/>
        <w:jc w:val="center"/>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六、竞争性磋商报价</w:t>
      </w:r>
    </w:p>
    <w:p w14:paraId="0A6DB2D9">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6.1采购预算价作为采购人期望的最高限价，向所有供应商公布。最高限价已包含合同工作内容的所有费用，各供应商报价不得超过采购预算价，否则其响应文件将不被采购人接受。</w:t>
      </w:r>
    </w:p>
    <w:p w14:paraId="59791A69">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6.2本项目报价</w:t>
      </w:r>
      <w:r>
        <w:rPr>
          <w:rFonts w:hint="eastAsia" w:ascii="宋体" w:hAnsi="宋体" w:eastAsia="宋体" w:cs="宋体"/>
          <w:color w:val="auto"/>
          <w:sz w:val="24"/>
          <w:szCs w:val="24"/>
          <w:highlight w:val="none"/>
          <w:lang w:val="en-US" w:eastAsia="zh-CN"/>
        </w:rPr>
        <w:t>包括为提供本项目服务产生的所有费用，</w:t>
      </w:r>
      <w:r>
        <w:rPr>
          <w:rFonts w:hint="eastAsia" w:ascii="宋体" w:hAnsi="宋体" w:eastAsia="宋体" w:cs="宋体"/>
          <w:color w:val="auto"/>
          <w:sz w:val="24"/>
          <w:szCs w:val="24"/>
          <w:highlight w:val="none"/>
        </w:rPr>
        <w:t>包括</w:t>
      </w:r>
      <w:r>
        <w:rPr>
          <w:rFonts w:hint="eastAsia" w:ascii="宋体" w:hAnsi="宋体" w:cs="宋体"/>
          <w:color w:val="auto"/>
          <w:sz w:val="24"/>
          <w:szCs w:val="24"/>
          <w:highlight w:val="none"/>
          <w:lang w:val="en-US" w:eastAsia="zh-CN"/>
        </w:rPr>
        <w:t>但不限于</w:t>
      </w:r>
      <w:r>
        <w:rPr>
          <w:rFonts w:hint="eastAsia" w:ascii="宋体" w:hAnsi="宋体" w:eastAsia="宋体" w:cs="宋体"/>
          <w:color w:val="auto"/>
          <w:sz w:val="24"/>
          <w:szCs w:val="24"/>
          <w:highlight w:val="none"/>
          <w:lang w:val="en-US" w:eastAsia="zh-CN"/>
        </w:rPr>
        <w:t>人工费、差旅费、资料收集及现场调查产生的费用、成果资料编制及打印费、装订费、材料费、成果报批费、管理费、</w:t>
      </w:r>
      <w:r>
        <w:rPr>
          <w:rFonts w:hint="eastAsia" w:ascii="宋体" w:hAnsi="宋体" w:cs="宋体"/>
          <w:color w:val="auto"/>
          <w:sz w:val="24"/>
          <w:szCs w:val="24"/>
          <w:highlight w:val="none"/>
          <w:lang w:val="en-US" w:eastAsia="zh-CN"/>
        </w:rPr>
        <w:t>安全文明生产费、</w:t>
      </w:r>
      <w:r>
        <w:rPr>
          <w:rFonts w:hint="eastAsia" w:ascii="宋体" w:hAnsi="宋体" w:eastAsia="宋体" w:cs="宋体"/>
          <w:color w:val="auto"/>
          <w:sz w:val="24"/>
          <w:szCs w:val="24"/>
          <w:highlight w:val="none"/>
          <w:lang w:val="en-US" w:eastAsia="zh-CN"/>
        </w:rPr>
        <w:t>保险费、利润、税费等所有费用</w:t>
      </w:r>
      <w:r>
        <w:rPr>
          <w:rFonts w:hint="eastAsia" w:ascii="宋体" w:hAnsi="宋体" w:eastAsia="宋体" w:cs="宋体"/>
          <w:color w:val="auto"/>
          <w:sz w:val="24"/>
          <w:szCs w:val="24"/>
          <w:highlight w:val="none"/>
        </w:rPr>
        <w:t>，该报价应充分考虑市场风险、价格风险、政策风险、汇率风险等所有因素。</w:t>
      </w:r>
    </w:p>
    <w:p w14:paraId="3707318A">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lang w:val="en-US" w:eastAsia="zh-CN"/>
        </w:rPr>
        <w:t>供应商应结合市场行情及自身实际情况进行报价，供应商中标后，该报价即作为合同价，采用包干价结算，合同期间不作调整。</w:t>
      </w:r>
    </w:p>
    <w:p w14:paraId="6AB1802E">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6.4</w:t>
      </w:r>
      <w:r>
        <w:rPr>
          <w:rFonts w:hint="eastAsia" w:ascii="宋体" w:hAnsi="宋体" w:eastAsia="宋体" w:cs="宋体"/>
          <w:color w:val="auto"/>
          <w:sz w:val="24"/>
          <w:szCs w:val="24"/>
          <w:highlight w:val="none"/>
        </w:rPr>
        <w:t>报价应本着合理原则，本次磋商不保证最低报价者一定中</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w:t>
      </w:r>
    </w:p>
    <w:p w14:paraId="2FBFC974">
      <w:pPr>
        <w:keepNext w:val="0"/>
        <w:keepLines w:val="0"/>
        <w:pageBreakBefore w:val="0"/>
        <w:widowControl w:val="0"/>
        <w:kinsoku/>
        <w:wordWrap/>
        <w:overflowPunct/>
        <w:topLinePunct w:val="0"/>
        <w:autoSpaceDE/>
        <w:autoSpaceDN/>
        <w:bidi w:val="0"/>
        <w:adjustRightInd/>
        <w:snapToGrid/>
        <w:spacing w:line="49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本项目报价采用的币种为人民币。</w:t>
      </w:r>
    </w:p>
    <w:p w14:paraId="330320CA">
      <w:pPr>
        <w:pageBreakBefore w:val="0"/>
        <w:widowControl w:val="0"/>
        <w:kinsoku/>
        <w:autoSpaceDE/>
        <w:bidi w:val="0"/>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4B7E5D24">
      <w:pPr>
        <w:pageBreakBefore w:val="0"/>
        <w:widowControl w:val="0"/>
        <w:shd w:val="clear" w:color="auto" w:fill="auto"/>
        <w:kinsoku/>
        <w:autoSpaceDE/>
        <w:bidi w:val="0"/>
        <w:spacing w:line="413"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附件1：</w:t>
      </w:r>
      <w:bookmarkEnd w:id="35"/>
      <w:r>
        <w:rPr>
          <w:rFonts w:hint="eastAsia" w:asciiTheme="minorEastAsia" w:hAnsiTheme="minorEastAsia" w:eastAsiaTheme="minorEastAsia" w:cstheme="minorEastAsia"/>
          <w:b/>
          <w:color w:val="auto"/>
          <w:sz w:val="24"/>
          <w:szCs w:val="24"/>
          <w:highlight w:val="none"/>
        </w:rPr>
        <w:t>政府采购项目电子化交易操作须知</w:t>
      </w:r>
    </w:p>
    <w:p w14:paraId="7F7ADF6D">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为规范政府采购电子交易平台操作和使用，整理交易操作流程等内容供各位潜在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学习，请认真阅读以免影响投标。</w:t>
      </w:r>
    </w:p>
    <w:p w14:paraId="4B8358BD">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一、</w:t>
      </w:r>
      <w:r>
        <w:rPr>
          <w:rFonts w:hint="eastAsia" w:asciiTheme="minorEastAsia" w:hAnsiTheme="minorEastAsia" w:eastAsiaTheme="minorEastAsia" w:cstheme="minorEastAsia"/>
          <w:color w:val="auto"/>
          <w:sz w:val="24"/>
          <w:szCs w:val="24"/>
          <w:highlight w:val="none"/>
        </w:rPr>
        <w:t>凡有意参加投标者，须提前在政采云平台注册账号并办理数字证书（CA）。涉及电子交易平台使用问题的，请致电</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：95763。</w:t>
      </w:r>
    </w:p>
    <w:p w14:paraId="10559B5B">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政采云平台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账号注册：登录</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rPr>
        <w:t>（https：//www.zcygov.cn/）注册账号。操作路径：政府采购云平台首页—商家入驻—云南省（找到云南省立即前往）—云南省政府采购</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入驻登记（立即登记），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根据平台系统提示逐步进行操作即可。</w:t>
      </w:r>
    </w:p>
    <w:p w14:paraId="14680BF0">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须办理数字证书（CA），并在政采云绑定数字证书（CA）后线上获取采购文件及其它采购资料。CA申领链接：http：//yzt.ynsmartcert.cn/cms/yztlccb.html云南壹证通CA可支持线上、线下办理方式，并提供7*24小时全天候客户服务支持，客服热线400-004-0628（紧急CA办理电话：19988166369）政府采购云平台支持多家CA服务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可自行选择。CA申领后需登陆政采云平台完成数字证书（CA）绑定才可以使用，数字证书（CA）详见其办理流程。</w:t>
      </w:r>
    </w:p>
    <w:p w14:paraId="487310FC">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在政采云平台注册账号后，登录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（www.zcygov.cn），绑定数字证书（CA）后，在线申请获取电子招标（或采购）文件及其他相关资料（如有）；未办理数字证书（CA） 的潜在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，请登录CA数字证书申请系统注册并在网上申请办理证书；此前已经在云南省公共资源交易电子化平台申请过云南CA数字证书的，不用重复申请数字证书，可以互通共用。</w:t>
      </w:r>
    </w:p>
    <w:p w14:paraId="0B86AAB3">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二、</w:t>
      </w:r>
      <w:r>
        <w:rPr>
          <w:rFonts w:hint="eastAsia" w:asciiTheme="minorEastAsia" w:hAnsiTheme="minorEastAsia" w:eastAsiaTheme="minorEastAsia" w:cstheme="minorEastAsia"/>
          <w:color w:val="auto"/>
          <w:sz w:val="24"/>
          <w:szCs w:val="24"/>
          <w:highlight w:val="none"/>
        </w:rPr>
        <w:t>政府采购项目电子化操作流程</w:t>
      </w:r>
    </w:p>
    <w:p w14:paraId="7C44DBF7">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政府采购项目电子化操作学习：请各位潜在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进行学习。（操作路径：登录首页—操作指南—登录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账号—查看</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操作手册进行学习）。</w:t>
      </w:r>
    </w:p>
    <w:p w14:paraId="3189F212">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招标（或采购）文件获取：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可自行在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下载采购文件（操作路径：登录</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—项目采购—获取采购文件—找到本项目—点击“申请获取采购文件”）。获取时间截止到截标前，请各位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合理安排好时间，妥善处理好文件下载与制作</w:t>
      </w:r>
      <w:r>
        <w:rPr>
          <w:rFonts w:hint="eastAsia" w:asciiTheme="minorEastAsia" w:hAnsiTheme="minorEastAsia" w:eastAsiaTheme="minorEastAsia" w:cstheme="minorEastAsia"/>
          <w:color w:val="auto"/>
          <w:sz w:val="24"/>
          <w:szCs w:val="24"/>
          <w:highlight w:val="none"/>
          <w:lang w:val="en-US" w:eastAsia="zh-CN"/>
        </w:rPr>
        <w:t>竞争性磋商响应文件</w:t>
      </w:r>
      <w:r>
        <w:rPr>
          <w:rFonts w:hint="eastAsia" w:asciiTheme="minorEastAsia" w:hAnsiTheme="minorEastAsia" w:eastAsiaTheme="minorEastAsia" w:cstheme="minorEastAsia"/>
          <w:color w:val="auto"/>
          <w:sz w:val="24"/>
          <w:szCs w:val="24"/>
          <w:highlight w:val="none"/>
        </w:rPr>
        <w:t>时间关系。</w:t>
      </w:r>
    </w:p>
    <w:p w14:paraId="56F0D927">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投标（或响应）文件编制与导入</w:t>
      </w:r>
    </w:p>
    <w:p w14:paraId="04875B20">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投标（或响应）文件编制：（操作路径：政采云投标客户端—</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编制），电子投标（响应）文件应使用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（http：//www.zcygov.cn）中下载的政采云电子投标客户端制作，并进行电子签章及加密后上传至</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w:t>
      </w:r>
    </w:p>
    <w:p w14:paraId="1D74093F">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提交的电子标书不符合（1）要求或开标时无法读取导入或解密，其投标（响应）文件将不予受理。</w:t>
      </w:r>
    </w:p>
    <w:p w14:paraId="140A464B">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投标（或响应）文件导入：单个资料上传不能大于100MB或300MB（具体以政采云平台系统要求为准）。</w:t>
      </w:r>
    </w:p>
    <w:p w14:paraId="2432B362">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格式：</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应当在政采云电子投标客户端上编制投标（或响应）文件，并生成电子加密标书，</w:t>
      </w:r>
      <w:r>
        <w:rPr>
          <w:rFonts w:hint="eastAsia" w:asciiTheme="minorEastAsia" w:hAnsiTheme="minorEastAsia" w:eastAsiaTheme="minorEastAsia" w:cstheme="minorEastAsia"/>
          <w:color w:val="auto"/>
          <w:sz w:val="24"/>
          <w:szCs w:val="24"/>
          <w:highlight w:val="none"/>
          <w:lang w:val="en-US" w:eastAsia="zh-CN"/>
        </w:rPr>
        <w:t>竞争性磋商响应文件</w:t>
      </w:r>
      <w:r>
        <w:rPr>
          <w:rFonts w:hint="eastAsia" w:asciiTheme="minorEastAsia" w:hAnsiTheme="minorEastAsia" w:eastAsiaTheme="minorEastAsia" w:cstheme="minorEastAsia"/>
          <w:color w:val="auto"/>
          <w:sz w:val="24"/>
          <w:szCs w:val="24"/>
          <w:highlight w:val="none"/>
        </w:rPr>
        <w:t>制作完成并生成加密标书后，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需在开标前将加密的</w:t>
      </w:r>
      <w:r>
        <w:rPr>
          <w:rFonts w:hint="eastAsia" w:asciiTheme="minorEastAsia" w:hAnsiTheme="minorEastAsia" w:eastAsiaTheme="minorEastAsia" w:cstheme="minorEastAsia"/>
          <w:color w:val="auto"/>
          <w:sz w:val="24"/>
          <w:szCs w:val="24"/>
          <w:highlight w:val="none"/>
          <w:lang w:val="en-US" w:eastAsia="zh-CN"/>
        </w:rPr>
        <w:t>竞争性磋商响应文件</w:t>
      </w:r>
      <w:r>
        <w:rPr>
          <w:rFonts w:hint="eastAsia" w:asciiTheme="minorEastAsia" w:hAnsiTheme="minorEastAsia" w:eastAsiaTheme="minorEastAsia" w:cstheme="minorEastAsia"/>
          <w:color w:val="auto"/>
          <w:sz w:val="24"/>
          <w:szCs w:val="24"/>
          <w:highlight w:val="none"/>
        </w:rPr>
        <w:t>上传至政采云平台。具体操作请下载附件（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政府采购电子交易平台操作指南）</w:t>
      </w:r>
      <w:r>
        <w:rPr>
          <w:rFonts w:hint="eastAsia" w:asciiTheme="minorEastAsia" w:hAnsiTheme="minorEastAsia" w:eastAsiaTheme="minorEastAsia" w:cstheme="minorEastAsia"/>
          <w:color w:val="auto"/>
          <w:sz w:val="24"/>
          <w:szCs w:val="24"/>
          <w:highlight w:val="none"/>
          <w:lang w:eastAsia="zh-CN"/>
        </w:rPr>
        <w:t>。</w:t>
      </w:r>
    </w:p>
    <w:p w14:paraId="0B67AAF7">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投标（或响应）文件递交：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必须通过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递交电子</w:t>
      </w:r>
      <w:r>
        <w:rPr>
          <w:rFonts w:hint="eastAsia" w:asciiTheme="minorEastAsia" w:hAnsiTheme="minorEastAsia" w:eastAsiaTheme="minorEastAsia" w:cstheme="minorEastAsia"/>
          <w:color w:val="auto"/>
          <w:sz w:val="24"/>
          <w:szCs w:val="24"/>
          <w:highlight w:val="none"/>
          <w:lang w:val="en-US" w:eastAsia="zh-CN"/>
        </w:rPr>
        <w:t>竞争性磋商响应文件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须在</w:t>
      </w:r>
      <w:r>
        <w:rPr>
          <w:rFonts w:hint="eastAsia" w:asciiTheme="minorEastAsia" w:hAnsiTheme="minorEastAsia" w:eastAsiaTheme="minorEastAsia" w:cstheme="minorEastAsia"/>
          <w:color w:val="auto"/>
          <w:sz w:val="24"/>
          <w:szCs w:val="24"/>
          <w:highlight w:val="none"/>
          <w:lang w:val="en-US" w:eastAsia="zh-CN"/>
        </w:rPr>
        <w:t>响应文件递交</w:t>
      </w:r>
      <w:r>
        <w:rPr>
          <w:rFonts w:hint="eastAsia" w:asciiTheme="minorEastAsia" w:hAnsiTheme="minorEastAsia" w:eastAsiaTheme="minorEastAsia" w:cstheme="minorEastAsia"/>
          <w:color w:val="auto"/>
          <w:sz w:val="24"/>
          <w:szCs w:val="24"/>
          <w:highlight w:val="none"/>
        </w:rPr>
        <w:t>截止时间前递交</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，完成所有电子</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的上传。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提交截止时间前可以补充、修改或者撤回</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。补充或者修改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的，应当先行撤回原文件，补充、修改后重新上传、递交。投标截止时间前未完成</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传输的，视为未上传或撤回</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。不通过</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递交</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的，均为无效</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p>
    <w:p w14:paraId="6EBF62C5">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采用网上开标，远程解密</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无须</w:t>
      </w:r>
      <w:r>
        <w:rPr>
          <w:rFonts w:hint="eastAsia" w:asciiTheme="minorEastAsia" w:hAnsiTheme="minorEastAsia" w:eastAsiaTheme="minorEastAsia" w:cstheme="minorEastAsia"/>
          <w:color w:val="auto"/>
          <w:sz w:val="24"/>
          <w:szCs w:val="24"/>
          <w:highlight w:val="none"/>
          <w:lang w:val="en-US" w:eastAsia="zh-CN"/>
        </w:rPr>
        <w:t>到开标现场</w:t>
      </w:r>
      <w:r>
        <w:rPr>
          <w:rFonts w:hint="eastAsia" w:asciiTheme="minorEastAsia" w:hAnsiTheme="minorEastAsia" w:eastAsiaTheme="minorEastAsia" w:cstheme="minorEastAsia"/>
          <w:color w:val="auto"/>
          <w:sz w:val="24"/>
          <w:szCs w:val="24"/>
          <w:highlight w:val="none"/>
        </w:rPr>
        <w:t>参加开标活动。</w:t>
      </w:r>
    </w:p>
    <w:p w14:paraId="042E493B">
      <w:pPr>
        <w:keepNext w:val="0"/>
        <w:keepLines w:val="0"/>
        <w:pageBreakBefore w:val="0"/>
        <w:widowControl w:val="0"/>
        <w:shd w:val="clear" w:color="auto" w:fill="auto"/>
        <w:kinsoku/>
        <w:wordWrap/>
        <w:overflowPunct/>
        <w:topLinePunct w:val="0"/>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远程解密、签字确认时间：本项目远程解密时间为</w:t>
      </w:r>
      <w:r>
        <w:rPr>
          <w:rFonts w:hint="eastAsia" w:asciiTheme="minorEastAsia" w:hAnsiTheme="minorEastAsia" w:eastAsiaTheme="minorEastAsia" w:cstheme="minorEastAsia"/>
          <w:color w:val="auto"/>
          <w:sz w:val="24"/>
          <w:szCs w:val="24"/>
          <w:highlight w:val="none"/>
          <w:lang w:val="en-US" w:eastAsia="zh-CN"/>
        </w:rPr>
        <w:t>30</w:t>
      </w:r>
      <w:r>
        <w:rPr>
          <w:rFonts w:hint="eastAsia" w:asciiTheme="minorEastAsia" w:hAnsiTheme="minorEastAsia" w:eastAsiaTheme="minorEastAsia" w:cstheme="minorEastAsia"/>
          <w:color w:val="auto"/>
          <w:sz w:val="24"/>
          <w:szCs w:val="24"/>
          <w:highlight w:val="none"/>
        </w:rPr>
        <w:t>分钟，签名确认时间为5分钟，请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在规定的时间内完成</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解密和签名确认工作。若在规定的时间内不能成功完成网上远程解密的，则视为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放弃此次</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；若未在签名确认时间内完成签名确认，则视为对本次开标无异议。</w:t>
      </w:r>
    </w:p>
    <w:p w14:paraId="27A30FC7">
      <w:pPr>
        <w:pageBreakBefore w:val="0"/>
        <w:widowControl w:val="0"/>
        <w:kinsoku/>
        <w:autoSpaceDE/>
        <w:bidi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682B8A52">
      <w:pPr>
        <w:pStyle w:val="2"/>
        <w:pageBreakBefore w:val="0"/>
        <w:widowControl w:val="0"/>
        <w:shd w:val="clear" w:color="auto" w:fill="auto"/>
        <w:tabs>
          <w:tab w:val="left" w:pos="360"/>
        </w:tabs>
        <w:kinsoku/>
        <w:autoSpaceDE/>
        <w:bidi w:val="0"/>
        <w:ind w:left="0" w:firstLine="0"/>
        <w:jc w:val="center"/>
        <w:rPr>
          <w:rFonts w:hint="eastAsia" w:asciiTheme="minorEastAsia" w:hAnsiTheme="minorEastAsia" w:eastAsiaTheme="minorEastAsia" w:cstheme="minorEastAsia"/>
          <w:color w:val="auto"/>
          <w:sz w:val="32"/>
          <w:szCs w:val="32"/>
          <w:highlight w:val="none"/>
        </w:rPr>
      </w:pPr>
      <w:bookmarkStart w:id="98" w:name="_Toc1834"/>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三</w:t>
      </w:r>
      <w:r>
        <w:rPr>
          <w:rFonts w:hint="eastAsia" w:asciiTheme="minorEastAsia" w:hAnsiTheme="minorEastAsia" w:eastAsiaTheme="minorEastAsia" w:cstheme="minorEastAsia"/>
          <w:color w:val="auto"/>
          <w:sz w:val="32"/>
          <w:szCs w:val="32"/>
          <w:highlight w:val="none"/>
        </w:rPr>
        <w:t>章 竞争性磋商评审办法</w:t>
      </w:r>
      <w:bookmarkEnd w:id="98"/>
    </w:p>
    <w:p w14:paraId="49649FF8">
      <w:pPr>
        <w:pageBreakBefore w:val="0"/>
        <w:widowControl w:val="0"/>
        <w:shd w:val="clear" w:color="auto" w:fill="auto"/>
        <w:kinsoku/>
        <w:autoSpaceDE/>
        <w:bidi w:val="0"/>
        <w:jc w:val="both"/>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评审</w:t>
      </w:r>
      <w:r>
        <w:rPr>
          <w:rFonts w:hint="eastAsia" w:asciiTheme="minorEastAsia" w:hAnsiTheme="minorEastAsia" w:eastAsiaTheme="minorEastAsia" w:cstheme="minorEastAsia"/>
          <w:b/>
          <w:color w:val="auto"/>
          <w:sz w:val="24"/>
          <w:szCs w:val="24"/>
          <w:highlight w:val="none"/>
        </w:rPr>
        <w:t>方法前附表</w:t>
      </w:r>
    </w:p>
    <w:tbl>
      <w:tblPr>
        <w:tblStyle w:val="25"/>
        <w:tblpPr w:leftFromText="180" w:rightFromText="180" w:vertAnchor="text" w:tblpX="-271" w:tblpY="1"/>
        <w:tblOverlap w:val="never"/>
        <w:tblW w:w="95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480"/>
        <w:gridCol w:w="3797"/>
        <w:gridCol w:w="4432"/>
      </w:tblGrid>
      <w:tr w14:paraId="6B362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308" w:type="dxa"/>
            <w:gridSpan w:val="2"/>
            <w:noWrap w:val="0"/>
            <w:vAlign w:val="center"/>
          </w:tcPr>
          <w:p w14:paraId="16ED7B0A">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3797" w:type="dxa"/>
            <w:noWrap w:val="0"/>
            <w:vAlign w:val="center"/>
          </w:tcPr>
          <w:p w14:paraId="58E5EA1B">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4432" w:type="dxa"/>
            <w:noWrap w:val="0"/>
            <w:vAlign w:val="center"/>
          </w:tcPr>
          <w:p w14:paraId="6285E5C4">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61E2B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restart"/>
            <w:tcBorders>
              <w:right w:val="single" w:color="auto" w:sz="4" w:space="0"/>
            </w:tcBorders>
            <w:noWrap w:val="0"/>
            <w:vAlign w:val="center"/>
          </w:tcPr>
          <w:p w14:paraId="65250E25">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480" w:type="dxa"/>
            <w:vMerge w:val="restart"/>
            <w:tcBorders>
              <w:top w:val="single" w:color="auto" w:sz="4" w:space="0"/>
              <w:left w:val="single" w:color="auto" w:sz="4" w:space="0"/>
              <w:right w:val="single" w:color="auto" w:sz="4" w:space="0"/>
            </w:tcBorders>
            <w:noWrap w:val="0"/>
            <w:vAlign w:val="center"/>
          </w:tcPr>
          <w:p w14:paraId="1CE705B6">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有效性评审标准</w:t>
            </w:r>
            <w:r>
              <w:rPr>
                <w:rFonts w:hint="eastAsia" w:asciiTheme="minorEastAsia" w:hAnsiTheme="minorEastAsia" w:eastAsiaTheme="minorEastAsia" w:cstheme="minorEastAsia"/>
                <w:color w:val="auto"/>
                <w:sz w:val="24"/>
                <w:szCs w:val="24"/>
                <w:highlight w:val="none"/>
              </w:rPr>
              <w:t>标准</w:t>
            </w:r>
          </w:p>
        </w:tc>
        <w:tc>
          <w:tcPr>
            <w:tcW w:w="3797" w:type="dxa"/>
            <w:tcBorders>
              <w:left w:val="single" w:color="auto" w:sz="4" w:space="0"/>
            </w:tcBorders>
            <w:noWrap w:val="0"/>
            <w:vAlign w:val="center"/>
          </w:tcPr>
          <w:p w14:paraId="70E6A467">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供应商应为在中华人民共和国注册具有独立承担民事责任能力的法人或其他组织，持有有效的法人或者其他组织的营业执照等证明文件</w:t>
            </w:r>
          </w:p>
        </w:tc>
        <w:tc>
          <w:tcPr>
            <w:tcW w:w="4432" w:type="dxa"/>
            <w:noWrap w:val="0"/>
            <w:vAlign w:val="center"/>
          </w:tcPr>
          <w:p w14:paraId="12C1A6E7">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val="en-US" w:eastAsia="zh-CN"/>
              </w:rPr>
              <w:t>竞争性磋商响应文件</w:t>
            </w:r>
            <w:r>
              <w:rPr>
                <w:rFonts w:hint="eastAsia" w:ascii="宋体" w:hAnsi="宋体" w:eastAsia="宋体" w:cs="宋体"/>
                <w:bCs/>
                <w:color w:val="auto"/>
                <w:sz w:val="24"/>
                <w:szCs w:val="24"/>
                <w:highlight w:val="none"/>
                <w:lang w:val="en-US" w:eastAsia="zh-CN"/>
              </w:rPr>
              <w:t>中提供</w:t>
            </w:r>
            <w:r>
              <w:rPr>
                <w:rFonts w:hint="eastAsia" w:ascii="宋体" w:hAnsi="宋体" w:cs="宋体"/>
                <w:bCs/>
                <w:color w:val="auto"/>
                <w:sz w:val="24"/>
                <w:szCs w:val="24"/>
                <w:highlight w:val="none"/>
                <w:lang w:val="en-US" w:eastAsia="zh-CN"/>
              </w:rPr>
              <w:t>扫描件</w:t>
            </w:r>
          </w:p>
        </w:tc>
      </w:tr>
      <w:tr w14:paraId="1461E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tcBorders>
              <w:right w:val="single" w:color="auto" w:sz="4" w:space="0"/>
            </w:tcBorders>
            <w:noWrap w:val="0"/>
            <w:vAlign w:val="center"/>
          </w:tcPr>
          <w:p w14:paraId="215EF99D">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630B014D">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noWrap w:val="0"/>
            <w:vAlign w:val="center"/>
          </w:tcPr>
          <w:p w14:paraId="317CEFC0">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须具有良好的商业信誉</w:t>
            </w:r>
          </w:p>
        </w:tc>
        <w:tc>
          <w:tcPr>
            <w:tcW w:w="4432" w:type="dxa"/>
            <w:noWrap w:val="0"/>
            <w:vAlign w:val="center"/>
          </w:tcPr>
          <w:p w14:paraId="5F2000D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val="en-US" w:eastAsia="zh-CN"/>
              </w:rPr>
              <w:t>竞争性磋商响应文件</w:t>
            </w:r>
            <w:r>
              <w:rPr>
                <w:rFonts w:hint="eastAsia" w:ascii="宋体" w:hAnsi="宋体" w:eastAsia="宋体" w:cs="宋体"/>
                <w:bCs/>
                <w:color w:val="auto"/>
                <w:sz w:val="24"/>
                <w:szCs w:val="24"/>
                <w:highlight w:val="none"/>
                <w:lang w:val="en-US" w:eastAsia="zh-CN"/>
              </w:rPr>
              <w:t>中</w:t>
            </w:r>
            <w:r>
              <w:rPr>
                <w:rFonts w:hint="eastAsia" w:ascii="宋体" w:hAnsi="宋体" w:cs="宋体"/>
                <w:bCs/>
                <w:color w:val="auto"/>
                <w:sz w:val="24"/>
                <w:szCs w:val="24"/>
                <w:highlight w:val="none"/>
                <w:lang w:val="en-US" w:eastAsia="zh-CN"/>
              </w:rPr>
              <w:t>提供</w:t>
            </w:r>
            <w:r>
              <w:rPr>
                <w:rFonts w:hint="eastAsia" w:ascii="宋体" w:hAnsi="宋体" w:eastAsia="宋体" w:cs="宋体"/>
                <w:bCs/>
                <w:color w:val="auto"/>
                <w:sz w:val="24"/>
                <w:szCs w:val="24"/>
                <w:highlight w:val="none"/>
                <w:lang w:val="en-US" w:eastAsia="zh-CN"/>
              </w:rPr>
              <w:t>供应商未被列入“中国执行信息公开网”未被列入失信被执行人记录；“信用中国”未被列入“重大税收违法失信主体”；未被列入“中国政府采购网”公布的“政府采购严重违法失信行为信息记录”名单（以采购代理机构于投标（响应）截止时间当天查询结果为准，如相关失信记录已失效，供应商需提供相关证明资料）；提供具有良好的商业信誉承诺书（格式自拟）</w:t>
            </w:r>
            <w:r>
              <w:rPr>
                <w:rFonts w:hint="eastAsia" w:ascii="宋体" w:hAnsi="宋体" w:cs="宋体"/>
                <w:bCs/>
                <w:color w:val="auto"/>
                <w:sz w:val="24"/>
                <w:szCs w:val="24"/>
                <w:highlight w:val="none"/>
                <w:lang w:val="en-US" w:eastAsia="zh-CN"/>
              </w:rPr>
              <w:t>。</w:t>
            </w:r>
          </w:p>
        </w:tc>
      </w:tr>
      <w:tr w14:paraId="09582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trPr>
        <w:tc>
          <w:tcPr>
            <w:tcW w:w="828" w:type="dxa"/>
            <w:vMerge w:val="continue"/>
            <w:tcBorders>
              <w:right w:val="single" w:color="auto" w:sz="4" w:space="0"/>
            </w:tcBorders>
            <w:noWrap w:val="0"/>
            <w:vAlign w:val="center"/>
          </w:tcPr>
          <w:p w14:paraId="0548C4B0">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5A7BCAF3">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noWrap w:val="0"/>
            <w:vAlign w:val="center"/>
          </w:tcPr>
          <w:p w14:paraId="156132CF">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hAnsi="宋体" w:cs="宋体"/>
                <w:color w:val="auto"/>
                <w:sz w:val="24"/>
                <w:szCs w:val="24"/>
                <w:highlight w:val="none"/>
                <w:u w:val="none"/>
                <w:lang w:val="en-US" w:eastAsia="zh-CN"/>
              </w:rPr>
              <w:t>供应商须具有健全的财务会计制度</w:t>
            </w:r>
          </w:p>
        </w:tc>
        <w:tc>
          <w:tcPr>
            <w:tcW w:w="4432" w:type="dxa"/>
            <w:noWrap w:val="0"/>
            <w:vAlign w:val="center"/>
          </w:tcPr>
          <w:p w14:paraId="66DC2A9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eastAsia="zh-CN"/>
              </w:rPr>
              <w:t>竞争性磋商响应文件</w:t>
            </w:r>
            <w:r>
              <w:rPr>
                <w:rFonts w:hint="eastAsia" w:ascii="宋体" w:hAnsi="宋体" w:eastAsia="宋体" w:cs="宋体"/>
                <w:bCs/>
                <w:color w:val="auto"/>
                <w:sz w:val="24"/>
                <w:szCs w:val="24"/>
                <w:highlight w:val="none"/>
                <w:lang w:eastAsia="zh-CN"/>
              </w:rPr>
              <w:t>中提供财务状况报告（经审计的2023年-2025年任意一年的年度财务报告或银行出具的资信证明或供应商应具备的财务资料）</w:t>
            </w:r>
            <w:r>
              <w:rPr>
                <w:rFonts w:hint="eastAsia" w:ascii="宋体" w:hAnsi="宋体" w:cs="宋体"/>
                <w:bCs/>
                <w:color w:val="auto"/>
                <w:sz w:val="24"/>
                <w:szCs w:val="24"/>
                <w:highlight w:val="none"/>
                <w:lang w:val="en-US" w:eastAsia="zh-CN"/>
              </w:rPr>
              <w:t>的扫描件</w:t>
            </w:r>
          </w:p>
        </w:tc>
      </w:tr>
      <w:tr w14:paraId="444A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tcBorders>
              <w:right w:val="single" w:color="auto" w:sz="4" w:space="0"/>
            </w:tcBorders>
            <w:noWrap w:val="0"/>
            <w:vAlign w:val="center"/>
          </w:tcPr>
          <w:p w14:paraId="7AD7332C">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655D80C3">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noWrap w:val="0"/>
            <w:vAlign w:val="center"/>
          </w:tcPr>
          <w:p w14:paraId="4A9F6C6A">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hAnsi="宋体" w:cs="宋体"/>
                <w:color w:val="auto"/>
                <w:sz w:val="24"/>
                <w:szCs w:val="24"/>
                <w:highlight w:val="none"/>
                <w:u w:val="none"/>
                <w:lang w:val="en-US" w:eastAsia="zh-CN"/>
              </w:rPr>
              <w:t>供应商须具有履行合同所必需的设备和专业技术能力</w:t>
            </w:r>
          </w:p>
        </w:tc>
        <w:tc>
          <w:tcPr>
            <w:tcW w:w="4432" w:type="dxa"/>
            <w:noWrap w:val="0"/>
            <w:vAlign w:val="center"/>
          </w:tcPr>
          <w:p w14:paraId="4E136CD8">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val="en-US" w:eastAsia="zh-CN"/>
              </w:rPr>
              <w:t>提供具有履行合同所必需的设备和专业技术能力相关证明材料或书面承诺</w:t>
            </w:r>
          </w:p>
        </w:tc>
      </w:tr>
      <w:tr w14:paraId="11989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tcBorders>
              <w:right w:val="single" w:color="auto" w:sz="4" w:space="0"/>
            </w:tcBorders>
            <w:noWrap w:val="0"/>
            <w:vAlign w:val="center"/>
          </w:tcPr>
          <w:p w14:paraId="0EA7B9B2">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3DDBB662">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noWrap w:val="0"/>
            <w:vAlign w:val="center"/>
          </w:tcPr>
          <w:p w14:paraId="31740B19">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hAnsi="宋体" w:cs="宋体"/>
                <w:bCs/>
                <w:color w:val="auto"/>
                <w:sz w:val="24"/>
                <w:szCs w:val="24"/>
                <w:highlight w:val="none"/>
                <w:lang w:eastAsia="zh-CN"/>
              </w:rPr>
              <w:t>供应商须具有依法缴纳税收和社保资金的良好记录</w:t>
            </w:r>
          </w:p>
        </w:tc>
        <w:tc>
          <w:tcPr>
            <w:tcW w:w="4432" w:type="dxa"/>
            <w:noWrap w:val="0"/>
            <w:vAlign w:val="center"/>
          </w:tcPr>
          <w:p w14:paraId="1C44175A">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eastAsia="zh-CN"/>
              </w:rPr>
              <w:t>竞争性磋商响应文件</w:t>
            </w:r>
            <w:r>
              <w:rPr>
                <w:rFonts w:hint="eastAsia" w:ascii="宋体" w:hAnsi="宋体" w:eastAsia="宋体" w:cs="宋体"/>
                <w:bCs/>
                <w:color w:val="auto"/>
                <w:sz w:val="24"/>
                <w:szCs w:val="24"/>
                <w:highlight w:val="none"/>
                <w:lang w:eastAsia="zh-CN"/>
              </w:rPr>
              <w:t>中</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①提供2025年10月至响应文件递交截止时间前任意3个月依法缴税证明；②提供2025年10月至响应文件递交截止时间前任意3个月社会保险费缴纳证明或书面承诺函（成立未满3个月的提供自成立以来的依法缴税证明和社会保险费缴纳证明材料；依法免税的应提供依法免税的相关证明文件）。</w:t>
            </w:r>
          </w:p>
        </w:tc>
      </w:tr>
      <w:tr w14:paraId="0A87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tcBorders>
              <w:right w:val="single" w:color="auto" w:sz="4" w:space="0"/>
            </w:tcBorders>
            <w:noWrap w:val="0"/>
            <w:vAlign w:val="center"/>
          </w:tcPr>
          <w:p w14:paraId="64A3E568">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168CD70B">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noWrap w:val="0"/>
            <w:vAlign w:val="center"/>
          </w:tcPr>
          <w:p w14:paraId="109293B7">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eastAsia="宋体" w:asciiTheme="minorEastAsia" w:hAnsiTheme="minorEastAsia" w:cstheme="minorEastAsia"/>
                <w:color w:val="auto"/>
                <w:sz w:val="24"/>
                <w:szCs w:val="24"/>
                <w:highlight w:val="none"/>
                <w:lang w:val="en-US" w:eastAsia="zh-CN"/>
              </w:rPr>
            </w:pPr>
            <w:r>
              <w:rPr>
                <w:rFonts w:hint="eastAsia" w:eastAsia="宋体" w:asciiTheme="minorEastAsia" w:hAnsiTheme="minorEastAsia" w:cstheme="minorEastAsia"/>
                <w:color w:val="auto"/>
                <w:sz w:val="24"/>
                <w:szCs w:val="24"/>
                <w:highlight w:val="none"/>
                <w:lang w:val="en-US" w:eastAsia="zh-CN"/>
              </w:rPr>
              <w:t>供应商参加政府采购活动前三年内，在经营活动中没有重大违法记录</w:t>
            </w:r>
          </w:p>
        </w:tc>
        <w:tc>
          <w:tcPr>
            <w:tcW w:w="4432" w:type="dxa"/>
            <w:noWrap w:val="0"/>
            <w:vAlign w:val="center"/>
          </w:tcPr>
          <w:p w14:paraId="2EF07673">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bCs/>
                <w:color w:val="auto"/>
                <w:sz w:val="24"/>
                <w:szCs w:val="24"/>
                <w:highlight w:val="none"/>
                <w:lang w:val="en-US" w:eastAsia="zh-CN"/>
              </w:rPr>
              <w:t>竞争性磋商响应文件中供应商须提供参加政府采购活动前3年内在经营活动中没有重大违法记录的书面声明（重大违法记录是指供应商因违法经营受到刑事处罚或者责令停产停业、吊销许可证或者执照、较大数额罚款等行政处罚）</w:t>
            </w:r>
          </w:p>
        </w:tc>
      </w:tr>
      <w:tr w14:paraId="55710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tcBorders>
              <w:right w:val="single" w:color="auto" w:sz="4" w:space="0"/>
            </w:tcBorders>
            <w:noWrap w:val="0"/>
            <w:vAlign w:val="center"/>
          </w:tcPr>
          <w:p w14:paraId="77F09814">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tcBorders>
              <w:left w:val="single" w:color="auto" w:sz="4" w:space="0"/>
              <w:right w:val="single" w:color="auto" w:sz="4" w:space="0"/>
            </w:tcBorders>
            <w:noWrap w:val="0"/>
            <w:vAlign w:val="center"/>
          </w:tcPr>
          <w:p w14:paraId="0754AC7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tcBorders>
              <w:left w:val="single" w:color="auto" w:sz="4" w:space="0"/>
            </w:tcBorders>
            <w:shd w:val="clear" w:color="auto" w:fill="auto"/>
            <w:noWrap w:val="0"/>
            <w:vAlign w:val="center"/>
          </w:tcPr>
          <w:p w14:paraId="6673E17D">
            <w:pPr>
              <w:pStyle w:val="14"/>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eastAsia="宋体" w:asciiTheme="minorEastAsia" w:hAnsiTheme="minorEastAsia" w:cstheme="minorEastAsia"/>
                <w:color w:val="auto"/>
                <w:sz w:val="24"/>
                <w:szCs w:val="24"/>
                <w:highlight w:val="none"/>
                <w:lang w:val="en-US" w:eastAsia="zh-CN"/>
              </w:rPr>
              <w:t>供应商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r>
              <w:rPr>
                <w:rFonts w:hint="eastAsia" w:asciiTheme="minorEastAsia" w:hAnsiTheme="minorEastAsia" w:cstheme="minorEastAsia"/>
                <w:color w:val="auto"/>
                <w:sz w:val="24"/>
                <w:szCs w:val="24"/>
                <w:highlight w:val="none"/>
                <w:lang w:val="en-US" w:eastAsia="zh-CN"/>
              </w:rPr>
              <w:t>。</w:t>
            </w:r>
          </w:p>
        </w:tc>
        <w:tc>
          <w:tcPr>
            <w:tcW w:w="4432" w:type="dxa"/>
            <w:shd w:val="clear" w:color="auto" w:fill="auto"/>
            <w:noWrap w:val="0"/>
            <w:vAlign w:val="center"/>
          </w:tcPr>
          <w:p w14:paraId="4EB79693">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cs="宋体"/>
                <w:bCs/>
                <w:color w:val="auto"/>
                <w:sz w:val="24"/>
                <w:szCs w:val="24"/>
                <w:highlight w:val="none"/>
                <w:lang w:val="en-US" w:eastAsia="zh-CN"/>
              </w:rPr>
              <w:t>竞争性磋商响应文件</w:t>
            </w:r>
            <w:r>
              <w:rPr>
                <w:rFonts w:hint="eastAsia" w:ascii="宋体" w:hAnsi="宋体" w:eastAsia="宋体" w:cs="宋体"/>
                <w:bCs/>
                <w:color w:val="auto"/>
                <w:sz w:val="24"/>
                <w:szCs w:val="24"/>
                <w:highlight w:val="none"/>
                <w:lang w:val="en-US" w:eastAsia="zh-CN"/>
              </w:rPr>
              <w:t>中提供承诺书</w:t>
            </w:r>
            <w:r>
              <w:rPr>
                <w:rFonts w:hint="eastAsia" w:ascii="宋体" w:hAnsi="宋体" w:cs="宋体"/>
                <w:bCs/>
                <w:color w:val="auto"/>
                <w:sz w:val="24"/>
                <w:szCs w:val="24"/>
                <w:highlight w:val="none"/>
                <w:lang w:val="en-US" w:eastAsia="zh-CN"/>
              </w:rPr>
              <w:t>。</w:t>
            </w:r>
          </w:p>
        </w:tc>
      </w:tr>
      <w:tr w14:paraId="797B0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828" w:type="dxa"/>
            <w:vMerge w:val="restart"/>
            <w:noWrap w:val="0"/>
            <w:vAlign w:val="center"/>
          </w:tcPr>
          <w:p w14:paraId="0FEB6C83">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480" w:type="dxa"/>
            <w:vMerge w:val="restart"/>
            <w:tcBorders>
              <w:top w:val="single" w:color="auto" w:sz="4" w:space="0"/>
            </w:tcBorders>
            <w:noWrap w:val="0"/>
            <w:vAlign w:val="center"/>
          </w:tcPr>
          <w:p w14:paraId="1145421C">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完整性和响应程度</w:t>
            </w:r>
            <w:r>
              <w:rPr>
                <w:rFonts w:hint="eastAsia" w:asciiTheme="minorEastAsia" w:hAnsiTheme="minorEastAsia" w:eastAsiaTheme="minorEastAsia" w:cstheme="minorEastAsia"/>
                <w:color w:val="auto"/>
                <w:sz w:val="24"/>
                <w:szCs w:val="24"/>
                <w:highlight w:val="none"/>
              </w:rPr>
              <w:t>评审标准</w:t>
            </w:r>
          </w:p>
        </w:tc>
        <w:tc>
          <w:tcPr>
            <w:tcW w:w="3797" w:type="dxa"/>
            <w:shd w:val="clear" w:color="auto" w:fill="auto"/>
            <w:noWrap w:val="0"/>
            <w:vAlign w:val="center"/>
          </w:tcPr>
          <w:p w14:paraId="4F08966F">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格式及内容</w:t>
            </w:r>
          </w:p>
        </w:tc>
        <w:tc>
          <w:tcPr>
            <w:tcW w:w="4432" w:type="dxa"/>
            <w:shd w:val="clear" w:color="auto" w:fill="auto"/>
            <w:noWrap w:val="0"/>
            <w:vAlign w:val="center"/>
          </w:tcPr>
          <w:p w14:paraId="597F21C1">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中规定的“</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格式”的要求</w:t>
            </w:r>
          </w:p>
        </w:tc>
      </w:tr>
      <w:tr w14:paraId="7C438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center"/>
          </w:tcPr>
          <w:p w14:paraId="3C1EBB20">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center"/>
          </w:tcPr>
          <w:p w14:paraId="7939E57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7A59F1CB">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签字</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盖章</w:t>
            </w:r>
          </w:p>
        </w:tc>
        <w:tc>
          <w:tcPr>
            <w:tcW w:w="4432" w:type="dxa"/>
            <w:noWrap w:val="0"/>
            <w:vAlign w:val="center"/>
          </w:tcPr>
          <w:p w14:paraId="3AD2F310">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有法定代表人或委托代理人签字及</w:t>
            </w:r>
            <w:r>
              <w:rPr>
                <w:rFonts w:hint="eastAsia" w:ascii="宋体" w:hAnsi="宋体" w:cs="宋体"/>
                <w:color w:val="auto"/>
                <w:sz w:val="24"/>
                <w:szCs w:val="24"/>
                <w:highlight w:val="none"/>
                <w:lang w:val="en-US" w:eastAsia="zh-CN"/>
              </w:rPr>
              <w:t>电子签</w:t>
            </w:r>
            <w:r>
              <w:rPr>
                <w:rFonts w:hint="eastAsia" w:ascii="宋体" w:hAnsi="宋体" w:eastAsia="宋体" w:cs="宋体"/>
                <w:color w:val="auto"/>
                <w:sz w:val="24"/>
                <w:szCs w:val="24"/>
                <w:highlight w:val="none"/>
              </w:rPr>
              <w:t>章</w:t>
            </w:r>
          </w:p>
        </w:tc>
      </w:tr>
      <w:tr w14:paraId="1EC8B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center"/>
          </w:tcPr>
          <w:p w14:paraId="21805A5D">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center"/>
          </w:tcPr>
          <w:p w14:paraId="50471FDB">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21492ACA">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法定代表人身份证明书</w:t>
            </w:r>
          </w:p>
        </w:tc>
        <w:tc>
          <w:tcPr>
            <w:tcW w:w="4432" w:type="dxa"/>
            <w:noWrap w:val="0"/>
            <w:vAlign w:val="center"/>
          </w:tcPr>
          <w:p w14:paraId="29057FDB">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规定的格式及内容</w:t>
            </w:r>
          </w:p>
        </w:tc>
      </w:tr>
      <w:tr w14:paraId="761CB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4E4F657">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6C786652">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4BBB9853">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法定代表人授权委托书</w:t>
            </w:r>
          </w:p>
        </w:tc>
        <w:tc>
          <w:tcPr>
            <w:tcW w:w="4432" w:type="dxa"/>
            <w:noWrap w:val="0"/>
            <w:vAlign w:val="center"/>
          </w:tcPr>
          <w:p w14:paraId="01CC60C3">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规定的格式及内容</w:t>
            </w:r>
          </w:p>
        </w:tc>
      </w:tr>
      <w:tr w14:paraId="7E2AA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42C2DDB3">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4EF3584D">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67694A55">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法定代表人或委托代理人身份证</w:t>
            </w:r>
          </w:p>
        </w:tc>
        <w:tc>
          <w:tcPr>
            <w:tcW w:w="4432" w:type="dxa"/>
            <w:noWrap w:val="0"/>
            <w:vAlign w:val="center"/>
          </w:tcPr>
          <w:p w14:paraId="3F68EEED">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中提供</w:t>
            </w:r>
            <w:r>
              <w:rPr>
                <w:rFonts w:hint="eastAsia" w:ascii="宋体" w:hAnsi="宋体" w:cs="宋体"/>
                <w:color w:val="auto"/>
                <w:sz w:val="24"/>
                <w:szCs w:val="24"/>
                <w:highlight w:val="none"/>
                <w:lang w:val="en-US" w:eastAsia="zh-CN"/>
              </w:rPr>
              <w:t>扫描件</w:t>
            </w:r>
          </w:p>
        </w:tc>
      </w:tr>
      <w:tr w14:paraId="67378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670BD2C0">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678E0FE7">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40058B74">
            <w:pPr>
              <w:keepNext w:val="0"/>
              <w:keepLines w:val="0"/>
              <w:pageBreakBefore w:val="0"/>
              <w:widowControl w:val="0"/>
              <w:shd w:val="clear" w:color="auto" w:fill="auto"/>
              <w:kinsoku/>
              <w:wordWrap/>
              <w:overflowPunct/>
              <w:topLinePunct w:val="0"/>
              <w:autoSpaceDE/>
              <w:autoSpaceDN/>
              <w:bidi w:val="0"/>
              <w:snapToGrid/>
              <w:spacing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报价</w:t>
            </w:r>
            <w:r>
              <w:rPr>
                <w:rFonts w:hint="eastAsia" w:ascii="宋体" w:hAnsi="宋体" w:eastAsia="宋体" w:cs="宋体"/>
                <w:color w:val="auto"/>
                <w:sz w:val="24"/>
                <w:szCs w:val="24"/>
                <w:highlight w:val="none"/>
              </w:rPr>
              <w:t>一览表</w:t>
            </w:r>
          </w:p>
        </w:tc>
        <w:tc>
          <w:tcPr>
            <w:tcW w:w="4432" w:type="dxa"/>
            <w:noWrap w:val="0"/>
            <w:vAlign w:val="center"/>
          </w:tcPr>
          <w:p w14:paraId="3726148E">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按</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格式提供，且对</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采购内容作完整唯一报价</w:t>
            </w:r>
            <w:r>
              <w:rPr>
                <w:rFonts w:hint="eastAsia" w:ascii="宋体" w:hAnsi="宋体" w:eastAsia="宋体" w:cs="宋体"/>
                <w:color w:val="auto"/>
                <w:sz w:val="24"/>
                <w:szCs w:val="24"/>
                <w:highlight w:val="none"/>
                <w:lang w:eastAsia="zh-CN"/>
              </w:rPr>
              <w:t>；</w:t>
            </w:r>
          </w:p>
          <w:p w14:paraId="05D32D57">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2.未提交选择性报价；</w:t>
            </w:r>
          </w:p>
          <w:p w14:paraId="06E47CC9">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eastAsia="zh-CN"/>
              </w:rPr>
              <w:t>竞争性</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报价</w:t>
            </w:r>
            <w:r>
              <w:rPr>
                <w:rFonts w:hint="eastAsia" w:ascii="宋体" w:hAnsi="宋体" w:cs="宋体"/>
                <w:color w:val="auto"/>
                <w:sz w:val="24"/>
                <w:szCs w:val="24"/>
                <w:highlight w:val="none"/>
                <w:lang w:val="en-US" w:eastAsia="zh-CN"/>
              </w:rPr>
              <w:t>未超最高限价</w:t>
            </w:r>
            <w:r>
              <w:rPr>
                <w:rFonts w:hint="eastAsia" w:ascii="宋体" w:hAnsi="宋体" w:eastAsia="宋体" w:cs="宋体"/>
                <w:color w:val="auto"/>
                <w:sz w:val="24"/>
                <w:szCs w:val="24"/>
                <w:highlight w:val="none"/>
                <w:lang w:eastAsia="zh-CN"/>
              </w:rPr>
              <w:t>。</w:t>
            </w:r>
          </w:p>
        </w:tc>
      </w:tr>
      <w:tr w14:paraId="0BF5C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2703F888">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6DFE42C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49C25ED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服务内容</w:t>
            </w:r>
            <w:r>
              <w:rPr>
                <w:rFonts w:hint="eastAsia" w:ascii="宋体" w:hAnsi="宋体" w:eastAsia="宋体" w:cs="宋体"/>
                <w:color w:val="auto"/>
                <w:sz w:val="24"/>
                <w:szCs w:val="24"/>
                <w:highlight w:val="none"/>
              </w:rPr>
              <w:t>承诺</w:t>
            </w:r>
          </w:p>
        </w:tc>
        <w:tc>
          <w:tcPr>
            <w:tcW w:w="4432" w:type="dxa"/>
            <w:noWrap w:val="0"/>
            <w:vAlign w:val="center"/>
          </w:tcPr>
          <w:p w14:paraId="5110A47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满足或优于</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786C17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555FA9A9">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2AEC00C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424C1AE2">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服务标准承诺</w:t>
            </w:r>
          </w:p>
        </w:tc>
        <w:tc>
          <w:tcPr>
            <w:tcW w:w="4432" w:type="dxa"/>
            <w:noWrap w:val="0"/>
            <w:vAlign w:val="center"/>
          </w:tcPr>
          <w:p w14:paraId="4813813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满足或优于</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720AC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663EC9AB">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4CB0876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5EB6017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服务地点承诺</w:t>
            </w:r>
          </w:p>
        </w:tc>
        <w:tc>
          <w:tcPr>
            <w:tcW w:w="4432" w:type="dxa"/>
            <w:noWrap w:val="0"/>
            <w:vAlign w:val="center"/>
          </w:tcPr>
          <w:p w14:paraId="0521B8CF">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27B3E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C08136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24CD10D0">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6242567C">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验收标准承诺</w:t>
            </w:r>
          </w:p>
        </w:tc>
        <w:tc>
          <w:tcPr>
            <w:tcW w:w="4432" w:type="dxa"/>
            <w:noWrap w:val="0"/>
            <w:vAlign w:val="center"/>
          </w:tcPr>
          <w:p w14:paraId="7E681EB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满足或优于</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78A42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130703F8">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350C66C2">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75A98C0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服务</w:t>
            </w:r>
            <w:r>
              <w:rPr>
                <w:rFonts w:hint="eastAsia" w:ascii="宋体" w:hAnsi="宋体" w:eastAsia="宋体" w:cs="宋体"/>
                <w:color w:val="auto"/>
                <w:sz w:val="24"/>
                <w:szCs w:val="24"/>
                <w:highlight w:val="none"/>
              </w:rPr>
              <w:t>期限承诺</w:t>
            </w:r>
          </w:p>
        </w:tc>
        <w:tc>
          <w:tcPr>
            <w:tcW w:w="4432" w:type="dxa"/>
            <w:noWrap w:val="0"/>
            <w:vAlign w:val="center"/>
          </w:tcPr>
          <w:p w14:paraId="129B257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满足或优于</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54701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5F074FFD">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487817D2">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2DCF8D7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商务条款偏离</w:t>
            </w:r>
          </w:p>
        </w:tc>
        <w:tc>
          <w:tcPr>
            <w:tcW w:w="4432" w:type="dxa"/>
            <w:noWrap w:val="0"/>
            <w:vAlign w:val="center"/>
          </w:tcPr>
          <w:p w14:paraId="5A74BC9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载明条款不存在采购人不能接受的偏离</w:t>
            </w:r>
          </w:p>
        </w:tc>
      </w:tr>
      <w:tr w14:paraId="3D2D4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D30D246">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02266803">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72041B7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技术条款偏离</w:t>
            </w:r>
          </w:p>
        </w:tc>
        <w:tc>
          <w:tcPr>
            <w:tcW w:w="4432" w:type="dxa"/>
            <w:noWrap w:val="0"/>
            <w:vAlign w:val="center"/>
          </w:tcPr>
          <w:p w14:paraId="699A686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载明条款不存在采购人不能接受的偏离</w:t>
            </w:r>
          </w:p>
        </w:tc>
      </w:tr>
      <w:tr w14:paraId="75C9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65DA8BB">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08117020">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367F374C">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宋体" w:hAnsi="宋体" w:cs="宋体"/>
                <w:color w:val="auto"/>
                <w:sz w:val="24"/>
                <w:szCs w:val="24"/>
                <w:highlight w:val="none"/>
                <w:lang w:eastAsia="zh-CN"/>
              </w:rPr>
              <w:t>磋商有效期</w:t>
            </w:r>
          </w:p>
        </w:tc>
        <w:tc>
          <w:tcPr>
            <w:tcW w:w="4432" w:type="dxa"/>
            <w:noWrap w:val="0"/>
            <w:vAlign w:val="center"/>
          </w:tcPr>
          <w:p w14:paraId="58A56D0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规定</w:t>
            </w:r>
          </w:p>
        </w:tc>
      </w:tr>
      <w:tr w14:paraId="08325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73E1017E">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593FB02A">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3E9F2B9D">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其他无效情形</w:t>
            </w:r>
          </w:p>
        </w:tc>
        <w:tc>
          <w:tcPr>
            <w:tcW w:w="4432" w:type="dxa"/>
            <w:noWrap w:val="0"/>
            <w:vAlign w:val="center"/>
          </w:tcPr>
          <w:p w14:paraId="6571296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或</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有下列情形之一的，其</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lang w:eastAsia="zh-CN"/>
              </w:rPr>
              <w:t>作无效标处理：</w:t>
            </w:r>
          </w:p>
          <w:p w14:paraId="214E9B4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的内容及有关材料弄虚作假；</w:t>
            </w:r>
          </w:p>
          <w:p w14:paraId="2612CD3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2.有串通投标或有其他违法行为的；</w:t>
            </w:r>
          </w:p>
          <w:p w14:paraId="663FDC7F">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3.</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不符合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lang w:eastAsia="zh-CN"/>
              </w:rPr>
              <w:t>规定的实质性要求；</w:t>
            </w:r>
          </w:p>
          <w:p w14:paraId="71C057EF">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4.</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不按规定格式及内容填写；</w:t>
            </w:r>
          </w:p>
          <w:p w14:paraId="4C0867C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5.</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未按</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lang w:eastAsia="zh-CN"/>
              </w:rPr>
              <w:t>规定的要求签名与盖章的；</w:t>
            </w:r>
          </w:p>
          <w:p w14:paraId="00F511A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6.</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不按</w:t>
            </w:r>
            <w:r>
              <w:rPr>
                <w:rFonts w:hint="eastAsia" w:ascii="宋体" w:hAnsi="宋体" w:cs="宋体"/>
                <w:color w:val="auto"/>
                <w:sz w:val="24"/>
                <w:szCs w:val="24"/>
                <w:highlight w:val="none"/>
                <w:lang w:eastAsia="zh-CN"/>
              </w:rPr>
              <w:t>磋商小组</w:t>
            </w:r>
            <w:r>
              <w:rPr>
                <w:rFonts w:hint="eastAsia" w:ascii="宋体" w:hAnsi="宋体" w:eastAsia="宋体" w:cs="宋体"/>
                <w:color w:val="auto"/>
                <w:sz w:val="24"/>
                <w:szCs w:val="24"/>
                <w:highlight w:val="none"/>
                <w:lang w:eastAsia="zh-CN"/>
              </w:rPr>
              <w:t>要求对</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相关内容进行澄清、说明或补正的；</w:t>
            </w:r>
          </w:p>
          <w:p w14:paraId="71B95429">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7.</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lang w:eastAsia="zh-CN"/>
              </w:rPr>
              <w:t>拒绝对</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中存在的算术错误按规定进行修正的；</w:t>
            </w:r>
          </w:p>
          <w:p w14:paraId="25C6231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8.</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附有其他</w:t>
            </w:r>
            <w:r>
              <w:rPr>
                <w:rFonts w:hint="eastAsia" w:ascii="宋体" w:hAnsi="宋体" w:cs="宋体"/>
                <w:color w:val="auto"/>
                <w:sz w:val="24"/>
                <w:szCs w:val="24"/>
                <w:highlight w:val="none"/>
                <w:lang w:val="en-US" w:eastAsia="zh-CN"/>
              </w:rPr>
              <w:t>采购</w:t>
            </w:r>
            <w:r>
              <w:rPr>
                <w:rFonts w:hint="eastAsia" w:ascii="宋体" w:hAnsi="宋体" w:eastAsia="宋体" w:cs="宋体"/>
                <w:color w:val="auto"/>
                <w:sz w:val="24"/>
                <w:szCs w:val="24"/>
                <w:highlight w:val="none"/>
                <w:lang w:eastAsia="zh-CN"/>
              </w:rPr>
              <w:t>人不能接受的条件的；</w:t>
            </w:r>
          </w:p>
          <w:p w14:paraId="654F491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lang w:eastAsia="zh-CN"/>
              </w:rPr>
              <w:t>9.不同单位的</w:t>
            </w:r>
            <w:r>
              <w:rPr>
                <w:rFonts w:hint="eastAsia" w:ascii="宋体" w:hAnsi="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lang w:eastAsia="zh-CN"/>
              </w:rPr>
              <w:t>出现芯片序列号、硬盘序列号、网卡序列号中的某一项或几项一致的</w:t>
            </w:r>
            <w:r>
              <w:rPr>
                <w:rFonts w:hint="eastAsia" w:ascii="宋体" w:hAnsi="宋体" w:eastAsia="宋体" w:cs="宋体"/>
                <w:color w:val="auto"/>
                <w:sz w:val="24"/>
                <w:szCs w:val="24"/>
                <w:highlight w:val="none"/>
              </w:rPr>
              <w:t>。</w:t>
            </w:r>
          </w:p>
        </w:tc>
      </w:tr>
      <w:tr w14:paraId="3ED7E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restart"/>
            <w:noWrap w:val="0"/>
            <w:vAlign w:val="center"/>
          </w:tcPr>
          <w:p w14:paraId="5F16A2CA">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2.2</w:t>
            </w:r>
          </w:p>
          <w:p w14:paraId="79838C97">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restart"/>
            <w:tcBorders>
              <w:top w:val="single" w:color="auto" w:sz="4" w:space="0"/>
            </w:tcBorders>
            <w:noWrap w:val="0"/>
            <w:vAlign w:val="center"/>
          </w:tcPr>
          <w:p w14:paraId="5CC86075">
            <w:pPr>
              <w:keepNext w:val="0"/>
              <w:keepLines w:val="0"/>
              <w:pageBreakBefore w:val="0"/>
              <w:widowControl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3797" w:type="dxa"/>
            <w:noWrap w:val="0"/>
            <w:vAlign w:val="center"/>
          </w:tcPr>
          <w:p w14:paraId="7E0619A9">
            <w:pPr>
              <w:keepNext w:val="0"/>
              <w:keepLines w:val="0"/>
              <w:pageBreakBefore w:val="0"/>
              <w:widowControl w:val="0"/>
              <w:shd w:val="clear" w:color="auto" w:fill="auto"/>
              <w:kinsoku/>
              <w:wordWrap/>
              <w:overflowPunct/>
              <w:topLinePunct w:val="0"/>
              <w:autoSpaceDE/>
              <w:autoSpaceDN/>
              <w:bidi w:val="0"/>
              <w:snapToGrid/>
              <w:spacing w:line="400" w:lineRule="exact"/>
              <w:ind w:firstLine="240"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1）评标总得分计算公式</w:t>
            </w:r>
          </w:p>
        </w:tc>
        <w:tc>
          <w:tcPr>
            <w:tcW w:w="4432" w:type="dxa"/>
            <w:noWrap w:val="0"/>
            <w:vAlign w:val="center"/>
          </w:tcPr>
          <w:p w14:paraId="1ED36C87">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的评标总得分＝F1＋F2＋F3</w:t>
            </w:r>
          </w:p>
          <w:p w14:paraId="3DF0C0ED">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其中：F1、F2、F3分别为</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报价、技术部分、履约能力3项评分因素的汇总得分。</w:t>
            </w:r>
          </w:p>
        </w:tc>
      </w:tr>
      <w:tr w14:paraId="49C7B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3BB9941">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540AD3C8">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noWrap w:val="0"/>
            <w:vAlign w:val="center"/>
          </w:tcPr>
          <w:p w14:paraId="2BB34378">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2）评分因素权重</w:t>
            </w:r>
          </w:p>
        </w:tc>
        <w:tc>
          <w:tcPr>
            <w:tcW w:w="4432" w:type="dxa"/>
            <w:noWrap w:val="0"/>
            <w:vAlign w:val="center"/>
          </w:tcPr>
          <w:p w14:paraId="02280C85">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磋商</w:t>
            </w:r>
            <w:r>
              <w:rPr>
                <w:rFonts w:hint="eastAsia" w:asciiTheme="minorEastAsia" w:hAnsiTheme="minorEastAsia" w:eastAsiaTheme="minorEastAsia" w:cstheme="minorEastAsia"/>
                <w:b/>
                <w:bCs/>
                <w:color w:val="auto"/>
                <w:sz w:val="24"/>
                <w:szCs w:val="24"/>
                <w:highlight w:val="none"/>
              </w:rPr>
              <w:t>报价F1：</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rPr>
              <w:t>分。</w:t>
            </w:r>
          </w:p>
          <w:p w14:paraId="5B20813D">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技术部分F2：</w:t>
            </w:r>
            <w:r>
              <w:rPr>
                <w:rFonts w:hint="eastAsia" w:asciiTheme="minorEastAsia" w:hAnsiTheme="minorEastAsia" w:eastAsiaTheme="minorEastAsia" w:cstheme="minorEastAsia"/>
                <w:b/>
                <w:bCs/>
                <w:color w:val="auto"/>
                <w:sz w:val="24"/>
                <w:szCs w:val="24"/>
                <w:highlight w:val="none"/>
                <w:lang w:val="en-US" w:eastAsia="zh-CN"/>
              </w:rPr>
              <w:t>45</w:t>
            </w:r>
            <w:r>
              <w:rPr>
                <w:rFonts w:hint="eastAsia" w:asciiTheme="minorEastAsia" w:hAnsiTheme="minorEastAsia" w:eastAsiaTheme="minorEastAsia" w:cstheme="minorEastAsia"/>
                <w:b/>
                <w:bCs/>
                <w:color w:val="auto"/>
                <w:sz w:val="24"/>
                <w:szCs w:val="24"/>
                <w:highlight w:val="none"/>
              </w:rPr>
              <w:t>分。</w:t>
            </w:r>
          </w:p>
          <w:p w14:paraId="3C15FBE8">
            <w:pPr>
              <w:keepNext w:val="0"/>
              <w:keepLines w:val="0"/>
              <w:pageBreakBefore w:val="0"/>
              <w:widowControl w:val="0"/>
              <w:shd w:val="clear" w:color="auto" w:fill="auto"/>
              <w:kinsoku/>
              <w:wordWrap/>
              <w:overflowPunct/>
              <w:topLinePunct w:val="0"/>
              <w:autoSpaceDE/>
              <w:autoSpaceDN/>
              <w:bidi w:val="0"/>
              <w:snapToGrid/>
              <w:spacing w:line="400" w:lineRule="exact"/>
              <w:textAlignment w:val="auto"/>
              <w:rPr>
                <w:rFonts w:hint="eastAsia"/>
                <w:color w:val="auto"/>
                <w:highlight w:val="none"/>
              </w:rPr>
            </w:pPr>
            <w:r>
              <w:rPr>
                <w:rFonts w:hint="eastAsia" w:asciiTheme="minorEastAsia" w:hAnsiTheme="minorEastAsia" w:eastAsiaTheme="minorEastAsia" w:cstheme="minorEastAsia"/>
                <w:b/>
                <w:bCs/>
                <w:color w:val="auto"/>
                <w:sz w:val="24"/>
                <w:szCs w:val="24"/>
                <w:highlight w:val="none"/>
              </w:rPr>
              <w:t>履约能力部分F3：</w:t>
            </w:r>
            <w:r>
              <w:rPr>
                <w:rFonts w:hint="eastAsia" w:asciiTheme="minorEastAsia" w:hAnsiTheme="minorEastAsia" w:eastAsiaTheme="minorEastAsia" w:cstheme="minorEastAsia"/>
                <w:b/>
                <w:bCs/>
                <w:color w:val="auto"/>
                <w:sz w:val="24"/>
                <w:szCs w:val="24"/>
                <w:highlight w:val="none"/>
                <w:lang w:val="en-US" w:eastAsia="zh-CN"/>
              </w:rPr>
              <w:t>45</w:t>
            </w:r>
            <w:r>
              <w:rPr>
                <w:rFonts w:hint="eastAsia" w:asciiTheme="minorEastAsia" w:hAnsiTheme="minorEastAsia" w:eastAsiaTheme="minorEastAsia" w:cstheme="minorEastAsia"/>
                <w:b/>
                <w:bCs/>
                <w:color w:val="auto"/>
                <w:sz w:val="24"/>
                <w:szCs w:val="24"/>
                <w:highlight w:val="none"/>
              </w:rPr>
              <w:t>分</w:t>
            </w:r>
          </w:p>
        </w:tc>
      </w:tr>
      <w:tr w14:paraId="7280C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1DFEBC85">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80" w:type="dxa"/>
            <w:vMerge w:val="continue"/>
            <w:noWrap w:val="0"/>
            <w:vAlign w:val="top"/>
          </w:tcPr>
          <w:p w14:paraId="7896A52B">
            <w:pPr>
              <w:keepNext w:val="0"/>
              <w:keepLines w:val="0"/>
              <w:pageBreakBefore w:val="0"/>
              <w:widowControl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797" w:type="dxa"/>
            <w:shd w:val="clear" w:color="auto" w:fill="auto"/>
            <w:noWrap w:val="0"/>
            <w:vAlign w:val="center"/>
          </w:tcPr>
          <w:p w14:paraId="7ABBE0DB">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报价得分F1</w:t>
            </w:r>
          </w:p>
          <w:p w14:paraId="14C6FA70">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sz w:val="24"/>
                <w:szCs w:val="24"/>
                <w:highlight w:val="none"/>
                <w:shd w:val="clear"/>
              </w:rPr>
              <w:t>（满分</w:t>
            </w:r>
            <w:r>
              <w:rPr>
                <w:rFonts w:hint="eastAsia" w:asciiTheme="minorEastAsia" w:hAnsiTheme="minorEastAsia" w:eastAsiaTheme="minorEastAsia" w:cstheme="minorEastAsia"/>
                <w:color w:val="auto"/>
                <w:sz w:val="24"/>
                <w:szCs w:val="24"/>
                <w:highlight w:val="none"/>
                <w:shd w:val="clear"/>
                <w:lang w:val="en-US" w:eastAsia="zh-CN"/>
              </w:rPr>
              <w:t>10</w:t>
            </w:r>
            <w:r>
              <w:rPr>
                <w:rFonts w:hint="eastAsia" w:asciiTheme="minorEastAsia" w:hAnsiTheme="minorEastAsia" w:eastAsiaTheme="minorEastAsia" w:cstheme="minorEastAsia"/>
                <w:color w:val="auto"/>
                <w:sz w:val="24"/>
                <w:szCs w:val="24"/>
                <w:highlight w:val="none"/>
                <w:shd w:val="clear"/>
              </w:rPr>
              <w:t>分）</w:t>
            </w:r>
          </w:p>
        </w:tc>
        <w:tc>
          <w:tcPr>
            <w:tcW w:w="4432" w:type="dxa"/>
            <w:shd w:val="clear" w:color="auto" w:fill="auto"/>
            <w:noWrap w:val="0"/>
            <w:vAlign w:val="center"/>
          </w:tcPr>
          <w:p w14:paraId="1D0997EE">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报价得分采用低价优先法计算，即满足磋商文件要求且最后报价最低的供应商的价格为磋商基准价，其价格分为满分。其他供应商的价格分统一按照下列公示计算：</w:t>
            </w:r>
          </w:p>
          <w:p w14:paraId="54168606">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磋商报价得分=（磋商基准价/最后磋商报价）*</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eastAsia="zh-CN"/>
              </w:rPr>
              <w:t>。</w:t>
            </w:r>
          </w:p>
          <w:p w14:paraId="1C1BA0F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评审过程中，不得去掉最后报价中的最高报价和最低报价</w:t>
            </w:r>
            <w:r>
              <w:rPr>
                <w:rFonts w:hint="eastAsia" w:asciiTheme="minorEastAsia" w:hAnsiTheme="minorEastAsia" w:eastAsiaTheme="minorEastAsia" w:cstheme="minorEastAsia"/>
                <w:color w:val="auto"/>
                <w:sz w:val="24"/>
                <w:szCs w:val="24"/>
                <w:highlight w:val="none"/>
                <w:lang w:eastAsia="zh-CN"/>
              </w:rPr>
              <w:t>。</w:t>
            </w:r>
          </w:p>
          <w:p w14:paraId="2E31ED9B">
            <w:pPr>
              <w:pStyle w:val="11"/>
              <w:ind w:left="0" w:leftChars="0" w:firstLine="480" w:firstLineChars="200"/>
              <w:rPr>
                <w:rFonts w:hint="default"/>
                <w:highlight w:val="none"/>
                <w:lang w:val="en-US" w:eastAsia="zh-CN"/>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本项目专门面向中小企业采购，不再执行价格优惠的扶持政策。</w:t>
            </w:r>
          </w:p>
        </w:tc>
      </w:tr>
      <w:tr w14:paraId="7FE40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51CF9F96">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continue"/>
            <w:noWrap w:val="0"/>
            <w:vAlign w:val="center"/>
          </w:tcPr>
          <w:p w14:paraId="37C8006B">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797" w:type="dxa"/>
            <w:vMerge w:val="restart"/>
            <w:noWrap w:val="0"/>
            <w:vAlign w:val="center"/>
          </w:tcPr>
          <w:p w14:paraId="12E91452">
            <w:pPr>
              <w:keepNext w:val="0"/>
              <w:keepLines w:val="0"/>
              <w:pageBreakBefore w:val="0"/>
              <w:widowControl w:val="0"/>
              <w:numPr>
                <w:ilvl w:val="0"/>
                <w:numId w:val="0"/>
              </w:numPr>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kern w:val="2"/>
                <w:sz w:val="24"/>
                <w:szCs w:val="24"/>
                <w:highlight w:val="none"/>
                <w:shd w:val="clear"/>
                <w:lang w:val="en-US" w:eastAsia="zh-CN" w:bidi="ar-SA"/>
              </w:rPr>
              <w:t>4）</w:t>
            </w:r>
            <w:r>
              <w:rPr>
                <w:rFonts w:hint="eastAsia" w:asciiTheme="minorEastAsia" w:hAnsiTheme="minorEastAsia" w:eastAsiaTheme="minorEastAsia" w:cstheme="minorEastAsia"/>
                <w:color w:val="auto"/>
                <w:sz w:val="24"/>
                <w:szCs w:val="24"/>
                <w:highlight w:val="none"/>
                <w:shd w:val="clear"/>
              </w:rPr>
              <w:t>技术部分</w:t>
            </w:r>
            <w:r>
              <w:rPr>
                <w:rFonts w:hint="eastAsia" w:asciiTheme="minorEastAsia" w:hAnsiTheme="minorEastAsia" w:eastAsiaTheme="minorEastAsia" w:cstheme="minorEastAsia"/>
                <w:color w:val="auto"/>
                <w:sz w:val="24"/>
                <w:szCs w:val="24"/>
                <w:highlight w:val="none"/>
                <w:shd w:val="clear"/>
                <w:lang w:val="en-US" w:eastAsia="zh-CN"/>
              </w:rPr>
              <w:t>评审</w:t>
            </w:r>
            <w:r>
              <w:rPr>
                <w:rFonts w:hint="eastAsia" w:asciiTheme="minorEastAsia" w:hAnsiTheme="minorEastAsia" w:eastAsiaTheme="minorEastAsia" w:cstheme="minorEastAsia"/>
                <w:color w:val="auto"/>
                <w:sz w:val="24"/>
                <w:szCs w:val="24"/>
                <w:highlight w:val="none"/>
                <w:shd w:val="clear"/>
              </w:rPr>
              <w:t>F</w:t>
            </w:r>
            <w:r>
              <w:rPr>
                <w:rFonts w:hint="eastAsia" w:asciiTheme="minorEastAsia" w:hAnsiTheme="minorEastAsia" w:eastAsiaTheme="minorEastAsia" w:cstheme="minorEastAsia"/>
                <w:color w:val="auto"/>
                <w:sz w:val="24"/>
                <w:szCs w:val="24"/>
                <w:highlight w:val="none"/>
                <w:shd w:val="clear"/>
                <w:lang w:val="en-US" w:eastAsia="zh-CN"/>
              </w:rPr>
              <w:t>2</w:t>
            </w:r>
            <w:r>
              <w:rPr>
                <w:rFonts w:hint="eastAsia" w:asciiTheme="minorEastAsia" w:hAnsiTheme="minorEastAsia" w:eastAsiaTheme="minorEastAsia" w:cstheme="minorEastAsia"/>
                <w:color w:val="auto"/>
                <w:sz w:val="24"/>
                <w:szCs w:val="24"/>
                <w:highlight w:val="none"/>
                <w:shd w:val="clear"/>
              </w:rPr>
              <w:t>（满分</w:t>
            </w:r>
            <w:r>
              <w:rPr>
                <w:rFonts w:hint="eastAsia" w:asciiTheme="minorEastAsia" w:hAnsiTheme="minorEastAsia" w:eastAsiaTheme="minorEastAsia" w:cstheme="minorEastAsia"/>
                <w:color w:val="auto"/>
                <w:sz w:val="24"/>
                <w:szCs w:val="24"/>
                <w:highlight w:val="none"/>
                <w:shd w:val="clear"/>
                <w:lang w:val="en-US" w:eastAsia="zh-CN"/>
              </w:rPr>
              <w:t>45</w:t>
            </w:r>
            <w:r>
              <w:rPr>
                <w:rFonts w:hint="eastAsia" w:asciiTheme="minorEastAsia" w:hAnsiTheme="minorEastAsia" w:eastAsiaTheme="minorEastAsia" w:cstheme="minorEastAsia"/>
                <w:color w:val="auto"/>
                <w:sz w:val="24"/>
                <w:szCs w:val="24"/>
                <w:highlight w:val="none"/>
                <w:shd w:val="clear"/>
              </w:rPr>
              <w:t>分）</w:t>
            </w:r>
          </w:p>
        </w:tc>
        <w:tc>
          <w:tcPr>
            <w:tcW w:w="4432" w:type="dxa"/>
            <w:noWrap w:val="0"/>
            <w:vAlign w:val="center"/>
          </w:tcPr>
          <w:p w14:paraId="1F0D7D2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bookmarkStart w:id="99" w:name="_Toc1306"/>
            <w:bookmarkStart w:id="100" w:name="_Toc26696"/>
            <w:bookmarkStart w:id="101" w:name="_Toc5887"/>
            <w:r>
              <w:rPr>
                <w:rFonts w:hint="eastAsia" w:asciiTheme="minorEastAsia" w:hAnsiTheme="minorEastAsia" w:eastAsiaTheme="minorEastAsia" w:cstheme="minorEastAsia"/>
                <w:b/>
                <w:bCs/>
                <w:color w:val="auto"/>
                <w:sz w:val="24"/>
                <w:szCs w:val="24"/>
                <w:highlight w:val="none"/>
                <w:lang w:val="en-US" w:eastAsia="zh-CN"/>
              </w:rPr>
              <w:t>4.1</w:t>
            </w:r>
            <w:bookmarkEnd w:id="99"/>
            <w:r>
              <w:rPr>
                <w:rFonts w:hint="eastAsia" w:asciiTheme="minorEastAsia" w:hAnsiTheme="minorEastAsia" w:eastAsiaTheme="minorEastAsia" w:cstheme="minorEastAsia"/>
                <w:b/>
                <w:bCs/>
                <w:color w:val="auto"/>
                <w:sz w:val="24"/>
                <w:szCs w:val="24"/>
                <w:highlight w:val="none"/>
                <w:lang w:val="en-US" w:eastAsia="zh-CN"/>
              </w:rPr>
              <w:t>对项目理解及重点、难点分析评审（总分17分）</w:t>
            </w:r>
            <w:bookmarkEnd w:id="100"/>
            <w:bookmarkEnd w:id="101"/>
          </w:p>
          <w:p w14:paraId="0DA9D7F9">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102" w:name="_Toc27128"/>
            <w:r>
              <w:rPr>
                <w:rFonts w:hint="eastAsia" w:asciiTheme="minorEastAsia" w:hAnsiTheme="minorEastAsia" w:eastAsiaTheme="minorEastAsia" w:cstheme="minorEastAsia"/>
                <w:b w:val="0"/>
                <w:bCs w:val="0"/>
                <w:color w:val="auto"/>
                <w:sz w:val="24"/>
                <w:szCs w:val="24"/>
                <w:highlight w:val="none"/>
                <w:lang w:val="en-US" w:eastAsia="zh-CN"/>
              </w:rPr>
              <w:t>磋商小组根据供应商提供的对项目理解及重点、难点分析，按（1）至（3）项累计打分</w:t>
            </w:r>
          </w:p>
          <w:bookmarkEnd w:id="102"/>
          <w:p w14:paraId="1824729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（1）对项目理解程度（5分）</w:t>
            </w:r>
          </w:p>
          <w:p w14:paraId="4598F2B5">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bookmarkStart w:id="103" w:name="_Toc1201"/>
            <w:r>
              <w:rPr>
                <w:rFonts w:hint="eastAsia" w:ascii="宋体" w:hAnsi="宋体" w:eastAsia="宋体" w:cs="宋体"/>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lang w:val="en-US" w:eastAsia="zh-CN"/>
              </w:rPr>
              <w:t>对项目背景及实施的意义理解准确、透彻，清晰掌握本项目的任务、目标（5分）；</w:t>
            </w:r>
          </w:p>
          <w:p w14:paraId="086FDC25">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lang w:val="en-US" w:eastAsia="zh-CN"/>
              </w:rPr>
              <w:t>对项目背景及实施的意义理解一般，基本明确本项目工作目标（3分）；</w:t>
            </w:r>
          </w:p>
          <w:p w14:paraId="06E8DA3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lang w:val="en-US" w:eastAsia="zh-CN"/>
              </w:rPr>
              <w:t>对项目的理解偏差较大，调查目标不明确的（1分）。</w:t>
            </w:r>
            <w:bookmarkEnd w:id="103"/>
          </w:p>
          <w:p w14:paraId="5CA2CBFD">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（2）重难点问题分析（6分）</w:t>
            </w:r>
          </w:p>
          <w:p w14:paraId="58B98BF0">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lang w:val="en-US" w:eastAsia="zh-CN"/>
              </w:rPr>
              <w:t>完全结合项目实际，深入分析本项目的重难点，重难点分析透彻、准确到位的（6分）；</w:t>
            </w:r>
          </w:p>
          <w:p w14:paraId="6D6738A5">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②能</w:t>
            </w:r>
            <w:r>
              <w:rPr>
                <w:rFonts w:hint="eastAsia" w:asciiTheme="minorEastAsia" w:hAnsiTheme="minorEastAsia" w:eastAsiaTheme="minorEastAsia" w:cstheme="minorEastAsia"/>
                <w:color w:val="auto"/>
                <w:sz w:val="24"/>
                <w:szCs w:val="24"/>
                <w:highlight w:val="none"/>
                <w:lang w:val="en-US" w:eastAsia="zh-CN"/>
              </w:rPr>
              <w:t>根据项目相关要求分析本项目的重点、难点问题，重难点分析基本到位的（3分）；</w:t>
            </w:r>
          </w:p>
          <w:p w14:paraId="64E930C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lang w:val="en-US" w:eastAsia="zh-CN"/>
              </w:rPr>
              <w:t>对本项目重难点分析过于简单的（1分）。</w:t>
            </w:r>
          </w:p>
          <w:p w14:paraId="2A379E87">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（3）重难点问题解决（6分）</w:t>
            </w:r>
          </w:p>
          <w:p w14:paraId="510E088B">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lang w:val="en-US" w:eastAsia="zh-CN"/>
              </w:rPr>
              <w:t>针对性提出重难点问题的解决思路和措施，具有较强的可实施性，能切实指导本项目工作的（6分）；</w:t>
            </w:r>
          </w:p>
          <w:p w14:paraId="31F14BA4">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lang w:val="en-US" w:eastAsia="zh-CN"/>
              </w:rPr>
              <w:t>有相应的重点、难点问题解决思路和措施，可实施性一般，对本项目工作的指导性稍差的（3分）；</w:t>
            </w:r>
          </w:p>
          <w:p w14:paraId="00F19AC5">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lang w:val="en-US" w:eastAsia="zh-CN"/>
              </w:rPr>
              <w:t>重点、难点问题解决思路不清晰，解决措施可实施性较差，明显缺乏指导作用的（1分）。</w:t>
            </w:r>
          </w:p>
          <w:p w14:paraId="551D1833">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color w:val="auto"/>
                <w:highlight w:val="none"/>
                <w:lang w:val="en-US"/>
              </w:rPr>
            </w:pPr>
            <w:r>
              <w:rPr>
                <w:rFonts w:hint="eastAsia" w:ascii="宋体" w:hAnsi="宋体" w:eastAsia="宋体" w:cs="宋体"/>
                <w:color w:val="auto"/>
                <w:sz w:val="24"/>
                <w:szCs w:val="24"/>
                <w:highlight w:val="none"/>
                <w:lang w:val="en-US" w:eastAsia="zh-CN"/>
              </w:rPr>
              <w:t>未</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对项目理解及重点、难点分析</w:t>
            </w:r>
            <w:r>
              <w:rPr>
                <w:rFonts w:hint="eastAsia" w:ascii="宋体" w:hAnsi="宋体" w:cs="宋体"/>
                <w:color w:val="auto"/>
                <w:sz w:val="24"/>
                <w:szCs w:val="24"/>
                <w:highlight w:val="none"/>
                <w:lang w:val="en-US" w:eastAsia="zh-CN"/>
              </w:rPr>
              <w:t>内容</w:t>
            </w:r>
            <w:r>
              <w:rPr>
                <w:rFonts w:hint="eastAsia" w:ascii="宋体" w:hAnsi="宋体" w:eastAsia="宋体" w:cs="宋体"/>
                <w:color w:val="auto"/>
                <w:sz w:val="24"/>
                <w:szCs w:val="24"/>
                <w:highlight w:val="none"/>
                <w:lang w:val="en-US" w:eastAsia="zh-CN"/>
              </w:rPr>
              <w:t>的本项不得分。</w:t>
            </w:r>
          </w:p>
        </w:tc>
      </w:tr>
      <w:tr w14:paraId="4047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3EACE20E">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continue"/>
            <w:noWrap w:val="0"/>
            <w:vAlign w:val="center"/>
          </w:tcPr>
          <w:p w14:paraId="68EF1B99">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797" w:type="dxa"/>
            <w:vMerge w:val="continue"/>
            <w:noWrap w:val="0"/>
            <w:vAlign w:val="center"/>
          </w:tcPr>
          <w:p w14:paraId="696F2E9F">
            <w:pPr>
              <w:keepNext w:val="0"/>
              <w:keepLines w:val="0"/>
              <w:pageBreakBefore w:val="0"/>
              <w:widowControl w:val="0"/>
              <w:numPr>
                <w:ilvl w:val="0"/>
                <w:numId w:val="0"/>
              </w:numPr>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shd w:val="clear"/>
              </w:rPr>
            </w:pPr>
          </w:p>
        </w:tc>
        <w:tc>
          <w:tcPr>
            <w:tcW w:w="4432" w:type="dxa"/>
            <w:noWrap w:val="0"/>
            <w:vAlign w:val="center"/>
          </w:tcPr>
          <w:p w14:paraId="51676559">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4.2服务方案评审（总分28分）</w:t>
            </w:r>
          </w:p>
          <w:p w14:paraId="2B2595D3">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对本项目提供服务方案，内容包含但不限于：工作方案；项目组织管理；进度计划及保证措施；服务期限保证措施；</w:t>
            </w:r>
            <w:r>
              <w:rPr>
                <w:rFonts w:hint="eastAsia" w:ascii="宋体" w:hAnsi="宋体" w:eastAsia="宋体" w:cs="宋体"/>
                <w:color w:val="auto"/>
                <w:sz w:val="24"/>
                <w:szCs w:val="24"/>
                <w:highlight w:val="none"/>
                <w:lang w:val="en-US" w:eastAsia="zh-CN"/>
              </w:rPr>
              <w:t>逾期违约承诺；</w:t>
            </w:r>
            <w:r>
              <w:rPr>
                <w:rFonts w:hint="eastAsia" w:asciiTheme="minorEastAsia" w:hAnsiTheme="minorEastAsia" w:eastAsiaTheme="minorEastAsia" w:cstheme="minorEastAsia"/>
                <w:color w:val="auto"/>
                <w:sz w:val="24"/>
                <w:szCs w:val="24"/>
                <w:highlight w:val="none"/>
                <w:lang w:val="en-US" w:eastAsia="zh-CN"/>
              </w:rPr>
              <w:t>验收方案等。</w:t>
            </w:r>
          </w:p>
          <w:p w14:paraId="4982201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磋商小组根据供应商提供的服务方案，按（1）至（3）项累计打分。</w:t>
            </w:r>
          </w:p>
          <w:p w14:paraId="049FB009">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（1）完整性（满分6分）</w:t>
            </w:r>
          </w:p>
          <w:p w14:paraId="418409C1">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方案内容具体完整的（6分）；</w:t>
            </w:r>
          </w:p>
          <w:p w14:paraId="7008CEE6">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方案内容基本完整的（3分）；</w:t>
            </w:r>
          </w:p>
          <w:p w14:paraId="7157C55B">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方案内容有缺陷或有问题的（1分）。</w:t>
            </w:r>
          </w:p>
          <w:p w14:paraId="3016439A">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（2）针对性（满分12分</w:t>
            </w:r>
            <w:r>
              <w:rPr>
                <w:rFonts w:hint="eastAsia" w:asciiTheme="minorEastAsia" w:hAnsiTheme="minorEastAsia" w:eastAsiaTheme="minorEastAsia" w:cstheme="minorEastAsia"/>
                <w:color w:val="auto"/>
                <w:sz w:val="24"/>
                <w:szCs w:val="24"/>
                <w:highlight w:val="none"/>
                <w:lang w:val="en-US" w:eastAsia="zh-CN"/>
              </w:rPr>
              <w:t>）</w:t>
            </w:r>
          </w:p>
          <w:p w14:paraId="7AABC990">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lang w:val="en-US" w:eastAsia="zh-CN"/>
              </w:rPr>
              <w:t>方案总体思路清晰，能切实保证项目整体实施，针对性强的（12分）；</w:t>
            </w:r>
          </w:p>
          <w:p w14:paraId="14D779A3">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lang w:val="en-US" w:eastAsia="zh-CN"/>
              </w:rPr>
              <w:t>方案总体思路可行，能保证项目实施，具有针对性的（7分）；</w:t>
            </w:r>
          </w:p>
          <w:p w14:paraId="37A8230F">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lang w:val="en-US" w:eastAsia="zh-CN"/>
              </w:rPr>
              <w:t>方案总体思路基本可行，基本能保证项目实施，有一定针对性的（4分）；</w:t>
            </w:r>
          </w:p>
          <w:p w14:paraId="61B0AA04">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lang w:val="en-US" w:eastAsia="zh-CN"/>
              </w:rPr>
              <w:t xml:space="preserve">方案总体思路差，难以保证项目实施，针对性差的（1分）。                                     </w:t>
            </w:r>
          </w:p>
          <w:p w14:paraId="0A22D3DE">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（3）工作安排（满分10分）</w:t>
            </w:r>
          </w:p>
          <w:p w14:paraId="416E319C">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lang w:val="en-US" w:eastAsia="zh-CN"/>
              </w:rPr>
              <w:t>工作安排科学合理，切实可行的（10分）；</w:t>
            </w:r>
          </w:p>
          <w:p w14:paraId="4F189B42">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②</w:t>
            </w:r>
            <w:r>
              <w:rPr>
                <w:rFonts w:hint="eastAsia" w:asciiTheme="minorEastAsia" w:hAnsiTheme="minorEastAsia" w:eastAsiaTheme="minorEastAsia" w:cstheme="minorEastAsia"/>
                <w:color w:val="auto"/>
                <w:sz w:val="24"/>
                <w:szCs w:val="24"/>
                <w:highlight w:val="none"/>
                <w:lang w:val="en-US" w:eastAsia="zh-CN"/>
              </w:rPr>
              <w:t>工作安排合理，可行的（7分）；</w:t>
            </w:r>
          </w:p>
          <w:p w14:paraId="4FB919C7">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lang w:val="en-US" w:eastAsia="zh-CN"/>
              </w:rPr>
              <w:t>工作安排一般，基本可行的（4分）；</w:t>
            </w:r>
          </w:p>
          <w:p w14:paraId="19C6875E">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eastAsia="宋体" w:cs="宋体"/>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lang w:val="en-US" w:eastAsia="zh-CN"/>
              </w:rPr>
              <w:t>工作安排有问题或不可行的（1分）。</w:t>
            </w:r>
          </w:p>
          <w:p w14:paraId="46890A9D">
            <w:pPr>
              <w:pStyle w:val="10"/>
              <w:keepNext w:val="0"/>
              <w:keepLines w:val="0"/>
              <w:pageBreakBefore w:val="0"/>
              <w:widowControl w:val="0"/>
              <w:shd w:val="clear" w:color="auto" w:fill="auto"/>
              <w:kinsoku/>
              <w:wordWrap/>
              <w:overflowPunct/>
              <w:topLinePunct w:val="0"/>
              <w:autoSpaceDE/>
              <w:autoSpaceDN/>
              <w:bidi w:val="0"/>
              <w:snapToGrid/>
              <w:spacing w:after="0" w:line="400" w:lineRule="exact"/>
              <w:textAlignment w:val="auto"/>
              <w:rPr>
                <w:rFonts w:hint="default"/>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未提供服务方案的该项不得分。</w:t>
            </w:r>
          </w:p>
        </w:tc>
      </w:tr>
      <w:tr w14:paraId="05158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12E819A8">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continue"/>
            <w:noWrap w:val="0"/>
            <w:vAlign w:val="center"/>
          </w:tcPr>
          <w:p w14:paraId="7F835452">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797" w:type="dxa"/>
            <w:vMerge w:val="restart"/>
            <w:noWrap w:val="0"/>
            <w:vAlign w:val="center"/>
          </w:tcPr>
          <w:p w14:paraId="52C8FCDB">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）履约能力评审F</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（满分</w:t>
            </w:r>
            <w:r>
              <w:rPr>
                <w:rFonts w:hint="eastAsia" w:asciiTheme="minorEastAsia" w:hAnsiTheme="minorEastAsia" w:eastAsiaTheme="minorEastAsia" w:cstheme="minorEastAsia"/>
                <w:color w:val="auto"/>
                <w:sz w:val="24"/>
                <w:szCs w:val="24"/>
                <w:highlight w:val="none"/>
                <w:lang w:val="en-US" w:eastAsia="zh-CN"/>
              </w:rPr>
              <w:t>45</w:t>
            </w:r>
            <w:r>
              <w:rPr>
                <w:rFonts w:hint="eastAsia" w:asciiTheme="minorEastAsia" w:hAnsiTheme="minorEastAsia" w:eastAsiaTheme="minorEastAsia" w:cstheme="minorEastAsia"/>
                <w:color w:val="auto"/>
                <w:sz w:val="24"/>
                <w:szCs w:val="24"/>
                <w:highlight w:val="none"/>
              </w:rPr>
              <w:t>分）</w:t>
            </w:r>
          </w:p>
        </w:tc>
        <w:tc>
          <w:tcPr>
            <w:tcW w:w="4432" w:type="dxa"/>
            <w:noWrap w:val="0"/>
            <w:vAlign w:val="center"/>
          </w:tcPr>
          <w:p w14:paraId="39868F9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5.1质量承诺及保证措施评审（总分15分）</w:t>
            </w:r>
          </w:p>
          <w:p w14:paraId="5CD2EC5E">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磋商小组根据供应商提供的质量承诺及质量保证措施按第（1）至第（2）累计打分。</w:t>
            </w:r>
          </w:p>
          <w:p w14:paraId="6EE32C4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（1）质量承诺（满分7分）</w:t>
            </w:r>
          </w:p>
          <w:p w14:paraId="2D0F1D3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①有详细具体的违约责任承诺，符合项目实际，能够很好地满足项目需求的（7分）；</w:t>
            </w:r>
          </w:p>
          <w:p w14:paraId="09740FA5">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②有具体的违约责任承诺，基本符合项目实际，能够满足项目需求的（4分）；</w:t>
            </w:r>
          </w:p>
          <w:p w14:paraId="4C3EAB4D">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③有违约责任承诺，适用性欠缺，基本满足项目需求的（2分）；</w:t>
            </w:r>
          </w:p>
          <w:p w14:paraId="5B379823">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④违约责任承诺不具体、不明确的（1分）；</w:t>
            </w:r>
          </w:p>
          <w:p w14:paraId="501C54B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⑤未提供服务质量承诺的本项不得分。</w:t>
            </w:r>
          </w:p>
          <w:p w14:paraId="41797A98">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b/>
                <w:bCs/>
                <w:color w:val="auto"/>
                <w:kern w:val="2"/>
                <w:sz w:val="24"/>
                <w:szCs w:val="24"/>
                <w:highlight w:val="none"/>
                <w:lang w:val="en-US" w:eastAsia="zh-CN" w:bidi="ar-SA"/>
              </w:rPr>
            </w:pPr>
            <w:r>
              <w:rPr>
                <w:rFonts w:hint="eastAsia" w:asciiTheme="minorEastAsia" w:hAnsiTheme="minorEastAsia" w:eastAsiaTheme="minorEastAsia" w:cstheme="minorEastAsia"/>
                <w:b/>
                <w:bCs/>
                <w:color w:val="auto"/>
                <w:kern w:val="2"/>
                <w:sz w:val="24"/>
                <w:szCs w:val="24"/>
                <w:highlight w:val="none"/>
                <w:lang w:val="en-US" w:eastAsia="zh-CN" w:bidi="ar-SA"/>
              </w:rPr>
              <w:t>（2）质量保证措施（满分8分）</w:t>
            </w:r>
          </w:p>
          <w:p w14:paraId="6C6B84B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①针对本服务项目提供详细、具体的质量保证措施，可操作性较强的（8分）；</w:t>
            </w:r>
          </w:p>
          <w:p w14:paraId="48A76A6F">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②能针对本服务项目提供详细的质量保证措施，可操作性强的（4分）；</w:t>
            </w:r>
          </w:p>
          <w:p w14:paraId="3C46B8EA">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③质量保证措施具有一定的针对性，但不够详细、具体，可操作性一般的（2分）；</w:t>
            </w:r>
          </w:p>
          <w:p w14:paraId="26FAE147">
            <w:pPr>
              <w:keepNext w:val="0"/>
              <w:keepLines w:val="0"/>
              <w:pageBreakBefore w:val="0"/>
              <w:widowControl w:val="0"/>
              <w:kinsoku/>
              <w:wordWrap w:val="0"/>
              <w:overflowPunct/>
              <w:topLinePunct w:val="0"/>
              <w:autoSpaceDE/>
              <w:autoSpaceDN/>
              <w:bidi w:val="0"/>
              <w:adjustRightInd/>
              <w:snapToGrid/>
              <w:spacing w:line="400" w:lineRule="exact"/>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④质量保证措施缺乏针对性和操作性的（1分）；</w:t>
            </w:r>
          </w:p>
          <w:p w14:paraId="547DF1EC">
            <w:pPr>
              <w:keepNext w:val="0"/>
              <w:keepLines w:val="0"/>
              <w:pageBreakBefore w:val="0"/>
              <w:widowControl w:val="0"/>
              <w:shd w:val="clear" w:color="auto" w:fill="auto"/>
              <w:kinsoku/>
              <w:wordWrap/>
              <w:overflowPunct/>
              <w:topLinePunct w:val="0"/>
              <w:autoSpaceDE/>
              <w:autoSpaceDN/>
              <w:bidi w:val="0"/>
              <w:adjustRightInd/>
              <w:snapToGrid/>
              <w:spacing w:line="400" w:lineRule="exact"/>
              <w:ind w:left="0" w:leftChars="0" w:right="0" w:rightChars="0" w:firstLine="0" w:firstLineChars="0"/>
              <w:jc w:val="left"/>
              <w:textAlignment w:val="auto"/>
              <w:outlineLvl w:val="9"/>
              <w:rPr>
                <w:rFonts w:hint="default"/>
                <w:color w:val="auto"/>
                <w:highlight w:val="none"/>
                <w:lang w:val="en-US" w:eastAsia="zh-CN"/>
              </w:rPr>
            </w:pPr>
            <w:r>
              <w:rPr>
                <w:rFonts w:hint="eastAsia" w:asciiTheme="minorEastAsia" w:hAnsiTheme="minorEastAsia" w:eastAsiaTheme="minorEastAsia" w:cstheme="minorEastAsia"/>
                <w:color w:val="auto"/>
                <w:kern w:val="2"/>
                <w:sz w:val="24"/>
                <w:szCs w:val="24"/>
                <w:highlight w:val="none"/>
                <w:lang w:val="en-US" w:eastAsia="zh-CN" w:bidi="ar-SA"/>
              </w:rPr>
              <w:t>⑤未提供服务质量保障措施的本项不得分。</w:t>
            </w:r>
          </w:p>
        </w:tc>
      </w:tr>
      <w:tr w14:paraId="69CC9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8" w:hRule="atLeast"/>
        </w:trPr>
        <w:tc>
          <w:tcPr>
            <w:tcW w:w="828" w:type="dxa"/>
            <w:vMerge w:val="continue"/>
            <w:noWrap w:val="0"/>
            <w:vAlign w:val="top"/>
          </w:tcPr>
          <w:p w14:paraId="45FB8047">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continue"/>
            <w:noWrap w:val="0"/>
            <w:vAlign w:val="center"/>
          </w:tcPr>
          <w:p w14:paraId="29EB934A">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797" w:type="dxa"/>
            <w:vMerge w:val="continue"/>
            <w:noWrap w:val="0"/>
            <w:vAlign w:val="center"/>
          </w:tcPr>
          <w:p w14:paraId="5A54D686">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432" w:type="dxa"/>
            <w:noWrap w:val="0"/>
            <w:vAlign w:val="center"/>
          </w:tcPr>
          <w:p w14:paraId="1B734223">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5.2项目组织机构评审（总分20分）</w:t>
            </w:r>
          </w:p>
          <w:p w14:paraId="045F101D">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根据供应商提供的项目组织机构进行评审，项目组织机构包括：</w:t>
            </w:r>
          </w:p>
          <w:p w14:paraId="35E97E92">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①人员配置；</w:t>
            </w:r>
          </w:p>
          <w:p w14:paraId="4A50DAB7">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②工种安排；</w:t>
            </w:r>
          </w:p>
          <w:p w14:paraId="32CB0CB6">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③团队组织架构；</w:t>
            </w:r>
          </w:p>
          <w:p w14:paraId="70A7CF71">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④各人员工作内容。</w:t>
            </w:r>
          </w:p>
          <w:p w14:paraId="0E2CBD66">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以上方面，每项5分，均具备完整性、合理性的，得满分20分，有一项描述缺乏完整性或合理性的扣2.5分；有一项缺项漏项或不具备完整性或合理性的扣5分。</w:t>
            </w:r>
          </w:p>
          <w:p w14:paraId="07BA78EF">
            <w:pPr>
              <w:keepNext w:val="0"/>
              <w:keepLines w:val="0"/>
              <w:pageBreakBefore w:val="0"/>
              <w:widowControl w:val="0"/>
              <w:kinsoku/>
              <w:overflowPunct/>
              <w:topLinePunct/>
              <w:autoSpaceDE/>
              <w:autoSpaceDN/>
              <w:bidi w:val="0"/>
              <w:adjustRightInd w:val="0"/>
              <w:snapToGrid/>
              <w:spacing w:line="40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注：拟派往本项目的相关人员须提供以下资料扫描件：1、身份证；2、提供社保缴纳证明材料或劳动合同或其他合法证明材料（新成立公司根据具体情况提供）；3、职称证（如有）、执业资格证（如有）等，否则不予认可。</w:t>
            </w:r>
          </w:p>
        </w:tc>
      </w:tr>
      <w:tr w14:paraId="4CDB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828" w:type="dxa"/>
            <w:vMerge w:val="continue"/>
            <w:noWrap w:val="0"/>
            <w:vAlign w:val="top"/>
          </w:tcPr>
          <w:p w14:paraId="0E468E42">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480" w:type="dxa"/>
            <w:vMerge w:val="continue"/>
            <w:noWrap w:val="0"/>
            <w:vAlign w:val="center"/>
          </w:tcPr>
          <w:p w14:paraId="399B1BE7">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p>
        </w:tc>
        <w:tc>
          <w:tcPr>
            <w:tcW w:w="3797" w:type="dxa"/>
            <w:vMerge w:val="continue"/>
            <w:noWrap w:val="0"/>
            <w:vAlign w:val="center"/>
          </w:tcPr>
          <w:p w14:paraId="722A11AC">
            <w:pPr>
              <w:keepNext w:val="0"/>
              <w:keepLines w:val="0"/>
              <w:pageBreakBefore w:val="0"/>
              <w:widowControl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4432" w:type="dxa"/>
            <w:noWrap w:val="0"/>
            <w:vAlign w:val="center"/>
          </w:tcPr>
          <w:p w14:paraId="498B31DF">
            <w:pPr>
              <w:keepNext w:val="0"/>
              <w:keepLines w:val="0"/>
              <w:pageBreakBefore w:val="0"/>
              <w:widowControl w:val="0"/>
              <w:kinsoku/>
              <w:overflowPunct/>
              <w:topLinePunct/>
              <w:autoSpaceDE/>
              <w:autoSpaceDN/>
              <w:bidi w:val="0"/>
              <w:adjustRightInd w:val="0"/>
              <w:snapToGrid/>
              <w:spacing w:line="400" w:lineRule="exact"/>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5.3</w:t>
            </w:r>
            <w:r>
              <w:rPr>
                <w:rFonts w:hint="default" w:asciiTheme="minorEastAsia" w:hAnsiTheme="minorEastAsia" w:eastAsiaTheme="minorEastAsia" w:cstheme="minorEastAsia"/>
                <w:b/>
                <w:bCs/>
                <w:color w:val="auto"/>
                <w:sz w:val="24"/>
                <w:szCs w:val="24"/>
                <w:highlight w:val="none"/>
                <w:lang w:val="en-US" w:eastAsia="zh-CN"/>
              </w:rPr>
              <w:t>类似业绩（</w:t>
            </w:r>
            <w:r>
              <w:rPr>
                <w:rFonts w:hint="eastAsia" w:asciiTheme="minorEastAsia" w:hAnsiTheme="minorEastAsia" w:eastAsiaTheme="minorEastAsia" w:cstheme="minorEastAsia"/>
                <w:b/>
                <w:bCs/>
                <w:color w:val="auto"/>
                <w:sz w:val="24"/>
                <w:szCs w:val="24"/>
                <w:highlight w:val="none"/>
                <w:lang w:val="en-US" w:eastAsia="zh-CN"/>
              </w:rPr>
              <w:t>总</w:t>
            </w:r>
            <w:r>
              <w:rPr>
                <w:rFonts w:hint="default" w:asciiTheme="minorEastAsia" w:hAnsiTheme="minorEastAsia" w:eastAsiaTheme="minorEastAsia" w:cstheme="minorEastAsia"/>
                <w:b/>
                <w:bCs/>
                <w:color w:val="auto"/>
                <w:sz w:val="24"/>
                <w:szCs w:val="24"/>
                <w:highlight w:val="none"/>
                <w:lang w:val="en-US" w:eastAsia="zh-CN"/>
              </w:rPr>
              <w:t>分</w:t>
            </w:r>
            <w:r>
              <w:rPr>
                <w:rFonts w:hint="eastAsia" w:asciiTheme="minorEastAsia" w:hAnsiTheme="minorEastAsia" w:eastAsiaTheme="minorEastAsia" w:cstheme="minorEastAsia"/>
                <w:b/>
                <w:bCs/>
                <w:color w:val="auto"/>
                <w:sz w:val="24"/>
                <w:szCs w:val="24"/>
                <w:highlight w:val="none"/>
                <w:lang w:val="en-US" w:eastAsia="zh-CN"/>
              </w:rPr>
              <w:t>10</w:t>
            </w:r>
            <w:r>
              <w:rPr>
                <w:rFonts w:hint="default" w:asciiTheme="minorEastAsia" w:hAnsiTheme="minorEastAsia" w:eastAsiaTheme="minorEastAsia" w:cstheme="minorEastAsia"/>
                <w:b/>
                <w:bCs/>
                <w:color w:val="auto"/>
                <w:sz w:val="24"/>
                <w:szCs w:val="24"/>
                <w:highlight w:val="none"/>
                <w:lang w:val="en-US" w:eastAsia="zh-CN"/>
              </w:rPr>
              <w:t>分）</w:t>
            </w:r>
          </w:p>
          <w:p w14:paraId="484E0B9C">
            <w:pPr>
              <w:keepNext w:val="0"/>
              <w:keepLines w:val="0"/>
              <w:pageBreakBefore w:val="0"/>
              <w:widowControl w:val="0"/>
              <w:kinsoku/>
              <w:overflowPunct/>
              <w:topLinePunct/>
              <w:autoSpaceDE/>
              <w:autoSpaceDN/>
              <w:bidi w:val="0"/>
              <w:adjustRightInd w:val="0"/>
              <w:snapToGrid/>
              <w:spacing w:line="400" w:lineRule="exact"/>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t>供应商提供1个类似项目业绩得</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default" w:asciiTheme="minorEastAsia" w:hAnsiTheme="minorEastAsia" w:eastAsiaTheme="minorEastAsia" w:cstheme="minorEastAsia"/>
                <w:b w:val="0"/>
                <w:bCs w:val="0"/>
                <w:color w:val="auto"/>
                <w:sz w:val="24"/>
                <w:szCs w:val="24"/>
                <w:highlight w:val="none"/>
                <w:lang w:val="en-US" w:eastAsia="zh-CN"/>
              </w:rPr>
              <w:t>分，在此基础上每增加1个类似项目业绩加2</w:t>
            </w:r>
            <w:r>
              <w:rPr>
                <w:rFonts w:hint="eastAsia" w:asciiTheme="minorEastAsia" w:hAnsiTheme="minorEastAsia" w:eastAsiaTheme="minorEastAsia" w:cstheme="minorEastAsia"/>
                <w:b w:val="0"/>
                <w:bCs w:val="0"/>
                <w:color w:val="auto"/>
                <w:sz w:val="24"/>
                <w:szCs w:val="24"/>
                <w:highlight w:val="none"/>
                <w:lang w:val="en-US" w:eastAsia="zh-CN"/>
              </w:rPr>
              <w:t>.5</w:t>
            </w:r>
            <w:r>
              <w:rPr>
                <w:rFonts w:hint="default" w:asciiTheme="minorEastAsia" w:hAnsiTheme="minorEastAsia" w:eastAsiaTheme="minorEastAsia" w:cstheme="minorEastAsia"/>
                <w:b w:val="0"/>
                <w:bCs w:val="0"/>
                <w:color w:val="auto"/>
                <w:sz w:val="24"/>
                <w:szCs w:val="24"/>
                <w:highlight w:val="none"/>
                <w:lang w:val="en-US" w:eastAsia="zh-CN"/>
              </w:rPr>
              <w:t>分，最高不超过</w:t>
            </w:r>
            <w:r>
              <w:rPr>
                <w:rFonts w:hint="eastAsia" w:asciiTheme="minorEastAsia" w:hAnsiTheme="minorEastAsia" w:eastAsiaTheme="minorEastAsia" w:cstheme="minorEastAsia"/>
                <w:b w:val="0"/>
                <w:bCs w:val="0"/>
                <w:color w:val="auto"/>
                <w:sz w:val="24"/>
                <w:szCs w:val="24"/>
                <w:highlight w:val="none"/>
                <w:lang w:val="en-US" w:eastAsia="zh-CN"/>
              </w:rPr>
              <w:t>10</w:t>
            </w:r>
            <w:r>
              <w:rPr>
                <w:rFonts w:hint="default" w:asciiTheme="minorEastAsia" w:hAnsiTheme="minorEastAsia" w:eastAsiaTheme="minorEastAsia" w:cstheme="minorEastAsia"/>
                <w:b w:val="0"/>
                <w:bCs w:val="0"/>
                <w:color w:val="auto"/>
                <w:sz w:val="24"/>
                <w:szCs w:val="24"/>
                <w:highlight w:val="none"/>
                <w:lang w:val="en-US" w:eastAsia="zh-CN"/>
              </w:rPr>
              <w:t>分。</w:t>
            </w:r>
          </w:p>
          <w:p w14:paraId="51A84261">
            <w:pPr>
              <w:keepNext w:val="0"/>
              <w:keepLines w:val="0"/>
              <w:pageBreakBefore w:val="0"/>
              <w:widowControl w:val="0"/>
              <w:kinsoku/>
              <w:overflowPunct/>
              <w:topLinePunct/>
              <w:autoSpaceDE/>
              <w:autoSpaceDN/>
              <w:bidi w:val="0"/>
              <w:adjustRightInd w:val="0"/>
              <w:snapToGrid/>
              <w:spacing w:line="400" w:lineRule="exact"/>
              <w:textAlignment w:val="auto"/>
              <w:rPr>
                <w:rFonts w:hint="default" w:asciiTheme="minorEastAsia" w:hAnsiTheme="minorEastAsia" w:eastAsiaTheme="minorEastAsia" w:cstheme="minorEastAsia"/>
                <w:b w:val="0"/>
                <w:bCs w:val="0"/>
                <w:color w:val="auto"/>
                <w:sz w:val="24"/>
                <w:szCs w:val="24"/>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t>注：1.本项目类似业绩指与本项目相同或相近的</w:t>
            </w:r>
            <w:r>
              <w:rPr>
                <w:rFonts w:hint="eastAsia" w:asciiTheme="minorEastAsia" w:hAnsiTheme="minorEastAsia" w:eastAsiaTheme="minorEastAsia" w:cstheme="minorEastAsia"/>
                <w:b w:val="0"/>
                <w:bCs w:val="0"/>
                <w:color w:val="auto"/>
                <w:sz w:val="24"/>
                <w:szCs w:val="24"/>
                <w:highlight w:val="none"/>
                <w:lang w:val="en-US" w:eastAsia="zh-CN"/>
              </w:rPr>
              <w:t>服务项目</w:t>
            </w:r>
            <w:r>
              <w:rPr>
                <w:rFonts w:hint="default" w:asciiTheme="minorEastAsia" w:hAnsiTheme="minorEastAsia" w:eastAsiaTheme="minorEastAsia" w:cstheme="minorEastAsia"/>
                <w:b w:val="0"/>
                <w:bCs w:val="0"/>
                <w:color w:val="auto"/>
                <w:sz w:val="24"/>
                <w:szCs w:val="24"/>
                <w:highlight w:val="none"/>
                <w:lang w:val="en-US" w:eastAsia="zh-CN"/>
              </w:rPr>
              <w:t>；</w:t>
            </w:r>
          </w:p>
          <w:p w14:paraId="4B807220">
            <w:pPr>
              <w:keepNext w:val="0"/>
              <w:keepLines w:val="0"/>
              <w:pageBreakBefore w:val="0"/>
              <w:widowControl w:val="0"/>
              <w:kinsoku/>
              <w:overflowPunct/>
              <w:topLinePunct/>
              <w:autoSpaceDE/>
              <w:autoSpaceDN/>
              <w:bidi w:val="0"/>
              <w:adjustRightInd w:val="0"/>
              <w:snapToGrid/>
              <w:spacing w:line="400" w:lineRule="exact"/>
              <w:textAlignment w:val="auto"/>
              <w:rPr>
                <w:rFonts w:hint="default" w:eastAsia="宋体"/>
                <w:color w:val="auto"/>
                <w:highlight w:val="none"/>
                <w:lang w:val="en-US" w:eastAsia="zh-CN"/>
              </w:rPr>
            </w:pPr>
            <w:r>
              <w:rPr>
                <w:rFonts w:hint="default" w:asciiTheme="minorEastAsia" w:hAnsiTheme="minorEastAsia" w:eastAsiaTheme="minorEastAsia" w:cstheme="minorEastAsia"/>
                <w:b w:val="0"/>
                <w:bCs w:val="0"/>
                <w:color w:val="auto"/>
                <w:sz w:val="24"/>
                <w:szCs w:val="24"/>
                <w:highlight w:val="none"/>
                <w:lang w:val="en-US" w:eastAsia="zh-CN"/>
              </w:rPr>
              <w:t>2.以成交（中标）通知书</w:t>
            </w:r>
            <w:r>
              <w:rPr>
                <w:rFonts w:hint="eastAsia" w:asciiTheme="minorEastAsia" w:hAnsiTheme="minorEastAsia" w:eastAsiaTheme="minorEastAsia" w:cstheme="minorEastAsia"/>
                <w:b w:val="0"/>
                <w:bCs w:val="0"/>
                <w:color w:val="auto"/>
                <w:sz w:val="24"/>
                <w:szCs w:val="24"/>
                <w:highlight w:val="none"/>
                <w:lang w:val="en-US" w:eastAsia="zh-CN"/>
              </w:rPr>
              <w:t>和</w:t>
            </w:r>
            <w:r>
              <w:rPr>
                <w:rFonts w:hint="default" w:asciiTheme="minorEastAsia" w:hAnsiTheme="minorEastAsia" w:eastAsiaTheme="minorEastAsia" w:cstheme="minorEastAsia"/>
                <w:b w:val="0"/>
                <w:bCs w:val="0"/>
                <w:color w:val="auto"/>
                <w:sz w:val="24"/>
                <w:szCs w:val="24"/>
                <w:highlight w:val="none"/>
                <w:lang w:val="en-US" w:eastAsia="zh-CN"/>
              </w:rPr>
              <w:t>采购合同（协议）为准，未提供证明材料</w:t>
            </w:r>
            <w:r>
              <w:rPr>
                <w:rFonts w:hint="eastAsia" w:asciiTheme="minorEastAsia" w:hAnsiTheme="minorEastAsia" w:eastAsiaTheme="minorEastAsia" w:cstheme="minorEastAsia"/>
                <w:b w:val="0"/>
                <w:bCs w:val="0"/>
                <w:color w:val="auto"/>
                <w:sz w:val="24"/>
                <w:szCs w:val="24"/>
                <w:highlight w:val="none"/>
                <w:lang w:val="en-US" w:eastAsia="zh-CN"/>
              </w:rPr>
              <w:t>扫描件</w:t>
            </w:r>
            <w:r>
              <w:rPr>
                <w:rFonts w:hint="default" w:asciiTheme="minorEastAsia" w:hAnsiTheme="minorEastAsia" w:eastAsiaTheme="minorEastAsia" w:cstheme="minorEastAsia"/>
                <w:b w:val="0"/>
                <w:bCs w:val="0"/>
                <w:color w:val="auto"/>
                <w:sz w:val="24"/>
                <w:szCs w:val="24"/>
                <w:highlight w:val="none"/>
                <w:lang w:val="en-US" w:eastAsia="zh-CN"/>
              </w:rPr>
              <w:t>的，视为无效业绩</w:t>
            </w:r>
            <w:r>
              <w:rPr>
                <w:rFonts w:hint="eastAsia" w:asciiTheme="minorEastAsia" w:hAnsiTheme="minorEastAsia" w:eastAsiaTheme="minorEastAsia" w:cstheme="minorEastAsia"/>
                <w:b w:val="0"/>
                <w:bCs w:val="0"/>
                <w:color w:val="auto"/>
                <w:sz w:val="24"/>
                <w:szCs w:val="24"/>
                <w:highlight w:val="none"/>
                <w:lang w:val="en-US" w:eastAsia="zh-CN"/>
              </w:rPr>
              <w:t>。</w:t>
            </w:r>
          </w:p>
        </w:tc>
      </w:tr>
      <w:bookmarkEnd w:id="33"/>
      <w:bookmarkEnd w:id="34"/>
    </w:tbl>
    <w:p w14:paraId="622172A2">
      <w:pPr>
        <w:pageBreakBefore w:val="0"/>
        <w:widowControl w:val="0"/>
        <w:kinsoku/>
        <w:autoSpaceDE/>
        <w:bidi w:val="0"/>
        <w:spacing w:line="520" w:lineRule="exact"/>
        <w:jc w:val="center"/>
        <w:outlineLvl w:val="9"/>
        <w:rPr>
          <w:rFonts w:hint="eastAsia" w:ascii="宋体" w:hAnsi="宋体" w:cs="宋体"/>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一、</w:t>
      </w:r>
      <w:r>
        <w:rPr>
          <w:rFonts w:hint="eastAsia" w:ascii="宋体" w:hAnsi="宋体" w:cs="宋体"/>
          <w:b/>
          <w:bCs/>
          <w:color w:val="auto"/>
          <w:sz w:val="24"/>
          <w:szCs w:val="24"/>
          <w:highlight w:val="none"/>
        </w:rPr>
        <w:t>竞争性磋商评审办法及评审标准</w:t>
      </w:r>
    </w:p>
    <w:p w14:paraId="4A7D50E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1.1评审办法</w:t>
      </w:r>
    </w:p>
    <w:p w14:paraId="3465AAF2">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w:t>
      </w:r>
      <w:r>
        <w:rPr>
          <w:rFonts w:hint="eastAsia" w:ascii="宋体" w:hAnsi="宋体" w:cs="宋体"/>
          <w:color w:val="auto"/>
          <w:spacing w:val="-2"/>
          <w:sz w:val="24"/>
          <w:szCs w:val="24"/>
          <w:highlight w:val="none"/>
        </w:rPr>
        <w:t>.1</w:t>
      </w:r>
      <w:r>
        <w:rPr>
          <w:rFonts w:hint="eastAsia" w:ascii="宋体" w:hAnsi="宋体" w:cs="宋体"/>
          <w:color w:val="auto"/>
          <w:spacing w:val="-2"/>
          <w:sz w:val="24"/>
          <w:szCs w:val="24"/>
          <w:highlight w:val="none"/>
          <w:lang w:val="en-US" w:eastAsia="zh-CN"/>
        </w:rPr>
        <w:t>.1</w:t>
      </w:r>
      <w:r>
        <w:rPr>
          <w:rFonts w:hint="eastAsia" w:ascii="宋体" w:hAnsi="宋体" w:cs="宋体"/>
          <w:color w:val="auto"/>
          <w:spacing w:val="-2"/>
          <w:sz w:val="24"/>
          <w:szCs w:val="24"/>
          <w:highlight w:val="none"/>
        </w:rPr>
        <w:t>对竞争性响应文件进行</w:t>
      </w:r>
      <w:r>
        <w:rPr>
          <w:rFonts w:hint="eastAsia" w:ascii="宋体" w:hAnsi="宋体" w:cs="宋体"/>
          <w:color w:val="auto"/>
          <w:spacing w:val="-2"/>
          <w:sz w:val="24"/>
          <w:szCs w:val="24"/>
          <w:highlight w:val="none"/>
          <w:lang w:val="en-US" w:eastAsia="zh-CN"/>
        </w:rPr>
        <w:t>初步</w:t>
      </w:r>
      <w:r>
        <w:rPr>
          <w:rFonts w:hint="eastAsia" w:ascii="宋体" w:hAnsi="宋体" w:cs="宋体"/>
          <w:color w:val="auto"/>
          <w:spacing w:val="-2"/>
          <w:sz w:val="24"/>
          <w:szCs w:val="24"/>
          <w:highlight w:val="none"/>
        </w:rPr>
        <w:t>审查（包括</w:t>
      </w:r>
      <w:r>
        <w:rPr>
          <w:rFonts w:hint="eastAsia" w:ascii="宋体" w:hAnsi="宋体" w:cs="宋体"/>
          <w:color w:val="auto"/>
          <w:spacing w:val="-2"/>
          <w:sz w:val="24"/>
          <w:szCs w:val="24"/>
          <w:highlight w:val="none"/>
          <w:lang w:val="en-US" w:eastAsia="zh-CN"/>
        </w:rPr>
        <w:t>有效性审查、完整性及响应程度审查</w:t>
      </w:r>
      <w:r>
        <w:rPr>
          <w:rFonts w:hint="eastAsia" w:ascii="宋体" w:hAnsi="宋体" w:cs="宋体"/>
          <w:color w:val="auto"/>
          <w:spacing w:val="-2"/>
          <w:sz w:val="24"/>
          <w:szCs w:val="24"/>
          <w:highlight w:val="none"/>
        </w:rPr>
        <w:t>），通过符合性审查的供应商才能进入磋商。</w:t>
      </w:r>
    </w:p>
    <w:p w14:paraId="789C3AF0">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1.1</w:t>
      </w:r>
      <w:r>
        <w:rPr>
          <w:rFonts w:hint="eastAsia" w:ascii="宋体" w:hAnsi="宋体" w:cs="宋体"/>
          <w:color w:val="auto"/>
          <w:spacing w:val="-2"/>
          <w:sz w:val="24"/>
          <w:szCs w:val="24"/>
          <w:highlight w:val="none"/>
        </w:rPr>
        <w:t>.2除实质上不响应竞争性磋商文件作为重大偏差处理外，竞争性响应文件的其余偏差，一律认定为细微偏差。磋商小组按照不改变竞争性磋商实质性内容和尽量减少无效响应文件的原则处理。</w:t>
      </w:r>
    </w:p>
    <w:p w14:paraId="3AC7FE04">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rPr>
        <w:t>所谓实质上不响应，是指竞争性响应文件与竞争性磋商的实质性条款和要求不相符，存在显著差异或保留，已对双方的权利和义务造成重大改变，影响到项目主要目标实施的情形。</w:t>
      </w:r>
    </w:p>
    <w:p w14:paraId="2E1B31CE">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1.1</w:t>
      </w:r>
      <w:r>
        <w:rPr>
          <w:rFonts w:hint="eastAsia" w:ascii="宋体" w:hAnsi="宋体" w:cs="宋体"/>
          <w:color w:val="auto"/>
          <w:spacing w:val="-2"/>
          <w:sz w:val="24"/>
          <w:szCs w:val="24"/>
          <w:highlight w:val="none"/>
        </w:rPr>
        <w:t>.3对重大偏差，磋商小组应当依据法律、法规、规章和竞争性磋商文件的规定作出明确认定。</w:t>
      </w:r>
    </w:p>
    <w:p w14:paraId="47E5D91B">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1.1</w:t>
      </w:r>
      <w:r>
        <w:rPr>
          <w:rFonts w:hint="eastAsia" w:ascii="宋体" w:hAnsi="宋体" w:cs="宋体"/>
          <w:color w:val="auto"/>
          <w:spacing w:val="-2"/>
          <w:sz w:val="24"/>
          <w:szCs w:val="24"/>
          <w:highlight w:val="none"/>
        </w:rPr>
        <w:t>.4在竞争性磋商过程中，磋商小组可以以书面形式要求供应商对所提交的响应文件中不明确的内容进行书面澄清或说明，或者对细微偏差进行补正。</w:t>
      </w:r>
    </w:p>
    <w:p w14:paraId="330F906F">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1.1</w:t>
      </w:r>
      <w:r>
        <w:rPr>
          <w:rFonts w:hint="eastAsia" w:ascii="宋体" w:hAnsi="宋体" w:cs="宋体"/>
          <w:color w:val="auto"/>
          <w:spacing w:val="-2"/>
          <w:sz w:val="24"/>
          <w:szCs w:val="24"/>
          <w:highlight w:val="none"/>
        </w:rPr>
        <w:t>.5供应商的澄清、说明或补正，不得对其他实质上响应竞争性磋商要求的其他供应商的竞争地位产生不公正的影响，否则磋商小组有权不接受。</w:t>
      </w:r>
    </w:p>
    <w:p w14:paraId="12A2DE32">
      <w:pPr>
        <w:pageBreakBefore w:val="0"/>
        <w:widowControl w:val="0"/>
        <w:kinsoku/>
        <w:autoSpaceDE/>
        <w:bidi w:val="0"/>
        <w:spacing w:line="520" w:lineRule="exact"/>
        <w:ind w:firstLine="476" w:firstLineChars="202"/>
        <w:rPr>
          <w:rFonts w:hint="eastAsia" w:ascii="宋体" w:hAnsi="宋体" w:cs="宋体"/>
          <w:color w:val="auto"/>
          <w:spacing w:val="-2"/>
          <w:sz w:val="24"/>
          <w:szCs w:val="24"/>
          <w:highlight w:val="none"/>
        </w:rPr>
      </w:pPr>
      <w:r>
        <w:rPr>
          <w:rFonts w:hint="eastAsia" w:ascii="宋体" w:hAnsi="宋体" w:cs="宋体"/>
          <w:color w:val="auto"/>
          <w:spacing w:val="-2"/>
          <w:sz w:val="24"/>
          <w:szCs w:val="24"/>
          <w:highlight w:val="none"/>
          <w:lang w:val="en-US" w:eastAsia="zh-CN"/>
        </w:rPr>
        <w:t>1.1</w:t>
      </w:r>
      <w:r>
        <w:rPr>
          <w:rFonts w:hint="eastAsia" w:ascii="宋体" w:hAnsi="宋体" w:cs="宋体"/>
          <w:color w:val="auto"/>
          <w:spacing w:val="-2"/>
          <w:sz w:val="24"/>
          <w:szCs w:val="24"/>
          <w:highlight w:val="none"/>
        </w:rPr>
        <w:t>.6供应商的书面澄清、说明和补正属于竞争性响应文件的组成部分。</w:t>
      </w:r>
    </w:p>
    <w:p w14:paraId="50E74DD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cs="宋体"/>
          <w:color w:val="auto"/>
          <w:spacing w:val="-2"/>
          <w:sz w:val="24"/>
          <w:szCs w:val="24"/>
          <w:highlight w:val="none"/>
        </w:rPr>
        <w:t>.7对响应文件和最后报价进行</w:t>
      </w:r>
      <w:r>
        <w:rPr>
          <w:rFonts w:hint="eastAsia" w:ascii="宋体" w:hAnsi="宋体" w:cs="宋体"/>
          <w:color w:val="auto"/>
          <w:spacing w:val="-2"/>
          <w:sz w:val="24"/>
          <w:szCs w:val="24"/>
          <w:highlight w:val="none"/>
          <w:lang w:val="en-US" w:eastAsia="zh-CN"/>
        </w:rPr>
        <w:t>有效性</w:t>
      </w:r>
      <w:r>
        <w:rPr>
          <w:rFonts w:hint="eastAsia" w:asciiTheme="minorEastAsia" w:hAnsiTheme="minorEastAsia" w:eastAsiaTheme="minorEastAsia" w:cstheme="minorEastAsia"/>
          <w:color w:val="auto"/>
          <w:sz w:val="24"/>
          <w:szCs w:val="24"/>
          <w:highlight w:val="none"/>
          <w:lang w:val="en-US" w:eastAsia="zh-CN"/>
        </w:rPr>
        <w:t>（包括有效性评审、完整性和响应程度评审）</w:t>
      </w:r>
      <w:r>
        <w:rPr>
          <w:rFonts w:hint="eastAsia" w:ascii="宋体" w:hAnsi="宋体" w:cs="宋体"/>
          <w:color w:val="auto"/>
          <w:spacing w:val="-2"/>
          <w:sz w:val="24"/>
          <w:szCs w:val="24"/>
          <w:highlight w:val="none"/>
          <w:lang w:val="en-US" w:eastAsia="zh-CN"/>
        </w:rPr>
        <w:t>审查</w:t>
      </w:r>
      <w:r>
        <w:rPr>
          <w:rFonts w:hint="eastAsia" w:ascii="宋体" w:hAnsi="宋体" w:cs="宋体"/>
          <w:color w:val="auto"/>
          <w:spacing w:val="-2"/>
          <w:sz w:val="24"/>
          <w:szCs w:val="24"/>
          <w:highlight w:val="none"/>
        </w:rPr>
        <w:t>，均为通过性审查，只要有一项不符合，则视为未实质性响应磋商文件按无效响应处理。根据《财政部关于政府采购竞争性磋商采购方式管理暂行办法有关问题的补充通知》规定，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w:t>
      </w:r>
      <w:r>
        <w:rPr>
          <w:rFonts w:hint="eastAsia" w:asciiTheme="minorEastAsia" w:hAnsiTheme="minorEastAsia" w:eastAsiaTheme="minorEastAsia" w:cstheme="minorEastAsia"/>
          <w:color w:val="auto"/>
          <w:sz w:val="24"/>
          <w:szCs w:val="24"/>
          <w:highlight w:val="none"/>
        </w:rPr>
        <w:t>活动。</w:t>
      </w:r>
    </w:p>
    <w:p w14:paraId="06CB3BA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1.1.8</w:t>
      </w:r>
      <w:r>
        <w:rPr>
          <w:rFonts w:hint="eastAsia" w:asciiTheme="minorEastAsia" w:hAnsiTheme="minorEastAsia" w:eastAsiaTheme="minorEastAsia" w:cstheme="minorEastAsia"/>
          <w:color w:val="auto"/>
          <w:sz w:val="24"/>
          <w:szCs w:val="24"/>
          <w:highlight w:val="none"/>
        </w:rPr>
        <w:t>分值构成与评分标准</w:t>
      </w:r>
    </w:p>
    <w:p w14:paraId="6974778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1.2评审标准</w:t>
      </w:r>
    </w:p>
    <w:p w14:paraId="36D090A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.1评审总得分计算公式</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val="en-US" w:eastAsia="zh-CN"/>
        </w:rPr>
        <w:t>评审办法</w:t>
      </w:r>
      <w:r>
        <w:rPr>
          <w:rFonts w:hint="eastAsia" w:asciiTheme="minorEastAsia" w:hAnsiTheme="minorEastAsia" w:eastAsiaTheme="minorEastAsia" w:cstheme="minorEastAsia"/>
          <w:color w:val="auto"/>
          <w:sz w:val="24"/>
          <w:szCs w:val="24"/>
          <w:highlight w:val="none"/>
        </w:rPr>
        <w:t>前附表</w:t>
      </w:r>
      <w:r>
        <w:rPr>
          <w:rFonts w:hint="eastAsia" w:asciiTheme="minorEastAsia" w:hAnsiTheme="minorEastAsia" w:eastAsiaTheme="minorEastAsia" w:cstheme="minorEastAsia"/>
          <w:color w:val="auto"/>
          <w:sz w:val="24"/>
          <w:szCs w:val="24"/>
          <w:highlight w:val="none"/>
          <w:lang w:eastAsia="zh-CN"/>
        </w:rPr>
        <w:t>。</w:t>
      </w:r>
    </w:p>
    <w:p w14:paraId="0FFCBF3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1.2</w:t>
      </w:r>
      <w:r>
        <w:rPr>
          <w:rFonts w:hint="eastAsia" w:asciiTheme="minorEastAsia" w:hAnsiTheme="minorEastAsia" w:eastAsiaTheme="minorEastAsia" w:cstheme="minorEastAsia"/>
          <w:color w:val="auto"/>
          <w:sz w:val="24"/>
          <w:szCs w:val="24"/>
          <w:highlight w:val="none"/>
        </w:rPr>
        <w:t>.2评分因素权重</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w:t>
      </w:r>
      <w:r>
        <w:rPr>
          <w:rFonts w:hint="eastAsia" w:asciiTheme="minorEastAsia" w:hAnsiTheme="minorEastAsia" w:eastAsiaTheme="minorEastAsia" w:cstheme="minorEastAsia"/>
          <w:color w:val="auto"/>
          <w:sz w:val="24"/>
          <w:szCs w:val="24"/>
          <w:highlight w:val="none"/>
          <w:lang w:val="en-US" w:eastAsia="zh-CN"/>
        </w:rPr>
        <w:t>评审办法</w:t>
      </w:r>
      <w:r>
        <w:rPr>
          <w:rFonts w:hint="eastAsia" w:asciiTheme="minorEastAsia" w:hAnsiTheme="minorEastAsia" w:eastAsiaTheme="minorEastAsia" w:cstheme="minorEastAsia"/>
          <w:color w:val="auto"/>
          <w:sz w:val="24"/>
          <w:szCs w:val="24"/>
          <w:highlight w:val="none"/>
        </w:rPr>
        <w:t>前附表</w:t>
      </w:r>
      <w:r>
        <w:rPr>
          <w:rFonts w:hint="eastAsia" w:asciiTheme="minorEastAsia" w:hAnsiTheme="minorEastAsia" w:eastAsiaTheme="minorEastAsia" w:cstheme="minorEastAsia"/>
          <w:color w:val="auto"/>
          <w:sz w:val="24"/>
          <w:szCs w:val="24"/>
          <w:highlight w:val="none"/>
          <w:lang w:eastAsia="zh-CN"/>
        </w:rPr>
        <w:t>。</w:t>
      </w:r>
    </w:p>
    <w:p w14:paraId="506BDCFF">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二、</w:t>
      </w:r>
      <w:r>
        <w:rPr>
          <w:rFonts w:hint="eastAsia" w:asciiTheme="minorEastAsia" w:hAnsiTheme="minorEastAsia" w:eastAsiaTheme="minorEastAsia" w:cstheme="minorEastAsia"/>
          <w:b/>
          <w:bCs/>
          <w:color w:val="auto"/>
          <w:sz w:val="24"/>
          <w:szCs w:val="24"/>
          <w:highlight w:val="none"/>
        </w:rPr>
        <w:t>评</w:t>
      </w:r>
      <w:r>
        <w:rPr>
          <w:rFonts w:hint="eastAsia" w:asciiTheme="minorEastAsia" w:hAnsiTheme="minorEastAsia" w:eastAsiaTheme="minorEastAsia" w:cstheme="minorEastAsia"/>
          <w:b/>
          <w:bCs/>
          <w:color w:val="auto"/>
          <w:sz w:val="24"/>
          <w:szCs w:val="24"/>
          <w:highlight w:val="none"/>
          <w:lang w:val="en-US" w:eastAsia="zh-CN"/>
        </w:rPr>
        <w:t>审</w:t>
      </w:r>
      <w:r>
        <w:rPr>
          <w:rFonts w:hint="eastAsia" w:asciiTheme="minorEastAsia" w:hAnsiTheme="minorEastAsia" w:eastAsiaTheme="minorEastAsia" w:cstheme="minorEastAsia"/>
          <w:b/>
          <w:bCs/>
          <w:color w:val="auto"/>
          <w:sz w:val="24"/>
          <w:szCs w:val="24"/>
          <w:highlight w:val="none"/>
        </w:rPr>
        <w:t>程序</w:t>
      </w:r>
    </w:p>
    <w:p w14:paraId="354710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2.1评审程序</w:t>
      </w:r>
    </w:p>
    <w:p w14:paraId="6659E66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2.1.1</w:t>
      </w:r>
      <w:r>
        <w:rPr>
          <w:rFonts w:hint="eastAsia" w:asciiTheme="minorEastAsia" w:hAnsiTheme="minorEastAsia" w:eastAsiaTheme="minorEastAsia" w:cstheme="minorEastAsia"/>
          <w:color w:val="auto"/>
          <w:sz w:val="24"/>
          <w:szCs w:val="24"/>
          <w:highlight w:val="none"/>
          <w:lang w:eastAsia="zh-CN"/>
        </w:rPr>
        <w:t>磋商小组所有成员集中与单一磋商单位分别进行磋商，并给予所有参加磋商的磋商单位平等的磋商机会，磋商单位按“政采云”系统的编号顺序</w:t>
      </w:r>
      <w:r>
        <w:rPr>
          <w:rFonts w:hint="eastAsia" w:asciiTheme="minorEastAsia" w:hAnsiTheme="minorEastAsia" w:eastAsiaTheme="minorEastAsia" w:cstheme="minorEastAsia"/>
          <w:color w:val="auto"/>
          <w:sz w:val="24"/>
          <w:szCs w:val="24"/>
          <w:highlight w:val="none"/>
          <w:lang w:val="en-US" w:eastAsia="zh-CN"/>
        </w:rPr>
        <w:t>进行磋商</w:t>
      </w:r>
      <w:r>
        <w:rPr>
          <w:rFonts w:hint="eastAsia" w:asciiTheme="minorEastAsia" w:hAnsiTheme="minorEastAsia" w:eastAsiaTheme="minorEastAsia" w:cstheme="minorEastAsia"/>
          <w:color w:val="auto"/>
          <w:sz w:val="24"/>
          <w:szCs w:val="24"/>
          <w:highlight w:val="none"/>
          <w:lang w:eastAsia="zh-CN"/>
        </w:rPr>
        <w:t>。</w:t>
      </w:r>
    </w:p>
    <w:p w14:paraId="543C47B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2.1.2</w:t>
      </w:r>
      <w:r>
        <w:rPr>
          <w:rFonts w:hint="eastAsia" w:asciiTheme="minorEastAsia" w:hAnsiTheme="minorEastAsia" w:eastAsiaTheme="minorEastAsia" w:cstheme="minorEastAsia"/>
          <w:color w:val="auto"/>
          <w:sz w:val="24"/>
          <w:szCs w:val="24"/>
          <w:highlight w:val="none"/>
          <w:lang w:eastAsia="zh-CN"/>
        </w:rPr>
        <w:t>磋商小组根据磋商文件和磋商情况实质性变动的技术、商务要求以及合同草案条款，但不得变动磋商文件中的其他内容（实质性变动的内容，须经采购人代表确认）。对磋商文件作出的实质性变动是磋商文件的有效组成部分，磋商小组应当及时以书面形式同时通知所有参加磋商的磋商单位。</w:t>
      </w:r>
    </w:p>
    <w:p w14:paraId="64A9C2B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2.1.3</w:t>
      </w:r>
      <w:r>
        <w:rPr>
          <w:rFonts w:hint="eastAsia" w:asciiTheme="minorEastAsia" w:hAnsiTheme="minorEastAsia" w:eastAsiaTheme="minorEastAsia" w:cstheme="minorEastAsia"/>
          <w:color w:val="auto"/>
          <w:sz w:val="24"/>
          <w:szCs w:val="24"/>
          <w:highlight w:val="none"/>
          <w:lang w:eastAsia="zh-CN"/>
        </w:rPr>
        <w:t>磋商单位按照磋商文件的变动情况和磋商小组的要求重新提交响应文件，并由其法定代表人或授权代表签字或者加盖公章。由授权代表签字的，应当附法定代表人授权书。</w:t>
      </w:r>
    </w:p>
    <w:p w14:paraId="16548D5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2.1.4</w:t>
      </w:r>
      <w:r>
        <w:rPr>
          <w:rFonts w:hint="eastAsia" w:asciiTheme="minorEastAsia" w:hAnsiTheme="minorEastAsia" w:eastAsiaTheme="minorEastAsia" w:cstheme="minorEastAsia"/>
          <w:color w:val="auto"/>
          <w:sz w:val="24"/>
          <w:szCs w:val="24"/>
          <w:highlight w:val="none"/>
          <w:lang w:eastAsia="zh-CN"/>
        </w:rPr>
        <w:t>磋商结束后，磋商小组应当按照少数服从多数的原则投票推荐3家及以上磋商单位，并要求其在规定时间内提交最后报价。最后报价是磋商单位响应文件的有效组成部分。已提交响应文件的磋商单位，在提交最后报价之前，可以根据磋商情况退出磋商。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的规定，提交最后报价的磋商单位可以为2家。</w:t>
      </w:r>
    </w:p>
    <w:p w14:paraId="133387D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2.2初步评审</w:t>
      </w:r>
    </w:p>
    <w:p w14:paraId="4832D8D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依据</w:t>
      </w:r>
      <w:r>
        <w:rPr>
          <w:rFonts w:hint="eastAsia" w:asciiTheme="minorEastAsia" w:hAnsiTheme="minorEastAsia" w:eastAsiaTheme="minorEastAsia" w:cstheme="minorEastAsia"/>
          <w:color w:val="auto"/>
          <w:sz w:val="24"/>
          <w:szCs w:val="24"/>
          <w:highlight w:val="none"/>
          <w:lang w:val="en-US" w:eastAsia="zh-CN"/>
        </w:rPr>
        <w:t>须知前附表</w:t>
      </w:r>
      <w:r>
        <w:rPr>
          <w:rFonts w:hint="eastAsia" w:asciiTheme="minorEastAsia" w:hAnsiTheme="minorEastAsia" w:eastAsiaTheme="minorEastAsia" w:cstheme="minorEastAsia"/>
          <w:color w:val="auto"/>
          <w:sz w:val="24"/>
          <w:szCs w:val="24"/>
          <w:highlight w:val="none"/>
        </w:rPr>
        <w:t>第2.1.1项规定对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进行</w:t>
      </w:r>
      <w:r>
        <w:rPr>
          <w:rFonts w:hint="eastAsia" w:asciiTheme="minorEastAsia" w:hAnsiTheme="minorEastAsia" w:eastAsiaTheme="minorEastAsia" w:cstheme="minorEastAsia"/>
          <w:color w:val="auto"/>
          <w:sz w:val="24"/>
          <w:szCs w:val="24"/>
          <w:highlight w:val="none"/>
          <w:lang w:val="en-US" w:eastAsia="zh-CN"/>
        </w:rPr>
        <w:t>有效性（包括有效性评审、完整性和响应程度评审）审查</w:t>
      </w:r>
      <w:r>
        <w:rPr>
          <w:rFonts w:hint="eastAsia" w:asciiTheme="minorEastAsia" w:hAnsiTheme="minorEastAsia" w:eastAsiaTheme="minorEastAsia" w:cstheme="minorEastAsia"/>
          <w:color w:val="auto"/>
          <w:sz w:val="24"/>
          <w:szCs w:val="24"/>
          <w:highlight w:val="none"/>
          <w:lang w:eastAsia="zh-CN"/>
        </w:rPr>
        <w:t>，有一项不符合评审标准的，</w:t>
      </w:r>
      <w:r>
        <w:rPr>
          <w:rFonts w:hint="eastAsia" w:asciiTheme="minorEastAsia" w:hAnsiTheme="minorEastAsia" w:eastAsiaTheme="minorEastAsia" w:cstheme="minorEastAsia"/>
          <w:color w:val="auto"/>
          <w:sz w:val="24"/>
          <w:szCs w:val="24"/>
          <w:highlight w:val="none"/>
          <w:lang w:val="en-US" w:eastAsia="zh-CN"/>
        </w:rPr>
        <w:t>不予通过有效性审查，</w:t>
      </w:r>
      <w:r>
        <w:rPr>
          <w:rFonts w:hint="eastAsia" w:asciiTheme="minorEastAsia" w:hAnsiTheme="minorEastAsia" w:eastAsiaTheme="minorEastAsia" w:cstheme="minorEastAsia"/>
          <w:color w:val="auto"/>
          <w:sz w:val="24"/>
          <w:szCs w:val="24"/>
          <w:highlight w:val="none"/>
          <w:lang w:eastAsia="zh-CN"/>
        </w:rPr>
        <w:t>该竞争性磋商响应文件按无效处理。</w:t>
      </w:r>
    </w:p>
    <w:p w14:paraId="7AE2EC8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2.2.2</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依据</w:t>
      </w:r>
      <w:r>
        <w:rPr>
          <w:rFonts w:hint="eastAsia" w:asciiTheme="minorEastAsia" w:hAnsiTheme="minorEastAsia" w:eastAsiaTheme="minorEastAsia" w:cstheme="minorEastAsia"/>
          <w:color w:val="auto"/>
          <w:sz w:val="24"/>
          <w:szCs w:val="24"/>
          <w:highlight w:val="none"/>
          <w:lang w:val="en-US" w:eastAsia="zh-CN"/>
        </w:rPr>
        <w:t>须知前附表</w:t>
      </w:r>
      <w:r>
        <w:rPr>
          <w:rFonts w:hint="eastAsia" w:asciiTheme="minorEastAsia" w:hAnsiTheme="minorEastAsia" w:eastAsiaTheme="minorEastAsia" w:cstheme="minorEastAsia"/>
          <w:color w:val="auto"/>
          <w:sz w:val="24"/>
          <w:szCs w:val="24"/>
          <w:highlight w:val="none"/>
        </w:rPr>
        <w:t>第2.1.</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项规定对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进行</w:t>
      </w:r>
      <w:r>
        <w:rPr>
          <w:rFonts w:hint="eastAsia" w:asciiTheme="minorEastAsia" w:hAnsiTheme="minorEastAsia" w:eastAsiaTheme="minorEastAsia" w:cstheme="minorEastAsia"/>
          <w:color w:val="auto"/>
          <w:sz w:val="24"/>
          <w:szCs w:val="24"/>
          <w:highlight w:val="none"/>
          <w:lang w:val="en-US" w:eastAsia="zh-CN"/>
        </w:rPr>
        <w:t>完整性及响应程度审查</w:t>
      </w:r>
      <w:r>
        <w:rPr>
          <w:rFonts w:hint="eastAsia" w:asciiTheme="minorEastAsia" w:hAnsiTheme="minorEastAsia" w:eastAsiaTheme="minorEastAsia" w:cstheme="minorEastAsia"/>
          <w:color w:val="auto"/>
          <w:sz w:val="24"/>
          <w:szCs w:val="24"/>
          <w:highlight w:val="none"/>
          <w:lang w:eastAsia="zh-CN"/>
        </w:rPr>
        <w:t>，有一项不符合评审标准的，</w:t>
      </w:r>
      <w:r>
        <w:rPr>
          <w:rFonts w:hint="eastAsia" w:asciiTheme="minorEastAsia" w:hAnsiTheme="minorEastAsia" w:eastAsiaTheme="minorEastAsia" w:cstheme="minorEastAsia"/>
          <w:color w:val="auto"/>
          <w:sz w:val="24"/>
          <w:szCs w:val="24"/>
          <w:highlight w:val="none"/>
          <w:lang w:val="en-US" w:eastAsia="zh-CN"/>
        </w:rPr>
        <w:t>不予通过完整性及响应程度审查，</w:t>
      </w:r>
      <w:r>
        <w:rPr>
          <w:rFonts w:hint="eastAsia" w:asciiTheme="minorEastAsia" w:hAnsiTheme="minorEastAsia" w:eastAsiaTheme="minorEastAsia" w:cstheme="minorEastAsia"/>
          <w:color w:val="auto"/>
          <w:sz w:val="24"/>
          <w:szCs w:val="24"/>
          <w:highlight w:val="none"/>
          <w:lang w:eastAsia="zh-CN"/>
        </w:rPr>
        <w:t>该竞争性磋商响应文件按无效处理。</w:t>
      </w:r>
    </w:p>
    <w:p w14:paraId="4BBB351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如果出现计算或表达上的错误，修正错误的原则如下：</w:t>
      </w:r>
    </w:p>
    <w:p w14:paraId="64003D7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中开标一览表内容与</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中明细表内容不一致的，以开标一览表为准。</w:t>
      </w:r>
    </w:p>
    <w:p w14:paraId="559A36B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的大写金额和小写金额不一致的，以大写金额为准；</w:t>
      </w:r>
    </w:p>
    <w:p w14:paraId="037BFE3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1074444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32BE651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5）对不同文字文本</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的解释发生异议的，以中文文本为准</w:t>
      </w:r>
      <w:r>
        <w:rPr>
          <w:rFonts w:hint="eastAsia" w:asciiTheme="minorEastAsia" w:hAnsiTheme="minorEastAsia" w:eastAsiaTheme="minorEastAsia" w:cstheme="minorEastAsia"/>
          <w:color w:val="auto"/>
          <w:sz w:val="24"/>
          <w:szCs w:val="24"/>
          <w:highlight w:val="none"/>
          <w:lang w:eastAsia="zh-CN"/>
        </w:rPr>
        <w:t>；</w:t>
      </w:r>
    </w:p>
    <w:p w14:paraId="28D9D4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的磋商报价，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同意后，调整后的</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报价对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不接受修正后的报价，视为未实质性响应</w:t>
      </w:r>
      <w:r>
        <w:rPr>
          <w:rFonts w:hint="eastAsia" w:asciiTheme="minorEastAsia" w:hAnsiTheme="minorEastAsia" w:eastAsiaTheme="minorEastAsia" w:cstheme="minorEastAsia"/>
          <w:color w:val="auto"/>
          <w:sz w:val="24"/>
          <w:szCs w:val="24"/>
          <w:highlight w:val="none"/>
          <w:lang w:eastAsia="zh-CN"/>
        </w:rPr>
        <w:t>竞争性磋商文件</w:t>
      </w:r>
      <w:r>
        <w:rPr>
          <w:rFonts w:hint="eastAsia" w:asciiTheme="minorEastAsia" w:hAnsiTheme="minorEastAsia" w:eastAsiaTheme="minorEastAsia" w:cstheme="minorEastAsia"/>
          <w:color w:val="auto"/>
          <w:sz w:val="24"/>
          <w:szCs w:val="24"/>
          <w:highlight w:val="none"/>
        </w:rPr>
        <w:t>要求。</w:t>
      </w:r>
    </w:p>
    <w:p w14:paraId="17D898C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2.3详细评审</w:t>
      </w:r>
    </w:p>
    <w:p w14:paraId="145C5B7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3.1</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总得分。对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r>
        <w:rPr>
          <w:rFonts w:hint="eastAsia" w:asciiTheme="minorEastAsia" w:hAnsiTheme="minorEastAsia" w:eastAsiaTheme="minorEastAsia" w:cstheme="minorEastAsia"/>
          <w:color w:val="auto"/>
          <w:sz w:val="24"/>
          <w:szCs w:val="24"/>
          <w:highlight w:val="none"/>
          <w:lang w:eastAsia="zh-CN"/>
        </w:rPr>
        <w:t>；</w:t>
      </w:r>
    </w:p>
    <w:p w14:paraId="7F352AD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成员独立评分，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r>
        <w:rPr>
          <w:rFonts w:hint="eastAsia" w:asciiTheme="minorEastAsia" w:hAnsiTheme="minorEastAsia" w:eastAsiaTheme="minorEastAsia" w:cstheme="minorEastAsia"/>
          <w:color w:val="auto"/>
          <w:sz w:val="24"/>
          <w:szCs w:val="24"/>
          <w:highlight w:val="none"/>
          <w:lang w:eastAsia="zh-CN"/>
        </w:rPr>
        <w:t>；</w:t>
      </w:r>
    </w:p>
    <w:p w14:paraId="2969D5D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成员要依法独立评审，并对评审意见承担个人责任。</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成员对需要共同认定的事项存在争议的，按照少数服从多数的原则做出结论。持不同意见的</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成员应当在评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报告上签署不同意见并说明理由，否则视为同意。</w:t>
      </w:r>
    </w:p>
    <w:p w14:paraId="08F890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2.4竞争性磋商响应文件的澄清 </w:t>
      </w:r>
    </w:p>
    <w:p w14:paraId="4BE8BBA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中含义不明确的内容作必要的澄清或者说明，但是澄清或者说明不得超出</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的范围或者改变</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的实质性内容。</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不得暗示或者诱导</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主动提出的澄清、说明。</w:t>
      </w:r>
    </w:p>
    <w:p w14:paraId="792E908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.2</w:t>
      </w:r>
      <w:bookmarkStart w:id="104" w:name="_Toc297531588"/>
      <w:r>
        <w:rPr>
          <w:rFonts w:hint="eastAsia" w:asciiTheme="minorEastAsia" w:hAnsiTheme="minorEastAsia" w:eastAsiaTheme="minorEastAsia" w:cstheme="minorEastAsia"/>
          <w:color w:val="auto"/>
          <w:sz w:val="24"/>
          <w:szCs w:val="24"/>
          <w:highlight w:val="none"/>
          <w:lang w:val="en-US" w:eastAsia="zh-CN"/>
        </w:rPr>
        <w:t>按照</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电子招标投标办法</w:t>
      </w:r>
      <w:bookmarkEnd w:id="104"/>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八部委20号令</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规定，</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中需要</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澄清或者说明的，</w:t>
      </w:r>
      <w:r>
        <w:rPr>
          <w:rFonts w:hint="eastAsia" w:asciiTheme="minorEastAsia" w:hAnsiTheme="minorEastAsia" w:eastAsiaTheme="minorEastAsia" w:cstheme="minorEastAsia"/>
          <w:color w:val="auto"/>
          <w:sz w:val="24"/>
          <w:szCs w:val="24"/>
          <w:highlight w:val="none"/>
          <w:lang w:eastAsia="zh-CN"/>
        </w:rPr>
        <w:t>采购人</w:t>
      </w:r>
      <w:r>
        <w:rPr>
          <w:rFonts w:hint="eastAsia" w:asciiTheme="minorEastAsia" w:hAnsiTheme="minorEastAsia" w:eastAsiaTheme="minorEastAsia" w:cstheme="minorEastAsia"/>
          <w:color w:val="auto"/>
          <w:sz w:val="24"/>
          <w:szCs w:val="24"/>
          <w:highlight w:val="none"/>
        </w:rPr>
        <w:t>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应当通过电子招标投标交易平台交换数据电文。</w:t>
      </w:r>
    </w:p>
    <w:p w14:paraId="0B2607B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2.5评审结果</w:t>
      </w:r>
    </w:p>
    <w:p w14:paraId="2272665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1磋商小组应当根据综合评分情况，按照评审得分由高到低顺序推荐3名以上成交候选供应商，并编写评审报告。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的规定，提交最后报价的磋商单位可以为2家。评审得分相同的，按照履约能力评审得分由</w:t>
      </w:r>
      <w:r>
        <w:rPr>
          <w:rFonts w:hint="eastAsia" w:asciiTheme="minorEastAsia" w:hAnsiTheme="minorEastAsia" w:eastAsiaTheme="minorEastAsia" w:cstheme="minorEastAsia"/>
          <w:color w:val="auto"/>
          <w:sz w:val="24"/>
          <w:szCs w:val="24"/>
          <w:highlight w:val="none"/>
          <w:lang w:val="en-US" w:eastAsia="zh-CN"/>
        </w:rPr>
        <w:t>高</w:t>
      </w:r>
      <w:r>
        <w:rPr>
          <w:rFonts w:hint="eastAsia" w:asciiTheme="minorEastAsia" w:hAnsiTheme="minorEastAsia" w:eastAsiaTheme="minorEastAsia" w:cstheme="minorEastAsia"/>
          <w:color w:val="auto"/>
          <w:sz w:val="24"/>
          <w:szCs w:val="24"/>
          <w:highlight w:val="none"/>
        </w:rPr>
        <w:t>到</w:t>
      </w:r>
      <w:r>
        <w:rPr>
          <w:rFonts w:hint="eastAsia" w:asciiTheme="minorEastAsia" w:hAnsiTheme="minorEastAsia" w:eastAsiaTheme="minorEastAsia" w:cstheme="minorEastAsia"/>
          <w:color w:val="auto"/>
          <w:sz w:val="24"/>
          <w:szCs w:val="24"/>
          <w:highlight w:val="none"/>
          <w:lang w:val="en-US" w:eastAsia="zh-CN"/>
        </w:rPr>
        <w:t>低</w:t>
      </w:r>
      <w:r>
        <w:rPr>
          <w:rFonts w:hint="eastAsia" w:asciiTheme="minorEastAsia" w:hAnsiTheme="minorEastAsia" w:eastAsiaTheme="minorEastAsia" w:cstheme="minorEastAsia"/>
          <w:color w:val="auto"/>
          <w:sz w:val="24"/>
          <w:szCs w:val="24"/>
          <w:highlight w:val="none"/>
        </w:rPr>
        <w:t>的顺序推荐。出现其他情形的，则由磋商小组投票，得票多者排序在前。</w:t>
      </w:r>
    </w:p>
    <w:p w14:paraId="05080C3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eastAsia="zh-CN"/>
        </w:rPr>
        <w:t>磋商小组</w:t>
      </w:r>
      <w:r>
        <w:rPr>
          <w:rFonts w:hint="eastAsia" w:asciiTheme="minorEastAsia" w:hAnsiTheme="minorEastAsia" w:eastAsiaTheme="minorEastAsia" w:cstheme="minorEastAsia"/>
          <w:color w:val="auto"/>
          <w:sz w:val="24"/>
          <w:szCs w:val="24"/>
          <w:highlight w:val="none"/>
        </w:rPr>
        <w:t>提出的书面评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报告和推荐的</w:t>
      </w:r>
      <w:r>
        <w:rPr>
          <w:rFonts w:hint="eastAsia" w:asciiTheme="minorEastAsia" w:hAnsiTheme="minorEastAsia" w:eastAsiaTheme="minorEastAsia" w:cstheme="minorEastAsia"/>
          <w:color w:val="auto"/>
          <w:sz w:val="24"/>
          <w:szCs w:val="24"/>
          <w:highlight w:val="none"/>
          <w:lang w:eastAsia="zh-CN"/>
        </w:rPr>
        <w:t>成交</w:t>
      </w:r>
      <w:r>
        <w:rPr>
          <w:rFonts w:hint="eastAsia" w:asciiTheme="minorEastAsia" w:hAnsiTheme="minorEastAsia" w:eastAsiaTheme="minorEastAsia" w:cstheme="minorEastAsia"/>
          <w:color w:val="auto"/>
          <w:sz w:val="24"/>
          <w:szCs w:val="24"/>
          <w:highlight w:val="none"/>
        </w:rPr>
        <w:t>候选人名单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确定</w:t>
      </w:r>
      <w:r>
        <w:rPr>
          <w:rFonts w:hint="eastAsia" w:asciiTheme="minorEastAsia" w:hAnsiTheme="minorEastAsia" w:eastAsiaTheme="minorEastAsia" w:cstheme="minorEastAsia"/>
          <w:color w:val="auto"/>
          <w:sz w:val="24"/>
          <w:szCs w:val="24"/>
          <w:highlight w:val="none"/>
          <w:lang w:val="en-US" w:eastAsia="zh-CN"/>
        </w:rPr>
        <w:t>成交供应商</w:t>
      </w:r>
      <w:r>
        <w:rPr>
          <w:rFonts w:hint="eastAsia" w:asciiTheme="minorEastAsia" w:hAnsiTheme="minorEastAsia" w:eastAsiaTheme="minorEastAsia" w:cstheme="minorEastAsia"/>
          <w:color w:val="auto"/>
          <w:sz w:val="24"/>
          <w:szCs w:val="24"/>
          <w:highlight w:val="none"/>
        </w:rPr>
        <w:t>。</w:t>
      </w:r>
    </w:p>
    <w:p w14:paraId="6A9955B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r>
        <w:rPr>
          <w:rFonts w:hint="eastAsia" w:asciiTheme="minorEastAsia" w:hAnsiTheme="minorEastAsia" w:eastAsiaTheme="minorEastAsia" w:cstheme="minorEastAsia"/>
          <w:color w:val="auto"/>
          <w:sz w:val="24"/>
          <w:szCs w:val="24"/>
          <w:highlight w:val="none"/>
          <w:lang w:eastAsia="zh-CN"/>
        </w:rPr>
        <w:t>。</w:t>
      </w:r>
    </w:p>
    <w:p w14:paraId="0AA2BCDD">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宋体" w:hAnsi="宋体" w:eastAsia="宋体" w:cs="宋体"/>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三、合同协议书的签订</w:t>
      </w:r>
    </w:p>
    <w:p w14:paraId="3DEB84F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3.1采购代理机构应当在评审结束后2个工作日内将评审报告送采购人确认。</w:t>
      </w:r>
    </w:p>
    <w:p w14:paraId="227C94E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3.2采购人应当在收到评审报告后5个工作日内，从评审报告提出的成交候选单位中，按照排序由高到低的原则确定成交供应商。</w:t>
      </w:r>
    </w:p>
    <w:p w14:paraId="2468ED2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3.3采购人或者采购代理机构应当在成交候选单位确定后2个工作日内，在指定媒体上发布成交结果公告，同时向成交单位发出成交通知书，并将磋商文件随成成交结果同时公告。</w:t>
      </w:r>
    </w:p>
    <w:p w14:paraId="40E76C9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3.4采购人与成交单位应当在成交通知书发出之日起30日内，按照磋商文件确定的合同文本以及技术和服务要求等事项签订政府采购合同。</w:t>
      </w:r>
    </w:p>
    <w:p w14:paraId="6DA30B8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3.5采购人不得向成交单位提出超出磋商文件以外的任何要求作为签订合同的条件，不得与成交单位订立背离磋商文件确定的合同文本以及技术和服务要求等实质性内容的协议。</w:t>
      </w:r>
    </w:p>
    <w:p w14:paraId="5E20F2A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3.6成交单位拒绝签订政府采购合同的，采购人可以按照《政府采购竞争性磋商采购方式管理暂行办法》第二十八条第二款规定的原则确定其他供应商作为成交单位并签订采购合同，也可以重新开展采购活动。拒绝签订采购合同的成交单位不得参加对该项目重新开展的采购活动。</w:t>
      </w:r>
    </w:p>
    <w:p w14:paraId="3DE80CF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3.7在采购活动中因重大变故，采购任务取消的，采购人或者采购代理机构应当终止采购活动，通知所有参加采购活动的供应商。</w:t>
      </w:r>
    </w:p>
    <w:p w14:paraId="746BE724">
      <w:pPr>
        <w:pageBreakBefore w:val="0"/>
        <w:widowControl w:val="0"/>
        <w:kinsoku/>
        <w:autoSpaceDE/>
        <w:bidi w:val="0"/>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644BA74A">
      <w:pPr>
        <w:pStyle w:val="2"/>
        <w:pageBreakBefore w:val="0"/>
        <w:widowControl w:val="0"/>
        <w:numPr>
          <w:ilvl w:val="0"/>
          <w:numId w:val="0"/>
        </w:numPr>
        <w:shd w:val="clear" w:color="auto" w:fill="auto"/>
        <w:tabs>
          <w:tab w:val="left" w:pos="360"/>
        </w:tabs>
        <w:kinsoku/>
        <w:autoSpaceDE/>
        <w:bidi w:val="0"/>
        <w:jc w:val="center"/>
        <w:rPr>
          <w:rFonts w:hint="eastAsia" w:asciiTheme="minorEastAsia" w:hAnsiTheme="minorEastAsia" w:eastAsiaTheme="minorEastAsia" w:cstheme="minorEastAsia"/>
          <w:color w:val="auto"/>
          <w:sz w:val="36"/>
          <w:szCs w:val="36"/>
          <w:highlight w:val="none"/>
        </w:rPr>
      </w:pPr>
      <w:bookmarkStart w:id="105" w:name="_Toc13975"/>
      <w:r>
        <w:rPr>
          <w:rFonts w:hint="eastAsia" w:asciiTheme="minorEastAsia" w:hAnsiTheme="minorEastAsia" w:eastAsiaTheme="minorEastAsia" w:cstheme="minorEastAsia"/>
          <w:color w:val="auto"/>
          <w:sz w:val="32"/>
          <w:szCs w:val="32"/>
          <w:highlight w:val="none"/>
          <w:lang w:val="en-US" w:eastAsia="zh-CN"/>
        </w:rPr>
        <w:t xml:space="preserve">第四章 </w:t>
      </w:r>
      <w:r>
        <w:rPr>
          <w:rFonts w:hint="eastAsia" w:asciiTheme="minorEastAsia" w:hAnsiTheme="minorEastAsia" w:eastAsiaTheme="minorEastAsia" w:cstheme="minorEastAsia"/>
          <w:color w:val="auto"/>
          <w:sz w:val="32"/>
          <w:szCs w:val="32"/>
          <w:highlight w:val="none"/>
        </w:rPr>
        <w:t>合同主要条款</w:t>
      </w:r>
      <w:r>
        <w:rPr>
          <w:rFonts w:hint="eastAsia" w:asciiTheme="minorEastAsia" w:hAnsiTheme="minorEastAsia" w:eastAsiaTheme="minorEastAsia" w:cstheme="minorEastAsia"/>
          <w:color w:val="auto"/>
          <w:sz w:val="32"/>
          <w:szCs w:val="32"/>
          <w:highlight w:val="none"/>
          <w:lang w:val="en-US" w:eastAsia="zh-CN"/>
        </w:rPr>
        <w:t>及</w:t>
      </w:r>
      <w:r>
        <w:rPr>
          <w:rFonts w:hint="eastAsia" w:asciiTheme="minorEastAsia" w:hAnsiTheme="minorEastAsia" w:eastAsiaTheme="minorEastAsia" w:cstheme="minorEastAsia"/>
          <w:color w:val="auto"/>
          <w:sz w:val="32"/>
          <w:szCs w:val="32"/>
          <w:highlight w:val="none"/>
        </w:rPr>
        <w:t>格式</w:t>
      </w:r>
      <w:bookmarkEnd w:id="105"/>
    </w:p>
    <w:p w14:paraId="05052D1D">
      <w:pPr>
        <w:pageBreakBefore w:val="0"/>
        <w:widowControl w:val="0"/>
        <w:shd w:val="clear" w:color="auto" w:fill="auto"/>
        <w:kinsoku/>
        <w:overflowPunct/>
        <w:autoSpaceDE/>
        <w:bidi w:val="0"/>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eastAsia="zh-CN"/>
        </w:rPr>
        <w:t>（本合同供参考，具体以实际签订合同为准）</w:t>
      </w:r>
    </w:p>
    <w:p w14:paraId="4DEBEA04">
      <w:pPr>
        <w:pStyle w:val="10"/>
        <w:pageBreakBefore w:val="0"/>
        <w:widowControl w:val="0"/>
        <w:tabs>
          <w:tab w:val="left" w:pos="6781"/>
        </w:tabs>
        <w:kinsoku/>
        <w:topLinePunct/>
        <w:autoSpaceDE/>
        <w:bidi w:val="0"/>
        <w:adjustRightInd w:val="0"/>
        <w:spacing w:before="66" w:line="480" w:lineRule="exact"/>
        <w:rPr>
          <w:rFonts w:hint="eastAsia" w:ascii="宋体" w:hAnsi="宋体" w:cs="宋体"/>
          <w:color w:val="auto"/>
          <w:highlight w:val="none"/>
        </w:rPr>
      </w:pPr>
      <w:r>
        <w:rPr>
          <w:rFonts w:hint="eastAsia" w:ascii="宋体" w:hAnsi="宋体" w:eastAsia="宋体" w:cs="宋体"/>
          <w:color w:val="auto"/>
          <w:kern w:val="2"/>
          <w:sz w:val="24"/>
          <w:szCs w:val="22"/>
          <w:highlight w:val="none"/>
          <w:lang w:val="en-US" w:eastAsia="zh-CN" w:bidi="ar-SA"/>
        </w:rPr>
        <w:t xml:space="preserve">合同编号：  </w:t>
      </w:r>
      <w:r>
        <w:rPr>
          <w:rFonts w:hint="eastAsia" w:ascii="宋体" w:hAnsi="宋体" w:cs="宋体"/>
          <w:color w:val="auto"/>
          <w:highlight w:val="none"/>
        </w:rPr>
        <w:t xml:space="preserve">                        </w:t>
      </w:r>
    </w:p>
    <w:p w14:paraId="46262837">
      <w:pPr>
        <w:pStyle w:val="51"/>
        <w:pageBreakBefore w:val="0"/>
        <w:widowControl w:val="0"/>
        <w:numPr>
          <w:ilvl w:val="0"/>
          <w:numId w:val="1"/>
        </w:numPr>
        <w:tabs>
          <w:tab w:val="left" w:pos="343"/>
        </w:tabs>
        <w:kinsoku/>
        <w:topLinePunct/>
        <w:autoSpaceDE/>
        <w:bidi w:val="0"/>
        <w:adjustRightInd w:val="0"/>
        <w:spacing w:before="173" w:line="480" w:lineRule="exact"/>
        <w:ind w:left="0" w:firstLine="480"/>
        <w:jc w:val="left"/>
        <w:rPr>
          <w:rFonts w:hint="eastAsia" w:ascii="宋体" w:hAnsi="宋体" w:cs="宋体"/>
          <w:color w:val="auto"/>
          <w:highlight w:val="none"/>
        </w:rPr>
      </w:pPr>
      <w:r>
        <w:rPr>
          <w:rFonts w:hint="eastAsia" w:ascii="宋体" w:hAnsi="宋体" w:cs="宋体"/>
          <w:color w:val="auto"/>
          <w:sz w:val="24"/>
          <w:highlight w:val="none"/>
        </w:rPr>
        <w:t>本合同须加盖甲乙双方骑缝章有效</w:t>
      </w:r>
    </w:p>
    <w:p w14:paraId="5CFF92AE">
      <w:pPr>
        <w:pStyle w:val="10"/>
        <w:pageBreakBefore w:val="0"/>
        <w:widowControl w:val="0"/>
        <w:kinsoku/>
        <w:topLinePunct/>
        <w:autoSpaceDE/>
        <w:bidi w:val="0"/>
        <w:adjustRightInd w:val="0"/>
        <w:spacing w:before="240" w:line="480" w:lineRule="exact"/>
        <w:jc w:val="center"/>
        <w:rPr>
          <w:rFonts w:hint="default"/>
          <w:color w:val="auto"/>
          <w:highlight w:val="none"/>
          <w:u w:val="single"/>
          <w:lang w:val="en-US" w:eastAsia="zh-CN"/>
        </w:rPr>
      </w:pPr>
      <w:r>
        <w:rPr>
          <w:rFonts w:hint="eastAsia" w:ascii="宋体" w:hAnsi="宋体" w:cs="宋体"/>
          <w:b/>
          <w:bCs/>
          <w:color w:val="auto"/>
          <w:sz w:val="32"/>
          <w:szCs w:val="32"/>
          <w:highlight w:val="none"/>
          <w:lang w:eastAsia="zh-CN"/>
        </w:rPr>
        <w:t>永德县永康林场国家澳洲坚果良种基地2025年中央财政林木良种培育补助项目</w:t>
      </w:r>
    </w:p>
    <w:p w14:paraId="05311238">
      <w:pPr>
        <w:pStyle w:val="10"/>
        <w:pageBreakBefore w:val="0"/>
        <w:widowControl w:val="0"/>
        <w:tabs>
          <w:tab w:val="left" w:pos="6781"/>
        </w:tabs>
        <w:kinsoku/>
        <w:topLinePunct/>
        <w:autoSpaceDE/>
        <w:bidi w:val="0"/>
        <w:adjustRightInd w:val="0"/>
        <w:spacing w:before="66" w:line="480" w:lineRule="exact"/>
        <w:jc w:val="center"/>
        <w:rPr>
          <w:rFonts w:hint="eastAsia" w:ascii="宋体" w:hAnsi="宋体" w:eastAsia="宋体" w:cs="宋体"/>
          <w:color w:val="auto"/>
          <w:kern w:val="2"/>
          <w:sz w:val="24"/>
          <w:szCs w:val="22"/>
          <w:highlight w:val="none"/>
          <w:lang w:val="en-US" w:eastAsia="zh-CN" w:bidi="ar-SA"/>
        </w:rPr>
      </w:pPr>
      <w:r>
        <w:rPr>
          <w:rFonts w:hint="eastAsia" w:ascii="宋体" w:hAnsi="宋体" w:eastAsia="宋体" w:cs="宋体"/>
          <w:color w:val="auto"/>
          <w:kern w:val="2"/>
          <w:sz w:val="24"/>
          <w:szCs w:val="22"/>
          <w:highlight w:val="none"/>
          <w:lang w:val="en-US" w:eastAsia="zh-CN" w:bidi="ar-SA"/>
        </w:rPr>
        <w:t>（委托采购）</w:t>
      </w:r>
    </w:p>
    <w:p w14:paraId="02F5D220">
      <w:pPr>
        <w:pStyle w:val="10"/>
        <w:pageBreakBefore w:val="0"/>
        <w:widowControl w:val="0"/>
        <w:kinsoku/>
        <w:topLinePunct/>
        <w:autoSpaceDE/>
        <w:bidi w:val="0"/>
        <w:adjustRightInd w:val="0"/>
        <w:spacing w:line="480" w:lineRule="exact"/>
        <w:rPr>
          <w:rFonts w:hint="eastAsia" w:ascii="宋体" w:hAnsi="宋体" w:cs="宋体"/>
          <w:color w:val="auto"/>
          <w:highlight w:val="none"/>
        </w:rPr>
      </w:pPr>
    </w:p>
    <w:p w14:paraId="0DC1AB9A">
      <w:pPr>
        <w:pageBreakBefore w:val="0"/>
        <w:widowControl w:val="0"/>
        <w:kinsoku/>
        <w:autoSpaceDE/>
        <w:bidi w:val="0"/>
        <w:rPr>
          <w:rFonts w:hint="eastAsia"/>
          <w:color w:val="auto"/>
          <w:highlight w:val="none"/>
        </w:rPr>
      </w:pPr>
    </w:p>
    <w:p w14:paraId="680EE2C5">
      <w:pPr>
        <w:pageBreakBefore w:val="0"/>
        <w:widowControl w:val="0"/>
        <w:kinsoku/>
        <w:topLinePunct/>
        <w:autoSpaceDE/>
        <w:bidi w:val="0"/>
        <w:adjustRightInd w:val="0"/>
        <w:spacing w:line="360" w:lineRule="auto"/>
        <w:ind w:right="3901"/>
        <w:jc w:val="center"/>
        <w:rPr>
          <w:rFonts w:hint="eastAsia" w:ascii="宋体" w:hAnsi="宋体" w:cs="宋体"/>
          <w:color w:val="auto"/>
          <w:sz w:val="63"/>
          <w:szCs w:val="22"/>
          <w:highlight w:val="none"/>
        </w:rPr>
      </w:pPr>
      <w:r>
        <w:rPr>
          <w:rFonts w:hint="eastAsia" w:ascii="宋体" w:hAnsi="宋体" w:cs="宋体"/>
          <w:color w:val="auto"/>
          <w:sz w:val="63"/>
          <w:highlight w:val="none"/>
        </w:rPr>
        <w:t xml:space="preserve">            </w:t>
      </w:r>
      <w:r>
        <w:rPr>
          <w:rFonts w:hint="eastAsia" w:ascii="宋体" w:hAnsi="宋体" w:cs="宋体"/>
          <w:color w:val="auto"/>
          <w:sz w:val="63"/>
          <w:szCs w:val="22"/>
          <w:highlight w:val="none"/>
        </w:rPr>
        <w:t xml:space="preserve">服          </w:t>
      </w:r>
    </w:p>
    <w:p w14:paraId="343A1DF7">
      <w:pPr>
        <w:pageBreakBefore w:val="0"/>
        <w:widowControl w:val="0"/>
        <w:kinsoku/>
        <w:topLinePunct/>
        <w:autoSpaceDE/>
        <w:bidi w:val="0"/>
        <w:adjustRightInd w:val="0"/>
        <w:spacing w:line="360" w:lineRule="auto"/>
        <w:ind w:right="3901"/>
        <w:jc w:val="center"/>
        <w:rPr>
          <w:rFonts w:hint="eastAsia" w:ascii="宋体" w:hAnsi="宋体" w:cs="宋体"/>
          <w:color w:val="auto"/>
          <w:sz w:val="63"/>
          <w:szCs w:val="22"/>
          <w:highlight w:val="none"/>
        </w:rPr>
      </w:pPr>
      <w:r>
        <w:rPr>
          <w:rFonts w:hint="eastAsia" w:ascii="宋体" w:hAnsi="宋体" w:cs="宋体"/>
          <w:color w:val="auto"/>
          <w:sz w:val="63"/>
          <w:szCs w:val="22"/>
          <w:highlight w:val="none"/>
        </w:rPr>
        <w:t xml:space="preserve">            务</w:t>
      </w:r>
    </w:p>
    <w:p w14:paraId="257FFEA7">
      <w:pPr>
        <w:pageBreakBefore w:val="0"/>
        <w:widowControl w:val="0"/>
        <w:kinsoku/>
        <w:topLinePunct/>
        <w:autoSpaceDE/>
        <w:bidi w:val="0"/>
        <w:adjustRightInd w:val="0"/>
        <w:spacing w:line="360" w:lineRule="auto"/>
        <w:ind w:right="3901"/>
        <w:jc w:val="center"/>
        <w:rPr>
          <w:rFonts w:hint="eastAsia" w:ascii="宋体" w:hAnsi="宋体" w:cs="宋体"/>
          <w:color w:val="auto"/>
          <w:sz w:val="63"/>
          <w:szCs w:val="22"/>
          <w:highlight w:val="none"/>
        </w:rPr>
      </w:pPr>
      <w:r>
        <w:rPr>
          <w:rFonts w:hint="eastAsia" w:ascii="宋体" w:hAnsi="宋体" w:cs="宋体"/>
          <w:color w:val="auto"/>
          <w:sz w:val="63"/>
          <w:szCs w:val="22"/>
          <w:highlight w:val="none"/>
        </w:rPr>
        <w:t xml:space="preserve">            合</w:t>
      </w:r>
    </w:p>
    <w:p w14:paraId="316DB450">
      <w:pPr>
        <w:pageBreakBefore w:val="0"/>
        <w:widowControl w:val="0"/>
        <w:kinsoku/>
        <w:topLinePunct/>
        <w:autoSpaceDE/>
        <w:bidi w:val="0"/>
        <w:adjustRightInd w:val="0"/>
        <w:spacing w:line="360" w:lineRule="auto"/>
        <w:ind w:right="3901"/>
        <w:jc w:val="center"/>
        <w:rPr>
          <w:rFonts w:hint="eastAsia" w:ascii="宋体" w:hAnsi="宋体" w:cs="宋体"/>
          <w:color w:val="auto"/>
          <w:sz w:val="63"/>
          <w:highlight w:val="none"/>
        </w:rPr>
      </w:pPr>
      <w:r>
        <w:rPr>
          <w:rFonts w:hint="eastAsia" w:ascii="宋体" w:hAnsi="宋体" w:cs="宋体"/>
          <w:color w:val="auto"/>
          <w:sz w:val="63"/>
          <w:highlight w:val="none"/>
        </w:rPr>
        <w:t xml:space="preserve">            同</w:t>
      </w:r>
    </w:p>
    <w:p w14:paraId="3C90390E">
      <w:pPr>
        <w:pStyle w:val="10"/>
        <w:pageBreakBefore w:val="0"/>
        <w:widowControl w:val="0"/>
        <w:kinsoku/>
        <w:topLinePunct/>
        <w:autoSpaceDE/>
        <w:bidi w:val="0"/>
        <w:adjustRightInd w:val="0"/>
        <w:spacing w:before="1" w:line="480" w:lineRule="exact"/>
        <w:rPr>
          <w:rFonts w:hint="eastAsia" w:ascii="宋体" w:hAnsi="宋体" w:cs="宋体"/>
          <w:color w:val="auto"/>
          <w:sz w:val="24"/>
          <w:szCs w:val="24"/>
          <w:highlight w:val="none"/>
        </w:rPr>
      </w:pPr>
    </w:p>
    <w:p w14:paraId="72904D8B">
      <w:pPr>
        <w:pStyle w:val="10"/>
        <w:pageBreakBefore w:val="0"/>
        <w:widowControl w:val="0"/>
        <w:kinsoku/>
        <w:autoSpaceDE/>
        <w:bidi w:val="0"/>
        <w:rPr>
          <w:rFonts w:hint="eastAsia"/>
          <w:color w:val="auto"/>
          <w:highlight w:val="none"/>
        </w:rPr>
      </w:pPr>
    </w:p>
    <w:p w14:paraId="5D742133">
      <w:pPr>
        <w:pStyle w:val="10"/>
        <w:pageBreakBefore w:val="0"/>
        <w:widowControl w:val="0"/>
        <w:kinsoku/>
        <w:autoSpaceDE/>
        <w:bidi w:val="0"/>
        <w:rPr>
          <w:rFonts w:hint="eastAsia" w:ascii="宋体" w:hAnsi="宋体" w:cs="宋体"/>
          <w:color w:val="auto"/>
          <w:sz w:val="24"/>
          <w:szCs w:val="24"/>
          <w:highlight w:val="none"/>
        </w:rPr>
      </w:pPr>
    </w:p>
    <w:p w14:paraId="0A9E2BF6">
      <w:pPr>
        <w:pageBreakBefore w:val="0"/>
        <w:widowControl w:val="0"/>
        <w:kinsoku/>
        <w:autoSpaceDE/>
        <w:bidi w:val="0"/>
        <w:rPr>
          <w:rFonts w:hint="eastAsia"/>
          <w:color w:val="auto"/>
          <w:highlight w:val="none"/>
        </w:rPr>
      </w:pPr>
    </w:p>
    <w:p w14:paraId="1ADFBE19">
      <w:pPr>
        <w:pageBreakBefore w:val="0"/>
        <w:widowControl w:val="0"/>
        <w:tabs>
          <w:tab w:val="left" w:pos="2673"/>
        </w:tabs>
        <w:kinsoku/>
        <w:topLinePunct/>
        <w:autoSpaceDE/>
        <w:bidi w:val="0"/>
        <w:adjustRightInd w:val="0"/>
        <w:spacing w:line="480" w:lineRule="exact"/>
        <w:jc w:val="center"/>
        <w:rPr>
          <w:rFonts w:hint="eastAsia" w:ascii="宋体" w:hAnsi="宋体" w:eastAsia="宋体" w:cs="宋体"/>
          <w:b/>
          <w:bCs/>
          <w:color w:val="auto"/>
          <w:spacing w:val="5"/>
          <w:sz w:val="30"/>
          <w:szCs w:val="30"/>
          <w:highlight w:val="none"/>
          <w:lang w:eastAsia="zh-CN"/>
        </w:rPr>
      </w:pPr>
      <w:r>
        <w:rPr>
          <w:rFonts w:hint="eastAsia" w:ascii="宋体" w:hAnsi="宋体" w:cs="宋体"/>
          <w:b/>
          <w:bCs/>
          <w:color w:val="auto"/>
          <w:spacing w:val="5"/>
          <w:sz w:val="30"/>
          <w:szCs w:val="30"/>
          <w:highlight w:val="none"/>
        </w:rPr>
        <w:t>签订地点</w:t>
      </w:r>
      <w:r>
        <w:rPr>
          <w:rFonts w:hint="eastAsia" w:ascii="宋体" w:hAnsi="宋体" w:cs="宋体"/>
          <w:b/>
          <w:bCs/>
          <w:color w:val="auto"/>
          <w:spacing w:val="5"/>
          <w:sz w:val="30"/>
          <w:szCs w:val="30"/>
          <w:highlight w:val="none"/>
          <w:lang w:eastAsia="zh-CN"/>
        </w:rPr>
        <w:t>：永德县林业和草原局</w:t>
      </w:r>
    </w:p>
    <w:p w14:paraId="1F544653">
      <w:pPr>
        <w:pStyle w:val="23"/>
        <w:pageBreakBefore w:val="0"/>
        <w:widowControl w:val="0"/>
        <w:kinsoku/>
        <w:autoSpaceDE/>
        <w:bidi w:val="0"/>
        <w:rPr>
          <w:rFonts w:hint="eastAsia" w:ascii="宋体" w:hAnsi="宋体" w:cs="宋体"/>
          <w:b/>
          <w:bCs/>
          <w:color w:val="auto"/>
          <w:spacing w:val="5"/>
          <w:sz w:val="30"/>
          <w:szCs w:val="30"/>
          <w:highlight w:val="none"/>
        </w:rPr>
      </w:pPr>
    </w:p>
    <w:p w14:paraId="0FC2CDA4">
      <w:pPr>
        <w:pStyle w:val="23"/>
        <w:pageBreakBefore w:val="0"/>
        <w:widowControl w:val="0"/>
        <w:kinsoku/>
        <w:autoSpaceDE/>
        <w:bidi w:val="0"/>
        <w:rPr>
          <w:rFonts w:hint="eastAsia" w:ascii="宋体" w:hAnsi="宋体" w:cs="宋体"/>
          <w:b/>
          <w:bCs/>
          <w:color w:val="auto"/>
          <w:spacing w:val="5"/>
          <w:sz w:val="30"/>
          <w:szCs w:val="30"/>
          <w:highlight w:val="none"/>
        </w:rPr>
      </w:pPr>
    </w:p>
    <w:p w14:paraId="6A120C62">
      <w:pPr>
        <w:pStyle w:val="23"/>
        <w:pageBreakBefore w:val="0"/>
        <w:widowControl w:val="0"/>
        <w:kinsoku/>
        <w:autoSpaceDE/>
        <w:bidi w:val="0"/>
        <w:rPr>
          <w:rFonts w:hint="eastAsia" w:ascii="宋体" w:hAnsi="宋体" w:cs="宋体"/>
          <w:b/>
          <w:bCs/>
          <w:color w:val="auto"/>
          <w:spacing w:val="5"/>
          <w:sz w:val="30"/>
          <w:szCs w:val="30"/>
          <w:highlight w:val="none"/>
        </w:rPr>
        <w:sectPr>
          <w:footerReference r:id="rId10" w:type="default"/>
          <w:pgSz w:w="11906" w:h="16838"/>
          <w:pgMar w:top="1440" w:right="1440" w:bottom="1440" w:left="1440" w:header="850" w:footer="992" w:gutter="0"/>
          <w:pgNumType w:fmt="decimal" w:start="1"/>
          <w:cols w:space="0" w:num="1"/>
          <w:rtlGutter w:val="0"/>
          <w:docGrid w:linePitch="312" w:charSpace="0"/>
        </w:sectPr>
      </w:pPr>
    </w:p>
    <w:p w14:paraId="75F36F87">
      <w:pPr>
        <w:keepNext w:val="0"/>
        <w:keepLines w:val="0"/>
        <w:pageBreakBefore w:val="0"/>
        <w:widowControl w:val="0"/>
        <w:kinsoku/>
        <w:wordWrap/>
        <w:overflowPunct/>
        <w:topLinePunct w:val="0"/>
        <w:autoSpaceDE/>
        <w:bidi w:val="0"/>
        <w:adjustRightInd/>
        <w:snapToGrid/>
        <w:spacing w:line="48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委托方（以下称甲方）：</w:t>
      </w:r>
      <w:r>
        <w:rPr>
          <w:rFonts w:hint="eastAsia" w:ascii="宋体" w:hAnsi="宋体" w:eastAsia="宋体" w:cs="宋体"/>
          <w:color w:val="auto"/>
          <w:sz w:val="24"/>
          <w:szCs w:val="24"/>
          <w:highlight w:val="none"/>
          <w:u w:val="single"/>
        </w:rPr>
        <w:t xml:space="preserve">                           </w:t>
      </w:r>
    </w:p>
    <w:p w14:paraId="4CBC336A">
      <w:pPr>
        <w:keepNext w:val="0"/>
        <w:keepLines w:val="0"/>
        <w:pageBreakBefore w:val="0"/>
        <w:widowControl w:val="0"/>
        <w:kinsoku/>
        <w:wordWrap/>
        <w:overflowPunct/>
        <w:topLinePunct w:val="0"/>
        <w:autoSpaceDE/>
        <w:bidi w:val="0"/>
        <w:adjustRightInd/>
        <w:snapToGrid/>
        <w:spacing w:line="480" w:lineRule="exact"/>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受托方（以下称乙方）：</w:t>
      </w:r>
      <w:r>
        <w:rPr>
          <w:rFonts w:hint="eastAsia" w:ascii="宋体" w:hAnsi="宋体" w:eastAsia="宋体" w:cs="宋体"/>
          <w:color w:val="auto"/>
          <w:sz w:val="24"/>
          <w:szCs w:val="24"/>
          <w:highlight w:val="none"/>
          <w:u w:val="single"/>
        </w:rPr>
        <w:t xml:space="preserve">                           </w:t>
      </w:r>
    </w:p>
    <w:p w14:paraId="3051875A">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相关法律、法规和规章的规定，双方就</w:t>
      </w:r>
      <w:r>
        <w:rPr>
          <w:rFonts w:hint="eastAsia" w:ascii="宋体" w:hAnsi="宋体" w:cs="宋体"/>
          <w:color w:val="auto"/>
          <w:sz w:val="24"/>
          <w:szCs w:val="24"/>
          <w:highlight w:val="none"/>
          <w:lang w:eastAsia="zh-CN"/>
        </w:rPr>
        <w:t>永德县永康林场国家澳洲坚果良种基地2025年中央财政林木良种培育补助项目</w:t>
      </w:r>
      <w:r>
        <w:rPr>
          <w:rFonts w:hint="eastAsia" w:ascii="宋体" w:hAnsi="宋体" w:cs="宋体"/>
          <w:color w:val="auto"/>
          <w:sz w:val="24"/>
          <w:szCs w:val="24"/>
          <w:highlight w:val="none"/>
          <w:lang w:val="en-US" w:eastAsia="zh-CN"/>
        </w:rPr>
        <w:t>磋商</w:t>
      </w:r>
      <w:r>
        <w:rPr>
          <w:rFonts w:hint="eastAsia" w:ascii="宋体" w:hAnsi="宋体" w:eastAsia="宋体" w:cs="宋体"/>
          <w:color w:val="auto"/>
          <w:sz w:val="24"/>
          <w:szCs w:val="24"/>
          <w:highlight w:val="none"/>
        </w:rPr>
        <w:t>结果，本着公开、公平、诚实信用的原则，经双方协商一致，特订立如下合同，以资双方共同遵守。</w:t>
      </w:r>
    </w:p>
    <w:p w14:paraId="2D419BBD">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一、服务内容</w:t>
      </w:r>
    </w:p>
    <w:p w14:paraId="586273B9">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6CAEF88">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二、服务标准</w:t>
      </w:r>
    </w:p>
    <w:p w14:paraId="7863B34F">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5AD9E806">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服务地点</w:t>
      </w:r>
    </w:p>
    <w:p w14:paraId="0D8D750D">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76A20B3">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en-US" w:eastAsia="zh-CN"/>
        </w:rPr>
        <w:t>验收标准</w:t>
      </w:r>
    </w:p>
    <w:p w14:paraId="0147844C">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cs="宋体"/>
          <w:b/>
          <w:bCs/>
          <w:color w:val="auto"/>
          <w:sz w:val="24"/>
          <w:szCs w:val="24"/>
          <w:highlight w:val="none"/>
          <w:lang w:val="en-US" w:eastAsia="zh-CN"/>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40999BAF">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五、合同履约期限</w:t>
      </w:r>
    </w:p>
    <w:p w14:paraId="28640F05">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w:t>
      </w:r>
    </w:p>
    <w:p w14:paraId="2B3ACEA3">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六</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合同价款、支付和结算方式</w:t>
      </w:r>
    </w:p>
    <w:p w14:paraId="2377BD8D">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（一）合同价款</w:t>
      </w:r>
    </w:p>
    <w:p w14:paraId="4617604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小写</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9983D9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注：本项目服务费采用包干价结算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合同价款包括乙方为甲方提供本项目服务产生的所有费用，</w:t>
      </w:r>
      <w:r>
        <w:rPr>
          <w:rFonts w:hint="eastAsia" w:ascii="宋体" w:hAnsi="宋体" w:eastAsia="宋体" w:cs="宋体"/>
          <w:color w:val="auto"/>
          <w:sz w:val="24"/>
          <w:szCs w:val="24"/>
          <w:highlight w:val="none"/>
          <w:lang w:val="en-US" w:eastAsia="zh-CN"/>
        </w:rPr>
        <w:t>包括但不限于：人工费、差旅费、</w:t>
      </w:r>
      <w:r>
        <w:rPr>
          <w:rFonts w:hint="eastAsia" w:ascii="宋体" w:hAnsi="宋体" w:cs="宋体"/>
          <w:color w:val="auto"/>
          <w:sz w:val="24"/>
          <w:szCs w:val="24"/>
          <w:highlight w:val="none"/>
          <w:lang w:val="en-US" w:eastAsia="zh-CN"/>
        </w:rPr>
        <w:t>勘察费、</w:t>
      </w:r>
      <w:r>
        <w:rPr>
          <w:rFonts w:hint="eastAsia" w:ascii="宋体" w:hAnsi="宋体" w:eastAsia="宋体" w:cs="宋体"/>
          <w:color w:val="auto"/>
          <w:sz w:val="24"/>
          <w:szCs w:val="24"/>
          <w:highlight w:val="none"/>
          <w:lang w:val="en-US" w:eastAsia="zh-CN"/>
        </w:rPr>
        <w:t>资料收集及现场调查产生的费用、成果资料编制及打印费、装订费、材料费、成果报批费、管理费、</w:t>
      </w:r>
      <w:r>
        <w:rPr>
          <w:rFonts w:hint="eastAsia" w:ascii="宋体" w:hAnsi="宋体" w:cs="宋体"/>
          <w:color w:val="auto"/>
          <w:sz w:val="24"/>
          <w:szCs w:val="24"/>
          <w:highlight w:val="none"/>
          <w:lang w:val="en-US" w:eastAsia="zh-CN"/>
        </w:rPr>
        <w:t>安全文明生产费、</w:t>
      </w:r>
      <w:r>
        <w:rPr>
          <w:rFonts w:hint="eastAsia" w:ascii="宋体" w:hAnsi="宋体" w:eastAsia="宋体" w:cs="宋体"/>
          <w:color w:val="auto"/>
          <w:sz w:val="24"/>
          <w:szCs w:val="24"/>
          <w:highlight w:val="none"/>
          <w:lang w:val="en-US" w:eastAsia="zh-CN"/>
        </w:rPr>
        <w:t>保险费、利润、税费等</w:t>
      </w:r>
      <w:r>
        <w:rPr>
          <w:rFonts w:hint="eastAsia" w:ascii="宋体" w:hAnsi="宋体" w:eastAsia="宋体" w:cs="宋体"/>
          <w:color w:val="auto"/>
          <w:sz w:val="24"/>
          <w:szCs w:val="24"/>
          <w:highlight w:val="none"/>
        </w:rPr>
        <w:t>，该</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价</w:t>
      </w:r>
      <w:r>
        <w:rPr>
          <w:rFonts w:hint="eastAsia" w:ascii="宋体" w:hAnsi="宋体" w:cs="宋体"/>
          <w:color w:val="auto"/>
          <w:sz w:val="24"/>
          <w:szCs w:val="24"/>
          <w:highlight w:val="none"/>
          <w:lang w:val="en-US" w:eastAsia="zh-CN"/>
        </w:rPr>
        <w:t>已</w:t>
      </w:r>
      <w:r>
        <w:rPr>
          <w:rFonts w:hint="eastAsia" w:ascii="宋体" w:hAnsi="宋体" w:eastAsia="宋体" w:cs="宋体"/>
          <w:color w:val="auto"/>
          <w:sz w:val="24"/>
          <w:szCs w:val="24"/>
          <w:highlight w:val="none"/>
        </w:rPr>
        <w:t>充分考虑市场风险、价格风险、政策风险、汇率风险等所有因素。</w:t>
      </w:r>
      <w:r>
        <w:rPr>
          <w:rFonts w:hint="eastAsia" w:ascii="宋体" w:hAnsi="宋体" w:cs="宋体"/>
          <w:color w:val="auto"/>
          <w:sz w:val="24"/>
          <w:szCs w:val="24"/>
          <w:highlight w:val="none"/>
          <w:lang w:val="en-US" w:eastAsia="zh-CN"/>
        </w:rPr>
        <w:t>该合同</w:t>
      </w:r>
      <w:r>
        <w:rPr>
          <w:rFonts w:hint="eastAsia" w:ascii="宋体" w:hAnsi="宋体" w:eastAsia="宋体" w:cs="宋体"/>
          <w:color w:val="auto"/>
          <w:sz w:val="24"/>
          <w:szCs w:val="24"/>
          <w:highlight w:val="none"/>
        </w:rPr>
        <w:t>价在合同期内不予调整。</w:t>
      </w:r>
    </w:p>
    <w:p w14:paraId="0762052F">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（二）支付和结算方式</w:t>
      </w:r>
    </w:p>
    <w:p w14:paraId="4654D8AE">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 合同签订时双方另行协商 </w:t>
      </w:r>
      <w:r>
        <w:rPr>
          <w:rFonts w:hint="eastAsia" w:ascii="宋体" w:hAnsi="宋体" w:eastAsia="宋体" w:cs="宋体"/>
          <w:color w:val="auto"/>
          <w:sz w:val="24"/>
          <w:szCs w:val="24"/>
          <w:highlight w:val="none"/>
        </w:rPr>
        <w:t>。</w:t>
      </w:r>
    </w:p>
    <w:p w14:paraId="540A8874">
      <w:pPr>
        <w:keepNext w:val="0"/>
        <w:keepLines w:val="0"/>
        <w:pageBreakBefore w:val="0"/>
        <w:widowControl w:val="0"/>
        <w:numPr>
          <w:ilvl w:val="0"/>
          <w:numId w:val="2"/>
        </w:numPr>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乙方派往本项目的服务团队人员</w:t>
      </w:r>
    </w:p>
    <w:p w14:paraId="1AC4D229">
      <w:pPr>
        <w:keepNext w:val="0"/>
        <w:keepLines w:val="0"/>
        <w:pageBreakBefore w:val="0"/>
        <w:widowControl w:val="0"/>
        <w:numPr>
          <w:ilvl w:val="0"/>
          <w:numId w:val="0"/>
        </w:numPr>
        <w:kinsoku/>
        <w:wordWrap/>
        <w:overflowPunct/>
        <w:topLinePunct w:val="0"/>
        <w:autoSpaceDE/>
        <w:bidi w:val="0"/>
        <w:adjustRightInd/>
        <w:snapToGrid/>
        <w:spacing w:line="480" w:lineRule="exact"/>
        <w:textAlignment w:val="auto"/>
        <w:rPr>
          <w:rFonts w:hint="eastAsia" w:ascii="宋体" w:hAnsi="宋体" w:eastAsia="宋体" w:cs="宋体"/>
          <w:b/>
          <w:bCs/>
          <w:color w:val="auto"/>
          <w:sz w:val="24"/>
          <w:szCs w:val="24"/>
          <w:highlight w:val="none"/>
        </w:rPr>
      </w:pP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5"/>
        <w:gridCol w:w="1897"/>
        <w:gridCol w:w="3787"/>
        <w:gridCol w:w="2451"/>
      </w:tblGrid>
      <w:tr w14:paraId="20052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564" w:type="pct"/>
            <w:noWrap w:val="0"/>
            <w:vAlign w:val="center"/>
          </w:tcPr>
          <w:p w14:paraId="0F299908">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34" w:type="pct"/>
            <w:noWrap w:val="0"/>
            <w:vAlign w:val="center"/>
          </w:tcPr>
          <w:p w14:paraId="194267CB">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2064" w:type="pct"/>
            <w:noWrap w:val="0"/>
            <w:vAlign w:val="center"/>
          </w:tcPr>
          <w:p w14:paraId="40214D1D">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p>
        </w:tc>
        <w:tc>
          <w:tcPr>
            <w:tcW w:w="1336" w:type="pct"/>
            <w:noWrap w:val="0"/>
            <w:vAlign w:val="center"/>
          </w:tcPr>
          <w:p w14:paraId="4516C665">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left="0" w:leftChars="0" w:firstLine="0" w:firstLine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94F5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564" w:type="pct"/>
            <w:noWrap w:val="0"/>
            <w:vAlign w:val="center"/>
          </w:tcPr>
          <w:p w14:paraId="79A7CE95">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1034" w:type="pct"/>
            <w:noWrap w:val="0"/>
            <w:vAlign w:val="center"/>
          </w:tcPr>
          <w:p w14:paraId="5AAA9B0C">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2064" w:type="pct"/>
            <w:noWrap w:val="0"/>
            <w:vAlign w:val="center"/>
          </w:tcPr>
          <w:p w14:paraId="02C3B765">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1336" w:type="pct"/>
            <w:noWrap w:val="0"/>
            <w:vAlign w:val="center"/>
          </w:tcPr>
          <w:p w14:paraId="1C618D7D">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r>
      <w:tr w14:paraId="598F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exact"/>
          <w:jc w:val="center"/>
        </w:trPr>
        <w:tc>
          <w:tcPr>
            <w:tcW w:w="564" w:type="pct"/>
            <w:noWrap w:val="0"/>
            <w:vAlign w:val="center"/>
          </w:tcPr>
          <w:p w14:paraId="402F1C05">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1034" w:type="pct"/>
            <w:noWrap w:val="0"/>
            <w:vAlign w:val="center"/>
          </w:tcPr>
          <w:p w14:paraId="6FB4C835">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2064" w:type="pct"/>
            <w:noWrap w:val="0"/>
            <w:vAlign w:val="center"/>
          </w:tcPr>
          <w:p w14:paraId="0098BA9F">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c>
          <w:tcPr>
            <w:tcW w:w="1336" w:type="pct"/>
            <w:noWrap w:val="0"/>
            <w:vAlign w:val="center"/>
          </w:tcPr>
          <w:p w14:paraId="3FA763E6">
            <w:pPr>
              <w:pStyle w:val="24"/>
              <w:keepNext w:val="0"/>
              <w:keepLines w:val="0"/>
              <w:pageBreakBefore w:val="0"/>
              <w:widowControl w:val="0"/>
              <w:tabs>
                <w:tab w:val="left" w:pos="930"/>
              </w:tabs>
              <w:kinsoku/>
              <w:wordWrap/>
              <w:overflowPunct/>
              <w:topLinePunct w:val="0"/>
              <w:autoSpaceDE/>
              <w:bidi w:val="0"/>
              <w:adjustRightInd/>
              <w:snapToGrid/>
              <w:spacing w:after="0" w:afterLines="0" w:line="480" w:lineRule="exact"/>
              <w:ind w:firstLine="480"/>
              <w:jc w:val="center"/>
              <w:textAlignment w:val="auto"/>
              <w:rPr>
                <w:rFonts w:hint="eastAsia" w:ascii="宋体" w:hAnsi="宋体" w:eastAsia="宋体" w:cs="宋体"/>
                <w:color w:val="auto"/>
                <w:sz w:val="24"/>
                <w:szCs w:val="24"/>
                <w:highlight w:val="none"/>
              </w:rPr>
            </w:pPr>
          </w:p>
        </w:tc>
      </w:tr>
    </w:tbl>
    <w:p w14:paraId="40A60DB5">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val="en-US" w:eastAsia="zh-CN"/>
        </w:rPr>
        <w:t>甲乙双方项目负责人</w:t>
      </w:r>
    </w:p>
    <w:p w14:paraId="383E01F6">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（一）甲方指定的项目联系人：</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，联系电话：</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55D9E242">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）乙</w:t>
      </w:r>
      <w:r>
        <w:rPr>
          <w:rFonts w:hint="eastAsia" w:ascii="宋体" w:hAnsi="宋体" w:eastAsia="宋体" w:cs="宋体"/>
          <w:color w:val="auto"/>
          <w:sz w:val="24"/>
          <w:szCs w:val="24"/>
          <w:highlight w:val="none"/>
        </w:rPr>
        <w:t>方指定的项目联系人：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DEF1322">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十、</w:t>
      </w:r>
      <w:r>
        <w:rPr>
          <w:rFonts w:hint="eastAsia" w:ascii="宋体" w:hAnsi="宋体" w:eastAsia="宋体" w:cs="宋体"/>
          <w:b/>
          <w:bCs/>
          <w:color w:val="auto"/>
          <w:sz w:val="24"/>
          <w:szCs w:val="24"/>
          <w:highlight w:val="none"/>
          <w:lang w:val="en-US" w:eastAsia="zh-CN"/>
        </w:rPr>
        <w:t>权利和</w:t>
      </w:r>
      <w:r>
        <w:rPr>
          <w:rFonts w:hint="eastAsia" w:ascii="宋体" w:hAnsi="宋体" w:eastAsia="宋体" w:cs="宋体"/>
          <w:b/>
          <w:bCs/>
          <w:color w:val="auto"/>
          <w:sz w:val="24"/>
          <w:szCs w:val="24"/>
          <w:highlight w:val="none"/>
        </w:rPr>
        <w:t>义务</w:t>
      </w:r>
    </w:p>
    <w:p w14:paraId="26B6258D">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（一）甲方的权利和义务</w:t>
      </w:r>
    </w:p>
    <w:p w14:paraId="2BAC9053">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1.甲方有权要求乙方提供优质的服务。</w:t>
      </w:r>
    </w:p>
    <w:p w14:paraId="09110EAC">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2.甲方有权对乙方工作进度、流程等事项进行监督，并有权要求乙方按照本</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约定履行义务，如出现因乙方原因导致</w:t>
      </w:r>
      <w:r>
        <w:rPr>
          <w:rFonts w:hint="eastAsia" w:ascii="宋体" w:hAnsi="宋体" w:cs="宋体"/>
          <w:color w:val="auto"/>
          <w:sz w:val="24"/>
          <w:szCs w:val="24"/>
          <w:highlight w:val="none"/>
          <w:lang w:val="en-US" w:eastAsia="zh-CN"/>
        </w:rPr>
        <w:t>调查</w:t>
      </w:r>
      <w:r>
        <w:rPr>
          <w:rFonts w:hint="eastAsia" w:ascii="宋体" w:hAnsi="宋体" w:eastAsia="宋体" w:cs="宋体"/>
          <w:color w:val="auto"/>
          <w:sz w:val="24"/>
          <w:szCs w:val="24"/>
          <w:highlight w:val="none"/>
        </w:rPr>
        <w:t>进度迟延、逾期提交</w:t>
      </w:r>
      <w:r>
        <w:rPr>
          <w:rFonts w:hint="eastAsia" w:ascii="宋体" w:hAnsi="宋体" w:cs="宋体"/>
          <w:color w:val="auto"/>
          <w:kern w:val="0"/>
          <w:sz w:val="24"/>
          <w:szCs w:val="24"/>
          <w:highlight w:val="none"/>
          <w:lang w:val="en-US" w:eastAsia="zh-CN"/>
        </w:rPr>
        <w:t>成果资料</w:t>
      </w:r>
      <w:r>
        <w:rPr>
          <w:rFonts w:hint="eastAsia" w:ascii="宋体" w:hAnsi="宋体" w:eastAsia="宋体" w:cs="宋体"/>
          <w:color w:val="auto"/>
          <w:sz w:val="24"/>
          <w:szCs w:val="24"/>
          <w:highlight w:val="none"/>
        </w:rPr>
        <w:t>的，甲方有权要求乙方进行改正，并有权要求乙方赔偿由此给甲方造成的直接经济损失。</w:t>
      </w:r>
    </w:p>
    <w:p w14:paraId="46D695F8">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3.甲方应及时向乙方提供履行本</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范围内所需的信息和内部相关资料，保证所提供的资料及信息及时、准确、真实、完整。</w:t>
      </w:r>
    </w:p>
    <w:p w14:paraId="08A54672">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.在</w:t>
      </w:r>
      <w:r>
        <w:rPr>
          <w:rFonts w:hint="eastAsia" w:ascii="宋体" w:hAnsi="宋体" w:cs="宋体"/>
          <w:color w:val="auto"/>
          <w:sz w:val="24"/>
          <w:szCs w:val="24"/>
          <w:highlight w:val="none"/>
          <w:lang w:val="en-US" w:eastAsia="zh-CN"/>
        </w:rPr>
        <w:t>项目实施</w:t>
      </w:r>
      <w:r>
        <w:rPr>
          <w:rFonts w:hint="eastAsia" w:ascii="宋体" w:hAnsi="宋体" w:eastAsia="宋体" w:cs="宋体"/>
          <w:color w:val="auto"/>
          <w:sz w:val="24"/>
          <w:szCs w:val="24"/>
          <w:highlight w:val="none"/>
        </w:rPr>
        <w:t>过程中发现乙方未按本合同约定提供</w:t>
      </w:r>
      <w:r>
        <w:rPr>
          <w:rFonts w:hint="eastAsia" w:ascii="宋体" w:hAnsi="宋体" w:cs="宋体"/>
          <w:color w:val="auto"/>
          <w:sz w:val="24"/>
          <w:szCs w:val="24"/>
          <w:highlight w:val="none"/>
          <w:lang w:val="en-US" w:eastAsia="zh-CN"/>
        </w:rPr>
        <w:t>合同约定的</w:t>
      </w:r>
      <w:r>
        <w:rPr>
          <w:rFonts w:hint="eastAsia" w:ascii="宋体" w:hAnsi="宋体" w:eastAsia="宋体" w:cs="宋体"/>
          <w:color w:val="auto"/>
          <w:sz w:val="24"/>
          <w:szCs w:val="24"/>
          <w:highlight w:val="none"/>
        </w:rPr>
        <w:t>服务，或未按相关</w:t>
      </w:r>
      <w:r>
        <w:rPr>
          <w:rFonts w:hint="eastAsia" w:ascii="宋体" w:hAnsi="宋体" w:cs="宋体"/>
          <w:color w:val="auto"/>
          <w:sz w:val="24"/>
          <w:szCs w:val="24"/>
          <w:highlight w:val="none"/>
          <w:lang w:val="en-US" w:eastAsia="zh-CN"/>
        </w:rPr>
        <w:t>标准</w:t>
      </w:r>
      <w:r>
        <w:rPr>
          <w:rFonts w:hint="eastAsia" w:ascii="宋体" w:hAnsi="宋体" w:eastAsia="宋体" w:cs="宋体"/>
          <w:color w:val="auto"/>
          <w:sz w:val="24"/>
          <w:szCs w:val="24"/>
          <w:highlight w:val="none"/>
        </w:rPr>
        <w:t>提供相关服务，甲方有权单方解除合同，并拒绝支付相关项目服务费。</w:t>
      </w:r>
    </w:p>
    <w:p w14:paraId="5ACE4C31">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.甲方有权要求乙方按</w:t>
      </w:r>
      <w:r>
        <w:rPr>
          <w:rFonts w:hint="eastAsia" w:ascii="宋体" w:hAnsi="宋体" w:cs="宋体"/>
          <w:color w:val="auto"/>
          <w:sz w:val="24"/>
          <w:szCs w:val="24"/>
          <w:highlight w:val="none"/>
          <w:lang w:val="en-US" w:eastAsia="zh-CN"/>
        </w:rPr>
        <w:t>竞争性磋商响应文件</w:t>
      </w:r>
      <w:r>
        <w:rPr>
          <w:rFonts w:hint="eastAsia" w:ascii="宋体" w:hAnsi="宋体" w:eastAsia="宋体" w:cs="宋体"/>
          <w:color w:val="auto"/>
          <w:sz w:val="24"/>
          <w:szCs w:val="24"/>
          <w:highlight w:val="none"/>
        </w:rPr>
        <w:t>承诺及本合同指派项目服务团队人员。</w:t>
      </w:r>
    </w:p>
    <w:p w14:paraId="20029541">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.若因甲方或政策原因使项目不能按约定开展时，甲方应及时通知乙方。</w:t>
      </w:r>
    </w:p>
    <w:p w14:paraId="402876AD">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.甲方按合同约定向乙方支付本合同项下的服务费。</w:t>
      </w:r>
    </w:p>
    <w:p w14:paraId="40408CFC">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10.为保证项目执行的有效性及连续性，甲方应指定专门项目联系人与乙方进行对接和沟通。</w:t>
      </w:r>
    </w:p>
    <w:p w14:paraId="0CEA478C">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（二）乙方的权利和义务</w:t>
      </w:r>
    </w:p>
    <w:p w14:paraId="3B3CF60D">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1.乙方有权要求甲方进行工作配合，包括提供资料、指定项目联系人、要求相关人员配合等。</w:t>
      </w:r>
    </w:p>
    <w:p w14:paraId="1A88286B">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2.乙方有权及时、完整地知晓各种与履行本</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rPr>
        <w:t>义务有关的信息、资料。</w:t>
      </w:r>
    </w:p>
    <w:p w14:paraId="7AFF9998">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3.乙方有权要求甲方提供与本项目相关的资料，并确保其提供的资料、信息真实、准确。</w:t>
      </w:r>
    </w:p>
    <w:p w14:paraId="28169761">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4.乙方有权要求甲方按合同约定支付本项目的服务费用。</w:t>
      </w:r>
    </w:p>
    <w:p w14:paraId="220B29AB">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5.乙方应按合同约定为甲方提供相应的服务，并按工作进度，按时提交</w:t>
      </w:r>
      <w:r>
        <w:rPr>
          <w:rFonts w:hint="eastAsia" w:ascii="宋体" w:hAnsi="宋体" w:cs="宋体"/>
          <w:color w:val="auto"/>
          <w:kern w:val="0"/>
          <w:sz w:val="24"/>
          <w:szCs w:val="24"/>
          <w:highlight w:val="none"/>
          <w:lang w:val="en-US" w:eastAsia="zh-CN"/>
        </w:rPr>
        <w:t>成果资料</w:t>
      </w:r>
      <w:r>
        <w:rPr>
          <w:rFonts w:hint="eastAsia" w:ascii="宋体" w:hAnsi="宋体" w:eastAsia="宋体" w:cs="宋体"/>
          <w:color w:val="auto"/>
          <w:sz w:val="24"/>
          <w:szCs w:val="24"/>
          <w:highlight w:val="none"/>
        </w:rPr>
        <w:t>。</w:t>
      </w:r>
    </w:p>
    <w:p w14:paraId="568B099E">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6.对甲方提供的资料，乙方仅限于完成本合同项下工作内容而使用，不得作其他使用，乙方对资料内容及项目成果承担保密义务。</w:t>
      </w:r>
    </w:p>
    <w:p w14:paraId="087740A1">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7.乙方按</w:t>
      </w:r>
      <w:r>
        <w:rPr>
          <w:rFonts w:hint="eastAsia" w:ascii="宋体" w:hAnsi="宋体" w:cs="宋体"/>
          <w:color w:val="auto"/>
          <w:sz w:val="24"/>
          <w:szCs w:val="24"/>
          <w:highlight w:val="none"/>
          <w:lang w:val="en-US" w:eastAsia="zh-CN"/>
        </w:rPr>
        <w:t>竞争性磋商响应文件</w:t>
      </w:r>
      <w:r>
        <w:rPr>
          <w:rFonts w:hint="eastAsia" w:ascii="宋体" w:hAnsi="宋体" w:eastAsia="宋体" w:cs="宋体"/>
          <w:color w:val="auto"/>
          <w:sz w:val="24"/>
          <w:szCs w:val="24"/>
          <w:highlight w:val="none"/>
        </w:rPr>
        <w:t>承诺及本合同指派项目服务团队人员，并按</w:t>
      </w:r>
      <w:r>
        <w:rPr>
          <w:rFonts w:hint="eastAsia" w:ascii="宋体" w:hAnsi="宋体" w:cs="宋体"/>
          <w:color w:val="auto"/>
          <w:sz w:val="24"/>
          <w:szCs w:val="24"/>
          <w:highlight w:val="none"/>
          <w:lang w:val="en-US" w:eastAsia="zh-CN"/>
        </w:rPr>
        <w:t>本</w:t>
      </w:r>
      <w:r>
        <w:rPr>
          <w:rFonts w:hint="eastAsia" w:ascii="宋体" w:hAnsi="宋体" w:eastAsia="宋体" w:cs="宋体"/>
          <w:color w:val="auto"/>
          <w:sz w:val="24"/>
          <w:szCs w:val="24"/>
          <w:highlight w:val="none"/>
        </w:rPr>
        <w:t>合同约定提供</w:t>
      </w:r>
      <w:r>
        <w:rPr>
          <w:rFonts w:hint="eastAsia" w:ascii="宋体" w:hAnsi="宋体" w:cs="宋体"/>
          <w:color w:val="auto"/>
          <w:sz w:val="24"/>
          <w:szCs w:val="24"/>
          <w:highlight w:val="none"/>
          <w:lang w:val="en-US" w:eastAsia="zh-CN"/>
        </w:rPr>
        <w:t>本合同约定的</w:t>
      </w:r>
      <w:r>
        <w:rPr>
          <w:rFonts w:hint="eastAsia" w:ascii="宋体" w:hAnsi="宋体" w:eastAsia="宋体" w:cs="宋体"/>
          <w:color w:val="auto"/>
          <w:sz w:val="24"/>
          <w:szCs w:val="24"/>
          <w:highlight w:val="none"/>
        </w:rPr>
        <w:t xml:space="preserve">服务。 </w:t>
      </w:r>
    </w:p>
    <w:p w14:paraId="0AFBFDA5">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8.乙方</w:t>
      </w:r>
      <w:r>
        <w:rPr>
          <w:rFonts w:hint="eastAsia" w:ascii="宋体" w:hAnsi="宋体" w:cs="宋体"/>
          <w:color w:val="auto"/>
          <w:sz w:val="24"/>
          <w:szCs w:val="24"/>
          <w:highlight w:val="none"/>
          <w:lang w:val="en-US" w:eastAsia="zh-CN"/>
        </w:rPr>
        <w:t>须</w:t>
      </w:r>
      <w:r>
        <w:rPr>
          <w:rFonts w:hint="eastAsia" w:ascii="宋体" w:hAnsi="宋体" w:eastAsia="宋体" w:cs="宋体"/>
          <w:color w:val="auto"/>
          <w:sz w:val="24"/>
          <w:szCs w:val="24"/>
          <w:highlight w:val="none"/>
        </w:rPr>
        <w:t>按本合同约定向甲方提供</w:t>
      </w:r>
      <w:r>
        <w:rPr>
          <w:rFonts w:hint="eastAsia" w:ascii="宋体" w:hAnsi="宋体" w:cs="宋体"/>
          <w:color w:val="auto"/>
          <w:sz w:val="24"/>
          <w:szCs w:val="24"/>
          <w:highlight w:val="none"/>
          <w:lang w:val="en-US" w:eastAsia="zh-CN"/>
        </w:rPr>
        <w:t>成果资料</w:t>
      </w:r>
      <w:r>
        <w:rPr>
          <w:rFonts w:hint="eastAsia" w:ascii="宋体" w:hAnsi="宋体" w:eastAsia="宋体" w:cs="宋体"/>
          <w:color w:val="auto"/>
          <w:sz w:val="24"/>
          <w:szCs w:val="24"/>
          <w:highlight w:val="none"/>
        </w:rPr>
        <w:t xml:space="preserve">，并与甲方沟通，及时向甲方通报工作进度。 </w:t>
      </w:r>
    </w:p>
    <w:p w14:paraId="6B2C8242">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9.乙方应保证甲方在使用相关</w:t>
      </w:r>
      <w:r>
        <w:rPr>
          <w:rFonts w:hint="eastAsia" w:ascii="宋体" w:hAnsi="宋体" w:cs="宋体"/>
          <w:color w:val="auto"/>
          <w:sz w:val="24"/>
          <w:szCs w:val="24"/>
          <w:highlight w:val="none"/>
          <w:lang w:val="en-US" w:eastAsia="zh-CN"/>
        </w:rPr>
        <w:t>成果资料</w:t>
      </w:r>
      <w:r>
        <w:rPr>
          <w:rFonts w:hint="eastAsia" w:ascii="宋体" w:hAnsi="宋体" w:eastAsia="宋体" w:cs="宋体"/>
          <w:color w:val="auto"/>
          <w:sz w:val="24"/>
          <w:szCs w:val="24"/>
          <w:highlight w:val="none"/>
        </w:rPr>
        <w:t>时不受第三方提出的侵权起诉。如果任何第三方提出侵权指控</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乙方须承担由此给甲方造成的损失并承担因此引起的连带责任</w:t>
      </w:r>
      <w:r>
        <w:rPr>
          <w:rFonts w:hint="eastAsia" w:ascii="宋体" w:hAnsi="宋体" w:eastAsia="宋体" w:cs="宋体"/>
          <w:color w:val="auto"/>
          <w:sz w:val="24"/>
          <w:szCs w:val="24"/>
          <w:highlight w:val="none"/>
        </w:rPr>
        <w:t>。</w:t>
      </w:r>
    </w:p>
    <w:p w14:paraId="6E8D6344">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10.乙方接受甲方委托的任务后，不得进行分包、转包给第三方。</w:t>
      </w:r>
    </w:p>
    <w:p w14:paraId="6C915FF4">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11.乙方应指派符合</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要求的项目负责人，作为与甲方协调对接人员</w:t>
      </w:r>
      <w:r>
        <w:rPr>
          <w:rFonts w:hint="eastAsia" w:ascii="宋体" w:hAnsi="宋体" w:cs="宋体"/>
          <w:color w:val="auto"/>
          <w:sz w:val="24"/>
          <w:szCs w:val="24"/>
          <w:highlight w:val="none"/>
          <w:lang w:eastAsia="zh-CN"/>
        </w:rPr>
        <w:t>。</w:t>
      </w:r>
    </w:p>
    <w:p w14:paraId="0124CC2F">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接受项目行业管理部门及政府有关部门的指导，</w:t>
      </w:r>
      <w:r>
        <w:rPr>
          <w:rFonts w:hint="eastAsia" w:ascii="宋体" w:hAnsi="宋体" w:eastAsia="宋体" w:cs="宋体"/>
          <w:color w:val="auto"/>
          <w:sz w:val="24"/>
          <w:szCs w:val="24"/>
          <w:highlight w:val="none"/>
          <w:lang w:val="en-US" w:eastAsia="zh-CN"/>
        </w:rPr>
        <w:t>服从甲方及属地部门的现场管理，</w:t>
      </w:r>
      <w:r>
        <w:rPr>
          <w:rFonts w:hint="eastAsia" w:ascii="宋体" w:hAnsi="宋体" w:eastAsia="宋体" w:cs="宋体"/>
          <w:color w:val="auto"/>
          <w:sz w:val="24"/>
          <w:szCs w:val="24"/>
          <w:highlight w:val="none"/>
          <w:lang w:eastAsia="zh-CN"/>
        </w:rPr>
        <w:t>接受甲方的监督</w:t>
      </w:r>
      <w:r>
        <w:rPr>
          <w:rFonts w:hint="eastAsia" w:ascii="宋体" w:hAnsi="宋体" w:eastAsia="宋体" w:cs="宋体"/>
          <w:color w:val="auto"/>
          <w:sz w:val="24"/>
          <w:szCs w:val="24"/>
          <w:highlight w:val="none"/>
          <w:lang w:val="en-US" w:eastAsia="zh-CN"/>
        </w:rPr>
        <w:t>管理</w:t>
      </w:r>
      <w:r>
        <w:rPr>
          <w:rFonts w:hint="eastAsia" w:ascii="宋体" w:hAnsi="宋体" w:eastAsia="宋体" w:cs="宋体"/>
          <w:color w:val="auto"/>
          <w:sz w:val="24"/>
          <w:szCs w:val="24"/>
          <w:highlight w:val="none"/>
          <w:lang w:eastAsia="zh-CN"/>
        </w:rPr>
        <w:t>。</w:t>
      </w:r>
    </w:p>
    <w:p w14:paraId="1094C851">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r>
        <w:rPr>
          <w:rFonts w:hint="eastAsia" w:ascii="宋体" w:hAnsi="宋体" w:eastAsia="宋体" w:cs="宋体"/>
          <w:color w:val="auto"/>
          <w:sz w:val="24"/>
          <w:szCs w:val="24"/>
          <w:highlight w:val="none"/>
          <w:lang w:val="en-US" w:eastAsia="zh-CN"/>
        </w:rPr>
        <w:t>.乙方在服务过程中须重视安全生产，对服务、作业人员做好现场安全生产知识教育、培训。</w:t>
      </w:r>
    </w:p>
    <w:p w14:paraId="7657503D">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14</w:t>
      </w:r>
      <w:r>
        <w:rPr>
          <w:rFonts w:hint="eastAsia" w:ascii="宋体" w:hAnsi="宋体" w:eastAsia="宋体" w:cs="宋体"/>
          <w:color w:val="auto"/>
          <w:sz w:val="24"/>
          <w:szCs w:val="24"/>
          <w:highlight w:val="none"/>
          <w:lang w:val="en-US" w:eastAsia="zh-CN"/>
        </w:rPr>
        <w:t>.乙方须定期对服务、作业人员进行安全生产教育，牢固树立安全第一的思想，落实落细各项安全生产工作，防止各项安全事故发生。</w:t>
      </w:r>
    </w:p>
    <w:p w14:paraId="4C32317B">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.乙方自行负责派出的业务、管理、技术等服务人员、聘请临时工的一切人身意外保险、工伤保险等，若发生安全事故则由乙方自行承担相关经济法律责任。</w:t>
      </w:r>
    </w:p>
    <w:p w14:paraId="55AFF6A3">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16</w:t>
      </w:r>
      <w:r>
        <w:rPr>
          <w:rFonts w:hint="eastAsia" w:ascii="宋体" w:hAnsi="宋体" w:eastAsia="宋体" w:cs="宋体"/>
          <w:color w:val="auto"/>
          <w:sz w:val="24"/>
          <w:szCs w:val="24"/>
          <w:highlight w:val="none"/>
          <w:lang w:val="en-US" w:eastAsia="zh-CN"/>
        </w:rPr>
        <w:t>.乙方服务、作业过程中保证完成任务的同时，须积极开展服务、作业人员思想政治教育和民族团结教育，严禁酗酒闹事，打架斗殴、违法乱纪事件发生。</w:t>
      </w:r>
    </w:p>
    <w:p w14:paraId="5BDE3FF2">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r>
        <w:rPr>
          <w:rFonts w:hint="eastAsia" w:ascii="宋体" w:hAnsi="宋体" w:eastAsia="宋体" w:cs="宋体"/>
          <w:color w:val="auto"/>
          <w:sz w:val="24"/>
          <w:szCs w:val="24"/>
          <w:highlight w:val="none"/>
          <w:lang w:val="en-US" w:eastAsia="zh-CN"/>
        </w:rPr>
        <w:t>.项目检查过程中乙方需无条件积极配合甲方的检查工作，如甲方对项目提出整改要求，乙方需严格按照整改要求对项目进行整改</w:t>
      </w:r>
      <w:r>
        <w:rPr>
          <w:rFonts w:hint="eastAsia" w:ascii="宋体" w:hAnsi="宋体" w:cs="宋体"/>
          <w:color w:val="auto"/>
          <w:sz w:val="24"/>
          <w:szCs w:val="24"/>
          <w:highlight w:val="none"/>
          <w:lang w:val="en-US" w:eastAsia="zh-CN"/>
        </w:rPr>
        <w:t>。</w:t>
      </w:r>
    </w:p>
    <w:p w14:paraId="7B0A00B9">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乙方应加强安全教育和管理，提高安全防范意识和应急处理能力，严格执行中央八项规定及其实施细则精神，严格遵守工作纪律，确保普查工作人身、财产、廉政安全。严格落实国家信息安全制度，确保普查数据安全，未经审核通过的调查成果，一律不得向社会公布</w:t>
      </w:r>
      <w:r>
        <w:rPr>
          <w:rFonts w:hint="eastAsia" w:ascii="宋体" w:hAnsi="宋体" w:eastAsia="宋体" w:cs="宋体"/>
          <w:color w:val="auto"/>
          <w:sz w:val="24"/>
          <w:szCs w:val="24"/>
          <w:highlight w:val="none"/>
          <w:lang w:val="en-US" w:eastAsia="zh-CN"/>
        </w:rPr>
        <w:t>。</w:t>
      </w:r>
    </w:p>
    <w:p w14:paraId="2E4720A3">
      <w:pPr>
        <w:keepNext w:val="0"/>
        <w:keepLines w:val="0"/>
        <w:pageBreakBefore w:val="0"/>
        <w:widowControl w:val="0"/>
        <w:kinsoku/>
        <w:wordWrap/>
        <w:overflowPunct/>
        <w:topLinePunct w:val="0"/>
        <w:autoSpaceDE/>
        <w:bidi w:val="0"/>
        <w:adjustRightInd/>
        <w:snapToGrid/>
        <w:spacing w:line="480" w:lineRule="exact"/>
        <w:ind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国家法律、法规所规定由乙方承担的其它责任。</w:t>
      </w:r>
    </w:p>
    <w:p w14:paraId="282E2012">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十一、</w:t>
      </w:r>
      <w:r>
        <w:rPr>
          <w:rFonts w:hint="eastAsia" w:ascii="宋体" w:hAnsi="宋体" w:eastAsia="宋体" w:cs="宋体"/>
          <w:b/>
          <w:bCs/>
          <w:color w:val="auto"/>
          <w:sz w:val="24"/>
          <w:szCs w:val="24"/>
          <w:highlight w:val="none"/>
        </w:rPr>
        <w:t>违约责任</w:t>
      </w:r>
    </w:p>
    <w:p w14:paraId="4224E3F0">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（一）</w:t>
      </w:r>
      <w:r>
        <w:rPr>
          <w:rFonts w:hint="eastAsia" w:ascii="宋体" w:hAnsi="宋体" w:eastAsia="宋体" w:cs="宋体"/>
          <w:color w:val="auto"/>
          <w:sz w:val="24"/>
          <w:szCs w:val="24"/>
          <w:highlight w:val="none"/>
        </w:rPr>
        <w:t>乙方在履行合同过程中，若乙方出现以下任一情形的，视为乙方违约，甲方有权单方解除本合同，乙方除应返还甲方已付费用外，不得向甲方主张未付费用，还应向甲方支付合同总价款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%的违约金，并赔偿甲方由此所遭受的损失</w:t>
      </w:r>
      <w:r>
        <w:rPr>
          <w:rFonts w:hint="eastAsia" w:ascii="宋体" w:hAnsi="宋体" w:cs="宋体"/>
          <w:color w:val="auto"/>
          <w:sz w:val="24"/>
          <w:szCs w:val="24"/>
          <w:highlight w:val="none"/>
          <w:lang w:eastAsia="zh-CN"/>
        </w:rPr>
        <w:t>。</w:t>
      </w:r>
    </w:p>
    <w:p w14:paraId="71968F6A">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乙方未在合同约定的服务期限内提交与本项目有关的所有成果资料；</w:t>
      </w:r>
    </w:p>
    <w:p w14:paraId="63942F5E">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乙方未经甲方许可而向第三方泄露与本项目有关的机密及本项目有关的商业机密，给项目在执行过程中造成损失的；</w:t>
      </w:r>
    </w:p>
    <w:p w14:paraId="7C04005F">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乙方提交的成果资料致使甲方遭受其他第三人提起的侵权指控的；</w:t>
      </w:r>
    </w:p>
    <w:p w14:paraId="5D0F3167">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乙方未按合同约定履行义务的其他情形。</w:t>
      </w:r>
    </w:p>
    <w:p w14:paraId="2BF39E6D">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）如乙方未能按时完成工作任务并提交</w:t>
      </w:r>
      <w:r>
        <w:rPr>
          <w:rFonts w:hint="eastAsia" w:ascii="宋体" w:hAnsi="宋体" w:cs="宋体"/>
          <w:b w:val="0"/>
          <w:bCs w:val="0"/>
          <w:color w:val="auto"/>
          <w:sz w:val="24"/>
          <w:szCs w:val="24"/>
          <w:highlight w:val="none"/>
          <w:lang w:val="en-US" w:eastAsia="zh-CN"/>
        </w:rPr>
        <w:t>成果资料</w:t>
      </w:r>
      <w:r>
        <w:rPr>
          <w:rFonts w:hint="eastAsia" w:ascii="宋体" w:hAnsi="宋体" w:eastAsia="宋体" w:cs="宋体"/>
          <w:b w:val="0"/>
          <w:bCs w:val="0"/>
          <w:color w:val="auto"/>
          <w:kern w:val="0"/>
          <w:sz w:val="24"/>
          <w:szCs w:val="24"/>
          <w:highlight w:val="none"/>
        </w:rPr>
        <w:t>，视为乙方违约，每出现一次承担</w:t>
      </w:r>
      <w:r>
        <w:rPr>
          <w:rFonts w:hint="eastAsia" w:ascii="宋体" w:hAnsi="宋体" w:eastAsia="宋体" w:cs="宋体"/>
          <w:b w:val="0"/>
          <w:bCs w:val="0"/>
          <w:color w:val="auto"/>
          <w:kern w:val="0"/>
          <w:sz w:val="24"/>
          <w:szCs w:val="24"/>
          <w:highlight w:val="none"/>
          <w:u w:val="single"/>
        </w:rPr>
        <w:t xml:space="preserve">   </w:t>
      </w:r>
      <w:r>
        <w:rPr>
          <w:rFonts w:hint="eastAsia" w:ascii="宋体" w:hAnsi="宋体" w:eastAsia="宋体" w:cs="宋体"/>
          <w:b w:val="0"/>
          <w:bCs w:val="0"/>
          <w:color w:val="auto"/>
          <w:kern w:val="0"/>
          <w:sz w:val="24"/>
          <w:szCs w:val="24"/>
          <w:highlight w:val="none"/>
        </w:rPr>
        <w:t>元的违约金</w:t>
      </w:r>
      <w:r>
        <w:rPr>
          <w:rFonts w:hint="eastAsia" w:ascii="宋体" w:hAnsi="宋体" w:cs="宋体"/>
          <w:b w:val="0"/>
          <w:bCs w:val="0"/>
          <w:color w:val="auto"/>
          <w:kern w:val="0"/>
          <w:sz w:val="24"/>
          <w:szCs w:val="24"/>
          <w:highlight w:val="none"/>
          <w:lang w:eastAsia="zh-CN"/>
        </w:rPr>
        <w:t>；</w:t>
      </w:r>
      <w:r>
        <w:rPr>
          <w:rFonts w:hint="eastAsia" w:ascii="宋体" w:hAnsi="宋体" w:eastAsia="宋体" w:cs="宋体"/>
          <w:b w:val="0"/>
          <w:bCs w:val="0"/>
          <w:color w:val="auto"/>
          <w:sz w:val="24"/>
          <w:szCs w:val="24"/>
          <w:highlight w:val="none"/>
        </w:rPr>
        <w:t>延迟5个工作日以上的，扣除甲方合同总价款</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%的违约金；延迟10个工作日以上的，</w:t>
      </w:r>
      <w:r>
        <w:rPr>
          <w:rFonts w:hint="eastAsia" w:ascii="宋体" w:hAnsi="宋体" w:cs="宋体"/>
          <w:b w:val="0"/>
          <w:bCs w:val="0"/>
          <w:color w:val="auto"/>
          <w:sz w:val="24"/>
          <w:szCs w:val="24"/>
          <w:highlight w:val="none"/>
          <w:lang w:val="en-US" w:eastAsia="zh-CN"/>
        </w:rPr>
        <w:t>除要求乙方支付违约金外，</w:t>
      </w:r>
      <w:r>
        <w:rPr>
          <w:rFonts w:hint="eastAsia" w:ascii="宋体" w:hAnsi="宋体" w:eastAsia="宋体" w:cs="宋体"/>
          <w:b w:val="0"/>
          <w:bCs w:val="0"/>
          <w:color w:val="auto"/>
          <w:sz w:val="24"/>
          <w:szCs w:val="24"/>
          <w:highlight w:val="none"/>
        </w:rPr>
        <w:t>甲方</w:t>
      </w:r>
      <w:r>
        <w:rPr>
          <w:rFonts w:hint="eastAsia" w:ascii="宋体" w:hAnsi="宋体" w:cs="宋体"/>
          <w:b w:val="0"/>
          <w:bCs w:val="0"/>
          <w:color w:val="auto"/>
          <w:sz w:val="24"/>
          <w:szCs w:val="24"/>
          <w:highlight w:val="none"/>
          <w:lang w:val="en-US" w:eastAsia="zh-CN"/>
        </w:rPr>
        <w:t>有权</w:t>
      </w:r>
      <w:r>
        <w:rPr>
          <w:rFonts w:hint="eastAsia" w:ascii="宋体" w:hAnsi="宋体" w:eastAsia="宋体" w:cs="宋体"/>
          <w:b w:val="0"/>
          <w:bCs w:val="0"/>
          <w:color w:val="auto"/>
          <w:sz w:val="24"/>
          <w:szCs w:val="24"/>
          <w:highlight w:val="none"/>
        </w:rPr>
        <w:t>单方解除合同并要求乙方退还全部已付合同费用。</w:t>
      </w:r>
    </w:p>
    <w:p w14:paraId="277CDDF3">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）若达不到质量要求，乙方愿承担合同总价款</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%的违约金，并及时进行整改，经</w:t>
      </w:r>
      <w:r>
        <w:rPr>
          <w:rFonts w:hint="eastAsia"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次整改仍然不符合质量要求的，甲方有权单方解除本合同，并返还甲方已支付的费用，赔偿甲方由此所遭受的损失</w:t>
      </w:r>
      <w:r>
        <w:rPr>
          <w:rFonts w:hint="eastAsia" w:ascii="宋体" w:hAnsi="宋体" w:cs="宋体"/>
          <w:b w:val="0"/>
          <w:bCs w:val="0"/>
          <w:color w:val="auto"/>
          <w:sz w:val="24"/>
          <w:szCs w:val="24"/>
          <w:highlight w:val="none"/>
          <w:lang w:eastAsia="zh-CN"/>
        </w:rPr>
        <w:t>。</w:t>
      </w:r>
    </w:p>
    <w:p w14:paraId="7A89E7F7">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）甲方在履行合同过程中，甲方未按合同约定支付服务费，乙方有权向甲方催收，经催收后，甲方仍无故逾期付款，甲方在</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日内仍未支付服务费的，乙方有权单方解除合同，并由甲方承担由此给乙方造成的全部损失。</w:t>
      </w:r>
    </w:p>
    <w:p w14:paraId="505FE9A7">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rPr>
        <w:t>）乙方应及时向甲方提供相应的服务，在接到甲方需求后</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小时内根据</w:t>
      </w:r>
      <w:r>
        <w:rPr>
          <w:rFonts w:hint="eastAsia" w:ascii="宋体" w:hAnsi="宋体" w:eastAsia="宋体" w:cs="宋体"/>
          <w:b w:val="0"/>
          <w:bCs w:val="0"/>
          <w:color w:val="auto"/>
          <w:sz w:val="24"/>
          <w:szCs w:val="24"/>
          <w:highlight w:val="none"/>
          <w:lang w:eastAsia="zh-CN"/>
        </w:rPr>
        <w:t>甲方</w:t>
      </w:r>
      <w:r>
        <w:rPr>
          <w:rFonts w:hint="eastAsia" w:ascii="宋体" w:hAnsi="宋体" w:eastAsia="宋体" w:cs="宋体"/>
          <w:b w:val="0"/>
          <w:bCs w:val="0"/>
          <w:color w:val="auto"/>
          <w:sz w:val="24"/>
          <w:szCs w:val="24"/>
          <w:highlight w:val="none"/>
        </w:rPr>
        <w:t>要求提出解决方案，解决方案得到</w:t>
      </w:r>
      <w:r>
        <w:rPr>
          <w:rFonts w:hint="eastAsia" w:ascii="宋体" w:hAnsi="宋体" w:eastAsia="宋体" w:cs="宋体"/>
          <w:b w:val="0"/>
          <w:bCs w:val="0"/>
          <w:color w:val="auto"/>
          <w:sz w:val="24"/>
          <w:szCs w:val="24"/>
          <w:highlight w:val="none"/>
          <w:lang w:eastAsia="zh-CN"/>
        </w:rPr>
        <w:t>甲方</w:t>
      </w:r>
      <w:r>
        <w:rPr>
          <w:rFonts w:hint="eastAsia" w:ascii="宋体" w:hAnsi="宋体" w:eastAsia="宋体" w:cs="宋体"/>
          <w:b w:val="0"/>
          <w:bCs w:val="0"/>
          <w:color w:val="auto"/>
          <w:sz w:val="24"/>
          <w:szCs w:val="24"/>
          <w:highlight w:val="none"/>
        </w:rPr>
        <w:t>认可后24小时完成修改；未按时完成的，每发生一次，甲方有权扣除合同总价款</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%的违约金；如本合同期限内违约行为累计超过</w:t>
      </w:r>
      <w:r>
        <w:rPr>
          <w:rFonts w:hint="eastAsia"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次，甲方可单方解除合同并要求乙方退还全部已付合同费用</w:t>
      </w:r>
      <w:r>
        <w:rPr>
          <w:rFonts w:hint="eastAsia" w:ascii="宋体" w:hAnsi="宋体" w:cs="宋体"/>
          <w:b w:val="0"/>
          <w:bCs w:val="0"/>
          <w:color w:val="auto"/>
          <w:kern w:val="0"/>
          <w:sz w:val="24"/>
          <w:szCs w:val="24"/>
          <w:highlight w:val="none"/>
          <w:lang w:eastAsia="zh-CN"/>
        </w:rPr>
        <w:t>。</w:t>
      </w:r>
    </w:p>
    <w:p w14:paraId="372035A9">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w:t>
      </w:r>
      <w:r>
        <w:rPr>
          <w:rFonts w:hint="eastAsia" w:ascii="宋体" w:hAnsi="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）其它违约：</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i w:val="0"/>
          <w:iCs w:val="0"/>
          <w:color w:val="auto"/>
          <w:sz w:val="24"/>
          <w:szCs w:val="24"/>
          <w:highlight w:val="none"/>
          <w:u w:val="none"/>
          <w:lang w:eastAsia="zh-CN"/>
        </w:rPr>
        <w:t>。</w:t>
      </w:r>
    </w:p>
    <w:p w14:paraId="5292335A">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十二、</w:t>
      </w:r>
      <w:r>
        <w:rPr>
          <w:rFonts w:hint="eastAsia" w:ascii="宋体" w:hAnsi="宋体" w:eastAsia="宋体" w:cs="宋体"/>
          <w:b/>
          <w:bCs/>
          <w:color w:val="auto"/>
          <w:sz w:val="24"/>
          <w:szCs w:val="24"/>
          <w:highlight w:val="none"/>
        </w:rPr>
        <w:t>争议的解决</w:t>
      </w:r>
    </w:p>
    <w:p w14:paraId="7F0A63B1">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双方本着友好合作的态度，对合同履行中发生的违约行为进行及时的协商解决，如不能协商解决的可通过以下第</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（2） </w:t>
      </w:r>
      <w:r>
        <w:rPr>
          <w:rFonts w:hint="eastAsia" w:ascii="宋体" w:hAnsi="宋体" w:eastAsia="宋体" w:cs="宋体"/>
          <w:color w:val="auto"/>
          <w:sz w:val="24"/>
          <w:szCs w:val="24"/>
          <w:highlight w:val="none"/>
        </w:rPr>
        <w:t>种方式解决纠纷：</w:t>
      </w:r>
    </w:p>
    <w:p w14:paraId="19FC93C8">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一</w:t>
      </w:r>
      <w:r>
        <w:rPr>
          <w:rFonts w:hint="eastAsia" w:ascii="宋体" w:hAnsi="宋体" w:eastAsia="宋体" w:cs="宋体"/>
          <w:color w:val="auto"/>
          <w:sz w:val="24"/>
          <w:szCs w:val="24"/>
          <w:highlight w:val="none"/>
          <w:u w:val="none"/>
        </w:rPr>
        <w:t>）申请由临沧市仲裁委员会仲裁；</w:t>
      </w:r>
    </w:p>
    <w:p w14:paraId="0D1A4CC3">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二</w:t>
      </w:r>
      <w:r>
        <w:rPr>
          <w:rFonts w:hint="eastAsia" w:ascii="宋体" w:hAnsi="宋体" w:eastAsia="宋体" w:cs="宋体"/>
          <w:color w:val="auto"/>
          <w:sz w:val="24"/>
          <w:szCs w:val="24"/>
          <w:highlight w:val="none"/>
          <w:u w:val="none"/>
        </w:rPr>
        <w:t>）向甲方所在地有管辖权的人民法院起诉。</w:t>
      </w:r>
    </w:p>
    <w:p w14:paraId="3308C86A">
      <w:pPr>
        <w:keepNext w:val="0"/>
        <w:keepLines w:val="0"/>
        <w:pageBreakBefore w:val="0"/>
        <w:widowControl w:val="0"/>
        <w:kinsoku/>
        <w:wordWrap/>
        <w:overflowPunct/>
        <w:topLinePunct w:val="0"/>
        <w:autoSpaceDE/>
        <w:bidi w:val="0"/>
        <w:adjustRightInd/>
        <w:snapToGrid/>
        <w:spacing w:line="480" w:lineRule="exact"/>
        <w:ind w:firstLine="482" w:firstLineChars="200"/>
        <w:textAlignment w:val="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十三、</w:t>
      </w:r>
      <w:r>
        <w:rPr>
          <w:rFonts w:hint="eastAsia" w:ascii="宋体" w:hAnsi="宋体" w:eastAsia="宋体" w:cs="宋体"/>
          <w:b/>
          <w:bCs/>
          <w:color w:val="auto"/>
          <w:sz w:val="24"/>
          <w:szCs w:val="24"/>
          <w:highlight w:val="none"/>
        </w:rPr>
        <w:t>生效合同文本</w:t>
      </w:r>
    </w:p>
    <w:p w14:paraId="5017D0CF">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一</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本合同未尽事宜，双方友好协商解决，可另行签订补充协议，补充协议与本合同具有同等法律效力。</w:t>
      </w:r>
    </w:p>
    <w:p w14:paraId="42EABAE6">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u w:val="none"/>
          <w:lang w:val="en-US" w:eastAsia="zh-CN"/>
        </w:rPr>
        <w:t>二</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本合同经甲乙双方法定代表人或委托代理人签字并加盖公章之日起生效。</w:t>
      </w:r>
    </w:p>
    <w:p w14:paraId="6868417E">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三</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份，其余视需要报送相关部门留存，具有同等法律效力。</w:t>
      </w:r>
    </w:p>
    <w:p w14:paraId="48F5642B">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rPr>
        <w:t>（</w:t>
      </w:r>
      <w:r>
        <w:rPr>
          <w:rFonts w:hint="eastAsia" w:ascii="宋体" w:hAnsi="宋体" w:cs="宋体"/>
          <w:color w:val="auto"/>
          <w:sz w:val="24"/>
          <w:szCs w:val="24"/>
          <w:highlight w:val="none"/>
          <w:u w:val="none"/>
          <w:lang w:val="en-US" w:eastAsia="zh-CN"/>
        </w:rPr>
        <w:t>四</w:t>
      </w:r>
      <w:r>
        <w:rPr>
          <w:rFonts w:hint="eastAsia" w:ascii="宋体" w:hAnsi="宋体" w:eastAsia="宋体" w:cs="宋体"/>
          <w:color w:val="auto"/>
          <w:sz w:val="24"/>
          <w:szCs w:val="24"/>
          <w:highlight w:val="none"/>
          <w:u w:val="none"/>
        </w:rPr>
        <w:t>）</w:t>
      </w:r>
      <w:r>
        <w:rPr>
          <w:rFonts w:hint="eastAsia" w:ascii="宋体" w:hAnsi="宋体" w:eastAsia="宋体" w:cs="宋体"/>
          <w:color w:val="auto"/>
          <w:sz w:val="24"/>
          <w:szCs w:val="24"/>
          <w:highlight w:val="none"/>
        </w:rPr>
        <w:t>以下文件为本合同不可分割部分：</w:t>
      </w:r>
    </w:p>
    <w:p w14:paraId="1F56FA1F">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竞争性磋商文件</w:t>
      </w:r>
      <w:r>
        <w:rPr>
          <w:rFonts w:hint="eastAsia" w:ascii="宋体" w:hAnsi="宋体" w:eastAsia="宋体" w:cs="宋体"/>
          <w:color w:val="auto"/>
          <w:sz w:val="24"/>
          <w:szCs w:val="24"/>
          <w:highlight w:val="none"/>
        </w:rPr>
        <w:t>及</w:t>
      </w:r>
      <w:r>
        <w:rPr>
          <w:rFonts w:hint="eastAsia" w:ascii="宋体" w:hAnsi="宋体" w:cs="宋体"/>
          <w:color w:val="auto"/>
          <w:sz w:val="24"/>
          <w:szCs w:val="24"/>
          <w:highlight w:val="none"/>
          <w:lang w:eastAsia="zh-CN"/>
        </w:rPr>
        <w:t>更正</w:t>
      </w:r>
      <w:r>
        <w:rPr>
          <w:rFonts w:hint="eastAsia" w:ascii="宋体" w:hAnsi="宋体" w:eastAsia="宋体" w:cs="宋体"/>
          <w:color w:val="auto"/>
          <w:sz w:val="24"/>
          <w:szCs w:val="24"/>
          <w:highlight w:val="none"/>
        </w:rPr>
        <w:t>（如有</w:t>
      </w:r>
      <w:r>
        <w:rPr>
          <w:rFonts w:hint="eastAsia" w:ascii="宋体" w:hAnsi="宋体" w:cs="宋体"/>
          <w:color w:val="auto"/>
          <w:sz w:val="24"/>
          <w:szCs w:val="24"/>
          <w:highlight w:val="none"/>
          <w:lang w:eastAsia="zh-CN"/>
        </w:rPr>
        <w:t>更正</w:t>
      </w:r>
      <w:r>
        <w:rPr>
          <w:rFonts w:hint="eastAsia" w:ascii="宋体" w:hAnsi="宋体" w:eastAsia="宋体" w:cs="宋体"/>
          <w:color w:val="auto"/>
          <w:sz w:val="24"/>
          <w:szCs w:val="24"/>
          <w:highlight w:val="none"/>
        </w:rPr>
        <w:t>）；</w:t>
      </w:r>
    </w:p>
    <w:p w14:paraId="4FB8B088">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2.竞争性磋商响应文件</w:t>
      </w:r>
      <w:r>
        <w:rPr>
          <w:rFonts w:hint="eastAsia" w:ascii="宋体" w:hAnsi="宋体" w:eastAsia="宋体" w:cs="宋体"/>
          <w:color w:val="auto"/>
          <w:sz w:val="24"/>
          <w:szCs w:val="24"/>
          <w:highlight w:val="none"/>
        </w:rPr>
        <w:t>及其澄清（如有澄清）；</w:t>
      </w:r>
    </w:p>
    <w:p w14:paraId="79DDE581">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成交通知书；</w:t>
      </w:r>
    </w:p>
    <w:p w14:paraId="27CC5DAC">
      <w:pPr>
        <w:keepNext w:val="0"/>
        <w:keepLines w:val="0"/>
        <w:pageBreakBefore w:val="0"/>
        <w:widowControl w:val="0"/>
        <w:kinsoku/>
        <w:wordWrap/>
        <w:overflowPunct/>
        <w:topLinePunct w:val="0"/>
        <w:autoSpaceDE/>
        <w:bidi w:val="0"/>
        <w:adjustRightInd/>
        <w:snapToGrid/>
        <w:spacing w:line="480" w:lineRule="exact"/>
        <w:ind w:firstLine="573"/>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合同书附件（如有）、补充协议等与本项目有关的资料。</w:t>
      </w:r>
    </w:p>
    <w:p w14:paraId="4D885A5B">
      <w:pPr>
        <w:keepNext w:val="0"/>
        <w:keepLines w:val="0"/>
        <w:pageBreakBefore w:val="0"/>
        <w:widowControl w:val="0"/>
        <w:kinsoku/>
        <w:wordWrap/>
        <w:overflowPunct/>
        <w:topLinePunct w:val="0"/>
        <w:autoSpaceDE/>
        <w:bidi w:val="0"/>
        <w:adjustRightInd/>
        <w:snapToGrid/>
        <w:spacing w:line="480" w:lineRule="exact"/>
        <w:textAlignment w:val="auto"/>
        <w:rPr>
          <w:rFonts w:hint="eastAsia" w:ascii="宋体" w:hAnsi="宋体" w:eastAsia="宋体" w:cs="宋体"/>
          <w:color w:val="auto"/>
          <w:sz w:val="24"/>
          <w:szCs w:val="24"/>
          <w:highlight w:val="none"/>
        </w:rPr>
      </w:pPr>
    </w:p>
    <w:p w14:paraId="317942BB">
      <w:pPr>
        <w:keepNext w:val="0"/>
        <w:keepLines w:val="0"/>
        <w:pageBreakBefore w:val="0"/>
        <w:widowControl w:val="0"/>
        <w:kinsoku/>
        <w:wordWrap/>
        <w:overflowPunct/>
        <w:topLinePunct w:val="0"/>
        <w:autoSpaceDE/>
        <w:bidi w:val="0"/>
        <w:adjustRightInd/>
        <w:snapToGrid/>
        <w:spacing w:line="480" w:lineRule="exact"/>
        <w:textAlignment w:val="auto"/>
        <w:rPr>
          <w:rFonts w:hint="eastAsia" w:ascii="宋体" w:hAnsi="宋体" w:eastAsia="宋体" w:cs="宋体"/>
          <w:color w:val="auto"/>
          <w:sz w:val="24"/>
          <w:szCs w:val="24"/>
          <w:highlight w:val="none"/>
        </w:rPr>
      </w:pPr>
    </w:p>
    <w:tbl>
      <w:tblPr>
        <w:tblStyle w:val="25"/>
        <w:tblW w:w="9474" w:type="dxa"/>
        <w:jc w:val="center"/>
        <w:tblLayout w:type="fixed"/>
        <w:tblCellMar>
          <w:top w:w="0" w:type="dxa"/>
          <w:left w:w="108" w:type="dxa"/>
          <w:bottom w:w="0" w:type="dxa"/>
          <w:right w:w="108" w:type="dxa"/>
        </w:tblCellMar>
      </w:tblPr>
      <w:tblGrid>
        <w:gridCol w:w="4750"/>
        <w:gridCol w:w="4724"/>
      </w:tblGrid>
      <w:tr w14:paraId="156B1BA7">
        <w:tblPrEx>
          <w:tblCellMar>
            <w:top w:w="0" w:type="dxa"/>
            <w:left w:w="108" w:type="dxa"/>
            <w:bottom w:w="0" w:type="dxa"/>
            <w:right w:w="108" w:type="dxa"/>
          </w:tblCellMar>
        </w:tblPrEx>
        <w:trPr>
          <w:trHeight w:val="737" w:hRule="atLeast"/>
          <w:jc w:val="center"/>
        </w:trPr>
        <w:tc>
          <w:tcPr>
            <w:tcW w:w="4750" w:type="dxa"/>
            <w:noWrap w:val="0"/>
            <w:vAlign w:val="center"/>
          </w:tcPr>
          <w:p w14:paraId="67495B4C">
            <w:pPr>
              <w:pStyle w:val="10"/>
              <w:keepNext w:val="0"/>
              <w:keepLines w:val="0"/>
              <w:pageBreakBefore w:val="0"/>
              <w:widowControl w:val="0"/>
              <w:kinsoku/>
              <w:wordWrap/>
              <w:overflowPunct/>
              <w:topLinePunct w:val="0"/>
              <w:autoSpaceDE/>
              <w:autoSpaceDN/>
              <w:bidi w:val="0"/>
              <w:adjustRightInd/>
              <w:snapToGrid/>
              <w:spacing w:after="0" w:line="360" w:lineRule="auto"/>
              <w:ind w:left="960" w:leftChars="0" w:hanging="960" w:hangingChars="4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甲方：（公章）</w:t>
            </w:r>
          </w:p>
        </w:tc>
        <w:tc>
          <w:tcPr>
            <w:tcW w:w="4724" w:type="dxa"/>
            <w:noWrap w:val="0"/>
            <w:vAlign w:val="center"/>
          </w:tcPr>
          <w:p w14:paraId="4E3E66B3">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eastAsia="zh-CN"/>
              </w:rPr>
              <w:t>（公章）</w:t>
            </w:r>
            <w:r>
              <w:rPr>
                <w:rFonts w:hint="eastAsia" w:ascii="宋体" w:hAnsi="宋体" w:eastAsia="宋体" w:cs="宋体"/>
                <w:color w:val="auto"/>
                <w:sz w:val="24"/>
                <w:szCs w:val="24"/>
                <w:highlight w:val="none"/>
                <w:lang w:val="en-US" w:eastAsia="zh-CN"/>
              </w:rPr>
              <w:t xml:space="preserve"> </w:t>
            </w:r>
          </w:p>
        </w:tc>
      </w:tr>
      <w:tr w14:paraId="5EB8309B">
        <w:tblPrEx>
          <w:tblCellMar>
            <w:top w:w="0" w:type="dxa"/>
            <w:left w:w="108" w:type="dxa"/>
            <w:bottom w:w="0" w:type="dxa"/>
            <w:right w:w="108" w:type="dxa"/>
          </w:tblCellMar>
        </w:tblPrEx>
        <w:trPr>
          <w:trHeight w:val="737" w:hRule="atLeast"/>
          <w:jc w:val="center"/>
        </w:trPr>
        <w:tc>
          <w:tcPr>
            <w:tcW w:w="4750" w:type="dxa"/>
            <w:noWrap w:val="0"/>
            <w:vAlign w:val="center"/>
          </w:tcPr>
          <w:p w14:paraId="0AE67FBF">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w:t>
            </w:r>
          </w:p>
          <w:p w14:paraId="4395093B">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或授权代表人：</w:t>
            </w:r>
          </w:p>
        </w:tc>
        <w:tc>
          <w:tcPr>
            <w:tcW w:w="4724" w:type="dxa"/>
            <w:noWrap w:val="0"/>
            <w:vAlign w:val="center"/>
          </w:tcPr>
          <w:p w14:paraId="20645F69">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w:t>
            </w:r>
          </w:p>
          <w:p w14:paraId="5CBCD951">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或授权代表人：</w:t>
            </w:r>
          </w:p>
        </w:tc>
      </w:tr>
      <w:tr w14:paraId="6BED393C">
        <w:tblPrEx>
          <w:tblCellMar>
            <w:top w:w="0" w:type="dxa"/>
            <w:left w:w="108" w:type="dxa"/>
            <w:bottom w:w="0" w:type="dxa"/>
            <w:right w:w="108" w:type="dxa"/>
          </w:tblCellMar>
        </w:tblPrEx>
        <w:trPr>
          <w:trHeight w:val="512" w:hRule="atLeast"/>
          <w:jc w:val="center"/>
        </w:trPr>
        <w:tc>
          <w:tcPr>
            <w:tcW w:w="4750" w:type="dxa"/>
            <w:noWrap w:val="0"/>
            <w:vAlign w:val="center"/>
          </w:tcPr>
          <w:p w14:paraId="2CFF7CAF">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 </w:t>
            </w:r>
          </w:p>
        </w:tc>
        <w:tc>
          <w:tcPr>
            <w:tcW w:w="4724" w:type="dxa"/>
            <w:noWrap w:val="0"/>
            <w:vAlign w:val="center"/>
          </w:tcPr>
          <w:p w14:paraId="19A520EF">
            <w:pPr>
              <w:pStyle w:val="10"/>
              <w:keepNext w:val="0"/>
              <w:keepLines w:val="0"/>
              <w:pageBreakBefore w:val="0"/>
              <w:widowControl w:val="0"/>
              <w:kinsoku/>
              <w:wordWrap/>
              <w:overflowPunct/>
              <w:topLinePunct w:val="0"/>
              <w:autoSpaceDE/>
              <w:autoSpaceDN/>
              <w:bidi w:val="0"/>
              <w:adjustRightInd/>
              <w:snapToGrid/>
              <w:spacing w:after="0" w:line="360" w:lineRule="auto"/>
              <w:ind w:left="720" w:leftChars="0" w:hanging="720" w:hangingChars="3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p>
        </w:tc>
      </w:tr>
      <w:tr w14:paraId="03220224">
        <w:tblPrEx>
          <w:tblCellMar>
            <w:top w:w="0" w:type="dxa"/>
            <w:left w:w="108" w:type="dxa"/>
            <w:bottom w:w="0" w:type="dxa"/>
            <w:right w:w="108" w:type="dxa"/>
          </w:tblCellMar>
        </w:tblPrEx>
        <w:trPr>
          <w:trHeight w:val="467" w:hRule="atLeast"/>
          <w:jc w:val="center"/>
        </w:trPr>
        <w:tc>
          <w:tcPr>
            <w:tcW w:w="4750" w:type="dxa"/>
            <w:noWrap w:val="0"/>
            <w:vAlign w:val="center"/>
          </w:tcPr>
          <w:p w14:paraId="567AFB0D">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 </w:t>
            </w:r>
          </w:p>
        </w:tc>
        <w:tc>
          <w:tcPr>
            <w:tcW w:w="4724" w:type="dxa"/>
            <w:noWrap w:val="0"/>
            <w:vAlign w:val="center"/>
          </w:tcPr>
          <w:p w14:paraId="26F3C8FC">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电话: </w:t>
            </w:r>
          </w:p>
        </w:tc>
      </w:tr>
      <w:tr w14:paraId="42B54217">
        <w:tblPrEx>
          <w:tblCellMar>
            <w:top w:w="0" w:type="dxa"/>
            <w:left w:w="108" w:type="dxa"/>
            <w:bottom w:w="0" w:type="dxa"/>
            <w:right w:w="108" w:type="dxa"/>
          </w:tblCellMar>
        </w:tblPrEx>
        <w:trPr>
          <w:trHeight w:val="482" w:hRule="atLeast"/>
          <w:jc w:val="center"/>
        </w:trPr>
        <w:tc>
          <w:tcPr>
            <w:tcW w:w="4750" w:type="dxa"/>
            <w:noWrap w:val="0"/>
            <w:vAlign w:val="center"/>
          </w:tcPr>
          <w:p w14:paraId="226D39F0">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传真： </w:t>
            </w:r>
          </w:p>
        </w:tc>
        <w:tc>
          <w:tcPr>
            <w:tcW w:w="4724" w:type="dxa"/>
            <w:noWrap w:val="0"/>
            <w:vAlign w:val="center"/>
          </w:tcPr>
          <w:p w14:paraId="37C24E26">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传真：</w:t>
            </w:r>
          </w:p>
        </w:tc>
      </w:tr>
      <w:tr w14:paraId="12A24BD4">
        <w:tblPrEx>
          <w:tblCellMar>
            <w:top w:w="0" w:type="dxa"/>
            <w:left w:w="108" w:type="dxa"/>
            <w:bottom w:w="0" w:type="dxa"/>
            <w:right w:w="108" w:type="dxa"/>
          </w:tblCellMar>
        </w:tblPrEx>
        <w:trPr>
          <w:trHeight w:val="512" w:hRule="atLeast"/>
          <w:jc w:val="center"/>
        </w:trPr>
        <w:tc>
          <w:tcPr>
            <w:tcW w:w="4750" w:type="dxa"/>
            <w:noWrap w:val="0"/>
            <w:vAlign w:val="center"/>
          </w:tcPr>
          <w:p w14:paraId="3D9458A3">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邮政编码： </w:t>
            </w:r>
          </w:p>
        </w:tc>
        <w:tc>
          <w:tcPr>
            <w:tcW w:w="4724" w:type="dxa"/>
            <w:noWrap w:val="0"/>
            <w:vAlign w:val="center"/>
          </w:tcPr>
          <w:p w14:paraId="077573B9">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邮政编码：</w:t>
            </w:r>
          </w:p>
        </w:tc>
      </w:tr>
      <w:tr w14:paraId="0F6C02A0">
        <w:tblPrEx>
          <w:tblCellMar>
            <w:top w:w="0" w:type="dxa"/>
            <w:left w:w="108" w:type="dxa"/>
            <w:bottom w:w="0" w:type="dxa"/>
            <w:right w:w="108" w:type="dxa"/>
          </w:tblCellMar>
        </w:tblPrEx>
        <w:trPr>
          <w:trHeight w:val="482" w:hRule="atLeast"/>
          <w:jc w:val="center"/>
        </w:trPr>
        <w:tc>
          <w:tcPr>
            <w:tcW w:w="4750" w:type="dxa"/>
            <w:noWrap w:val="0"/>
            <w:vAlign w:val="center"/>
          </w:tcPr>
          <w:p w14:paraId="3338022F">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开户名： </w:t>
            </w:r>
          </w:p>
        </w:tc>
        <w:tc>
          <w:tcPr>
            <w:tcW w:w="4724" w:type="dxa"/>
            <w:noWrap w:val="0"/>
            <w:vAlign w:val="center"/>
          </w:tcPr>
          <w:p w14:paraId="34766E29">
            <w:pPr>
              <w:pStyle w:val="10"/>
              <w:keepNext w:val="0"/>
              <w:keepLines w:val="0"/>
              <w:pageBreakBefore w:val="0"/>
              <w:widowControl w:val="0"/>
              <w:kinsoku/>
              <w:wordWrap/>
              <w:overflowPunct/>
              <w:topLinePunct w:val="0"/>
              <w:autoSpaceDE/>
              <w:autoSpaceDN/>
              <w:bidi w:val="0"/>
              <w:adjustRightInd/>
              <w:snapToGrid/>
              <w:spacing w:after="0" w:line="360" w:lineRule="auto"/>
              <w:ind w:left="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开户名：</w:t>
            </w:r>
          </w:p>
        </w:tc>
      </w:tr>
      <w:tr w14:paraId="459DF6DD">
        <w:tblPrEx>
          <w:tblCellMar>
            <w:top w:w="0" w:type="dxa"/>
            <w:left w:w="108" w:type="dxa"/>
            <w:bottom w:w="0" w:type="dxa"/>
            <w:right w:w="108" w:type="dxa"/>
          </w:tblCellMar>
        </w:tblPrEx>
        <w:trPr>
          <w:trHeight w:val="512" w:hRule="atLeast"/>
          <w:jc w:val="center"/>
        </w:trPr>
        <w:tc>
          <w:tcPr>
            <w:tcW w:w="4750" w:type="dxa"/>
            <w:noWrap w:val="0"/>
            <w:vAlign w:val="center"/>
          </w:tcPr>
          <w:p w14:paraId="2AD450A0">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开户行： </w:t>
            </w:r>
          </w:p>
        </w:tc>
        <w:tc>
          <w:tcPr>
            <w:tcW w:w="4724" w:type="dxa"/>
            <w:noWrap w:val="0"/>
            <w:vAlign w:val="center"/>
          </w:tcPr>
          <w:p w14:paraId="7807B640">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开户行：</w:t>
            </w:r>
          </w:p>
        </w:tc>
      </w:tr>
      <w:tr w14:paraId="667A6F93">
        <w:tblPrEx>
          <w:tblCellMar>
            <w:top w:w="0" w:type="dxa"/>
            <w:left w:w="108" w:type="dxa"/>
            <w:bottom w:w="0" w:type="dxa"/>
            <w:right w:w="108" w:type="dxa"/>
          </w:tblCellMar>
        </w:tblPrEx>
        <w:trPr>
          <w:trHeight w:val="542" w:hRule="atLeast"/>
          <w:jc w:val="center"/>
        </w:trPr>
        <w:tc>
          <w:tcPr>
            <w:tcW w:w="4750" w:type="dxa"/>
            <w:noWrap w:val="0"/>
            <w:vAlign w:val="center"/>
          </w:tcPr>
          <w:p w14:paraId="0C11219A">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账</w:t>
            </w:r>
            <w:r>
              <w:rPr>
                <w:rFonts w:hint="eastAsia" w:ascii="宋体" w:hAnsi="宋体" w:eastAsia="宋体" w:cs="宋体"/>
                <w:color w:val="auto"/>
                <w:sz w:val="24"/>
                <w:szCs w:val="24"/>
                <w:highlight w:val="none"/>
                <w:lang w:val="en-US" w:eastAsia="zh-CN"/>
              </w:rPr>
              <w:t xml:space="preserve">号： </w:t>
            </w:r>
          </w:p>
        </w:tc>
        <w:tc>
          <w:tcPr>
            <w:tcW w:w="4724" w:type="dxa"/>
            <w:noWrap w:val="0"/>
            <w:vAlign w:val="center"/>
          </w:tcPr>
          <w:p w14:paraId="5137FD71">
            <w:pPr>
              <w:pStyle w:val="10"/>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账号：</w:t>
            </w:r>
          </w:p>
        </w:tc>
      </w:tr>
      <w:tr w14:paraId="3700B5D1">
        <w:tblPrEx>
          <w:tblCellMar>
            <w:top w:w="0" w:type="dxa"/>
            <w:left w:w="108" w:type="dxa"/>
            <w:bottom w:w="0" w:type="dxa"/>
            <w:right w:w="108" w:type="dxa"/>
          </w:tblCellMar>
        </w:tblPrEx>
        <w:trPr>
          <w:trHeight w:val="737" w:hRule="atLeast"/>
          <w:jc w:val="center"/>
        </w:trPr>
        <w:tc>
          <w:tcPr>
            <w:tcW w:w="4750" w:type="dxa"/>
            <w:noWrap w:val="0"/>
            <w:vAlign w:val="center"/>
          </w:tcPr>
          <w:p w14:paraId="5ACFF27E">
            <w:pPr>
              <w:pStyle w:val="10"/>
              <w:keepNext w:val="0"/>
              <w:keepLines w:val="0"/>
              <w:pageBreakBefore w:val="0"/>
              <w:widowControl w:val="0"/>
              <w:kinsoku/>
              <w:wordWrap/>
              <w:overflowPunct/>
              <w:topLinePunct w:val="0"/>
              <w:autoSpaceDE/>
              <w:autoSpaceDN/>
              <w:bidi w:val="0"/>
              <w:adjustRightInd/>
              <w:snapToGrid/>
              <w:spacing w:after="0" w:line="360" w:lineRule="auto"/>
              <w:ind w:left="480" w:leftChars="0" w:hanging="480" w:hanging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统一社会信用代码：</w:t>
            </w:r>
          </w:p>
        </w:tc>
        <w:tc>
          <w:tcPr>
            <w:tcW w:w="4724" w:type="dxa"/>
            <w:noWrap w:val="0"/>
            <w:vAlign w:val="center"/>
          </w:tcPr>
          <w:p w14:paraId="34EB5667">
            <w:pPr>
              <w:pStyle w:val="10"/>
              <w:keepNext w:val="0"/>
              <w:keepLines w:val="0"/>
              <w:pageBreakBefore w:val="0"/>
              <w:widowControl w:val="0"/>
              <w:kinsoku/>
              <w:wordWrap/>
              <w:overflowPunct/>
              <w:topLinePunct w:val="0"/>
              <w:autoSpaceDE/>
              <w:autoSpaceDN/>
              <w:bidi w:val="0"/>
              <w:adjustRightInd/>
              <w:snapToGrid/>
              <w:spacing w:after="0" w:line="360" w:lineRule="auto"/>
              <w:ind w:left="480" w:leftChars="0" w:hanging="480" w:hanging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统一社信用代码：</w:t>
            </w:r>
          </w:p>
        </w:tc>
      </w:tr>
      <w:tr w14:paraId="69B1E039">
        <w:tblPrEx>
          <w:tblCellMar>
            <w:top w:w="0" w:type="dxa"/>
            <w:left w:w="108" w:type="dxa"/>
            <w:bottom w:w="0" w:type="dxa"/>
            <w:right w:w="108" w:type="dxa"/>
          </w:tblCellMar>
        </w:tblPrEx>
        <w:trPr>
          <w:trHeight w:val="737" w:hRule="atLeast"/>
          <w:jc w:val="center"/>
        </w:trPr>
        <w:tc>
          <w:tcPr>
            <w:tcW w:w="9474" w:type="dxa"/>
            <w:gridSpan w:val="2"/>
            <w:noWrap w:val="0"/>
            <w:vAlign w:val="center"/>
          </w:tcPr>
          <w:p w14:paraId="0566DF11">
            <w:pPr>
              <w:pStyle w:val="10"/>
              <w:keepNext w:val="0"/>
              <w:keepLines w:val="0"/>
              <w:pageBreakBefore w:val="0"/>
              <w:widowControl w:val="0"/>
              <w:kinsoku/>
              <w:wordWrap/>
              <w:overflowPunct/>
              <w:topLinePunct w:val="0"/>
              <w:autoSpaceDE/>
              <w:autoSpaceDN/>
              <w:bidi w:val="0"/>
              <w:adjustRightInd/>
              <w:snapToGrid/>
              <w:spacing w:after="0" w:line="360" w:lineRule="auto"/>
              <w:ind w:left="480" w:leftChars="0" w:hanging="480" w:hangingChars="2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合同签订时间：      年    月   日</w:t>
            </w:r>
          </w:p>
        </w:tc>
      </w:tr>
    </w:tbl>
    <w:p w14:paraId="494DAE9A">
      <w:pPr>
        <w:keepNext w:val="0"/>
        <w:keepLines w:val="0"/>
        <w:pageBreakBefore w:val="0"/>
        <w:widowControl w:val="0"/>
        <w:kinsoku/>
        <w:wordWrap/>
        <w:overflowPunct/>
        <w:topLinePunct w:val="0"/>
        <w:autoSpaceDE/>
        <w:bidi w:val="0"/>
        <w:adjustRightInd/>
        <w:snapToGrid/>
        <w:spacing w:line="480" w:lineRule="exact"/>
        <w:textAlignment w:val="auto"/>
        <w:rPr>
          <w:rFonts w:hint="eastAsia" w:ascii="宋体" w:hAnsi="宋体" w:eastAsia="宋体" w:cs="宋体"/>
          <w:color w:val="auto"/>
          <w:sz w:val="24"/>
          <w:szCs w:val="24"/>
          <w:highlight w:val="none"/>
        </w:rPr>
      </w:pPr>
    </w:p>
    <w:p w14:paraId="75B4003E">
      <w:pPr>
        <w:pageBreakBefore w:val="0"/>
        <w:widowControl w:val="0"/>
        <w:kinsoku/>
        <w:autoSpaceDE/>
        <w:bidi w:val="0"/>
        <w:rPr>
          <w:color w:val="auto"/>
          <w:highlight w:val="none"/>
        </w:rPr>
      </w:pPr>
    </w:p>
    <w:p w14:paraId="15D78C8A">
      <w:pPr>
        <w:pageBreakBefore w:val="0"/>
        <w:widowControl w:val="0"/>
        <w:kinsoku/>
        <w:autoSpaceDE/>
        <w:bidi w:val="0"/>
        <w:rPr>
          <w:rFonts w:hint="eastAsia"/>
          <w:color w:val="auto"/>
          <w:highlight w:val="none"/>
        </w:rPr>
      </w:pPr>
    </w:p>
    <w:p w14:paraId="0808A7CC">
      <w:pPr>
        <w:pageBreakBefore w:val="0"/>
        <w:widowControl w:val="0"/>
        <w:kinsoku/>
        <w:autoSpaceDE/>
        <w:bidi w:val="0"/>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3CFFA3E6">
      <w:pPr>
        <w:pStyle w:val="2"/>
        <w:pageBreakBefore w:val="0"/>
        <w:widowControl w:val="0"/>
        <w:shd w:val="clear" w:color="auto" w:fill="auto"/>
        <w:tabs>
          <w:tab w:val="left" w:pos="360"/>
        </w:tabs>
        <w:kinsoku/>
        <w:autoSpaceDE/>
        <w:bidi w:val="0"/>
        <w:jc w:val="center"/>
        <w:rPr>
          <w:rFonts w:hint="eastAsia" w:asciiTheme="minorEastAsia" w:hAnsiTheme="minorEastAsia" w:eastAsiaTheme="minorEastAsia" w:cstheme="minorEastAsia"/>
          <w:color w:val="auto"/>
          <w:sz w:val="36"/>
          <w:szCs w:val="36"/>
          <w:highlight w:val="none"/>
        </w:rPr>
      </w:pPr>
      <w:bookmarkStart w:id="106" w:name="_Toc28950"/>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五</w:t>
      </w:r>
      <w:r>
        <w:rPr>
          <w:rFonts w:hint="eastAsia" w:asciiTheme="minorEastAsia" w:hAnsiTheme="minorEastAsia" w:eastAsiaTheme="minorEastAsia" w:cstheme="minorEastAsia"/>
          <w:color w:val="auto"/>
          <w:sz w:val="32"/>
          <w:szCs w:val="32"/>
          <w:highlight w:val="none"/>
        </w:rPr>
        <w:t xml:space="preserve">章 </w:t>
      </w:r>
      <w:r>
        <w:rPr>
          <w:rFonts w:hint="eastAsia" w:asciiTheme="minorEastAsia" w:hAnsiTheme="minorEastAsia" w:eastAsiaTheme="minorEastAsia" w:cstheme="minorEastAsia"/>
          <w:color w:val="auto"/>
          <w:sz w:val="32"/>
          <w:szCs w:val="32"/>
          <w:highlight w:val="none"/>
          <w:lang w:eastAsia="zh-CN"/>
        </w:rPr>
        <w:t>竞争性磋商响应文件</w:t>
      </w:r>
      <w:r>
        <w:rPr>
          <w:rFonts w:hint="eastAsia" w:asciiTheme="minorEastAsia" w:hAnsiTheme="minorEastAsia" w:eastAsiaTheme="minorEastAsia" w:cstheme="minorEastAsia"/>
          <w:color w:val="auto"/>
          <w:sz w:val="32"/>
          <w:szCs w:val="32"/>
          <w:highlight w:val="none"/>
        </w:rPr>
        <w:t>格式</w:t>
      </w:r>
      <w:bookmarkEnd w:id="106"/>
    </w:p>
    <w:p w14:paraId="6BABF761">
      <w:pPr>
        <w:pStyle w:val="14"/>
        <w:pageBreakBefore w:val="0"/>
        <w:widowControl w:val="0"/>
        <w:shd w:val="clear" w:color="auto" w:fill="auto"/>
        <w:kinsoku/>
        <w:autoSpaceDE/>
        <w:bidi w:val="0"/>
        <w:spacing w:line="500" w:lineRule="exact"/>
        <w:ind w:firstLine="1564" w:firstLineChars="745"/>
        <w:rPr>
          <w:rFonts w:hint="eastAsia" w:asciiTheme="minorEastAsia" w:hAnsiTheme="minorEastAsia" w:eastAsiaTheme="minorEastAsia" w:cstheme="minorEastAsia"/>
          <w:color w:val="auto"/>
          <w:highlight w:val="none"/>
        </w:rPr>
      </w:pPr>
    </w:p>
    <w:p w14:paraId="1BF13031">
      <w:pPr>
        <w:pStyle w:val="14"/>
        <w:pageBreakBefore w:val="0"/>
        <w:widowControl w:val="0"/>
        <w:shd w:val="clear" w:color="auto" w:fill="auto"/>
        <w:kinsoku/>
        <w:autoSpaceDE/>
        <w:bidi w:val="0"/>
        <w:spacing w:line="500" w:lineRule="exact"/>
        <w:jc w:val="center"/>
        <w:rPr>
          <w:rFonts w:hint="default" w:asciiTheme="minorEastAsia" w:hAnsiTheme="minorEastAsia" w:eastAsiaTheme="minorEastAsia" w:cstheme="minorEastAsia"/>
          <w:b/>
          <w:color w:val="auto"/>
          <w:sz w:val="32"/>
          <w:highlight w:val="none"/>
          <w:lang w:val="en-US"/>
        </w:rPr>
      </w:pPr>
      <w:r>
        <w:rPr>
          <w:rFonts w:hint="eastAsia" w:asciiTheme="minorEastAsia" w:hAnsiTheme="minorEastAsia" w:eastAsiaTheme="minorEastAsia" w:cstheme="minorEastAsia"/>
          <w:b/>
          <w:color w:val="auto"/>
          <w:kern w:val="0"/>
          <w:sz w:val="32"/>
          <w:szCs w:val="32"/>
          <w:highlight w:val="none"/>
          <w:lang w:eastAsia="zh-CN"/>
        </w:rPr>
        <w:t>永德县永康林场国家澳洲坚果良种基地2025年中央财政林木良种培育补助项目</w:t>
      </w:r>
    </w:p>
    <w:p w14:paraId="7AB8D557">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261893E3">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100951E2">
      <w:pPr>
        <w:pStyle w:val="14"/>
        <w:pageBreakBefore w:val="0"/>
        <w:widowControl w:val="0"/>
        <w:shd w:val="clear" w:color="auto" w:fill="auto"/>
        <w:kinsoku/>
        <w:autoSpaceDE/>
        <w:bidi w:val="0"/>
        <w:spacing w:line="500" w:lineRule="exact"/>
        <w:rPr>
          <w:rFonts w:hint="eastAsia" w:asciiTheme="minorEastAsia" w:hAnsiTheme="minorEastAsia" w:eastAsiaTheme="minorEastAsia" w:cstheme="minorEastAsia"/>
          <w:b/>
          <w:color w:val="auto"/>
          <w:sz w:val="32"/>
          <w:highlight w:val="none"/>
        </w:rPr>
      </w:pPr>
    </w:p>
    <w:p w14:paraId="28454F9D">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56ADD19B">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63C7E1E9">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562C9B02">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2D972985">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32"/>
          <w:highlight w:val="none"/>
        </w:rPr>
      </w:pPr>
    </w:p>
    <w:p w14:paraId="7358AB32">
      <w:pPr>
        <w:pStyle w:val="14"/>
        <w:pageBreakBefore w:val="0"/>
        <w:widowControl w:val="0"/>
        <w:shd w:val="clear" w:color="auto" w:fill="auto"/>
        <w:kinsoku/>
        <w:autoSpaceDE/>
        <w:bidi w:val="0"/>
        <w:spacing w:line="780" w:lineRule="exact"/>
        <w:jc w:val="center"/>
        <w:rPr>
          <w:rFonts w:hint="eastAsia" w:asciiTheme="minorEastAsia" w:hAnsiTheme="minorEastAsia" w:eastAsiaTheme="minorEastAsia" w:cstheme="minorEastAsia"/>
          <w:b/>
          <w:color w:val="auto"/>
          <w:sz w:val="48"/>
          <w:highlight w:val="none"/>
        </w:rPr>
      </w:pPr>
      <w:r>
        <w:rPr>
          <w:rFonts w:hint="eastAsia" w:asciiTheme="minorEastAsia" w:hAnsiTheme="minorEastAsia" w:eastAsiaTheme="minorEastAsia" w:cstheme="minorEastAsia"/>
          <w:b/>
          <w:color w:val="auto"/>
          <w:sz w:val="48"/>
          <w:highlight w:val="none"/>
          <w:lang w:val="en-US" w:eastAsia="zh-CN"/>
        </w:rPr>
        <w:t>竞争性磋商响应</w:t>
      </w:r>
      <w:r>
        <w:rPr>
          <w:rFonts w:hint="eastAsia" w:asciiTheme="minorEastAsia" w:hAnsiTheme="minorEastAsia" w:eastAsiaTheme="minorEastAsia" w:cstheme="minorEastAsia"/>
          <w:b/>
          <w:color w:val="auto"/>
          <w:sz w:val="48"/>
          <w:highlight w:val="none"/>
        </w:rPr>
        <w:t>文件</w:t>
      </w:r>
    </w:p>
    <w:p w14:paraId="31AAF446">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54220B05">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3ACC9967">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6D5E0404">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6EC462E6">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6D2BAF01">
      <w:pPr>
        <w:pStyle w:val="14"/>
        <w:pageBreakBefore w:val="0"/>
        <w:widowControl w:val="0"/>
        <w:shd w:val="clear" w:color="auto" w:fill="auto"/>
        <w:kinsoku/>
        <w:autoSpaceDE/>
        <w:bidi w:val="0"/>
        <w:spacing w:line="500" w:lineRule="exact"/>
        <w:rPr>
          <w:rFonts w:hint="eastAsia" w:asciiTheme="minorEastAsia" w:hAnsiTheme="minorEastAsia" w:eastAsiaTheme="minorEastAsia" w:cstheme="minorEastAsia"/>
          <w:b/>
          <w:color w:val="auto"/>
          <w:sz w:val="72"/>
          <w:highlight w:val="none"/>
        </w:rPr>
      </w:pPr>
    </w:p>
    <w:p w14:paraId="4A1DBAAC">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56BFCA01">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5B23AF23">
      <w:pPr>
        <w:pStyle w:val="14"/>
        <w:pageBreakBefore w:val="0"/>
        <w:widowControl w:val="0"/>
        <w:shd w:val="clear" w:color="auto" w:fill="auto"/>
        <w:kinsoku/>
        <w:autoSpaceDE/>
        <w:bidi w:val="0"/>
        <w:spacing w:line="500" w:lineRule="exact"/>
        <w:jc w:val="center"/>
        <w:rPr>
          <w:rFonts w:hint="eastAsia" w:asciiTheme="minorEastAsia" w:hAnsiTheme="minorEastAsia" w:eastAsiaTheme="minorEastAsia" w:cstheme="minorEastAsia"/>
          <w:b/>
          <w:color w:val="auto"/>
          <w:sz w:val="72"/>
          <w:highlight w:val="none"/>
        </w:rPr>
      </w:pPr>
    </w:p>
    <w:p w14:paraId="37EFDBED">
      <w:pPr>
        <w:pageBreakBefore w:val="0"/>
        <w:widowControl w:val="0"/>
        <w:shd w:val="clear" w:color="auto" w:fill="auto"/>
        <w:kinsoku/>
        <w:autoSpaceDE/>
        <w:bidi w:val="0"/>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(电子签章)</w:t>
      </w:r>
    </w:p>
    <w:p w14:paraId="10BF2C40">
      <w:pPr>
        <w:pStyle w:val="14"/>
        <w:pageBreakBefore w:val="0"/>
        <w:widowControl w:val="0"/>
        <w:shd w:val="clear" w:color="auto" w:fill="auto"/>
        <w:kinsoku/>
        <w:autoSpaceDE/>
        <w:bidi w:val="0"/>
        <w:spacing w:line="500" w:lineRule="exact"/>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szCs w:val="24"/>
          <w:highlight w:val="none"/>
          <w:lang w:eastAsia="zh-CN"/>
        </w:rPr>
        <w:t>法定代表人或委托代理人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25D04C0">
      <w:pPr>
        <w:pStyle w:val="14"/>
        <w:pageBreakBefore w:val="0"/>
        <w:widowControl w:val="0"/>
        <w:shd w:val="clear" w:color="auto" w:fill="auto"/>
        <w:kinsoku/>
        <w:autoSpaceDE/>
        <w:bidi w:val="0"/>
        <w:spacing w:line="500" w:lineRule="exact"/>
        <w:ind w:firstLine="480" w:firstLineChars="20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日  期：</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年</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月</w:t>
      </w:r>
      <w:r>
        <w:rPr>
          <w:rFonts w:hint="eastAsia" w:asciiTheme="minorEastAsia" w:hAnsiTheme="minorEastAsia" w:eastAsiaTheme="minorEastAsia" w:cstheme="minorEastAsia"/>
          <w:color w:val="auto"/>
          <w:sz w:val="24"/>
          <w:highlight w:val="none"/>
          <w:u w:val="single"/>
        </w:rPr>
        <w:t xml:space="preserve">    </w:t>
      </w:r>
      <w:r>
        <w:rPr>
          <w:rFonts w:hint="eastAsia" w:asciiTheme="minorEastAsia" w:hAnsiTheme="minorEastAsia" w:eastAsiaTheme="minorEastAsia" w:cstheme="minorEastAsia"/>
          <w:color w:val="auto"/>
          <w:sz w:val="24"/>
          <w:highlight w:val="none"/>
        </w:rPr>
        <w:t>日</w:t>
      </w:r>
    </w:p>
    <w:p w14:paraId="7A6A42C7">
      <w:pPr>
        <w:pageBreakBefore w:val="0"/>
        <w:widowControl w:val="0"/>
        <w:shd w:val="clear" w:color="auto" w:fill="auto"/>
        <w:kinsoku/>
        <w:wordWrap w:val="0"/>
        <w:autoSpaceDE/>
        <w:bidi w:val="0"/>
        <w:ind w:right="480"/>
        <w:jc w:val="center"/>
        <w:rPr>
          <w:rFonts w:hint="eastAsia" w:asciiTheme="minorEastAsia" w:hAnsiTheme="minorEastAsia" w:eastAsiaTheme="minorEastAsia" w:cstheme="minorEastAsia"/>
          <w:color w:val="auto"/>
          <w:szCs w:val="21"/>
          <w:highlight w:val="none"/>
        </w:rPr>
      </w:pPr>
      <w:bookmarkStart w:id="107" w:name="_Toc355877222"/>
      <w:bookmarkStart w:id="108" w:name="_Toc258848989"/>
      <w:bookmarkStart w:id="109" w:name="_Toc266880234"/>
      <w:bookmarkStart w:id="110" w:name="_Toc258848988"/>
      <w:bookmarkStart w:id="111" w:name="_Toc213141093"/>
      <w:bookmarkStart w:id="112" w:name="_Toc152047263"/>
      <w:bookmarkStart w:id="113" w:name="_Toc144974467"/>
      <w:bookmarkStart w:id="114" w:name="_Toc355877221"/>
      <w:r>
        <w:rPr>
          <w:rFonts w:hint="eastAsia" w:asciiTheme="minorEastAsia" w:hAnsiTheme="minorEastAsia" w:eastAsiaTheme="minorEastAsia" w:cstheme="minorEastAsia"/>
          <w:b/>
          <w:color w:val="auto"/>
          <w:sz w:val="28"/>
          <w:szCs w:val="28"/>
          <w:highlight w:val="none"/>
        </w:rPr>
        <w:br w:type="page"/>
      </w:r>
      <w:bookmarkEnd w:id="107"/>
      <w:bookmarkEnd w:id="108"/>
    </w:p>
    <w:p w14:paraId="76393495">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b/>
          <w:color w:val="auto"/>
          <w:sz w:val="24"/>
          <w:szCs w:val="24"/>
          <w:highlight w:val="none"/>
        </w:rPr>
      </w:pPr>
      <w:bookmarkStart w:id="115" w:name="_Toc403511223"/>
      <w:bookmarkStart w:id="116" w:name="_Toc15734"/>
      <w:bookmarkStart w:id="117" w:name="_Toc10547"/>
      <w:bookmarkStart w:id="118" w:name="_Toc21893"/>
      <w:r>
        <w:rPr>
          <w:rFonts w:hint="eastAsia" w:asciiTheme="minorEastAsia" w:hAnsiTheme="minorEastAsia" w:eastAsiaTheme="minorEastAsia" w:cstheme="minorEastAsia"/>
          <w:b/>
          <w:color w:val="auto"/>
          <w:sz w:val="24"/>
          <w:szCs w:val="24"/>
          <w:highlight w:val="none"/>
          <w:lang w:val="en-US" w:eastAsia="zh-CN"/>
        </w:rPr>
        <w:t>一、报价</w:t>
      </w:r>
      <w:r>
        <w:rPr>
          <w:rFonts w:hint="eastAsia" w:asciiTheme="minorEastAsia" w:hAnsiTheme="minorEastAsia" w:eastAsiaTheme="minorEastAsia" w:cstheme="minorEastAsia"/>
          <w:b/>
          <w:color w:val="auto"/>
          <w:sz w:val="24"/>
          <w:szCs w:val="24"/>
          <w:highlight w:val="none"/>
        </w:rPr>
        <w:t>一览表</w:t>
      </w:r>
      <w:bookmarkEnd w:id="115"/>
      <w:bookmarkEnd w:id="116"/>
      <w:bookmarkEnd w:id="117"/>
      <w:bookmarkEnd w:id="118"/>
    </w:p>
    <w:p w14:paraId="08B54C5B">
      <w:pPr>
        <w:pageBreakBefore w:val="0"/>
        <w:widowControl w:val="0"/>
        <w:shd w:val="clear" w:color="auto" w:fill="auto"/>
        <w:kinsoku/>
        <w:autoSpaceDE/>
        <w:bidi w:val="0"/>
        <w:rPr>
          <w:rFonts w:hint="eastAsia" w:asciiTheme="minorEastAsia" w:hAnsiTheme="minorEastAsia" w:eastAsiaTheme="minorEastAsia" w:cstheme="minorEastAsia"/>
          <w:color w:val="auto"/>
          <w:sz w:val="24"/>
          <w:szCs w:val="24"/>
          <w:highlight w:val="none"/>
        </w:rPr>
      </w:pPr>
    </w:p>
    <w:p w14:paraId="396C615B">
      <w:pPr>
        <w:pageBreakBefore w:val="0"/>
        <w:widowControl w:val="0"/>
        <w:shd w:val="clear" w:color="auto" w:fill="auto"/>
        <w:kinsoku/>
        <w:autoSpaceDE/>
        <w:bidi w:val="0"/>
        <w:rPr>
          <w:rFonts w:hint="eastAsia" w:asciiTheme="minorEastAsia" w:hAnsiTheme="minorEastAsia" w:eastAsiaTheme="minorEastAsia" w:cstheme="minorEastAsia"/>
          <w:bCs/>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bCs/>
          <w:color w:val="auto"/>
          <w:sz w:val="24"/>
          <w:szCs w:val="24"/>
          <w:highlight w:val="none"/>
          <w:u w:val="single"/>
          <w:lang w:eastAsia="zh-CN"/>
        </w:rPr>
        <w:t>永德县永康林场国家澳洲坚果良种基地2025年中央财政林木良种培育补助项目</w:t>
      </w:r>
    </w:p>
    <w:p w14:paraId="79318D80">
      <w:pPr>
        <w:pStyle w:val="33"/>
        <w:pageBreakBefore w:val="0"/>
        <w:widowControl w:val="0"/>
        <w:kinsoku/>
        <w:autoSpaceDE/>
        <w:bidi w:val="0"/>
        <w:rPr>
          <w:rFonts w:hint="eastAsia"/>
          <w:color w:val="auto"/>
          <w:highlight w:val="none"/>
        </w:rPr>
      </w:pPr>
    </w:p>
    <w:tbl>
      <w:tblPr>
        <w:tblStyle w:val="25"/>
        <w:tblW w:w="95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5019"/>
        <w:gridCol w:w="2777"/>
      </w:tblGrid>
      <w:tr w14:paraId="2378C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18AEFED0">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2F5C99AE">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2777" w:type="dxa"/>
            <w:tcBorders>
              <w:top w:val="single" w:color="auto" w:sz="4" w:space="0"/>
              <w:left w:val="single" w:color="auto" w:sz="4" w:space="0"/>
              <w:bottom w:val="single" w:color="auto" w:sz="4" w:space="0"/>
              <w:right w:val="single" w:color="auto" w:sz="4" w:space="0"/>
            </w:tcBorders>
            <w:noWrap w:val="0"/>
            <w:vAlign w:val="center"/>
          </w:tcPr>
          <w:p w14:paraId="60166160">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1665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3"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1A5F25C2">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磋商总</w:t>
            </w:r>
            <w:r>
              <w:rPr>
                <w:rFonts w:hint="eastAsia" w:asciiTheme="minorEastAsia" w:hAnsiTheme="minorEastAsia" w:eastAsiaTheme="minorEastAsia" w:cstheme="minorEastAsia"/>
                <w:color w:val="auto"/>
                <w:sz w:val="24"/>
                <w:szCs w:val="24"/>
                <w:highlight w:val="none"/>
                <w:lang w:val="en-US" w:eastAsia="zh-CN"/>
              </w:rPr>
              <w:t>报</w:t>
            </w:r>
            <w:r>
              <w:rPr>
                <w:rFonts w:hint="eastAsia" w:asciiTheme="minorEastAsia" w:hAnsiTheme="minorEastAsia" w:eastAsiaTheme="minorEastAsia" w:cstheme="minorEastAsia"/>
                <w:color w:val="auto"/>
                <w:sz w:val="24"/>
                <w:szCs w:val="24"/>
                <w:highlight w:val="none"/>
              </w:rPr>
              <w:t>价</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4A87D992">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元</w:t>
            </w:r>
            <w:r>
              <w:rPr>
                <w:rFonts w:hint="eastAsia" w:asciiTheme="minorEastAsia" w:hAnsiTheme="minorEastAsia" w:eastAsiaTheme="minorEastAsia" w:cstheme="minorEastAsia"/>
                <w:color w:val="auto"/>
                <w:sz w:val="24"/>
                <w:szCs w:val="24"/>
                <w:highlight w:val="none"/>
                <w:lang w:eastAsia="zh-CN"/>
              </w:rPr>
              <w:t>，</w:t>
            </w:r>
          </w:p>
          <w:p w14:paraId="7E057D0B">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none"/>
                <w:lang w:val="en-US" w:eastAsia="zh-CN"/>
              </w:rPr>
              <w:t>。</w:t>
            </w:r>
          </w:p>
        </w:tc>
        <w:tc>
          <w:tcPr>
            <w:tcW w:w="2777" w:type="dxa"/>
            <w:tcBorders>
              <w:top w:val="single" w:color="auto" w:sz="4" w:space="0"/>
              <w:left w:val="single" w:color="auto" w:sz="4" w:space="0"/>
              <w:bottom w:val="single" w:color="auto" w:sz="4" w:space="0"/>
              <w:right w:val="single" w:color="auto" w:sz="4" w:space="0"/>
            </w:tcBorders>
            <w:noWrap w:val="0"/>
            <w:vAlign w:val="center"/>
          </w:tcPr>
          <w:p w14:paraId="264998C1">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p>
        </w:tc>
      </w:tr>
      <w:tr w14:paraId="51DBD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7E3911A1">
            <w:pPr>
              <w:pStyle w:val="14"/>
              <w:pageBreakBefore w:val="0"/>
              <w:widowControl w:val="0"/>
              <w:shd w:val="clear" w:color="auto" w:fill="auto"/>
              <w:kinsoku/>
              <w:autoSpaceDE/>
              <w:bidi w:val="0"/>
              <w:spacing w:line="240"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服务内容承诺</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4E0C1632">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416FA707">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kern w:val="0"/>
                <w:sz w:val="24"/>
                <w:szCs w:val="24"/>
                <w:highlight w:val="none"/>
              </w:rPr>
            </w:pPr>
          </w:p>
        </w:tc>
      </w:tr>
      <w:tr w14:paraId="2A33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41761FC6">
            <w:pPr>
              <w:pStyle w:val="14"/>
              <w:pageBreakBefore w:val="0"/>
              <w:widowControl w:val="0"/>
              <w:shd w:val="clear" w:color="auto" w:fill="auto"/>
              <w:kinsoku/>
              <w:autoSpaceDE/>
              <w:bidi w:val="0"/>
              <w:spacing w:line="240"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服务标准承诺</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614B95C2">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2FAD98FC">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kern w:val="0"/>
                <w:sz w:val="24"/>
                <w:szCs w:val="24"/>
                <w:highlight w:val="none"/>
                <w:lang w:eastAsia="zh-CN"/>
              </w:rPr>
            </w:pPr>
          </w:p>
        </w:tc>
      </w:tr>
      <w:tr w14:paraId="5FAA4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40C491AB">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服务地点承诺</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4898B06A">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56B02549">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kern w:val="0"/>
                <w:sz w:val="24"/>
                <w:szCs w:val="24"/>
                <w:highlight w:val="none"/>
              </w:rPr>
            </w:pPr>
          </w:p>
        </w:tc>
      </w:tr>
      <w:tr w14:paraId="5DF45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0"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6E1EE90E">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验收标准承诺</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3D098722">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39A82F6B">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kern w:val="0"/>
                <w:sz w:val="24"/>
                <w:szCs w:val="24"/>
                <w:highlight w:val="none"/>
              </w:rPr>
            </w:pPr>
          </w:p>
        </w:tc>
      </w:tr>
      <w:tr w14:paraId="58889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022F5205">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服务期限承诺</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58D35379">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422D808A">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kern w:val="0"/>
                <w:sz w:val="24"/>
                <w:szCs w:val="24"/>
                <w:highlight w:val="none"/>
                <w:lang w:val="en-US" w:eastAsia="zh-CN"/>
              </w:rPr>
            </w:pPr>
          </w:p>
        </w:tc>
      </w:tr>
      <w:tr w14:paraId="226C2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jc w:val="center"/>
        </w:trPr>
        <w:tc>
          <w:tcPr>
            <w:tcW w:w="1789" w:type="dxa"/>
            <w:tcBorders>
              <w:top w:val="single" w:color="auto" w:sz="4" w:space="0"/>
              <w:left w:val="single" w:color="auto" w:sz="4" w:space="0"/>
              <w:bottom w:val="single" w:color="auto" w:sz="4" w:space="0"/>
              <w:right w:val="single" w:color="auto" w:sz="4" w:space="0"/>
            </w:tcBorders>
            <w:noWrap w:val="0"/>
            <w:vAlign w:val="center"/>
          </w:tcPr>
          <w:p w14:paraId="698C977D">
            <w:pPr>
              <w:pStyle w:val="14"/>
              <w:pageBreakBefore w:val="0"/>
              <w:widowControl w:val="0"/>
              <w:shd w:val="clear" w:color="auto" w:fill="auto"/>
              <w:kinsoku/>
              <w:autoSpaceDE/>
              <w:bidi w:val="0"/>
              <w:spacing w:line="240" w:lineRule="auto"/>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项目负责人及联系电话</w:t>
            </w:r>
          </w:p>
        </w:tc>
        <w:tc>
          <w:tcPr>
            <w:tcW w:w="5019" w:type="dxa"/>
            <w:tcBorders>
              <w:top w:val="single" w:color="auto" w:sz="4" w:space="0"/>
              <w:left w:val="single" w:color="auto" w:sz="4" w:space="0"/>
              <w:bottom w:val="single" w:color="auto" w:sz="4" w:space="0"/>
              <w:right w:val="single" w:color="auto" w:sz="4" w:space="0"/>
            </w:tcBorders>
            <w:noWrap w:val="0"/>
            <w:vAlign w:val="center"/>
          </w:tcPr>
          <w:p w14:paraId="163456FA">
            <w:pPr>
              <w:pStyle w:val="14"/>
              <w:pageBreakBefore w:val="0"/>
              <w:widowControl w:val="0"/>
              <w:shd w:val="clear" w:color="auto" w:fill="auto"/>
              <w:kinsoku/>
              <w:autoSpaceDE/>
              <w:bidi w:val="0"/>
              <w:spacing w:line="240" w:lineRule="auto"/>
              <w:rPr>
                <w:rFonts w:hint="eastAsia" w:asciiTheme="minorEastAsia" w:hAnsiTheme="minorEastAsia" w:eastAsiaTheme="minorEastAsia" w:cstheme="minorEastAsia"/>
                <w:color w:val="auto"/>
                <w:sz w:val="24"/>
                <w:szCs w:val="24"/>
                <w:highlight w:val="none"/>
              </w:rPr>
            </w:pPr>
          </w:p>
        </w:tc>
        <w:tc>
          <w:tcPr>
            <w:tcW w:w="2777" w:type="dxa"/>
            <w:tcBorders>
              <w:top w:val="single" w:color="auto" w:sz="4" w:space="0"/>
              <w:left w:val="single" w:color="auto" w:sz="4" w:space="0"/>
              <w:bottom w:val="single" w:color="auto" w:sz="4" w:space="0"/>
              <w:right w:val="single" w:color="auto" w:sz="4" w:space="0"/>
            </w:tcBorders>
            <w:noWrap w:val="0"/>
            <w:vAlign w:val="center"/>
          </w:tcPr>
          <w:p w14:paraId="53B47546">
            <w:pPr>
              <w:pStyle w:val="14"/>
              <w:pageBreakBefore w:val="0"/>
              <w:widowControl w:val="0"/>
              <w:shd w:val="clear" w:color="auto" w:fill="auto"/>
              <w:kinsoku/>
              <w:autoSpaceDE/>
              <w:bidi w:val="0"/>
              <w:spacing w:line="240" w:lineRule="auto"/>
              <w:jc w:val="center"/>
              <w:rPr>
                <w:rFonts w:hint="eastAsia" w:asciiTheme="minorEastAsia" w:hAnsiTheme="minorEastAsia" w:eastAsiaTheme="minorEastAsia" w:cstheme="minorEastAsia"/>
                <w:color w:val="auto"/>
                <w:sz w:val="24"/>
                <w:szCs w:val="24"/>
                <w:highlight w:val="none"/>
              </w:rPr>
            </w:pPr>
          </w:p>
        </w:tc>
      </w:tr>
    </w:tbl>
    <w:p w14:paraId="227B0AA2">
      <w:pPr>
        <w:pageBreakBefore w:val="0"/>
        <w:widowControl w:val="0"/>
        <w:shd w:val="clear" w:color="auto" w:fill="auto"/>
        <w:kinsoku/>
        <w:autoSpaceDE/>
        <w:bidi w:val="0"/>
        <w:spacing w:line="360" w:lineRule="auto"/>
        <w:ind w:firstLine="4440" w:firstLineChars="1850"/>
        <w:rPr>
          <w:rFonts w:hint="eastAsia" w:asciiTheme="minorEastAsia" w:hAnsiTheme="minorEastAsia" w:eastAsiaTheme="minorEastAsia" w:cstheme="minorEastAsia"/>
          <w:color w:val="auto"/>
          <w:sz w:val="24"/>
          <w:szCs w:val="24"/>
          <w:highlight w:val="none"/>
        </w:rPr>
      </w:pPr>
    </w:p>
    <w:p w14:paraId="4DF0D133">
      <w:pPr>
        <w:pStyle w:val="33"/>
        <w:pageBreakBefore w:val="0"/>
        <w:widowControl w:val="0"/>
        <w:kinsoku/>
        <w:autoSpaceDE/>
        <w:bidi w:val="0"/>
        <w:rPr>
          <w:rFonts w:hint="eastAsia" w:asciiTheme="minorEastAsia" w:hAnsiTheme="minorEastAsia" w:eastAsiaTheme="minorEastAsia" w:cstheme="minorEastAsia"/>
          <w:color w:val="auto"/>
          <w:sz w:val="24"/>
          <w:szCs w:val="24"/>
          <w:highlight w:val="none"/>
        </w:rPr>
      </w:pPr>
    </w:p>
    <w:p w14:paraId="1F95D50C">
      <w:pPr>
        <w:pStyle w:val="10"/>
        <w:pageBreakBefore w:val="0"/>
        <w:widowControl w:val="0"/>
        <w:kinsoku/>
        <w:autoSpaceDE/>
        <w:bidi w:val="0"/>
        <w:rPr>
          <w:rFonts w:hint="eastAsia"/>
          <w:color w:val="auto"/>
          <w:highlight w:val="none"/>
        </w:rPr>
      </w:pPr>
    </w:p>
    <w:p w14:paraId="367DFDD5">
      <w:pPr>
        <w:pageBreakBefore w:val="0"/>
        <w:widowControl w:val="0"/>
        <w:shd w:val="clear" w:color="auto" w:fill="auto"/>
        <w:kinsoku/>
        <w:wordWrap w:val="0"/>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04A1F5EC">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1E08234">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72A18B44">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24"/>
          <w:szCs w:val="24"/>
          <w:highlight w:val="none"/>
        </w:rPr>
        <w:sectPr>
          <w:headerReference r:id="rId11" w:type="default"/>
          <w:footerReference r:id="rId12" w:type="default"/>
          <w:pgSz w:w="11906" w:h="16838"/>
          <w:pgMar w:top="1440" w:right="1474" w:bottom="1440" w:left="1474" w:header="850" w:footer="992" w:gutter="0"/>
          <w:pgNumType w:fmt="decimal"/>
          <w:cols w:space="0" w:num="1"/>
          <w:rtlGutter w:val="0"/>
          <w:docGrid w:linePitch="321" w:charSpace="0"/>
        </w:sectPr>
      </w:pPr>
    </w:p>
    <w:p w14:paraId="39FA8AB5">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b/>
          <w:color w:val="auto"/>
          <w:sz w:val="24"/>
          <w:szCs w:val="24"/>
          <w:highlight w:val="none"/>
        </w:rPr>
      </w:pPr>
      <w:bookmarkStart w:id="119" w:name="_Toc21362"/>
      <w:bookmarkStart w:id="120" w:name="_Toc17473"/>
      <w:bookmarkStart w:id="121" w:name="_Toc20771"/>
      <w:r>
        <w:rPr>
          <w:rFonts w:hint="eastAsia" w:asciiTheme="minorEastAsia" w:hAnsiTheme="minorEastAsia" w:eastAsiaTheme="minorEastAsia" w:cstheme="minorEastAsia"/>
          <w:b/>
          <w:color w:val="auto"/>
          <w:sz w:val="24"/>
          <w:szCs w:val="24"/>
          <w:highlight w:val="none"/>
          <w:lang w:val="en-US" w:eastAsia="zh-CN"/>
        </w:rPr>
        <w:t>二、竞争性磋商报价函</w:t>
      </w:r>
      <w:bookmarkEnd w:id="119"/>
      <w:bookmarkEnd w:id="120"/>
      <w:bookmarkEnd w:id="121"/>
    </w:p>
    <w:p w14:paraId="41FCB884">
      <w:pPr>
        <w:keepNext w:val="0"/>
        <w:keepLines w:val="0"/>
        <w:pageBreakBefore w:val="0"/>
        <w:widowControl w:val="0"/>
        <w:shd w:val="clear" w:color="auto" w:fill="auto"/>
        <w:kinsoku/>
        <w:wordWrap/>
        <w:overflowPunct/>
        <w:topLinePunct/>
        <w:autoSpaceDE/>
        <w:autoSpaceDN/>
        <w:bidi w:val="0"/>
        <w:adjustRightInd w:val="0"/>
        <w:snapToGrid/>
        <w:spacing w:line="540" w:lineRule="exac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（采购人）</w:t>
      </w:r>
      <w:r>
        <w:rPr>
          <w:rFonts w:hint="eastAsia" w:asciiTheme="minorEastAsia" w:hAnsiTheme="minorEastAsia" w:eastAsiaTheme="minorEastAsia" w:cstheme="minorEastAsia"/>
          <w:color w:val="auto"/>
          <w:sz w:val="24"/>
          <w:szCs w:val="24"/>
          <w:highlight w:val="none"/>
          <w:u w:val="none"/>
        </w:rPr>
        <w:t>：</w:t>
      </w:r>
    </w:p>
    <w:p w14:paraId="5AE65F86">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根据贵方</w:t>
      </w:r>
      <w:r>
        <w:rPr>
          <w:rFonts w:hint="eastAsia" w:asciiTheme="minorEastAsia" w:hAnsiTheme="minorEastAsia" w:eastAsiaTheme="minorEastAsia" w:cstheme="minorEastAsia"/>
          <w:color w:val="auto"/>
          <w:sz w:val="24"/>
          <w:szCs w:val="24"/>
          <w:highlight w:val="none"/>
          <w:u w:val="single"/>
          <w:lang w:eastAsia="zh-CN"/>
        </w:rPr>
        <w:t>永德县永康林场国家澳洲坚果良种基地2025年中央财政林木良种培育补助项目</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竞争性磋商公告</w:t>
      </w:r>
      <w:r>
        <w:rPr>
          <w:rFonts w:hint="eastAsia" w:asciiTheme="minorEastAsia" w:hAnsiTheme="minorEastAsia" w:eastAsiaTheme="minorEastAsia" w:cstheme="minorEastAsia"/>
          <w:color w:val="auto"/>
          <w:sz w:val="24"/>
          <w:szCs w:val="24"/>
          <w:highlight w:val="none"/>
        </w:rPr>
        <w:t>，正式授权下述签字人</w:t>
      </w:r>
      <w:r>
        <w:rPr>
          <w:rFonts w:hint="eastAsia" w:asciiTheme="minorEastAsia" w:hAnsiTheme="minorEastAsia" w:eastAsiaTheme="minorEastAsia" w:cstheme="minorEastAsia"/>
          <w:color w:val="auto"/>
          <w:sz w:val="24"/>
          <w:szCs w:val="24"/>
          <w:highlight w:val="none"/>
          <w:u w:val="single"/>
        </w:rPr>
        <w:t xml:space="preserve"> （姓名和职务）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 xml:space="preserve">全称）   </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永德县永康林场国家澳洲坚果良种基地2025年中央财政林木良种培育补助项目</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w:t>
      </w:r>
    </w:p>
    <w:p w14:paraId="7B72023A">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7DCDB1AA">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竞争性磋商文件第六章“采购需求”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开标</w:t>
      </w:r>
      <w:r>
        <w:rPr>
          <w:rFonts w:hint="eastAsia" w:asciiTheme="minorEastAsia" w:hAnsiTheme="minorEastAsia" w:eastAsiaTheme="minorEastAsia" w:cstheme="minorEastAsia"/>
          <w:color w:val="auto"/>
          <w:sz w:val="24"/>
          <w:szCs w:val="24"/>
          <w:highlight w:val="none"/>
        </w:rPr>
        <w:t>一览表》。</w:t>
      </w:r>
    </w:p>
    <w:p w14:paraId="49851AAF">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磋商有效期</w:t>
      </w:r>
      <w:r>
        <w:rPr>
          <w:rFonts w:hint="eastAsia" w:asciiTheme="minorEastAsia" w:hAnsiTheme="minorEastAsia" w:eastAsiaTheme="minorEastAsia" w:cstheme="minorEastAsia"/>
          <w:color w:val="auto"/>
          <w:sz w:val="24"/>
          <w:szCs w:val="24"/>
          <w:highlight w:val="none"/>
        </w:rPr>
        <w:t>为</w:t>
      </w:r>
      <w:r>
        <w:rPr>
          <w:rFonts w:hint="eastAsia" w:asciiTheme="minorEastAsia" w:hAnsiTheme="minorEastAsia" w:eastAsiaTheme="minorEastAsia" w:cstheme="minorEastAsia"/>
          <w:color w:val="auto"/>
          <w:sz w:val="24"/>
          <w:szCs w:val="24"/>
          <w:highlight w:val="none"/>
          <w:u w:val="none"/>
          <w:lang w:val="en-US" w:eastAsia="zh-CN"/>
        </w:rPr>
        <w:t>60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val="en-US" w:eastAsia="zh-CN"/>
        </w:rPr>
        <w:t>磋商响应文件递交</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磋商有效期</w:t>
      </w:r>
      <w:r>
        <w:rPr>
          <w:rFonts w:hint="eastAsia" w:asciiTheme="minorEastAsia" w:hAnsiTheme="minorEastAsia" w:eastAsiaTheme="minorEastAsia" w:cstheme="minorEastAsia"/>
          <w:color w:val="auto"/>
          <w:sz w:val="24"/>
          <w:szCs w:val="24"/>
          <w:highlight w:val="none"/>
        </w:rPr>
        <w:t>遵循本</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磋商有效期</w:t>
      </w:r>
      <w:r>
        <w:rPr>
          <w:rFonts w:hint="eastAsia" w:asciiTheme="minorEastAsia" w:hAnsiTheme="minorEastAsia" w:eastAsiaTheme="minorEastAsia" w:cstheme="minorEastAsia"/>
          <w:color w:val="auto"/>
          <w:sz w:val="24"/>
          <w:szCs w:val="24"/>
          <w:highlight w:val="none"/>
        </w:rPr>
        <w:t>满之前均具有约束力。如果我方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5DE5BD59">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6B83D238">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0407A7CB">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竞争性磋商文件</w:t>
      </w:r>
      <w:r>
        <w:rPr>
          <w:rFonts w:hint="eastAsia" w:asciiTheme="minorEastAsia" w:hAnsiTheme="minorEastAsia" w:eastAsiaTheme="minorEastAsia" w:cstheme="minorEastAsia"/>
          <w:color w:val="auto"/>
          <w:sz w:val="24"/>
          <w:szCs w:val="24"/>
          <w:highlight w:val="none"/>
        </w:rPr>
        <w:t>，我方知道必须放弃提出含糊不清或误解问题的权利。</w:t>
      </w:r>
    </w:p>
    <w:p w14:paraId="325E582A">
      <w:pPr>
        <w:keepNext w:val="0"/>
        <w:keepLines w:val="0"/>
        <w:pageBreakBefore w:val="0"/>
        <w:widowControl w:val="0"/>
        <w:shd w:val="clear" w:color="auto" w:fill="auto"/>
        <w:kinsoku/>
        <w:wordWrap/>
        <w:overflowPunct/>
        <w:topLinePunct/>
        <w:autoSpaceDE/>
        <w:autoSpaceDN/>
        <w:bidi w:val="0"/>
        <w:adjustRightInd w:val="0"/>
        <w:snapToGrid/>
        <w:spacing w:line="54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val="en-US" w:eastAsia="zh-CN"/>
        </w:rPr>
        <w:t>次采购</w:t>
      </w:r>
      <w:r>
        <w:rPr>
          <w:rFonts w:hint="eastAsia" w:asciiTheme="minorEastAsia" w:hAnsiTheme="minorEastAsia" w:eastAsiaTheme="minorEastAsia" w:cstheme="minorEastAsia"/>
          <w:color w:val="auto"/>
          <w:sz w:val="24"/>
          <w:szCs w:val="24"/>
          <w:highlight w:val="none"/>
        </w:rPr>
        <w:t>有关的任何数据或资料。</w:t>
      </w:r>
    </w:p>
    <w:p w14:paraId="7D0A1540">
      <w:pPr>
        <w:pageBreakBefore w:val="0"/>
        <w:widowControl w:val="0"/>
        <w:shd w:val="clear" w:color="auto" w:fill="auto"/>
        <w:kinsoku/>
        <w:autoSpaceDE/>
        <w:bidi w:val="0"/>
        <w:spacing w:line="360" w:lineRule="auto"/>
        <w:ind w:firstLine="1260" w:firstLineChars="600"/>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              </w:t>
      </w:r>
    </w:p>
    <w:p w14:paraId="38695C6C">
      <w:pPr>
        <w:pageBreakBefore w:val="0"/>
        <w:widowControl w:val="0"/>
        <w:shd w:val="clear" w:color="auto" w:fill="auto"/>
        <w:kinsoku/>
        <w:autoSpaceDE/>
        <w:bidi w:val="0"/>
        <w:spacing w:line="360" w:lineRule="auto"/>
        <w:ind w:firstLine="1260" w:firstLineChars="600"/>
        <w:rPr>
          <w:rFonts w:hint="eastAsia" w:asciiTheme="minorEastAsia" w:hAnsiTheme="minorEastAsia" w:eastAsiaTheme="minorEastAsia" w:cstheme="minorEastAsia"/>
          <w:color w:val="auto"/>
          <w:szCs w:val="21"/>
          <w:highlight w:val="none"/>
        </w:rPr>
      </w:pPr>
    </w:p>
    <w:p w14:paraId="15F6EC94">
      <w:pPr>
        <w:pageBreakBefore w:val="0"/>
        <w:widowControl w:val="0"/>
        <w:shd w:val="clear" w:color="auto" w:fill="auto"/>
        <w:kinsoku/>
        <w:autoSpaceDE/>
        <w:bidi w:val="0"/>
        <w:spacing w:line="360" w:lineRule="auto"/>
        <w:ind w:firstLine="1260" w:firstLineChars="600"/>
        <w:rPr>
          <w:rFonts w:hint="eastAsia" w:asciiTheme="minorEastAsia" w:hAnsiTheme="minorEastAsia" w:eastAsiaTheme="minorEastAsia" w:cstheme="minorEastAsia"/>
          <w:color w:val="auto"/>
          <w:szCs w:val="21"/>
          <w:highlight w:val="none"/>
        </w:rPr>
      </w:pPr>
    </w:p>
    <w:p w14:paraId="2A5488B3">
      <w:pPr>
        <w:pageBreakBefore w:val="0"/>
        <w:widowControl w:val="0"/>
        <w:shd w:val="clear" w:color="auto" w:fill="auto"/>
        <w:kinsoku/>
        <w:autoSpaceDE/>
        <w:bidi w:val="0"/>
        <w:spacing w:line="360" w:lineRule="auto"/>
        <w:ind w:right="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3E4A37DE">
      <w:pPr>
        <w:pageBreakBefore w:val="0"/>
        <w:widowControl w:val="0"/>
        <w:shd w:val="clear" w:color="auto" w:fill="auto"/>
        <w:kinsoku/>
        <w:autoSpaceDE/>
        <w:bidi w:val="0"/>
        <w:spacing w:line="360" w:lineRule="auto"/>
        <w:ind w:right="48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A5F15D9">
      <w:pPr>
        <w:pageBreakBefore w:val="0"/>
        <w:widowControl w:val="0"/>
        <w:shd w:val="clear" w:color="auto" w:fill="auto"/>
        <w:kinsoku/>
        <w:autoSpaceDE/>
        <w:bidi w:val="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4726172">
      <w:pPr>
        <w:pageBreakBefore w:val="0"/>
        <w:widowControl w:val="0"/>
        <w:shd w:val="clear" w:color="auto" w:fill="auto"/>
        <w:kinsoku/>
        <w:wordWrap w:val="0"/>
        <w:autoSpaceDE/>
        <w:bidi w:val="0"/>
        <w:jc w:val="right"/>
        <w:rPr>
          <w:rFonts w:hint="eastAsia" w:asciiTheme="minorEastAsia" w:hAnsiTheme="minorEastAsia" w:eastAsiaTheme="minorEastAsia" w:cstheme="minorEastAsia"/>
          <w:color w:val="auto"/>
          <w:szCs w:val="21"/>
          <w:highlight w:val="none"/>
        </w:rPr>
      </w:pPr>
    </w:p>
    <w:p w14:paraId="3446B650">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24"/>
          <w:szCs w:val="24"/>
          <w:highlight w:val="none"/>
        </w:rPr>
      </w:pPr>
    </w:p>
    <w:p w14:paraId="63B04CC9">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24"/>
          <w:szCs w:val="24"/>
          <w:highlight w:val="none"/>
        </w:rPr>
      </w:pPr>
    </w:p>
    <w:p w14:paraId="7198A270">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24"/>
          <w:szCs w:val="24"/>
          <w:highlight w:val="none"/>
        </w:rPr>
      </w:pPr>
    </w:p>
    <w:p w14:paraId="45ACB0CF">
      <w:pPr>
        <w:pageBreakBefore w:val="0"/>
        <w:widowControl w:val="0"/>
        <w:shd w:val="clear" w:color="auto" w:fill="auto"/>
        <w:kinsoku/>
        <w:autoSpaceDE/>
        <w:bidi w:val="0"/>
        <w:jc w:val="center"/>
        <w:rPr>
          <w:rFonts w:hint="eastAsia" w:asciiTheme="minorEastAsia" w:hAnsiTheme="minorEastAsia" w:eastAsiaTheme="minorEastAsia" w:cstheme="minorEastAsia"/>
          <w:b/>
          <w:color w:val="auto"/>
          <w:sz w:val="24"/>
          <w:szCs w:val="24"/>
          <w:highlight w:val="none"/>
        </w:rPr>
      </w:pPr>
    </w:p>
    <w:p w14:paraId="07D748C7">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b/>
          <w:color w:val="auto"/>
          <w:kern w:val="0"/>
          <w:szCs w:val="21"/>
          <w:highlight w:val="none"/>
        </w:rPr>
        <w:br w:type="page"/>
      </w:r>
      <w:bookmarkStart w:id="122" w:name="_Toc31317"/>
      <w:bookmarkStart w:id="123" w:name="_Toc289"/>
      <w:bookmarkStart w:id="124" w:name="_Toc403511224"/>
      <w:bookmarkStart w:id="125" w:name="_Toc1199"/>
      <w:r>
        <w:rPr>
          <w:rFonts w:hint="eastAsia" w:asciiTheme="minorEastAsia" w:hAnsiTheme="minorEastAsia" w:eastAsiaTheme="minorEastAsia" w:cstheme="minorEastAsia"/>
          <w:b/>
          <w:color w:val="auto"/>
          <w:kern w:val="0"/>
          <w:sz w:val="24"/>
          <w:szCs w:val="24"/>
          <w:highlight w:val="none"/>
          <w:lang w:val="en-US" w:eastAsia="zh-CN"/>
        </w:rPr>
        <w:t>三</w:t>
      </w:r>
      <w:r>
        <w:rPr>
          <w:rFonts w:hint="eastAsia" w:asciiTheme="minorEastAsia" w:hAnsiTheme="minorEastAsia" w:eastAsiaTheme="minorEastAsia" w:cstheme="minorEastAsia"/>
          <w:b/>
          <w:color w:val="auto"/>
          <w:sz w:val="24"/>
          <w:szCs w:val="24"/>
          <w:highlight w:val="none"/>
        </w:rPr>
        <w:t>、法定代表人身份证明</w:t>
      </w:r>
      <w:bookmarkEnd w:id="122"/>
      <w:bookmarkEnd w:id="123"/>
      <w:bookmarkEnd w:id="124"/>
      <w:bookmarkEnd w:id="125"/>
    </w:p>
    <w:p w14:paraId="60B2FBF7">
      <w:pPr>
        <w:pageBreakBefore w:val="0"/>
        <w:widowControl w:val="0"/>
        <w:shd w:val="clear" w:color="auto" w:fill="auto"/>
        <w:kinsoku/>
        <w:autoSpaceDE/>
        <w:bidi w:val="0"/>
        <w:spacing w:line="360" w:lineRule="auto"/>
        <w:rPr>
          <w:rFonts w:hint="eastAsia" w:asciiTheme="minorEastAsia" w:hAnsiTheme="minorEastAsia" w:eastAsiaTheme="minorEastAsia" w:cstheme="minorEastAsia"/>
          <w:color w:val="auto"/>
          <w:szCs w:val="21"/>
          <w:highlight w:val="none"/>
        </w:rPr>
      </w:pPr>
    </w:p>
    <w:p w14:paraId="7CC9A4EC">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378BDDA1">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B28CFCC">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A7F4291">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14:paraId="0EBF0EBD">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14:paraId="2EAB1598">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名称）的法定代表人。</w:t>
      </w:r>
    </w:p>
    <w:p w14:paraId="62ADC926">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14:paraId="4A3E6B80">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p>
    <w:p w14:paraId="2FBDE39A">
      <w:pPr>
        <w:keepNext w:val="0"/>
        <w:keepLines w:val="0"/>
        <w:pageBreakBefore w:val="0"/>
        <w:widowControl w:val="0"/>
        <w:shd w:val="clear" w:color="auto" w:fill="auto"/>
        <w:kinsoku/>
        <w:wordWrap/>
        <w:overflowPunct/>
        <w:topLine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2F52BA52">
      <w:pPr>
        <w:keepNext w:val="0"/>
        <w:keepLines w:val="0"/>
        <w:pageBreakBefore w:val="0"/>
        <w:widowControl w:val="0"/>
        <w:shd w:val="clear" w:color="auto" w:fill="auto"/>
        <w:kinsoku/>
        <w:wordWrap/>
        <w:overflowPunct/>
        <w:autoSpaceDE/>
        <w:autoSpaceDN/>
        <w:bidi w:val="0"/>
        <w:adjustRightInd/>
        <w:snapToGrid/>
        <w:spacing w:line="54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0BF4985D">
      <w:pPr>
        <w:pageBreakBefore w:val="0"/>
        <w:widowControl w:val="0"/>
        <w:shd w:val="clear" w:color="auto" w:fill="auto"/>
        <w:kinsoku/>
        <w:autoSpaceDE/>
        <w:bidi w:val="0"/>
        <w:spacing w:line="360" w:lineRule="auto"/>
        <w:ind w:left="5280" w:hanging="5280" w:hangingChars="2200"/>
        <w:rPr>
          <w:rFonts w:hint="eastAsia" w:asciiTheme="minorEastAsia" w:hAnsiTheme="minorEastAsia" w:eastAsiaTheme="minorEastAsia" w:cstheme="minorEastAsia"/>
          <w:color w:val="auto"/>
          <w:sz w:val="24"/>
          <w:szCs w:val="24"/>
          <w:highlight w:val="none"/>
        </w:rPr>
      </w:pPr>
    </w:p>
    <w:p w14:paraId="055E8200">
      <w:pPr>
        <w:pageBreakBefore w:val="0"/>
        <w:widowControl w:val="0"/>
        <w:shd w:val="clear" w:color="auto" w:fill="auto"/>
        <w:kinsoku/>
        <w:autoSpaceDE/>
        <w:bidi w:val="0"/>
        <w:spacing w:line="360" w:lineRule="auto"/>
        <w:ind w:firstLine="480" w:firstLineChars="200"/>
        <w:jc w:val="lef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注：附法定代表人身份证（正反面）</w:t>
      </w:r>
    </w:p>
    <w:p w14:paraId="4A0A8E66">
      <w:pPr>
        <w:pageBreakBefore w:val="0"/>
        <w:widowControl w:val="0"/>
        <w:shd w:val="clear" w:color="auto" w:fill="auto"/>
        <w:kinsoku/>
        <w:autoSpaceDE/>
        <w:bidi w:val="0"/>
        <w:spacing w:line="360" w:lineRule="auto"/>
        <w:ind w:firstLine="480" w:firstLineChars="200"/>
        <w:jc w:val="center"/>
        <w:rPr>
          <w:rFonts w:hint="eastAsia" w:asciiTheme="minorEastAsia" w:hAnsiTheme="minorEastAsia" w:eastAsiaTheme="minorEastAsia" w:cstheme="minorEastAsia"/>
          <w:color w:val="auto"/>
          <w:sz w:val="24"/>
          <w:szCs w:val="24"/>
          <w:highlight w:val="none"/>
        </w:rPr>
      </w:pPr>
    </w:p>
    <w:p w14:paraId="1EF31455">
      <w:pPr>
        <w:pageBreakBefore w:val="0"/>
        <w:widowControl w:val="0"/>
        <w:shd w:val="clear" w:color="auto" w:fill="auto"/>
        <w:kinsoku/>
        <w:autoSpaceDE/>
        <w:bidi w:val="0"/>
        <w:spacing w:line="360" w:lineRule="auto"/>
        <w:ind w:firstLine="480" w:firstLineChars="200"/>
        <w:jc w:val="center"/>
        <w:rPr>
          <w:rFonts w:hint="eastAsia" w:asciiTheme="minorEastAsia" w:hAnsiTheme="minorEastAsia" w:eastAsiaTheme="minorEastAsia" w:cstheme="minorEastAsia"/>
          <w:color w:val="auto"/>
          <w:sz w:val="24"/>
          <w:szCs w:val="24"/>
          <w:highlight w:val="none"/>
        </w:rPr>
      </w:pPr>
    </w:p>
    <w:p w14:paraId="46BA08D5">
      <w:pPr>
        <w:pageBreakBefore w:val="0"/>
        <w:widowControl w:val="0"/>
        <w:shd w:val="clear" w:color="auto" w:fill="auto"/>
        <w:kinsoku/>
        <w:autoSpaceDE/>
        <w:bidi w:val="0"/>
        <w:spacing w:line="360" w:lineRule="auto"/>
        <w:ind w:firstLine="480" w:firstLineChars="200"/>
        <w:jc w:val="center"/>
        <w:rPr>
          <w:rFonts w:hint="eastAsia" w:asciiTheme="minorEastAsia" w:hAnsiTheme="minorEastAsia" w:eastAsiaTheme="minorEastAsia" w:cstheme="minorEastAsia"/>
          <w:color w:val="auto"/>
          <w:sz w:val="24"/>
          <w:szCs w:val="24"/>
          <w:highlight w:val="none"/>
        </w:rPr>
      </w:pPr>
    </w:p>
    <w:p w14:paraId="3485A173">
      <w:pPr>
        <w:pageBreakBefore w:val="0"/>
        <w:widowControl w:val="0"/>
        <w:shd w:val="clear" w:color="auto" w:fill="auto"/>
        <w:kinsoku/>
        <w:autoSpaceDE/>
        <w:bidi w:val="0"/>
        <w:spacing w:line="360" w:lineRule="auto"/>
        <w:ind w:firstLine="562" w:firstLineChars="200"/>
        <w:jc w:val="center"/>
        <w:rPr>
          <w:rFonts w:hint="eastAsia" w:asciiTheme="minorEastAsia" w:hAnsiTheme="minorEastAsia" w:eastAsiaTheme="minorEastAsia" w:cstheme="minorEastAsia"/>
          <w:b/>
          <w:color w:val="auto"/>
          <w:sz w:val="28"/>
          <w:szCs w:val="28"/>
          <w:highlight w:val="none"/>
        </w:rPr>
      </w:pPr>
    </w:p>
    <w:p w14:paraId="3514634D">
      <w:pPr>
        <w:pageBreakBefore w:val="0"/>
        <w:widowControl w:val="0"/>
        <w:shd w:val="clear" w:color="auto" w:fill="auto"/>
        <w:kinsoku/>
        <w:autoSpaceDE/>
        <w:bidi w:val="0"/>
        <w:spacing w:line="360" w:lineRule="auto"/>
        <w:ind w:firstLine="562" w:firstLineChars="200"/>
        <w:jc w:val="center"/>
        <w:rPr>
          <w:rFonts w:hint="eastAsia" w:asciiTheme="minorEastAsia" w:hAnsiTheme="minorEastAsia" w:eastAsiaTheme="minorEastAsia" w:cstheme="minorEastAsia"/>
          <w:b/>
          <w:color w:val="auto"/>
          <w:sz w:val="28"/>
          <w:szCs w:val="28"/>
          <w:highlight w:val="none"/>
        </w:rPr>
      </w:pPr>
    </w:p>
    <w:p w14:paraId="48510E53">
      <w:pPr>
        <w:pageBreakBefore w:val="0"/>
        <w:widowControl w:val="0"/>
        <w:shd w:val="clear" w:color="auto" w:fill="auto"/>
        <w:kinsoku/>
        <w:autoSpaceDE/>
        <w:bidi w:val="0"/>
        <w:spacing w:line="360" w:lineRule="auto"/>
        <w:ind w:firstLine="562" w:firstLineChars="200"/>
        <w:jc w:val="center"/>
        <w:rPr>
          <w:rFonts w:hint="eastAsia" w:asciiTheme="minorEastAsia" w:hAnsiTheme="minorEastAsia" w:eastAsiaTheme="minorEastAsia" w:cstheme="minorEastAsia"/>
          <w:b/>
          <w:color w:val="auto"/>
          <w:sz w:val="28"/>
          <w:szCs w:val="28"/>
          <w:highlight w:val="none"/>
        </w:rPr>
      </w:pPr>
    </w:p>
    <w:p w14:paraId="017A648C">
      <w:pPr>
        <w:pageBreakBefore w:val="0"/>
        <w:widowControl w:val="0"/>
        <w:shd w:val="clear" w:color="auto" w:fill="auto"/>
        <w:kinsoku/>
        <w:autoSpaceDE/>
        <w:bidi w:val="0"/>
        <w:spacing w:line="360" w:lineRule="auto"/>
        <w:ind w:firstLine="562" w:firstLineChars="200"/>
        <w:jc w:val="center"/>
        <w:rPr>
          <w:rFonts w:hint="eastAsia" w:asciiTheme="minorEastAsia" w:hAnsiTheme="minorEastAsia" w:eastAsiaTheme="minorEastAsia" w:cstheme="minorEastAsia"/>
          <w:b/>
          <w:color w:val="auto"/>
          <w:sz w:val="28"/>
          <w:szCs w:val="28"/>
          <w:highlight w:val="none"/>
        </w:rPr>
      </w:pPr>
    </w:p>
    <w:p w14:paraId="5797AAF1">
      <w:pPr>
        <w:pageBreakBefore w:val="0"/>
        <w:widowControl w:val="0"/>
        <w:shd w:val="clear" w:color="auto" w:fill="auto"/>
        <w:kinsoku/>
        <w:autoSpaceDE/>
        <w:bidi w:val="0"/>
        <w:spacing w:line="360" w:lineRule="auto"/>
        <w:ind w:firstLine="562" w:firstLineChars="200"/>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bookmarkStart w:id="126" w:name="_Toc12806"/>
      <w:bookmarkStart w:id="127" w:name="_Toc3597"/>
      <w:bookmarkStart w:id="128" w:name="_Toc18973"/>
      <w:r>
        <w:rPr>
          <w:rFonts w:hint="eastAsia" w:asciiTheme="minorEastAsia" w:hAnsiTheme="minorEastAsia" w:eastAsiaTheme="minorEastAsia" w:cstheme="minorEastAsia"/>
          <w:b/>
          <w:color w:val="auto"/>
          <w:sz w:val="24"/>
          <w:szCs w:val="24"/>
          <w:highlight w:val="none"/>
          <w:lang w:val="en-US" w:eastAsia="zh-CN"/>
        </w:rPr>
        <w:t>四</w:t>
      </w:r>
      <w:r>
        <w:rPr>
          <w:rFonts w:hint="eastAsia" w:asciiTheme="minorEastAsia" w:hAnsiTheme="minorEastAsia" w:eastAsiaTheme="minorEastAsia" w:cstheme="minorEastAsia"/>
          <w:b/>
          <w:color w:val="auto"/>
          <w:sz w:val="24"/>
          <w:szCs w:val="24"/>
          <w:highlight w:val="none"/>
        </w:rPr>
        <w:t>、授权委托书</w:t>
      </w:r>
      <w:bookmarkEnd w:id="126"/>
      <w:bookmarkEnd w:id="127"/>
      <w:bookmarkEnd w:id="128"/>
    </w:p>
    <w:p w14:paraId="48247DC3">
      <w:pPr>
        <w:keepNext w:val="0"/>
        <w:keepLines w:val="0"/>
        <w:pageBreakBefore w:val="0"/>
        <w:widowControl w:val="0"/>
        <w:shd w:val="clear" w:color="auto" w:fill="auto"/>
        <w:kinsoku/>
        <w:wordWrap/>
        <w:overflowPunct/>
        <w:topLinePunct/>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（姓名）为我方代理人。代理人根据授权，以我方名义签署、澄清、递交、撤回、修改</w:t>
      </w:r>
      <w:r>
        <w:rPr>
          <w:rFonts w:hint="eastAsia" w:asciiTheme="minorEastAsia" w:hAnsiTheme="minorEastAsia" w:eastAsiaTheme="minorEastAsia" w:cstheme="minorEastAsia"/>
          <w:color w:val="auto"/>
          <w:sz w:val="24"/>
          <w:szCs w:val="24"/>
          <w:highlight w:val="none"/>
          <w:u w:val="single"/>
        </w:rPr>
        <w:t xml:space="preserve">                  （采购项目名称）</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及</w:t>
      </w:r>
      <w:r>
        <w:rPr>
          <w:rFonts w:hint="eastAsia" w:asciiTheme="minorEastAsia" w:hAnsiTheme="minorEastAsia" w:eastAsiaTheme="minorEastAsia" w:cstheme="minorEastAsia"/>
          <w:color w:val="auto"/>
          <w:sz w:val="24"/>
          <w:szCs w:val="24"/>
          <w:highlight w:val="none"/>
          <w:lang w:val="en-US" w:eastAsia="zh-CN"/>
        </w:rPr>
        <w:t>磋商</w:t>
      </w:r>
      <w:r>
        <w:rPr>
          <w:rFonts w:hint="eastAsia" w:asciiTheme="minorEastAsia" w:hAnsiTheme="minorEastAsia" w:eastAsiaTheme="minorEastAsia" w:cstheme="minorEastAsia"/>
          <w:color w:val="auto"/>
          <w:sz w:val="24"/>
          <w:szCs w:val="24"/>
          <w:highlight w:val="none"/>
        </w:rPr>
        <w:t>过程中的相关承诺文件，其法律后果由我方承担。</w:t>
      </w:r>
    </w:p>
    <w:p w14:paraId="125AEF21">
      <w:pPr>
        <w:keepNext w:val="0"/>
        <w:keepLines w:val="0"/>
        <w:pageBreakBefore w:val="0"/>
        <w:widowControl w:val="0"/>
        <w:shd w:val="clear" w:color="auto" w:fill="auto"/>
        <w:kinsoku/>
        <w:wordWrap/>
        <w:overflowPunct/>
        <w:topLinePunct/>
        <w:autoSpaceDE/>
        <w:autoSpaceDN/>
        <w:bidi w:val="0"/>
        <w:adjustRightInd/>
        <w:snapToGrid/>
        <w:spacing w:line="560" w:lineRule="exact"/>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 xml:space="preserve">    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14:paraId="1D36BF84">
      <w:pPr>
        <w:keepNext w:val="0"/>
        <w:keepLines w:val="0"/>
        <w:pageBreakBefore w:val="0"/>
        <w:widowControl w:val="0"/>
        <w:shd w:val="clear" w:color="auto" w:fill="auto"/>
        <w:kinsoku/>
        <w:wordWrap/>
        <w:overflowPunct/>
        <w:topLinePunct/>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14:paraId="472ECAD4">
      <w:pPr>
        <w:keepNext w:val="0"/>
        <w:keepLines w:val="0"/>
        <w:pageBreakBefore w:val="0"/>
        <w:widowControl w:val="0"/>
        <w:shd w:val="clear" w:color="auto" w:fill="auto"/>
        <w:kinsoku/>
        <w:wordWrap/>
        <w:overflowPunct/>
        <w:topLinePunct/>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p>
    <w:p w14:paraId="46E92E2D">
      <w:pPr>
        <w:keepNext w:val="0"/>
        <w:keepLines w:val="0"/>
        <w:pageBreakBefore w:val="0"/>
        <w:widowControl w:val="0"/>
        <w:shd w:val="clear" w:color="auto" w:fill="auto"/>
        <w:kinsoku/>
        <w:wordWrap/>
        <w:overflowPunct/>
        <w:topLinePunct/>
        <w:autoSpaceDE/>
        <w:autoSpaceDN/>
        <w:bidi w:val="0"/>
        <w:adjustRightInd/>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附：代理人身份证（正反面）</w:t>
      </w:r>
    </w:p>
    <w:p w14:paraId="2D341471">
      <w:pPr>
        <w:pageBreakBefore w:val="0"/>
        <w:widowControl w:val="0"/>
        <w:shd w:val="clear" w:color="auto" w:fill="auto"/>
        <w:kinsoku/>
        <w:topLinePunct/>
        <w:autoSpaceDE/>
        <w:bidi w:val="0"/>
        <w:spacing w:line="360" w:lineRule="auto"/>
        <w:ind w:firstLine="610"/>
        <w:rPr>
          <w:rFonts w:hint="eastAsia" w:asciiTheme="minorEastAsia" w:hAnsiTheme="minorEastAsia" w:eastAsiaTheme="minorEastAsia" w:cstheme="minorEastAsia"/>
          <w:color w:val="auto"/>
          <w:sz w:val="24"/>
          <w:szCs w:val="24"/>
          <w:highlight w:val="none"/>
        </w:rPr>
      </w:pPr>
    </w:p>
    <w:p w14:paraId="7D721760">
      <w:pPr>
        <w:pageBreakBefore w:val="0"/>
        <w:widowControl w:val="0"/>
        <w:shd w:val="clear" w:color="auto" w:fill="auto"/>
        <w:kinsoku/>
        <w:topLinePunct/>
        <w:autoSpaceDE/>
        <w:bidi w:val="0"/>
        <w:spacing w:line="360" w:lineRule="auto"/>
        <w:ind w:firstLine="61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6C68D5B2">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7B080F22">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4D974B92">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（电子签章）</w:t>
      </w:r>
    </w:p>
    <w:p w14:paraId="6D7F693B">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39A7B998">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40A9FB79">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0B0071D4">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14:paraId="327AE309">
      <w:pPr>
        <w:pageBreakBefore w:val="0"/>
        <w:widowControl w:val="0"/>
        <w:shd w:val="clear" w:color="auto" w:fill="auto"/>
        <w:kinsoku/>
        <w:topLinePunct/>
        <w:autoSpaceDE/>
        <w:bidi w:val="0"/>
        <w:spacing w:line="360" w:lineRule="auto"/>
        <w:ind w:left="2699"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2B0F5946">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14:paraId="77B43DA8">
      <w:pPr>
        <w:pageBreakBefore w:val="0"/>
        <w:widowControl w:val="0"/>
        <w:shd w:val="clear" w:color="auto" w:fill="auto"/>
        <w:kinsoku/>
        <w:topLinePunct/>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p>
    <w:p w14:paraId="2094D100">
      <w:pPr>
        <w:pageBreakBefore w:val="0"/>
        <w:widowControl w:val="0"/>
        <w:shd w:val="clear" w:color="auto" w:fill="auto"/>
        <w:kinsoku/>
        <w:autoSpaceDE/>
        <w:bidi w:val="0"/>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14:paraId="25A46003">
      <w:pPr>
        <w:pageBreakBefore w:val="0"/>
        <w:widowControl w:val="0"/>
        <w:shd w:val="clear" w:color="auto" w:fill="auto"/>
        <w:kinsoku/>
        <w:autoSpaceDE/>
        <w:bidi w:val="0"/>
        <w:spacing w:line="360" w:lineRule="auto"/>
        <w:ind w:left="5280" w:firstLine="480" w:firstLineChars="200"/>
        <w:rPr>
          <w:rFonts w:hint="eastAsia" w:asciiTheme="minorEastAsia" w:hAnsiTheme="minorEastAsia" w:eastAsiaTheme="minorEastAsia" w:cstheme="minorEastAsia"/>
          <w:color w:val="auto"/>
          <w:sz w:val="24"/>
          <w:highlight w:val="none"/>
        </w:rPr>
      </w:pPr>
    </w:p>
    <w:p w14:paraId="01D44F64">
      <w:pPr>
        <w:pageBreakBefore w:val="0"/>
        <w:widowControl w:val="0"/>
        <w:shd w:val="clear" w:color="auto" w:fill="auto"/>
        <w:kinsoku/>
        <w:autoSpaceDE/>
        <w:bidi w:val="0"/>
        <w:spacing w:line="360" w:lineRule="auto"/>
        <w:ind w:left="5280" w:firstLine="480" w:firstLineChars="200"/>
        <w:rPr>
          <w:rFonts w:hint="eastAsia" w:asciiTheme="minorEastAsia" w:hAnsiTheme="minorEastAsia" w:eastAsiaTheme="minorEastAsia" w:cstheme="minorEastAsia"/>
          <w:color w:val="auto"/>
          <w:sz w:val="24"/>
          <w:highlight w:val="none"/>
        </w:rPr>
      </w:pPr>
    </w:p>
    <w:p w14:paraId="4A4A376E">
      <w:pPr>
        <w:pageBreakBefore w:val="0"/>
        <w:widowControl w:val="0"/>
        <w:shd w:val="clear" w:color="auto" w:fill="auto"/>
        <w:kinsoku/>
        <w:autoSpaceDE/>
        <w:bidi w:val="0"/>
        <w:spacing w:line="360" w:lineRule="auto"/>
        <w:jc w:val="center"/>
        <w:rPr>
          <w:rFonts w:hint="eastAsia" w:asciiTheme="minorEastAsia" w:hAnsiTheme="minorEastAsia" w:eastAsiaTheme="minorEastAsia" w:cstheme="minorEastAsia"/>
          <w:color w:val="auto"/>
          <w:szCs w:val="21"/>
          <w:highlight w:val="none"/>
        </w:rPr>
      </w:pPr>
      <w:bookmarkStart w:id="129" w:name="_Toc403511225"/>
      <w:r>
        <w:rPr>
          <w:rFonts w:hint="eastAsia" w:asciiTheme="minorEastAsia" w:hAnsiTheme="minorEastAsia" w:eastAsiaTheme="minorEastAsia" w:cstheme="minorEastAsia"/>
          <w:b/>
          <w:color w:val="auto"/>
          <w:sz w:val="28"/>
          <w:szCs w:val="28"/>
          <w:highlight w:val="none"/>
        </w:rPr>
        <w:br w:type="page"/>
      </w:r>
      <w:bookmarkEnd w:id="129"/>
    </w:p>
    <w:p w14:paraId="4BF0B133">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color w:val="auto"/>
          <w:sz w:val="24"/>
          <w:szCs w:val="24"/>
          <w:highlight w:val="none"/>
        </w:rPr>
      </w:pPr>
      <w:bookmarkStart w:id="130" w:name="_Toc3582"/>
      <w:bookmarkStart w:id="131" w:name="_Toc22268"/>
      <w:bookmarkStart w:id="132" w:name="_Toc403511226"/>
      <w:bookmarkStart w:id="133" w:name="_Toc24507"/>
      <w:r>
        <w:rPr>
          <w:rFonts w:hint="eastAsia" w:asciiTheme="minorEastAsia" w:hAnsiTheme="minorEastAsia" w:eastAsiaTheme="minorEastAsia" w:cstheme="minorEastAsia"/>
          <w:b/>
          <w:color w:val="auto"/>
          <w:sz w:val="24"/>
          <w:szCs w:val="24"/>
          <w:highlight w:val="none"/>
          <w:lang w:val="en-US" w:eastAsia="zh-CN"/>
        </w:rPr>
        <w:t>五</w:t>
      </w:r>
      <w:r>
        <w:rPr>
          <w:rFonts w:hint="eastAsia" w:asciiTheme="minorEastAsia" w:hAnsiTheme="minorEastAsia" w:eastAsiaTheme="minorEastAsia" w:cstheme="minorEastAsia"/>
          <w:b/>
          <w:color w:val="auto"/>
          <w:sz w:val="24"/>
          <w:szCs w:val="24"/>
          <w:highlight w:val="none"/>
        </w:rPr>
        <w:t>、</w:t>
      </w:r>
      <w:bookmarkStart w:id="134" w:name="_Toc12822"/>
      <w:bookmarkStart w:id="135" w:name="_Toc2822"/>
      <w:r>
        <w:rPr>
          <w:rFonts w:hint="eastAsia" w:asciiTheme="minorEastAsia" w:hAnsiTheme="minorEastAsia" w:eastAsiaTheme="minorEastAsia" w:cstheme="minorEastAsia"/>
          <w:b/>
          <w:color w:val="auto"/>
          <w:sz w:val="24"/>
          <w:szCs w:val="24"/>
          <w:highlight w:val="none"/>
          <w:lang w:val="en-US" w:eastAsia="zh-CN"/>
        </w:rPr>
        <w:t>技术条款</w:t>
      </w:r>
      <w:r>
        <w:rPr>
          <w:rFonts w:hint="eastAsia" w:asciiTheme="minorEastAsia" w:hAnsiTheme="minorEastAsia" w:eastAsiaTheme="minorEastAsia" w:cstheme="minorEastAsia"/>
          <w:b/>
          <w:color w:val="auto"/>
          <w:sz w:val="24"/>
          <w:szCs w:val="24"/>
          <w:highlight w:val="none"/>
        </w:rPr>
        <w:t>偏离表</w:t>
      </w:r>
      <w:bookmarkEnd w:id="130"/>
      <w:bookmarkEnd w:id="134"/>
      <w:bookmarkEnd w:id="135"/>
    </w:p>
    <w:p w14:paraId="4A8AB2BD">
      <w:pPr>
        <w:pStyle w:val="14"/>
        <w:keepNext w:val="0"/>
        <w:keepLines w:val="0"/>
        <w:pageBreakBefore w:val="0"/>
        <w:widowControl w:val="0"/>
        <w:shd w:val="clear" w:color="auto" w:fill="auto"/>
        <w:kinsoku/>
        <w:wordWrap/>
        <w:overflowPunct/>
        <w:topLinePunct w:val="0"/>
        <w:autoSpaceDE/>
        <w:autoSpaceDN/>
        <w:bidi w:val="0"/>
        <w:adjustRightInd/>
        <w:snapToGrid/>
        <w:spacing w:line="600" w:lineRule="exac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永德县永康林场国家澳洲坚果良种基地2025年中央财政林木良种培育补助项目</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64F00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noWrap w:val="0"/>
            <w:vAlign w:val="center"/>
          </w:tcPr>
          <w:p w14:paraId="134D43DC">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5B15276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竞争性磋商文件</w:t>
            </w:r>
            <w:r>
              <w:rPr>
                <w:rFonts w:hint="eastAsia" w:asciiTheme="minorEastAsia" w:hAnsiTheme="minorEastAsia" w:eastAsiaTheme="minorEastAsia" w:cstheme="minorEastAsia"/>
                <w:color w:val="auto"/>
                <w:kern w:val="0"/>
                <w:sz w:val="24"/>
                <w:szCs w:val="24"/>
                <w:highlight w:val="none"/>
              </w:rPr>
              <w:t>要求</w:t>
            </w:r>
          </w:p>
        </w:tc>
        <w:tc>
          <w:tcPr>
            <w:tcW w:w="2808" w:type="dxa"/>
            <w:noWrap w:val="0"/>
            <w:vAlign w:val="center"/>
          </w:tcPr>
          <w:p w14:paraId="1323137D">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竞争性磋商响应文件</w:t>
            </w:r>
          </w:p>
          <w:p w14:paraId="1756E81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对应条款</w:t>
            </w:r>
          </w:p>
        </w:tc>
        <w:tc>
          <w:tcPr>
            <w:tcW w:w="1796" w:type="dxa"/>
            <w:noWrap w:val="0"/>
            <w:vAlign w:val="center"/>
          </w:tcPr>
          <w:p w14:paraId="21C877A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2FA3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71560665">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3397904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762A8A3A">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032F1E39">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5C8F4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4E8AE1D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4F0ADCC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03EAC4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25EDE3A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4F589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5F737D3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5D95C3E">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2C519A2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0288D4D1">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11AED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227EBC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0992EA8D">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99246E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5D43AA8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2A285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A84564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084997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0E23E7F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6CB1610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bl>
    <w:p w14:paraId="1B261575">
      <w:pPr>
        <w:pStyle w:val="7"/>
        <w:pageBreakBefore w:val="0"/>
        <w:widowControl w:val="0"/>
        <w:shd w:val="clear" w:color="auto" w:fill="auto"/>
        <w:kinsoku/>
        <w:autoSpaceDE/>
        <w:bidi w:val="0"/>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注：如无偏差，</w:t>
      </w:r>
      <w:r>
        <w:rPr>
          <w:rFonts w:hint="eastAsia" w:asciiTheme="minorEastAsia" w:hAnsiTheme="minorEastAsia" w:eastAsiaTheme="minorEastAsia" w:cstheme="minorEastAsia"/>
          <w:b/>
          <w:color w:val="auto"/>
          <w:sz w:val="24"/>
          <w:szCs w:val="24"/>
          <w:highlight w:val="none"/>
          <w:lang w:val="en-US" w:eastAsia="zh-CN"/>
        </w:rPr>
        <w:t>供应商</w:t>
      </w:r>
      <w:r>
        <w:rPr>
          <w:rFonts w:hint="eastAsia" w:asciiTheme="minorEastAsia" w:hAnsiTheme="minorEastAsia" w:eastAsiaTheme="minorEastAsia" w:cstheme="minorEastAsia"/>
          <w:b/>
          <w:color w:val="auto"/>
          <w:sz w:val="24"/>
          <w:szCs w:val="24"/>
          <w:highlight w:val="none"/>
        </w:rPr>
        <w:t>不需要填表，但应声明：“</w:t>
      </w:r>
      <w:r>
        <w:rPr>
          <w:rFonts w:hint="eastAsia" w:asciiTheme="minorEastAsia" w:hAnsiTheme="minorEastAsia" w:eastAsiaTheme="minorEastAsia" w:cstheme="minorEastAsia"/>
          <w:b/>
          <w:color w:val="auto"/>
          <w:sz w:val="24"/>
          <w:szCs w:val="24"/>
          <w:highlight w:val="none"/>
          <w:lang w:val="en-US" w:eastAsia="zh-CN"/>
        </w:rPr>
        <w:t>本竞争性磋商响应文件</w:t>
      </w:r>
      <w:r>
        <w:rPr>
          <w:rFonts w:hint="eastAsia" w:asciiTheme="minorEastAsia" w:hAnsiTheme="minorEastAsia" w:eastAsiaTheme="minorEastAsia" w:cstheme="minorEastAsia"/>
          <w:b/>
          <w:color w:val="auto"/>
          <w:sz w:val="24"/>
          <w:szCs w:val="24"/>
          <w:highlight w:val="none"/>
        </w:rPr>
        <w:t>完全响应</w:t>
      </w:r>
      <w:r>
        <w:rPr>
          <w:rFonts w:hint="eastAsia" w:asciiTheme="minorEastAsia" w:hAnsiTheme="minorEastAsia" w:eastAsiaTheme="minorEastAsia" w:cstheme="minorEastAsia"/>
          <w:b/>
          <w:color w:val="auto"/>
          <w:sz w:val="24"/>
          <w:szCs w:val="24"/>
          <w:highlight w:val="none"/>
          <w:lang w:val="en-US" w:eastAsia="zh-CN"/>
        </w:rPr>
        <w:t>竞争性磋商文件</w:t>
      </w:r>
      <w:r>
        <w:rPr>
          <w:rFonts w:hint="eastAsia" w:asciiTheme="minorEastAsia" w:hAnsiTheme="minorEastAsia" w:eastAsiaTheme="minorEastAsia" w:cstheme="minorEastAsia"/>
          <w:b/>
          <w:color w:val="auto"/>
          <w:sz w:val="24"/>
          <w:szCs w:val="24"/>
          <w:highlight w:val="none"/>
        </w:rPr>
        <w:t>所有条款的要求，无偏离”。</w:t>
      </w:r>
    </w:p>
    <w:p w14:paraId="55CEAFA7">
      <w:pPr>
        <w:pStyle w:val="7"/>
        <w:pageBreakBefore w:val="0"/>
        <w:widowControl w:val="0"/>
        <w:shd w:val="clear" w:color="auto" w:fill="auto"/>
        <w:kinsoku/>
        <w:autoSpaceDE/>
        <w:bidi w:val="0"/>
        <w:spacing w:line="480" w:lineRule="exact"/>
        <w:ind w:firstLine="422"/>
        <w:rPr>
          <w:rFonts w:hint="default" w:asciiTheme="minorEastAsia" w:hAnsiTheme="minorEastAsia" w:eastAsiaTheme="minorEastAsia" w:cstheme="minorEastAsia"/>
          <w:b/>
          <w:color w:val="auto"/>
          <w:sz w:val="24"/>
          <w:szCs w:val="24"/>
          <w:highlight w:val="none"/>
          <w:lang w:val="en-US"/>
        </w:rPr>
      </w:pPr>
    </w:p>
    <w:p w14:paraId="18DB242F">
      <w:pPr>
        <w:pStyle w:val="7"/>
        <w:pageBreakBefore w:val="0"/>
        <w:widowControl w:val="0"/>
        <w:shd w:val="clear" w:color="auto" w:fill="auto"/>
        <w:kinsoku/>
        <w:autoSpaceDE/>
        <w:bidi w:val="0"/>
        <w:spacing w:line="480" w:lineRule="exact"/>
        <w:ind w:firstLine="422"/>
        <w:rPr>
          <w:rFonts w:hint="eastAsia" w:asciiTheme="minorEastAsia" w:hAnsiTheme="minorEastAsia" w:eastAsiaTheme="minorEastAsia" w:cstheme="minorEastAsia"/>
          <w:b/>
          <w:color w:val="auto"/>
          <w:sz w:val="24"/>
          <w:szCs w:val="24"/>
          <w:highlight w:val="none"/>
        </w:rPr>
      </w:pPr>
    </w:p>
    <w:p w14:paraId="2B4D4967">
      <w:pPr>
        <w:pageBreakBefore w:val="0"/>
        <w:widowControl w:val="0"/>
        <w:shd w:val="clear" w:color="auto" w:fill="auto"/>
        <w:kinsoku/>
        <w:autoSpaceDE/>
        <w:bidi w:val="0"/>
        <w:spacing w:line="360" w:lineRule="auto"/>
        <w:rPr>
          <w:rFonts w:hint="eastAsia" w:asciiTheme="minorEastAsia" w:hAnsiTheme="minorEastAsia" w:eastAsiaTheme="minorEastAsia" w:cstheme="minorEastAsia"/>
          <w:color w:val="auto"/>
          <w:szCs w:val="21"/>
          <w:highlight w:val="none"/>
        </w:rPr>
      </w:pPr>
    </w:p>
    <w:p w14:paraId="11ED3602">
      <w:pPr>
        <w:pageBreakBefore w:val="0"/>
        <w:widowControl w:val="0"/>
        <w:shd w:val="clear" w:color="auto" w:fill="auto"/>
        <w:kinsoku/>
        <w:autoSpaceDE/>
        <w:bidi w:val="0"/>
        <w:spacing w:line="360" w:lineRule="auto"/>
        <w:ind w:firstLine="2730" w:firstLineChars="1300"/>
        <w:rPr>
          <w:rFonts w:hint="eastAsia" w:asciiTheme="minorEastAsia" w:hAnsiTheme="minorEastAsia" w:eastAsiaTheme="minorEastAsia" w:cstheme="minorEastAsia"/>
          <w:color w:val="auto"/>
          <w:szCs w:val="21"/>
          <w:highlight w:val="none"/>
        </w:rPr>
      </w:pPr>
    </w:p>
    <w:p w14:paraId="07DFF616">
      <w:pPr>
        <w:pageBreakBefore w:val="0"/>
        <w:widowControl w:val="0"/>
        <w:shd w:val="clear" w:color="auto" w:fill="auto"/>
        <w:kinsoku/>
        <w:autoSpaceDE/>
        <w:bidi w:val="0"/>
        <w:spacing w:line="360" w:lineRule="auto"/>
        <w:ind w:firstLine="2730" w:firstLineChars="1300"/>
        <w:rPr>
          <w:rFonts w:hint="eastAsia" w:asciiTheme="minorEastAsia" w:hAnsiTheme="minorEastAsia" w:eastAsiaTheme="minorEastAsia" w:cstheme="minorEastAsia"/>
          <w:color w:val="auto"/>
          <w:szCs w:val="21"/>
          <w:highlight w:val="none"/>
        </w:rPr>
      </w:pPr>
    </w:p>
    <w:p w14:paraId="7DBDA342">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56FB8816">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6A7733E">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7BCB900F">
      <w:pPr>
        <w:keepNext w:val="0"/>
        <w:keepLines w:val="0"/>
        <w:pageBreakBefore w:val="0"/>
        <w:widowControl w:val="0"/>
        <w:shd w:val="clear" w:color="auto" w:fill="auto"/>
        <w:kinsoku/>
        <w:wordWrap/>
        <w:overflowPunct/>
        <w:topLinePunct w:val="0"/>
        <w:autoSpaceDE/>
        <w:autoSpaceDN/>
        <w:bidi w:val="0"/>
        <w:adjustRightInd/>
        <w:snapToGrid/>
        <w:jc w:val="center"/>
        <w:textAlignment w:val="auto"/>
        <w:outlineLvl w:val="9"/>
        <w:rPr>
          <w:rFonts w:hint="eastAsia" w:asciiTheme="minorEastAsia" w:hAnsiTheme="minorEastAsia" w:eastAsiaTheme="minorEastAsia" w:cstheme="minorEastAsia"/>
          <w:b/>
          <w:color w:val="auto"/>
          <w:sz w:val="24"/>
          <w:szCs w:val="24"/>
          <w:highlight w:val="none"/>
        </w:rPr>
      </w:pPr>
    </w:p>
    <w:p w14:paraId="081F1BC8">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p w14:paraId="7ACC760B">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b/>
          <w:color w:val="auto"/>
          <w:sz w:val="24"/>
          <w:szCs w:val="24"/>
          <w:highlight w:val="none"/>
        </w:rPr>
      </w:pPr>
      <w:bookmarkStart w:id="136" w:name="_Toc1554"/>
      <w:r>
        <w:rPr>
          <w:rFonts w:hint="eastAsia" w:asciiTheme="minorEastAsia" w:hAnsiTheme="minorEastAsia" w:eastAsiaTheme="minorEastAsia" w:cstheme="minorEastAsia"/>
          <w:b/>
          <w:color w:val="auto"/>
          <w:sz w:val="24"/>
          <w:szCs w:val="24"/>
          <w:highlight w:val="none"/>
          <w:lang w:val="en-US" w:eastAsia="zh-CN"/>
        </w:rPr>
        <w:t>六、</w:t>
      </w:r>
      <w:r>
        <w:rPr>
          <w:rFonts w:hint="eastAsia" w:asciiTheme="minorEastAsia" w:hAnsiTheme="minorEastAsia" w:eastAsiaTheme="minorEastAsia" w:cstheme="minorEastAsia"/>
          <w:b/>
          <w:color w:val="auto"/>
          <w:sz w:val="24"/>
          <w:szCs w:val="24"/>
          <w:highlight w:val="none"/>
        </w:rPr>
        <w:t>商务条款偏离表</w:t>
      </w:r>
      <w:bookmarkEnd w:id="131"/>
      <w:bookmarkEnd w:id="132"/>
      <w:bookmarkEnd w:id="133"/>
      <w:bookmarkEnd w:id="136"/>
    </w:p>
    <w:p w14:paraId="64E85B3C">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24"/>
          <w:szCs w:val="24"/>
          <w:highlight w:val="none"/>
        </w:rPr>
      </w:pPr>
    </w:p>
    <w:p w14:paraId="09B4642D">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永德县永康林场国家澳洲坚果良种基地2025年中央财政林木良种培育补助项目</w:t>
      </w:r>
    </w:p>
    <w:p w14:paraId="14E935C0">
      <w:pPr>
        <w:pStyle w:val="14"/>
        <w:pageBreakBefore w:val="0"/>
        <w:widowControl w:val="0"/>
        <w:shd w:val="clear" w:color="auto" w:fill="auto"/>
        <w:kinsoku/>
        <w:autoSpaceDE/>
        <w:bidi w:val="0"/>
        <w:rPr>
          <w:rFonts w:hint="eastAsia" w:asciiTheme="minorEastAsia" w:hAnsiTheme="minorEastAsia" w:eastAsiaTheme="minorEastAsia" w:cstheme="minorEastAsia"/>
          <w:color w:val="auto"/>
          <w:sz w:val="24"/>
          <w:szCs w:val="24"/>
          <w:highlight w:val="none"/>
          <w:u w:val="single"/>
          <w:lang w:eastAsia="zh-CN"/>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0E88F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noWrap w:val="0"/>
            <w:vAlign w:val="center"/>
          </w:tcPr>
          <w:p w14:paraId="64C9E694">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noWrap w:val="0"/>
            <w:vAlign w:val="center"/>
          </w:tcPr>
          <w:p w14:paraId="3CAD947D">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lang w:eastAsia="zh-CN"/>
              </w:rPr>
              <w:t>竞争性磋商文件</w:t>
            </w:r>
            <w:r>
              <w:rPr>
                <w:rFonts w:hint="eastAsia" w:asciiTheme="minorEastAsia" w:hAnsiTheme="minorEastAsia" w:eastAsiaTheme="minorEastAsia" w:cstheme="minorEastAsia"/>
                <w:color w:val="auto"/>
                <w:kern w:val="0"/>
                <w:sz w:val="24"/>
                <w:szCs w:val="24"/>
                <w:highlight w:val="none"/>
              </w:rPr>
              <w:t>要求</w:t>
            </w:r>
          </w:p>
        </w:tc>
        <w:tc>
          <w:tcPr>
            <w:tcW w:w="2808" w:type="dxa"/>
            <w:noWrap w:val="0"/>
            <w:vAlign w:val="center"/>
          </w:tcPr>
          <w:p w14:paraId="53578E6E">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eastAsia="zh-CN"/>
              </w:rPr>
              <w:t>竞争性磋商响应文件</w:t>
            </w:r>
          </w:p>
          <w:p w14:paraId="0579FE83">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对应条款</w:t>
            </w:r>
          </w:p>
        </w:tc>
        <w:tc>
          <w:tcPr>
            <w:tcW w:w="1796" w:type="dxa"/>
            <w:noWrap w:val="0"/>
            <w:vAlign w:val="center"/>
          </w:tcPr>
          <w:p w14:paraId="464F44C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12E17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522C9AFF">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6F29C8F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701C7485">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704F58B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283C3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274909A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67164C48">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AA8ABDB">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F3C04A9">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7719C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480F6D6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08E3C73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3C98F767">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BC4A7BE">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63CD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5193BF39">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1639EAFD">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0EE2715E">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44522B2D">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r w14:paraId="65737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noWrap w:val="0"/>
            <w:vAlign w:val="center"/>
          </w:tcPr>
          <w:p w14:paraId="0C7C2CA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3220" w:type="dxa"/>
            <w:noWrap w:val="0"/>
            <w:vAlign w:val="center"/>
          </w:tcPr>
          <w:p w14:paraId="67E4B060">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2808" w:type="dxa"/>
            <w:noWrap w:val="0"/>
            <w:vAlign w:val="center"/>
          </w:tcPr>
          <w:p w14:paraId="5E1C0DC2">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c>
          <w:tcPr>
            <w:tcW w:w="1796" w:type="dxa"/>
            <w:noWrap w:val="0"/>
            <w:vAlign w:val="center"/>
          </w:tcPr>
          <w:p w14:paraId="3E1778B6">
            <w:pPr>
              <w:keepNext w:val="0"/>
              <w:keepLines w:val="0"/>
              <w:pageBreakBefore w:val="0"/>
              <w:widowControl w:val="0"/>
              <w:shd w:val="clear" w:color="auto" w:fill="auto"/>
              <w:kinsoku/>
              <w:wordWrap/>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kern w:val="0"/>
                <w:sz w:val="24"/>
                <w:szCs w:val="24"/>
                <w:highlight w:val="none"/>
              </w:rPr>
            </w:pPr>
          </w:p>
        </w:tc>
      </w:tr>
    </w:tbl>
    <w:p w14:paraId="10CC918B">
      <w:pPr>
        <w:pStyle w:val="7"/>
        <w:pageBreakBefore w:val="0"/>
        <w:widowControl w:val="0"/>
        <w:shd w:val="clear" w:color="auto" w:fill="auto"/>
        <w:kinsoku/>
        <w:autoSpaceDE/>
        <w:bidi w:val="0"/>
        <w:spacing w:line="480" w:lineRule="exact"/>
        <w:ind w:firstLine="422"/>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注：如无偏差，</w:t>
      </w:r>
      <w:r>
        <w:rPr>
          <w:rFonts w:hint="eastAsia" w:asciiTheme="minorEastAsia" w:hAnsiTheme="minorEastAsia" w:eastAsiaTheme="minorEastAsia" w:cstheme="minorEastAsia"/>
          <w:b/>
          <w:color w:val="auto"/>
          <w:sz w:val="24"/>
          <w:szCs w:val="24"/>
          <w:highlight w:val="none"/>
          <w:lang w:val="en-US" w:eastAsia="zh-CN"/>
        </w:rPr>
        <w:t>供应商</w:t>
      </w:r>
      <w:r>
        <w:rPr>
          <w:rFonts w:hint="eastAsia" w:asciiTheme="minorEastAsia" w:hAnsiTheme="minorEastAsia" w:eastAsiaTheme="minorEastAsia" w:cstheme="minorEastAsia"/>
          <w:b/>
          <w:color w:val="auto"/>
          <w:sz w:val="24"/>
          <w:szCs w:val="24"/>
          <w:highlight w:val="none"/>
        </w:rPr>
        <w:t>不需要填表，但应声明：“</w:t>
      </w:r>
      <w:r>
        <w:rPr>
          <w:rFonts w:hint="eastAsia" w:asciiTheme="minorEastAsia" w:hAnsiTheme="minorEastAsia" w:eastAsiaTheme="minorEastAsia" w:cstheme="minorEastAsia"/>
          <w:b/>
          <w:color w:val="auto"/>
          <w:sz w:val="24"/>
          <w:szCs w:val="24"/>
          <w:highlight w:val="none"/>
          <w:lang w:val="en-US" w:eastAsia="zh-CN"/>
        </w:rPr>
        <w:t>本竞争性磋商响应文件</w:t>
      </w:r>
      <w:r>
        <w:rPr>
          <w:rFonts w:hint="eastAsia" w:asciiTheme="minorEastAsia" w:hAnsiTheme="minorEastAsia" w:eastAsiaTheme="minorEastAsia" w:cstheme="minorEastAsia"/>
          <w:b/>
          <w:color w:val="auto"/>
          <w:sz w:val="24"/>
          <w:szCs w:val="24"/>
          <w:highlight w:val="none"/>
        </w:rPr>
        <w:t>完全响应</w:t>
      </w:r>
      <w:r>
        <w:rPr>
          <w:rFonts w:hint="eastAsia" w:asciiTheme="minorEastAsia" w:hAnsiTheme="minorEastAsia" w:eastAsiaTheme="minorEastAsia" w:cstheme="minorEastAsia"/>
          <w:b/>
          <w:color w:val="auto"/>
          <w:sz w:val="24"/>
          <w:szCs w:val="24"/>
          <w:highlight w:val="none"/>
          <w:lang w:val="en-US" w:eastAsia="zh-CN"/>
        </w:rPr>
        <w:t>竞争性磋商文件</w:t>
      </w:r>
      <w:r>
        <w:rPr>
          <w:rFonts w:hint="eastAsia" w:asciiTheme="minorEastAsia" w:hAnsiTheme="minorEastAsia" w:eastAsiaTheme="minorEastAsia" w:cstheme="minorEastAsia"/>
          <w:b/>
          <w:color w:val="auto"/>
          <w:sz w:val="24"/>
          <w:szCs w:val="24"/>
          <w:highlight w:val="none"/>
        </w:rPr>
        <w:t>所有条款的要求，无偏离”。</w:t>
      </w:r>
    </w:p>
    <w:p w14:paraId="082D6E5F">
      <w:pPr>
        <w:pStyle w:val="7"/>
        <w:pageBreakBefore w:val="0"/>
        <w:widowControl w:val="0"/>
        <w:shd w:val="clear" w:color="auto" w:fill="auto"/>
        <w:kinsoku/>
        <w:autoSpaceDE/>
        <w:bidi w:val="0"/>
        <w:spacing w:line="480" w:lineRule="exact"/>
        <w:ind w:firstLine="422"/>
        <w:rPr>
          <w:rFonts w:hint="eastAsia" w:asciiTheme="minorEastAsia" w:hAnsiTheme="minorEastAsia" w:eastAsiaTheme="minorEastAsia" w:cstheme="minorEastAsia"/>
          <w:b/>
          <w:color w:val="auto"/>
          <w:sz w:val="24"/>
          <w:szCs w:val="24"/>
          <w:highlight w:val="none"/>
        </w:rPr>
      </w:pPr>
    </w:p>
    <w:p w14:paraId="2F46951D">
      <w:pPr>
        <w:pageBreakBefore w:val="0"/>
        <w:widowControl w:val="0"/>
        <w:shd w:val="clear" w:color="auto" w:fill="auto"/>
        <w:kinsoku/>
        <w:autoSpaceDE/>
        <w:bidi w:val="0"/>
        <w:spacing w:line="360" w:lineRule="auto"/>
        <w:rPr>
          <w:rFonts w:hint="eastAsia" w:asciiTheme="minorEastAsia" w:hAnsiTheme="minorEastAsia" w:eastAsiaTheme="minorEastAsia" w:cstheme="minorEastAsia"/>
          <w:color w:val="auto"/>
          <w:szCs w:val="21"/>
          <w:highlight w:val="none"/>
        </w:rPr>
      </w:pPr>
    </w:p>
    <w:p w14:paraId="3D9C0F6D">
      <w:pPr>
        <w:pageBreakBefore w:val="0"/>
        <w:widowControl w:val="0"/>
        <w:shd w:val="clear" w:color="auto" w:fill="auto"/>
        <w:kinsoku/>
        <w:autoSpaceDE/>
        <w:bidi w:val="0"/>
        <w:spacing w:line="360" w:lineRule="auto"/>
        <w:ind w:firstLine="2730" w:firstLineChars="1300"/>
        <w:rPr>
          <w:rFonts w:hint="eastAsia" w:asciiTheme="minorEastAsia" w:hAnsiTheme="minorEastAsia" w:eastAsiaTheme="minorEastAsia" w:cstheme="minorEastAsia"/>
          <w:color w:val="auto"/>
          <w:szCs w:val="21"/>
          <w:highlight w:val="none"/>
        </w:rPr>
      </w:pPr>
    </w:p>
    <w:p w14:paraId="5EE21552">
      <w:pPr>
        <w:pageBreakBefore w:val="0"/>
        <w:widowControl w:val="0"/>
        <w:shd w:val="clear" w:color="auto" w:fill="auto"/>
        <w:kinsoku/>
        <w:autoSpaceDE/>
        <w:bidi w:val="0"/>
        <w:spacing w:line="360" w:lineRule="auto"/>
        <w:ind w:firstLine="2730" w:firstLineChars="1300"/>
        <w:rPr>
          <w:rFonts w:hint="eastAsia" w:asciiTheme="minorEastAsia" w:hAnsiTheme="minorEastAsia" w:eastAsiaTheme="minorEastAsia" w:cstheme="minorEastAsia"/>
          <w:color w:val="auto"/>
          <w:szCs w:val="21"/>
          <w:highlight w:val="none"/>
        </w:rPr>
      </w:pPr>
    </w:p>
    <w:p w14:paraId="55E28D13">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76C05BBC">
      <w:pPr>
        <w:pageBreakBefore w:val="0"/>
        <w:widowControl w:val="0"/>
        <w:shd w:val="clear" w:color="auto" w:fill="auto"/>
        <w:kinsoku/>
        <w:autoSpaceDE/>
        <w:bidi w:val="0"/>
        <w:spacing w:line="360" w:lineRule="auto"/>
        <w:ind w:firstLine="3240" w:firstLineChars="1350"/>
        <w:jc w:val="left"/>
        <w:rPr>
          <w:rFonts w:hint="eastAsia" w:asciiTheme="minorEastAsia" w:hAnsiTheme="minorEastAsia" w:eastAsiaTheme="minorEastAsia" w:cstheme="minorEastAsia"/>
          <w:color w:val="auto"/>
          <w:sz w:val="24"/>
          <w:szCs w:val="24"/>
          <w:highlight w:val="none"/>
        </w:rPr>
      </w:pPr>
    </w:p>
    <w:p w14:paraId="24B2B086">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549DA2D6">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14:paraId="1320C784">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6F66FE47">
      <w:pPr>
        <w:pageBreakBefore w:val="0"/>
        <w:widowControl w:val="0"/>
        <w:shd w:val="clear" w:color="auto" w:fill="auto"/>
        <w:kinsoku/>
        <w:autoSpaceDE/>
        <w:bidi w:val="0"/>
        <w:spacing w:line="360" w:lineRule="auto"/>
        <w:ind w:firstLine="2940" w:firstLineChars="1400"/>
        <w:jc w:val="right"/>
        <w:rPr>
          <w:rFonts w:hint="eastAsia" w:asciiTheme="minorEastAsia" w:hAnsiTheme="minorEastAsia" w:eastAsiaTheme="minorEastAsia" w:cstheme="minorEastAsia"/>
          <w:color w:val="auto"/>
          <w:szCs w:val="21"/>
          <w:highlight w:val="none"/>
        </w:rPr>
      </w:pPr>
    </w:p>
    <w:p w14:paraId="07646569">
      <w:pPr>
        <w:pageBreakBefore w:val="0"/>
        <w:widowControl w:val="0"/>
        <w:shd w:val="clear" w:color="auto" w:fill="auto"/>
        <w:kinsoku/>
        <w:autoSpaceDE/>
        <w:bidi w:val="0"/>
        <w:spacing w:line="360" w:lineRule="auto"/>
        <w:ind w:firstLine="2940" w:firstLineChars="1400"/>
        <w:jc w:val="right"/>
        <w:rPr>
          <w:rFonts w:hint="eastAsia" w:asciiTheme="minorEastAsia" w:hAnsiTheme="minorEastAsia" w:eastAsiaTheme="minorEastAsia" w:cstheme="minorEastAsia"/>
          <w:color w:val="auto"/>
          <w:szCs w:val="21"/>
          <w:highlight w:val="none"/>
        </w:rPr>
      </w:pPr>
    </w:p>
    <w:p w14:paraId="20FC6AE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Cs w:val="21"/>
          <w:highlight w:val="none"/>
        </w:rPr>
        <w:br w:type="page"/>
      </w:r>
      <w:bookmarkStart w:id="137" w:name="_Toc4699"/>
      <w:bookmarkStart w:id="138" w:name="_Toc22811"/>
      <w:bookmarkStart w:id="139" w:name="_Toc31378"/>
      <w:r>
        <w:rPr>
          <w:rFonts w:hint="eastAsia" w:asciiTheme="minorEastAsia" w:hAnsiTheme="minorEastAsia" w:eastAsiaTheme="minorEastAsia" w:cstheme="minorEastAsia"/>
          <w:b/>
          <w:color w:val="auto"/>
          <w:sz w:val="24"/>
          <w:szCs w:val="24"/>
          <w:highlight w:val="none"/>
          <w:lang w:val="en-US" w:eastAsia="zh-CN"/>
        </w:rPr>
        <w:t>七</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供应商</w:t>
      </w:r>
      <w:r>
        <w:rPr>
          <w:rFonts w:hint="eastAsia" w:asciiTheme="minorEastAsia" w:hAnsiTheme="minorEastAsia" w:eastAsiaTheme="minorEastAsia" w:cstheme="minorEastAsia"/>
          <w:b/>
          <w:color w:val="auto"/>
          <w:sz w:val="24"/>
          <w:szCs w:val="24"/>
          <w:highlight w:val="none"/>
        </w:rPr>
        <w:t>基本情况表</w:t>
      </w:r>
      <w:bookmarkEnd w:id="137"/>
      <w:bookmarkEnd w:id="138"/>
      <w:bookmarkEnd w:id="139"/>
    </w:p>
    <w:tbl>
      <w:tblPr>
        <w:tblStyle w:val="25"/>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080"/>
        <w:gridCol w:w="1050"/>
        <w:gridCol w:w="1548"/>
        <w:gridCol w:w="344"/>
        <w:gridCol w:w="1191"/>
        <w:gridCol w:w="542"/>
        <w:gridCol w:w="951"/>
        <w:gridCol w:w="1097"/>
      </w:tblGrid>
      <w:tr w14:paraId="4887EE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7D0362F">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370E801E">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05F8C5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7FA4FF7">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4022" w:type="dxa"/>
            <w:gridSpan w:val="4"/>
            <w:tcBorders>
              <w:top w:val="single" w:color="auto" w:sz="4" w:space="0"/>
              <w:left w:val="single" w:color="auto" w:sz="4" w:space="0"/>
              <w:bottom w:val="single" w:color="auto" w:sz="4" w:space="0"/>
              <w:right w:val="single" w:color="auto" w:sz="4" w:space="0"/>
            </w:tcBorders>
            <w:noWrap w:val="0"/>
            <w:vAlign w:val="center"/>
          </w:tcPr>
          <w:p w14:paraId="3F47C4A6">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70E851B2">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7CC0D6B5">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258628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noWrap w:val="0"/>
            <w:vAlign w:val="center"/>
          </w:tcPr>
          <w:p w14:paraId="37BC894E">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3D26480">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43C1D4D0">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5101D560">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3E1C3A07">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27A99E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noWrap w:val="0"/>
            <w:vAlign w:val="center"/>
          </w:tcPr>
          <w:p w14:paraId="0B1EE630">
            <w:pPr>
              <w:keepNext w:val="0"/>
              <w:keepLines w:val="0"/>
              <w:pageBreakBefore w:val="0"/>
              <w:widowControl w:val="0"/>
              <w:shd w:val="clear" w:color="auto" w:fill="auto"/>
              <w:kinsoku/>
              <w:wordWrap/>
              <w:overflow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1B86DE6">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2942" w:type="dxa"/>
            <w:gridSpan w:val="3"/>
            <w:tcBorders>
              <w:top w:val="single" w:color="auto" w:sz="4" w:space="0"/>
              <w:left w:val="single" w:color="auto" w:sz="4" w:space="0"/>
              <w:bottom w:val="single" w:color="auto" w:sz="4" w:space="0"/>
              <w:right w:val="single" w:color="auto" w:sz="4" w:space="0"/>
            </w:tcBorders>
            <w:noWrap w:val="0"/>
            <w:vAlign w:val="center"/>
          </w:tcPr>
          <w:p w14:paraId="0F179C75">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1191" w:type="dxa"/>
            <w:tcBorders>
              <w:top w:val="single" w:color="auto" w:sz="4" w:space="0"/>
              <w:left w:val="single" w:color="auto" w:sz="4" w:space="0"/>
              <w:bottom w:val="single" w:color="auto" w:sz="4" w:space="0"/>
              <w:right w:val="single" w:color="auto" w:sz="4" w:space="0"/>
            </w:tcBorders>
            <w:noWrap w:val="0"/>
            <w:vAlign w:val="center"/>
          </w:tcPr>
          <w:p w14:paraId="6436BB10">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3"/>
            <w:tcBorders>
              <w:top w:val="single" w:color="auto" w:sz="4" w:space="0"/>
              <w:left w:val="single" w:color="auto" w:sz="4" w:space="0"/>
              <w:bottom w:val="single" w:color="auto" w:sz="4" w:space="0"/>
              <w:right w:val="single" w:color="auto" w:sz="4" w:space="0"/>
            </w:tcBorders>
            <w:noWrap w:val="0"/>
            <w:vAlign w:val="center"/>
          </w:tcPr>
          <w:p w14:paraId="551C523F">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53FD01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24EFE81">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组织结构</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67A45EAA">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4DB54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017AABE">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79BDF0CE">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635174A9">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70A412AB">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6DD4AA56">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3B5D6FEF">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380237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563C507C">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质量负责人</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0531CD3A">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1548" w:type="dxa"/>
            <w:tcBorders>
              <w:top w:val="single" w:color="auto" w:sz="4" w:space="0"/>
              <w:left w:val="single" w:color="auto" w:sz="4" w:space="0"/>
              <w:bottom w:val="single" w:color="auto" w:sz="4" w:space="0"/>
              <w:right w:val="single" w:color="auto" w:sz="4" w:space="0"/>
            </w:tcBorders>
            <w:noWrap w:val="0"/>
            <w:vAlign w:val="center"/>
          </w:tcPr>
          <w:p w14:paraId="4861FEDB">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2077" w:type="dxa"/>
            <w:gridSpan w:val="3"/>
            <w:tcBorders>
              <w:top w:val="single" w:color="auto" w:sz="4" w:space="0"/>
              <w:left w:val="single" w:color="auto" w:sz="4" w:space="0"/>
              <w:bottom w:val="single" w:color="auto" w:sz="4" w:space="0"/>
              <w:right w:val="single" w:color="auto" w:sz="4" w:space="0"/>
            </w:tcBorders>
            <w:noWrap w:val="0"/>
            <w:vAlign w:val="center"/>
          </w:tcPr>
          <w:p w14:paraId="524355BF">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951" w:type="dxa"/>
            <w:tcBorders>
              <w:top w:val="single" w:color="auto" w:sz="4" w:space="0"/>
              <w:left w:val="single" w:color="auto" w:sz="4" w:space="0"/>
              <w:bottom w:val="single" w:color="auto" w:sz="4" w:space="0"/>
              <w:right w:val="single" w:color="auto" w:sz="4" w:space="0"/>
            </w:tcBorders>
            <w:noWrap w:val="0"/>
            <w:vAlign w:val="center"/>
          </w:tcPr>
          <w:p w14:paraId="1C9896A9">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097" w:type="dxa"/>
            <w:tcBorders>
              <w:top w:val="single" w:color="auto" w:sz="4" w:space="0"/>
              <w:left w:val="single" w:color="auto" w:sz="4" w:space="0"/>
              <w:bottom w:val="single" w:color="auto" w:sz="4" w:space="0"/>
              <w:right w:val="single" w:color="auto" w:sz="4" w:space="0"/>
            </w:tcBorders>
            <w:noWrap w:val="0"/>
            <w:vAlign w:val="center"/>
          </w:tcPr>
          <w:p w14:paraId="2DD3883F">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0478797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467DD42">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2130" w:type="dxa"/>
            <w:gridSpan w:val="2"/>
            <w:tcBorders>
              <w:top w:val="single" w:color="auto" w:sz="4" w:space="0"/>
              <w:left w:val="single" w:color="auto" w:sz="4" w:space="0"/>
              <w:bottom w:val="single" w:color="auto" w:sz="4" w:space="0"/>
              <w:right w:val="single" w:color="auto" w:sz="4" w:space="0"/>
            </w:tcBorders>
            <w:noWrap w:val="0"/>
            <w:vAlign w:val="center"/>
          </w:tcPr>
          <w:p w14:paraId="4D6EACBB">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c>
          <w:tcPr>
            <w:tcW w:w="5673" w:type="dxa"/>
            <w:gridSpan w:val="6"/>
            <w:tcBorders>
              <w:top w:val="single" w:color="auto" w:sz="4" w:space="0"/>
              <w:left w:val="single" w:color="auto" w:sz="4" w:space="0"/>
              <w:bottom w:val="single" w:color="auto" w:sz="4" w:space="0"/>
              <w:right w:val="single" w:color="auto" w:sz="4" w:space="0"/>
            </w:tcBorders>
            <w:noWrap w:val="0"/>
            <w:vAlign w:val="center"/>
          </w:tcPr>
          <w:p w14:paraId="05FA2E2B">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5173CE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6D5F7661">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799348E">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112FED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9F80946">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1084A3A">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2E6A6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1A4D022E">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4336DE53">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5B6B36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7BEF310B">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731871CF">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r w14:paraId="7C643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1" w:hRule="atLeast"/>
          <w:jc w:val="center"/>
        </w:trPr>
        <w:tc>
          <w:tcPr>
            <w:tcW w:w="1669" w:type="dxa"/>
            <w:tcBorders>
              <w:top w:val="single" w:color="auto" w:sz="4" w:space="0"/>
              <w:left w:val="single" w:color="auto" w:sz="4" w:space="0"/>
              <w:bottom w:val="single" w:color="auto" w:sz="4" w:space="0"/>
              <w:right w:val="single" w:color="auto" w:sz="4" w:space="0"/>
            </w:tcBorders>
            <w:noWrap w:val="0"/>
            <w:vAlign w:val="center"/>
          </w:tcPr>
          <w:p w14:paraId="28E99302">
            <w:pPr>
              <w:keepNext w:val="0"/>
              <w:keepLines w:val="0"/>
              <w:pageBreakBefore w:val="0"/>
              <w:widowControl w:val="0"/>
              <w:shd w:val="clear" w:color="auto" w:fill="auto"/>
              <w:kinsoku/>
              <w:wordWrap/>
              <w:overflowPunct/>
              <w:topLinePunct/>
              <w:autoSpaceDE/>
              <w:autoSpaceDN/>
              <w:bidi w:val="0"/>
              <w:adjustRightInd/>
              <w:snapToGrid/>
              <w:spacing w:line="3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8"/>
            <w:tcBorders>
              <w:top w:val="single" w:color="auto" w:sz="4" w:space="0"/>
              <w:left w:val="single" w:color="auto" w:sz="4" w:space="0"/>
              <w:bottom w:val="single" w:color="auto" w:sz="4" w:space="0"/>
              <w:right w:val="single" w:color="auto" w:sz="4" w:space="0"/>
            </w:tcBorders>
            <w:noWrap w:val="0"/>
            <w:vAlign w:val="center"/>
          </w:tcPr>
          <w:p w14:paraId="0C308DB9">
            <w:pPr>
              <w:keepNext w:val="0"/>
              <w:keepLines w:val="0"/>
              <w:pageBreakBefore w:val="0"/>
              <w:widowControl w:val="0"/>
              <w:shd w:val="clear" w:color="auto" w:fill="auto"/>
              <w:kinsoku/>
              <w:wordWrap/>
              <w:overflowPunct/>
              <w:topLinePunct/>
              <w:autoSpaceDE/>
              <w:autoSpaceDN/>
              <w:bidi w:val="0"/>
              <w:adjustRightInd/>
              <w:snapToGrid/>
              <w:spacing w:line="360" w:lineRule="exact"/>
              <w:jc w:val="both"/>
              <w:textAlignment w:val="auto"/>
              <w:rPr>
                <w:rFonts w:hint="eastAsia" w:asciiTheme="minorEastAsia" w:hAnsiTheme="minorEastAsia" w:eastAsiaTheme="minorEastAsia" w:cstheme="minorEastAsia"/>
                <w:color w:val="auto"/>
                <w:sz w:val="24"/>
                <w:szCs w:val="24"/>
                <w:highlight w:val="none"/>
              </w:rPr>
            </w:pPr>
          </w:p>
        </w:tc>
      </w:tr>
    </w:tbl>
    <w:p w14:paraId="41F377BC">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6710D925">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0F09C8A5">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5A2B5ECB">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2F77AC67">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5FA08447">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5C14AF22">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029DFA8E">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2089E39A">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b/>
          <w:bCs/>
          <w:color w:val="auto"/>
          <w:szCs w:val="21"/>
          <w:highlight w:val="none"/>
        </w:rPr>
      </w:pPr>
    </w:p>
    <w:p w14:paraId="0EA6AC2B">
      <w:pPr>
        <w:pStyle w:val="10"/>
        <w:pageBreakBefore w:val="0"/>
        <w:widowControl w:val="0"/>
        <w:shd w:val="clear" w:color="auto" w:fill="auto"/>
        <w:kinsoku/>
        <w:autoSpaceDE/>
        <w:bidi w:val="0"/>
        <w:rPr>
          <w:rFonts w:hint="eastAsia" w:asciiTheme="minorEastAsia" w:hAnsiTheme="minorEastAsia" w:eastAsiaTheme="minorEastAsia" w:cstheme="minorEastAsia"/>
          <w:color w:val="auto"/>
          <w:highlight w:val="none"/>
        </w:rPr>
      </w:pPr>
    </w:p>
    <w:p w14:paraId="6A2B7ED7">
      <w:pPr>
        <w:pStyle w:val="10"/>
        <w:pageBreakBefore w:val="0"/>
        <w:widowControl w:val="0"/>
        <w:shd w:val="clear" w:color="auto" w:fill="auto"/>
        <w:kinsoku/>
        <w:autoSpaceDE/>
        <w:bidi w:val="0"/>
        <w:rPr>
          <w:rFonts w:hint="eastAsia" w:asciiTheme="minorEastAsia" w:hAnsiTheme="minorEastAsia" w:eastAsiaTheme="minorEastAsia" w:cstheme="minorEastAsia"/>
          <w:b/>
          <w:bCs/>
          <w:color w:val="auto"/>
          <w:szCs w:val="21"/>
          <w:highlight w:val="none"/>
        </w:rPr>
      </w:pPr>
    </w:p>
    <w:p w14:paraId="177AC0A5">
      <w:pPr>
        <w:pageBreakBefore w:val="0"/>
        <w:widowControl w:val="0"/>
        <w:shd w:val="clear" w:color="auto" w:fill="auto"/>
        <w:kinsoku/>
        <w:autoSpaceDE/>
        <w:bidi w:val="0"/>
        <w:jc w:val="center"/>
        <w:outlineLvl w:val="1"/>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8"/>
          <w:szCs w:val="28"/>
          <w:highlight w:val="none"/>
        </w:rPr>
        <w:br w:type="page"/>
      </w:r>
      <w:bookmarkStart w:id="140" w:name="_Toc23167"/>
      <w:bookmarkStart w:id="141" w:name="_Toc3563"/>
      <w:bookmarkStart w:id="142" w:name="_Toc31115"/>
      <w:r>
        <w:rPr>
          <w:rFonts w:hint="eastAsia" w:asciiTheme="minorEastAsia" w:hAnsiTheme="minorEastAsia" w:eastAsiaTheme="minorEastAsia" w:cstheme="minorEastAsia"/>
          <w:b/>
          <w:color w:val="auto"/>
          <w:sz w:val="24"/>
          <w:szCs w:val="24"/>
          <w:highlight w:val="none"/>
          <w:lang w:val="en-US" w:eastAsia="zh-CN"/>
        </w:rPr>
        <w:t>八</w:t>
      </w:r>
      <w:r>
        <w:rPr>
          <w:rFonts w:hint="eastAsia" w:asciiTheme="minorEastAsia" w:hAnsiTheme="minorEastAsia" w:eastAsiaTheme="minorEastAsia" w:cstheme="minorEastAsia"/>
          <w:b/>
          <w:color w:val="auto"/>
          <w:sz w:val="24"/>
          <w:szCs w:val="24"/>
          <w:highlight w:val="none"/>
        </w:rPr>
        <w:t>、</w:t>
      </w:r>
      <w:r>
        <w:rPr>
          <w:rFonts w:hint="eastAsia" w:asciiTheme="minorEastAsia" w:hAnsiTheme="minorEastAsia" w:eastAsiaTheme="minorEastAsia" w:cstheme="minorEastAsia"/>
          <w:b/>
          <w:color w:val="auto"/>
          <w:sz w:val="24"/>
          <w:szCs w:val="24"/>
          <w:highlight w:val="none"/>
          <w:lang w:val="en-US" w:eastAsia="zh-CN"/>
        </w:rPr>
        <w:t>供应商</w:t>
      </w:r>
      <w:r>
        <w:rPr>
          <w:rFonts w:hint="eastAsia" w:asciiTheme="minorEastAsia" w:hAnsiTheme="minorEastAsia" w:eastAsiaTheme="minorEastAsia" w:cstheme="minorEastAsia"/>
          <w:b/>
          <w:color w:val="auto"/>
          <w:sz w:val="24"/>
          <w:szCs w:val="24"/>
          <w:highlight w:val="none"/>
        </w:rPr>
        <w:t>相关证明资料</w:t>
      </w:r>
      <w:bookmarkEnd w:id="140"/>
      <w:bookmarkEnd w:id="141"/>
      <w:bookmarkEnd w:id="142"/>
    </w:p>
    <w:p w14:paraId="5C0D1514">
      <w:pPr>
        <w:pStyle w:val="14"/>
        <w:pageBreakBefore w:val="0"/>
        <w:widowControl w:val="0"/>
        <w:shd w:val="clear" w:color="auto" w:fill="auto"/>
        <w:kinsoku/>
        <w:autoSpaceDE/>
        <w:bidi w:val="0"/>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p>
    <w:p w14:paraId="650A7D00">
      <w:pPr>
        <w:pStyle w:val="14"/>
        <w:pageBreakBefore w:val="0"/>
        <w:widowControl w:val="0"/>
        <w:shd w:val="clear" w:color="auto" w:fill="auto"/>
        <w:kinsoku/>
        <w:autoSpaceDE/>
        <w:bidi w:val="0"/>
        <w:spacing w:line="480" w:lineRule="exact"/>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1.具有独立承担民事责任的能力：供应商应为在中华人民共和国注册具有独立承担民事责任能力的法人或其他组织，持有有效的法人或者其他组织的营业执照等证明文件。</w:t>
      </w:r>
    </w:p>
    <w:p w14:paraId="526B1102">
      <w:pPr>
        <w:pStyle w:val="14"/>
        <w:pageBreakBefore w:val="0"/>
        <w:widowControl w:val="0"/>
        <w:shd w:val="clear" w:color="auto" w:fill="auto"/>
        <w:kinsoku/>
        <w:autoSpaceDE/>
        <w:bidi w:val="0"/>
        <w:spacing w:line="480" w:lineRule="exact"/>
        <w:ind w:firstLine="480" w:firstLineChars="200"/>
        <w:jc w:val="left"/>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2.供应商须具有良好的商业信誉：供应商未被列入“中国执行信息公开网”未被列入失信被执行人记录；“信用中国”未被列入“重大税收违法失信主体”；未被列入“中国政府采购网”公布的“政府采购严重违法失信行为信息记录”名单（以采购代理机构于投标（响应）截止时间当天查询结果为准，如相关失信记录已失效，供应商需提供相关证明资料）；提供具有良好的商业信誉承诺书（格式自拟）</w:t>
      </w:r>
      <w:r>
        <w:rPr>
          <w:rFonts w:hint="eastAsia" w:asciiTheme="minorEastAsia" w:hAnsiTheme="minorEastAsia" w:eastAsiaTheme="minorEastAsia" w:cstheme="minorEastAsia"/>
          <w:bCs/>
          <w:color w:val="auto"/>
          <w:sz w:val="24"/>
          <w:szCs w:val="24"/>
          <w:highlight w:val="none"/>
          <w:lang w:eastAsia="zh-CN"/>
        </w:rPr>
        <w:t>。</w:t>
      </w:r>
    </w:p>
    <w:p w14:paraId="758BFAD0">
      <w:pPr>
        <w:pStyle w:val="14"/>
        <w:pageBreakBefore w:val="0"/>
        <w:widowControl w:val="0"/>
        <w:shd w:val="clear" w:color="auto" w:fill="auto"/>
        <w:kinsoku/>
        <w:autoSpaceDE/>
        <w:bidi w:val="0"/>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3.供应商须具有健全的财务会计制度：提供财务状况报告（经审计的2023年-2025年任意一年的年度财务报告或银行出具的资信证明或供应商应具备的财务资料）。</w:t>
      </w:r>
    </w:p>
    <w:p w14:paraId="579E94CF">
      <w:pPr>
        <w:pStyle w:val="14"/>
        <w:pageBreakBefore w:val="0"/>
        <w:widowControl w:val="0"/>
        <w:shd w:val="clear" w:color="auto" w:fill="auto"/>
        <w:kinsoku/>
        <w:autoSpaceDE/>
        <w:bidi w:val="0"/>
        <w:spacing w:line="480" w:lineRule="exact"/>
        <w:ind w:firstLine="480" w:firstLineChars="200"/>
        <w:jc w:val="left"/>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4.供应商须具有履行合同所必需的设备和专业技术能力：提供具有履行合同所必需的设备和专业技术能力相关证明材料或书面承诺。</w:t>
      </w:r>
    </w:p>
    <w:p w14:paraId="4228CB8B">
      <w:pPr>
        <w:pStyle w:val="14"/>
        <w:pageBreakBefore w:val="0"/>
        <w:widowControl w:val="0"/>
        <w:shd w:val="clear" w:color="auto" w:fill="auto"/>
        <w:kinsoku/>
        <w:autoSpaceDE/>
        <w:bidi w:val="0"/>
        <w:spacing w:line="48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5.供应商须具有依法缴纳税收和社保资金的良好记录：</w:t>
      </w:r>
      <w:r>
        <w:rPr>
          <w:rFonts w:hint="eastAsia" w:hAnsi="宋体" w:cs="宋体"/>
          <w:bCs/>
          <w:color w:val="auto"/>
          <w:sz w:val="24"/>
          <w:szCs w:val="24"/>
          <w:highlight w:val="none"/>
          <w:lang w:val="en-US" w:eastAsia="zh-CN"/>
        </w:rPr>
        <w:t>①</w:t>
      </w:r>
      <w:r>
        <w:rPr>
          <w:rFonts w:hint="eastAsia" w:ascii="宋体" w:hAnsi="宋体" w:eastAsia="宋体" w:cs="宋体"/>
          <w:bCs/>
          <w:color w:val="auto"/>
          <w:sz w:val="24"/>
          <w:szCs w:val="24"/>
          <w:highlight w:val="none"/>
          <w:lang w:val="en-US" w:eastAsia="zh-CN"/>
        </w:rPr>
        <w:t>提供2025年10月至响应文件递交截止时间前任意3个月依法缴税证明</w:t>
      </w:r>
      <w:r>
        <w:rPr>
          <w:rFonts w:hint="eastAsia" w:hAnsi="宋体" w:cs="宋体"/>
          <w:bCs/>
          <w:color w:val="auto"/>
          <w:sz w:val="24"/>
          <w:szCs w:val="24"/>
          <w:highlight w:val="none"/>
          <w:lang w:val="en-US" w:eastAsia="zh-CN"/>
        </w:rPr>
        <w:t>；②</w:t>
      </w:r>
      <w:r>
        <w:rPr>
          <w:rFonts w:hint="eastAsia" w:ascii="宋体" w:hAnsi="宋体" w:eastAsia="宋体" w:cs="宋体"/>
          <w:bCs/>
          <w:color w:val="auto"/>
          <w:sz w:val="24"/>
          <w:szCs w:val="24"/>
          <w:highlight w:val="none"/>
          <w:lang w:val="en-US" w:eastAsia="zh-CN"/>
        </w:rPr>
        <w:t>提供2025年10月至响应文件递交截止时间前任意3个月社会保险费缴纳证明或书面承诺函（成立未满3个月的提供自成立以来的依法缴税证明和社会保险费缴纳证明材料；依法免税的应提供依法免税的相关证明文件）。</w:t>
      </w:r>
    </w:p>
    <w:p w14:paraId="09B53F5A">
      <w:pPr>
        <w:pStyle w:val="14"/>
        <w:pageBreakBefore w:val="0"/>
        <w:widowControl w:val="0"/>
        <w:shd w:val="clear" w:color="auto" w:fill="auto"/>
        <w:kinsoku/>
        <w:autoSpaceDE/>
        <w:bidi w:val="0"/>
        <w:spacing w:line="480" w:lineRule="exact"/>
        <w:ind w:firstLine="480" w:firstLineChars="200"/>
        <w:jc w:val="lef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6.参加政府采购活动前三年内，在经营活动中没有违法记录：供应商须提供参加政府采购活动前3年内在经营活动中没有重大违法记录的书面声明（重大违法记录是指供应商因违法经营受到刑事处罚或者责令停产停业、吊销许可证或者执照、较大数额罚款等行政处罚）。</w:t>
      </w:r>
    </w:p>
    <w:p w14:paraId="51EE7F34">
      <w:pPr>
        <w:pStyle w:val="14"/>
        <w:pageBreakBefore w:val="0"/>
        <w:widowControl w:val="0"/>
        <w:shd w:val="clear" w:color="auto" w:fill="auto"/>
        <w:kinsoku/>
        <w:autoSpaceDE/>
        <w:bidi w:val="0"/>
        <w:spacing w:line="480" w:lineRule="exact"/>
        <w:ind w:firstLine="480" w:firstLineChars="200"/>
        <w:jc w:val="left"/>
        <w:rPr>
          <w:rFonts w:hint="eastAsia"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7.法律、行政法规规定的其他条件。</w:t>
      </w:r>
    </w:p>
    <w:p w14:paraId="2C52F75F">
      <w:pPr>
        <w:pStyle w:val="14"/>
        <w:pageBreakBefore w:val="0"/>
        <w:widowControl w:val="0"/>
        <w:shd w:val="clear" w:color="auto" w:fill="auto"/>
        <w:kinsoku/>
        <w:autoSpaceDE/>
        <w:bidi w:val="0"/>
        <w:spacing w:line="480" w:lineRule="exact"/>
        <w:ind w:firstLine="480" w:firstLineChars="200"/>
        <w:jc w:val="left"/>
        <w:rPr>
          <w:rFonts w:hint="default" w:hAnsi="宋体" w:cs="宋体"/>
          <w:bCs/>
          <w:color w:val="auto"/>
          <w:sz w:val="24"/>
          <w:szCs w:val="24"/>
          <w:highlight w:val="none"/>
          <w:lang w:val="en-US" w:eastAsia="zh-CN"/>
        </w:rPr>
      </w:pPr>
      <w:r>
        <w:rPr>
          <w:rFonts w:hint="eastAsia" w:hAnsi="宋体" w:cs="宋体"/>
          <w:bCs/>
          <w:color w:val="auto"/>
          <w:sz w:val="24"/>
          <w:szCs w:val="24"/>
          <w:highlight w:val="none"/>
          <w:lang w:val="en-US" w:eastAsia="zh-CN"/>
        </w:rPr>
        <w:t>8.供应商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DE9684A">
      <w:pPr>
        <w:pageBreakBefore w:val="0"/>
        <w:widowControl w:val="0"/>
        <w:shd w:val="clear" w:color="auto" w:fill="auto"/>
        <w:kinsoku/>
        <w:autoSpaceDE/>
        <w:bidi w:val="0"/>
        <w:jc w:val="center"/>
        <w:rPr>
          <w:rFonts w:hint="eastAsia" w:asciiTheme="minorEastAsia" w:hAnsiTheme="minorEastAsia" w:eastAsiaTheme="minorEastAsia" w:cstheme="minorEastAsia"/>
          <w:b/>
          <w:bCs/>
          <w:color w:val="auto"/>
          <w:sz w:val="24"/>
          <w:szCs w:val="24"/>
          <w:highlight w:val="none"/>
          <w:lang w:val="en-US" w:eastAsia="zh-CN"/>
        </w:rPr>
      </w:pPr>
    </w:p>
    <w:p w14:paraId="5C61547C">
      <w:pPr>
        <w:pageBreakBefore w:val="0"/>
        <w:widowControl w:val="0"/>
        <w:shd w:val="clear" w:color="auto" w:fill="auto"/>
        <w:kinsoku/>
        <w:autoSpaceDE/>
        <w:bidi w:val="0"/>
        <w:jc w:val="center"/>
        <w:rPr>
          <w:rFonts w:hint="eastAsia" w:asciiTheme="minorEastAsia" w:hAnsiTheme="minorEastAsia" w:eastAsiaTheme="minorEastAsia" w:cstheme="minorEastAsia"/>
          <w:b/>
          <w:bCs/>
          <w:color w:val="auto"/>
          <w:sz w:val="24"/>
          <w:szCs w:val="24"/>
          <w:highlight w:val="none"/>
          <w:lang w:val="en-US" w:eastAsia="zh-CN"/>
        </w:rPr>
        <w:sectPr>
          <w:pgSz w:w="11906" w:h="16838"/>
          <w:pgMar w:top="1440" w:right="1474" w:bottom="1440" w:left="1474" w:header="850" w:footer="992" w:gutter="0"/>
          <w:pgNumType w:fmt="decimal"/>
          <w:cols w:space="0" w:num="1"/>
          <w:rtlGutter w:val="0"/>
          <w:docGrid w:linePitch="321" w:charSpace="0"/>
        </w:sectPr>
      </w:pPr>
    </w:p>
    <w:bookmarkEnd w:id="109"/>
    <w:bookmarkEnd w:id="110"/>
    <w:bookmarkEnd w:id="111"/>
    <w:bookmarkEnd w:id="112"/>
    <w:bookmarkEnd w:id="113"/>
    <w:bookmarkEnd w:id="114"/>
    <w:p w14:paraId="45611C12">
      <w:pPr>
        <w:keepNext w:val="0"/>
        <w:keepLines w:val="0"/>
        <w:pageBreakBefore w:val="0"/>
        <w:widowControl w:val="0"/>
        <w:shd w:val="clear" w:color="auto" w:fill="auto"/>
        <w:kinsoku/>
        <w:wordWrap/>
        <w:overflowPunct/>
        <w:topLinePunct w:val="0"/>
        <w:autoSpaceDE/>
        <w:autoSpaceDN/>
        <w:bidi w:val="0"/>
        <w:adjustRightInd/>
        <w:snapToGrid/>
        <w:spacing w:line="700" w:lineRule="exact"/>
        <w:jc w:val="center"/>
        <w:textAlignment w:val="auto"/>
        <w:outlineLvl w:val="1"/>
        <w:rPr>
          <w:rFonts w:hint="eastAsia" w:asciiTheme="minorEastAsia" w:hAnsiTheme="minorEastAsia" w:eastAsiaTheme="minorEastAsia" w:cstheme="minorEastAsia"/>
          <w:b/>
          <w:bCs/>
          <w:color w:val="auto"/>
          <w:sz w:val="24"/>
          <w:szCs w:val="24"/>
          <w:highlight w:val="none"/>
          <w:lang w:val="en-US" w:eastAsia="zh-CN"/>
        </w:rPr>
      </w:pPr>
      <w:bookmarkStart w:id="143" w:name="_Toc20259"/>
      <w:bookmarkStart w:id="144" w:name="_Toc19680"/>
      <w:bookmarkStart w:id="145" w:name="_Toc31031"/>
      <w:bookmarkStart w:id="146" w:name="OLE_LINK19"/>
      <w:bookmarkStart w:id="147" w:name="OLE_LINK20"/>
      <w:r>
        <w:rPr>
          <w:rFonts w:hint="eastAsia" w:asciiTheme="minorEastAsia" w:hAnsiTheme="minorEastAsia" w:eastAsiaTheme="minorEastAsia" w:cstheme="minorEastAsia"/>
          <w:b/>
          <w:bCs/>
          <w:color w:val="auto"/>
          <w:sz w:val="24"/>
          <w:szCs w:val="24"/>
          <w:highlight w:val="none"/>
          <w:lang w:val="en-US" w:eastAsia="zh-CN"/>
        </w:rPr>
        <w:t>九、中小企业声明函</w:t>
      </w:r>
      <w:bookmarkEnd w:id="143"/>
      <w:bookmarkEnd w:id="144"/>
      <w:bookmarkEnd w:id="145"/>
    </w:p>
    <w:p w14:paraId="152B5B3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bookmarkStart w:id="148" w:name="_Toc8607"/>
      <w:bookmarkStart w:id="149" w:name="_Toc27737"/>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永德县林业和草原局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eastAsia="zh-CN"/>
        </w:rPr>
        <w:t>永德县永康林场国家澳洲坚果良种基地2025年中央财政林木良种培育补助项目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采购活动，服务全部由符合政策要求的中小企业承接。相关企业（含联合体中的中小企业）的具体情况如下：</w:t>
      </w:r>
    </w:p>
    <w:p w14:paraId="3BEF0C29">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u w:val="single"/>
          <w:lang w:eastAsia="zh-CN"/>
        </w:rPr>
        <w:t>永德县永康林场国家澳洲坚果良种基地2025年中央财政林木良种培育补助项目</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8E5351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 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2EA8BEB7">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w:t>
      </w:r>
    </w:p>
    <w:p w14:paraId="5979CE2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2CF454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w:t>
      </w:r>
      <w:r>
        <w:rPr>
          <w:rFonts w:hint="eastAsia" w:ascii="宋体" w:hAnsi="宋体" w:eastAsia="宋体" w:cs="宋体"/>
          <w:color w:val="auto"/>
          <w:sz w:val="24"/>
          <w:szCs w:val="24"/>
          <w:highlight w:val="none"/>
          <w:u w:val="none"/>
        </w:rPr>
        <w:t>真实性负责。</w:t>
      </w:r>
      <w:r>
        <w:rPr>
          <w:rFonts w:hint="eastAsia" w:ascii="宋体" w:hAnsi="宋体" w:eastAsia="宋体" w:cs="宋体"/>
          <w:color w:val="auto"/>
          <w:sz w:val="24"/>
          <w:szCs w:val="24"/>
          <w:highlight w:val="none"/>
        </w:rPr>
        <w:t>如有虚假，将依法承担相应责任。</w:t>
      </w:r>
    </w:p>
    <w:p w14:paraId="0DDD2017">
      <w:pPr>
        <w:keepNext w:val="0"/>
        <w:keepLines w:val="0"/>
        <w:pageBreakBefore w:val="0"/>
        <w:widowControl w:val="0"/>
        <w:kinsoku/>
        <w:wordWrap/>
        <w:overflowPunct/>
        <w:topLinePunct w:val="0"/>
        <w:autoSpaceDE/>
        <w:autoSpaceDN/>
        <w:bidi w:val="0"/>
        <w:adjustRightInd/>
        <w:snapToGrid/>
        <w:spacing w:line="360" w:lineRule="auto"/>
        <w:ind w:right="2120" w:firstLine="720" w:firstLineChars="300"/>
        <w:textAlignment w:val="auto"/>
        <w:rPr>
          <w:rFonts w:hint="eastAsia" w:ascii="宋体" w:hAnsi="宋体" w:eastAsia="宋体" w:cs="宋体"/>
          <w:color w:val="auto"/>
          <w:sz w:val="24"/>
          <w:szCs w:val="24"/>
          <w:highlight w:val="none"/>
        </w:rPr>
      </w:pPr>
    </w:p>
    <w:p w14:paraId="1759EA1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（单位全称）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（电子签章）</w:t>
      </w:r>
    </w:p>
    <w:p w14:paraId="7C6B482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eastAsia="zh-CN"/>
        </w:rPr>
        <w:t>（电子签章）</w:t>
      </w:r>
    </w:p>
    <w:p w14:paraId="5819376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val="en-US" w:eastAsia="zh-CN"/>
        </w:rPr>
        <w:t>日</w:t>
      </w:r>
    </w:p>
    <w:p w14:paraId="200F3EC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p>
    <w:p w14:paraId="1081B2A6">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198"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说明：</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从业人员、营业收入、资产总额填报上一年度数据，无上一年度数据的新成立企业可不填报。</w:t>
      </w:r>
    </w:p>
    <w:p w14:paraId="48117650">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2.供应商不属于中小企业的，本声明函内容可不填写，但落款必须填写单位名称并按规定进行电子签章。</w:t>
      </w:r>
    </w:p>
    <w:p w14:paraId="10D525DC">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3.《政府采购促进中小企业发展管理办法》（财库﹝2020﹞46号）规定“第二十条 供应商按照本办法规定提供声明函内容不实的，属于提供虚假材料谋取中标、成交，依照《中华人民共和国政府采购法》等国家有关规定追究相应责任”。</w:t>
      </w:r>
    </w:p>
    <w:p w14:paraId="76DE7151">
      <w:pPr>
        <w:keepNext w:val="0"/>
        <w:keepLines w:val="0"/>
        <w:pageBreakBefore w:val="0"/>
        <w:widowControl w:val="0"/>
        <w:shd w:val="clear" w:color="auto" w:fill="auto"/>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4.中小企业划型标准详见下文。</w:t>
      </w:r>
    </w:p>
    <w:p w14:paraId="70F1ED32">
      <w:pPr>
        <w:keepNext w:val="0"/>
        <w:keepLines w:val="0"/>
        <w:pageBreakBefore w:val="0"/>
        <w:widowControl w:val="0"/>
        <w:shd w:val="clear" w:color="auto" w:fill="auto"/>
        <w:kinsoku/>
        <w:wordWrap/>
        <w:overflowPunct/>
        <w:topLinePunct w:val="0"/>
        <w:autoSpaceDE/>
        <w:autoSpaceDN/>
        <w:bidi w:val="0"/>
        <w:adjustRightInd/>
        <w:snapToGrid/>
        <w:spacing w:line="360" w:lineRule="auto"/>
        <w:ind w:left="198" w:firstLine="964" w:firstLineChars="400"/>
        <w:textAlignment w:val="auto"/>
        <w:rPr>
          <w:rFonts w:hint="eastAsia" w:asciiTheme="minorEastAsia" w:hAnsiTheme="minorEastAsia" w:eastAsiaTheme="minorEastAsia" w:cstheme="minorEastAsia"/>
          <w:b/>
          <w:color w:val="auto"/>
          <w:sz w:val="24"/>
          <w:szCs w:val="24"/>
          <w:highlight w:val="none"/>
          <w:lang w:val="en-US" w:eastAsia="zh-CN"/>
        </w:rPr>
      </w:pPr>
    </w:p>
    <w:p w14:paraId="0267CE44">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28"/>
          <w:szCs w:val="28"/>
          <w:highlight w:val="none"/>
          <w:lang w:val="en-US" w:eastAsia="zh-CN"/>
        </w:rPr>
      </w:pPr>
      <w:r>
        <w:rPr>
          <w:rFonts w:hint="eastAsia" w:asciiTheme="minorEastAsia" w:hAnsiTheme="minorEastAsia" w:eastAsiaTheme="minorEastAsia" w:cstheme="minorEastAsia"/>
          <w:b/>
          <w:color w:val="auto"/>
          <w:sz w:val="28"/>
          <w:szCs w:val="28"/>
          <w:highlight w:val="none"/>
          <w:lang w:val="en-US" w:eastAsia="zh-CN"/>
        </w:rPr>
        <w:t>关于印发中小企业划型标准规定的通知</w:t>
      </w:r>
      <w:r>
        <w:rPr>
          <w:rFonts w:hint="eastAsia" w:asciiTheme="minorEastAsia" w:hAnsiTheme="minorEastAsia" w:eastAsiaTheme="minorEastAsia" w:cstheme="minorEastAsia"/>
          <w:b/>
          <w:color w:val="auto"/>
          <w:sz w:val="28"/>
          <w:szCs w:val="28"/>
          <w:highlight w:val="none"/>
          <w:lang w:val="en-US" w:eastAsia="zh-CN"/>
        </w:rPr>
        <w:br w:type="textWrapping"/>
      </w:r>
      <w:r>
        <w:rPr>
          <w:rFonts w:hint="eastAsia" w:asciiTheme="minorEastAsia" w:hAnsiTheme="minorEastAsia" w:eastAsiaTheme="minorEastAsia" w:cstheme="minorEastAsia"/>
          <w:b/>
          <w:color w:val="auto"/>
          <w:sz w:val="28"/>
          <w:szCs w:val="28"/>
          <w:highlight w:val="none"/>
          <w:lang w:val="en-US" w:eastAsia="zh-CN"/>
        </w:rPr>
        <w:t>工信部联企业〔2011〕300号</w:t>
      </w:r>
    </w:p>
    <w:p w14:paraId="2577F8E7">
      <w:pPr>
        <w:keepNext w:val="0"/>
        <w:keepLines w:val="0"/>
        <w:pageBreakBefore w:val="0"/>
        <w:widowControl w:val="0"/>
        <w:shd w:val="clear" w:color="auto" w:fill="auto"/>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各省、自治区、直辖市人民政府，国务院各部委、各直属机构及有关单位：</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工业和信息化部　国家统计局</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国家发展和改革委员会　财政部</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二○一一年六月十八日</w:t>
      </w:r>
    </w:p>
    <w:p w14:paraId="53BB860C">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中小企业划型标准规定</w:t>
      </w:r>
    </w:p>
    <w:p w14:paraId="0CB4D1E9">
      <w:pPr>
        <w:keepNext w:val="0"/>
        <w:keepLines w:val="0"/>
        <w:pageBreakBefore w:val="0"/>
        <w:widowControl w:val="0"/>
        <w:kinsoku/>
        <w:wordWrap/>
        <w:overflowPunct/>
        <w:topLinePunct w:val="0"/>
        <w:autoSpaceDE/>
        <w:autoSpaceDN/>
        <w:bidi w:val="0"/>
        <w:adjustRightInd/>
        <w:snapToGrid/>
        <w:spacing w:line="560" w:lineRule="exact"/>
        <w:ind w:firstLine="482"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lang w:val="en-US" w:eastAsia="zh-CN"/>
        </w:rPr>
        <w:t>　　</w:t>
      </w:r>
      <w:r>
        <w:rPr>
          <w:rFonts w:hint="eastAsia" w:asciiTheme="minorEastAsia" w:hAnsiTheme="minorEastAsia" w:eastAsiaTheme="minorEastAsia" w:cstheme="minorEastAsia"/>
          <w:b w:val="0"/>
          <w:bCs/>
          <w:color w:val="auto"/>
          <w:sz w:val="24"/>
          <w:szCs w:val="24"/>
          <w:highlight w:val="none"/>
          <w:lang w:val="en-US" w:eastAsia="zh-CN"/>
        </w:rPr>
        <w:t>一、根据《中华人民共和国中小企业促进法》和《国务院关于进一步促进中小企业发展的若干意见》(国发〔2009〕36号)，制定本规定。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二、中小企业划分为中型、小型、微型三种类型，具体标准根据企业从业人员、营业收入、资产总额等指标，结合行业特点制定。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四、各行业划型标准为：</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w:t>
      </w:r>
      <w:r>
        <w:rPr>
          <w:rFonts w:hint="eastAsia" w:asciiTheme="minorEastAsia" w:hAnsiTheme="minorEastAsia" w:eastAsiaTheme="minorEastAsia" w:cstheme="minorEastAsia"/>
          <w:b/>
          <w:bCs w:val="0"/>
          <w:color w:val="auto"/>
          <w:sz w:val="24"/>
          <w:szCs w:val="24"/>
          <w:highlight w:val="none"/>
          <w:lang w:val="en-US" w:eastAsia="zh-CN"/>
        </w:rPr>
        <w:t>（一）农、林、牧、渔业。营业收入20000万元以下的为中小微型企业。其中，营业收入500万元及以上的为中型企业，营业收入50万元及以上的为小型企业，营业收入50万元以下的为微型企业。</w:t>
      </w:r>
      <w:r>
        <w:rPr>
          <w:rFonts w:hint="eastAsia" w:asciiTheme="minorEastAsia" w:hAnsiTheme="minorEastAsia" w:eastAsiaTheme="minorEastAsia" w:cstheme="minorEastAsia"/>
          <w:b/>
          <w:bCs w:val="0"/>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（十六）其他未列明行业。从业人员300人以下的为中小微型企业。其中，从业人员100人及以上的为中型企业；从业人员10人及以上的为小型企业；从业人员10人以下的为微型企业。</w:t>
      </w:r>
      <w:r>
        <w:rPr>
          <w:rFonts w:hint="eastAsia" w:asciiTheme="minorEastAsia" w:hAnsiTheme="minorEastAsia" w:eastAsiaTheme="minorEastAsia" w:cstheme="minorEastAsia"/>
          <w:b/>
          <w:bCs w:val="0"/>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五、企业类型的划分以统计部门的统计数据为依据。</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六、本规定适用于在中华人民共和国境内依法设立的各类所有制和各种组织形式的企业。个体工商户和本规定以外的行业，参照本规定进行划型。</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八、本规定由工业和信息化部、国家统计局会同有关部门根据《国民经济行业分类》修订情况和企业发展变化情况适时修订。</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九、本规定由工业和信息化部、国家统计局会同有关部门负责解释。</w:t>
      </w:r>
      <w:r>
        <w:rPr>
          <w:rFonts w:hint="eastAsia" w:asciiTheme="minorEastAsia" w:hAnsiTheme="minorEastAsia" w:eastAsiaTheme="minorEastAsia" w:cstheme="minorEastAsia"/>
          <w:b w:val="0"/>
          <w:bCs/>
          <w:color w:val="auto"/>
          <w:sz w:val="24"/>
          <w:szCs w:val="24"/>
          <w:highlight w:val="none"/>
          <w:lang w:val="en-US" w:eastAsia="zh-CN"/>
        </w:rPr>
        <w:br w:type="textWrapping"/>
      </w:r>
      <w:r>
        <w:rPr>
          <w:rFonts w:hint="eastAsia" w:asciiTheme="minorEastAsia" w:hAnsiTheme="minorEastAsia" w:eastAsiaTheme="minorEastAsia" w:cstheme="minorEastAsia"/>
          <w:b w:val="0"/>
          <w:bCs/>
          <w:color w:val="auto"/>
          <w:sz w:val="24"/>
          <w:szCs w:val="24"/>
          <w:highlight w:val="none"/>
          <w:lang w:val="en-US" w:eastAsia="zh-CN"/>
        </w:rPr>
        <w:t>　　十、本规定自发布之日起执行，原国家经贸委、原国家计委、财政部和国家统计局2003年颁布的《中小企业标准暂行规定》同时废止。</w:t>
      </w:r>
    </w:p>
    <w:p w14:paraId="397D88DA">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0018E86B">
      <w:pPr>
        <w:keepNext w:val="0"/>
        <w:keepLines w:val="0"/>
        <w:pageBreakBefore w:val="0"/>
        <w:widowControl w:val="0"/>
        <w:shd w:val="clear" w:color="auto" w:fill="auto"/>
        <w:kinsoku/>
        <w:wordWrap/>
        <w:overflowPunct/>
        <w:topLinePunct/>
        <w:autoSpaceDE/>
        <w:autoSpaceDN/>
        <w:bidi w:val="0"/>
        <w:adjustRightInd w:val="0"/>
        <w:snapToGrid/>
        <w:spacing w:line="5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九、残疾人福利性单位声明函</w:t>
      </w:r>
      <w:bookmarkEnd w:id="148"/>
      <w:bookmarkEnd w:id="149"/>
    </w:p>
    <w:p w14:paraId="7B98EFCE">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 号）的规定，本单位为符合条件的残疾人福利性单位，</w:t>
      </w:r>
      <w:r>
        <w:rPr>
          <w:rFonts w:hint="eastAsia" w:ascii="宋体" w:hAnsi="宋体" w:eastAsia="宋体" w:cs="宋体"/>
          <w:color w:val="auto"/>
          <w:sz w:val="24"/>
          <w:szCs w:val="24"/>
          <w:highlight w:val="none"/>
          <w:lang w:val="en-US" w:eastAsia="zh-CN"/>
        </w:rPr>
        <w:t>为</w:t>
      </w:r>
      <w:r>
        <w:rPr>
          <w:rFonts w:hint="eastAsia" w:ascii="宋体" w:hAnsi="宋体" w:cs="宋体"/>
          <w:color w:val="auto"/>
          <w:sz w:val="24"/>
          <w:szCs w:val="24"/>
          <w:highlight w:val="none"/>
          <w:u w:val="single"/>
          <w:lang w:val="en-US" w:eastAsia="zh-CN"/>
        </w:rPr>
        <w:t xml:space="preserve">    （采购人全称）   </w:t>
      </w:r>
      <w:r>
        <w:rPr>
          <w:rFonts w:hint="eastAsia" w:ascii="宋体" w:hAnsi="宋体" w:eastAsia="宋体" w:cs="宋体"/>
          <w:color w:val="auto"/>
          <w:sz w:val="24"/>
          <w:szCs w:val="24"/>
          <w:highlight w:val="none"/>
        </w:rPr>
        <w:t>的</w:t>
      </w:r>
      <w:r>
        <w:rPr>
          <w:rFonts w:hint="eastAsia" w:ascii="宋体" w:hAnsi="宋体" w:cs="宋体"/>
          <w:color w:val="auto"/>
          <w:sz w:val="24"/>
          <w:szCs w:val="24"/>
          <w:highlight w:val="none"/>
          <w:u w:val="single"/>
          <w:lang w:val="en-US" w:eastAsia="zh-CN"/>
        </w:rPr>
        <w:t xml:space="preserve">     （项目名称）   </w:t>
      </w:r>
      <w:r>
        <w:rPr>
          <w:rFonts w:hint="eastAsia" w:ascii="宋体" w:hAnsi="宋体" w:eastAsia="宋体" w:cs="宋体"/>
          <w:color w:val="auto"/>
          <w:sz w:val="24"/>
          <w:szCs w:val="24"/>
          <w:highlight w:val="none"/>
        </w:rPr>
        <w:t>采购活动提供服务。</w:t>
      </w:r>
      <w:r>
        <w:rPr>
          <w:rFonts w:hint="eastAsia" w:ascii="宋体" w:hAnsi="宋体" w:eastAsia="宋体" w:cs="宋体"/>
          <w:color w:val="auto"/>
          <w:sz w:val="24"/>
          <w:szCs w:val="24"/>
          <w:highlight w:val="none"/>
        </w:rPr>
        <w:tab/>
      </w:r>
    </w:p>
    <w:p w14:paraId="02DDAB8B">
      <w:pPr>
        <w:keepNext w:val="0"/>
        <w:keepLines w:val="0"/>
        <w:pageBreakBefore w:val="0"/>
        <w:widowControl w:val="0"/>
        <w:kinsoku/>
        <w:wordWrap/>
        <w:overflowPunct/>
        <w:autoSpaceDE/>
        <w:autoSpaceDN/>
        <w:bidi w:val="0"/>
        <w:snapToGrid/>
        <w:spacing w:line="560" w:lineRule="exact"/>
        <w:textAlignment w:val="auto"/>
        <w:rPr>
          <w:rFonts w:hint="eastAsia" w:ascii="宋体" w:hAnsi="宋体" w:eastAsia="宋体" w:cs="宋体"/>
          <w:color w:val="auto"/>
          <w:sz w:val="24"/>
          <w:szCs w:val="24"/>
          <w:highlight w:val="none"/>
        </w:rPr>
      </w:pPr>
    </w:p>
    <w:p w14:paraId="700A6A09">
      <w:pPr>
        <w:keepNext w:val="0"/>
        <w:keepLines w:val="0"/>
        <w:pageBreakBefore w:val="0"/>
        <w:widowControl w:val="0"/>
        <w:shd w:val="clear" w:color="auto" w:fill="auto"/>
        <w:kinsoku/>
        <w:wordWrap/>
        <w:overflowPunct/>
        <w:topLinePunct/>
        <w:autoSpaceDE/>
        <w:autoSpaceDN/>
        <w:bidi w:val="0"/>
        <w:adjustRightInd w:val="0"/>
        <w:snapToGrid/>
        <w:spacing w:line="56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r>
        <w:rPr>
          <w:rFonts w:hint="eastAsia" w:asciiTheme="minorEastAsia" w:hAnsiTheme="minorEastAsia" w:eastAsiaTheme="minorEastAsia" w:cstheme="minorEastAsia"/>
          <w:color w:val="auto"/>
          <w:sz w:val="24"/>
          <w:szCs w:val="24"/>
          <w:highlight w:val="none"/>
        </w:rPr>
        <w:t>。</w:t>
      </w:r>
    </w:p>
    <w:p w14:paraId="5CB1693E">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46103B0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6048A7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59084E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01C7FB2">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宋体" w:hAnsi="宋体" w:eastAsia="宋体" w:cs="宋体"/>
          <w:color w:val="auto"/>
          <w:sz w:val="24"/>
          <w:szCs w:val="24"/>
          <w:highlight w:val="none"/>
          <w:u w:val="single"/>
        </w:rPr>
        <w:t>（单位全称）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09FFF8B">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360" w:lineRule="auto"/>
        <w:ind w:left="0" w:leftChars="0"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7C5AE537">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4CEFADF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1207963">
      <w:pPr>
        <w:keepNext w:val="0"/>
        <w:keepLines w:val="0"/>
        <w:pageBreakBefore w:val="0"/>
        <w:widowControl w:val="0"/>
        <w:shd w:val="clear" w:color="auto" w:fill="auto"/>
        <w:kinsoku/>
        <w:wordWrap/>
        <w:overflowPunct/>
        <w:topLinePunct/>
        <w:autoSpaceDE/>
        <w:autoSpaceDN/>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如为残疾人福利性单位并提供本《残疾人福利性单位声明函》的，必须对声明的真实性负责。</w:t>
      </w:r>
    </w:p>
    <w:p w14:paraId="16AFD6CD">
      <w:pPr>
        <w:keepNext w:val="0"/>
        <w:keepLines w:val="0"/>
        <w:pageBreakBefore w:val="0"/>
        <w:widowControl w:val="0"/>
        <w:shd w:val="clear" w:color="auto" w:fill="auto"/>
        <w:kinsoku/>
        <w:wordWrap/>
        <w:overflowPunct/>
        <w:topLinePunct/>
        <w:autoSpaceDE/>
        <w:autoSpaceDN/>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如为残疾人福利性单位须提供相关证明材料。</w:t>
      </w:r>
    </w:p>
    <w:p w14:paraId="12947D4D">
      <w:pPr>
        <w:keepNext w:val="0"/>
        <w:keepLines w:val="0"/>
        <w:pageBreakBefore w:val="0"/>
        <w:widowControl w:val="0"/>
        <w:shd w:val="clear" w:color="auto" w:fill="auto"/>
        <w:kinsoku/>
        <w:wordWrap/>
        <w:overflowPunct/>
        <w:topLinePunct/>
        <w:autoSpaceDE/>
        <w:autoSpaceDN/>
        <w:bidi w:val="0"/>
        <w:adjustRightInd w:val="0"/>
        <w:snapToGrid/>
        <w:spacing w:line="56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3.供应商不属于残疾人福利性单位的，本声明函内容可不填写，但落款必须填写单位名称并按规定进行电子签章。</w:t>
      </w:r>
      <w:bookmarkStart w:id="150" w:name="_Toc6515"/>
      <w:bookmarkStart w:id="151" w:name="_Toc24503"/>
    </w:p>
    <w:p w14:paraId="0F89284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0102E83C">
      <w:pPr>
        <w:keepNext w:val="0"/>
        <w:keepLines w:val="0"/>
        <w:pageBreakBefore w:val="0"/>
        <w:widowControl w:val="0"/>
        <w:shd w:val="clear" w:color="auto" w:fill="auto"/>
        <w:kinsoku/>
        <w:wordWrap/>
        <w:overflowPunct/>
        <w:topLinePunct/>
        <w:autoSpaceDE/>
        <w:autoSpaceDN/>
        <w:bidi w:val="0"/>
        <w:adjustRightInd w:val="0"/>
        <w:snapToGrid/>
        <w:spacing w:line="56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十、监狱企业声明函</w:t>
      </w:r>
      <w:bookmarkEnd w:id="150"/>
      <w:bookmarkEnd w:id="151"/>
    </w:p>
    <w:p w14:paraId="782CE803">
      <w:pPr>
        <w:keepNext w:val="0"/>
        <w:keepLines w:val="0"/>
        <w:pageBreakBefore w:val="0"/>
        <w:widowControl w:val="0"/>
        <w:shd w:val="clear" w:color="auto" w:fill="auto"/>
        <w:kinsoku/>
        <w:wordWrap/>
        <w:overflowPunct/>
        <w:topLinePunct/>
        <w:autoSpaceDE/>
        <w:autoSpaceDN/>
        <w:bidi w:val="0"/>
        <w:adjustRightInd w:val="0"/>
        <w:snapToGrid/>
        <w:spacing w:line="56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本单位郑重声明，根据《关于政府采购支持监狱企业发展有关问题的通知》(财库[2014]68号)的规定，本单位为符合条件的监狱企业，</w:t>
      </w:r>
      <w:r>
        <w:rPr>
          <w:rFonts w:hint="eastAsia" w:asciiTheme="minorEastAsia" w:hAnsiTheme="minorEastAsia" w:eastAsiaTheme="minorEastAsia" w:cstheme="minorEastAsia"/>
          <w:color w:val="auto"/>
          <w:sz w:val="24"/>
          <w:szCs w:val="24"/>
          <w:highlight w:val="none"/>
          <w:lang w:val="en-US" w:eastAsia="zh-CN"/>
        </w:rPr>
        <w:t>为</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val="en-US" w:eastAsia="zh-CN"/>
        </w:rPr>
        <w:t xml:space="preserve">  （采购人全称） </w:t>
      </w:r>
      <w:r>
        <w:rPr>
          <w:rFonts w:hint="eastAsia" w:asciiTheme="minorEastAsia" w:hAnsiTheme="minorEastAsia" w:eastAsiaTheme="minorEastAsia" w:cstheme="minorEastAsia"/>
          <w:color w:val="auto"/>
          <w:sz w:val="24"/>
          <w:szCs w:val="24"/>
          <w:highlight w:val="none"/>
        </w:rPr>
        <w:t>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项目名称</w:t>
      </w:r>
      <w:r>
        <w:rPr>
          <w:rFonts w:hint="eastAsia" w:asciiTheme="minorEastAsia" w:hAnsiTheme="minorEastAsia" w:eastAsiaTheme="minorEastAsia" w:cstheme="minorEastAsia"/>
          <w:color w:val="auto"/>
          <w:sz w:val="24"/>
          <w:szCs w:val="24"/>
          <w:highlight w:val="none"/>
          <w:u w:val="single"/>
          <w:lang w:eastAsia="zh-CN"/>
        </w:rPr>
        <w:t>）</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采购活动提供本</w:t>
      </w:r>
      <w:r>
        <w:rPr>
          <w:rFonts w:hint="eastAsia" w:asciiTheme="minorEastAsia" w:hAnsiTheme="minorEastAsia" w:eastAsiaTheme="minorEastAsia" w:cstheme="minorEastAsia"/>
          <w:color w:val="auto"/>
          <w:sz w:val="24"/>
          <w:szCs w:val="24"/>
          <w:highlight w:val="none"/>
          <w:lang w:val="en-US" w:eastAsia="zh-CN"/>
        </w:rPr>
        <w:t>服务</w:t>
      </w:r>
      <w:r>
        <w:rPr>
          <w:rFonts w:hint="eastAsia" w:asciiTheme="minorEastAsia" w:hAnsiTheme="minorEastAsia" w:eastAsiaTheme="minorEastAsia" w:cstheme="minorEastAsia"/>
          <w:color w:val="auto"/>
          <w:sz w:val="24"/>
          <w:szCs w:val="24"/>
          <w:highlight w:val="none"/>
        </w:rPr>
        <w:t>。</w:t>
      </w:r>
    </w:p>
    <w:p w14:paraId="5C43237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BE0197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92533E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本单位对上述声明的真实性负责。如有虚假，将依法承担相应责任。</w:t>
      </w:r>
    </w:p>
    <w:p w14:paraId="073CB294">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694B605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0B35C80F">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0E9EA6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1A55DF7A">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60" w:lineRule="exact"/>
        <w:ind w:left="0" w:leftChars="0"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（单位全称）       </w:t>
      </w:r>
      <w:r>
        <w:rPr>
          <w:rFonts w:hint="eastAsia" w:asciiTheme="minorEastAsia" w:hAnsiTheme="minorEastAsia" w:eastAsiaTheme="minorEastAsia" w:cstheme="minorEastAsia"/>
          <w:color w:val="auto"/>
          <w:sz w:val="24"/>
          <w:szCs w:val="24"/>
          <w:highlight w:val="none"/>
          <w:lang w:eastAsia="zh-CN"/>
        </w:rPr>
        <w:t>（电子签章）</w:t>
      </w:r>
    </w:p>
    <w:p w14:paraId="4BF844CE">
      <w:pPr>
        <w:keepNext w:val="0"/>
        <w:keepLines w:val="0"/>
        <w:pageBreakBefore w:val="0"/>
        <w:widowControl w:val="0"/>
        <w:shd w:val="clear" w:color="auto" w:fill="auto"/>
        <w:tabs>
          <w:tab w:val="left" w:pos="0"/>
        </w:tabs>
        <w:kinsoku/>
        <w:wordWrap/>
        <w:overflowPunct/>
        <w:topLinePunct/>
        <w:autoSpaceDE/>
        <w:autoSpaceDN/>
        <w:bidi w:val="0"/>
        <w:adjustRightInd w:val="0"/>
        <w:snapToGrid/>
        <w:spacing w:line="560" w:lineRule="exact"/>
        <w:ind w:left="0" w:leftChars="0"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5DF037B3">
      <w:pPr>
        <w:keepNext w:val="0"/>
        <w:keepLines w:val="0"/>
        <w:pageBreakBefore w:val="0"/>
        <w:widowControl w:val="0"/>
        <w:shd w:val="clear" w:color="auto" w:fill="auto"/>
        <w:tabs>
          <w:tab w:val="left" w:pos="6480"/>
        </w:tabs>
        <w:kinsoku/>
        <w:wordWrap/>
        <w:overflowPunct/>
        <w:topLinePunct/>
        <w:autoSpaceDE/>
        <w:autoSpaceDN/>
        <w:bidi w:val="0"/>
        <w:adjustRightInd w:val="0"/>
        <w:snapToGrid/>
        <w:spacing w:line="560" w:lineRule="exact"/>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0E28997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68A33AE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0B37D65A">
      <w:pPr>
        <w:keepNext w:val="0"/>
        <w:keepLines w:val="0"/>
        <w:pageBreakBefore w:val="0"/>
        <w:widowControl w:val="0"/>
        <w:shd w:val="clear" w:color="auto" w:fill="auto"/>
        <w:kinsoku/>
        <w:wordWrap/>
        <w:overflowPunct/>
        <w:topLinePunct/>
        <w:autoSpaceDE/>
        <w:autoSpaceDN/>
        <w:bidi w:val="0"/>
        <w:adjustRightInd w:val="0"/>
        <w:snapToGrid/>
        <w:spacing w:line="560" w:lineRule="exact"/>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如为监狱企业并提供本《监狱企业声明函》的，必须对声明的真实性负责。</w:t>
      </w:r>
    </w:p>
    <w:p w14:paraId="2A88696A">
      <w:pPr>
        <w:keepNext w:val="0"/>
        <w:keepLines w:val="0"/>
        <w:pageBreakBefore w:val="0"/>
        <w:widowControl w:val="0"/>
        <w:shd w:val="clear" w:color="auto" w:fill="auto"/>
        <w:kinsoku/>
        <w:wordWrap/>
        <w:overflowPunct/>
        <w:topLinePunct/>
        <w:autoSpaceDE/>
        <w:autoSpaceDN/>
        <w:bidi w:val="0"/>
        <w:adjustRightInd w:val="0"/>
        <w:snapToGrid/>
        <w:spacing w:line="560" w:lineRule="exact"/>
        <w:ind w:left="0" w:leftChars="0" w:firstLine="480"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2.监狱企业以省级以上监狱管理局、戒毒管理局(含新疆生产建设兵团)出具的属于监狱企业的证明文件为准。</w:t>
      </w:r>
    </w:p>
    <w:p w14:paraId="6A7C5B09">
      <w:pPr>
        <w:keepNext w:val="0"/>
        <w:keepLines w:val="0"/>
        <w:pageBreakBefore w:val="0"/>
        <w:widowControl w:val="0"/>
        <w:shd w:val="clear" w:color="auto" w:fill="auto"/>
        <w:kinsoku/>
        <w:wordWrap/>
        <w:overflowPunct/>
        <w:topLinePunct/>
        <w:autoSpaceDE/>
        <w:autoSpaceDN/>
        <w:bidi w:val="0"/>
        <w:adjustRightInd w:val="0"/>
        <w:snapToGrid/>
        <w:spacing w:line="560" w:lineRule="exact"/>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3.供应商不属于监狱企业的，本声明函内容可不填写，但落款必须填写单位名称并按规定进行电子签章。</w:t>
      </w:r>
    </w:p>
    <w:p w14:paraId="3FBA877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jc w:val="center"/>
        <w:textAlignment w:val="auto"/>
        <w:rPr>
          <w:rFonts w:hint="eastAsia" w:asciiTheme="minorEastAsia" w:hAnsiTheme="minorEastAsia" w:eastAsiaTheme="minorEastAsia" w:cstheme="minorEastAsia"/>
          <w:b/>
          <w:bCs/>
          <w:color w:val="auto"/>
          <w:sz w:val="21"/>
          <w:szCs w:val="21"/>
          <w:highlight w:val="none"/>
        </w:rPr>
      </w:pPr>
    </w:p>
    <w:p w14:paraId="782D249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jc w:val="center"/>
        <w:textAlignment w:val="auto"/>
        <w:rPr>
          <w:rFonts w:hint="eastAsia" w:asciiTheme="minorEastAsia" w:hAnsiTheme="minorEastAsia" w:eastAsiaTheme="minorEastAsia" w:cstheme="minorEastAsia"/>
          <w:b/>
          <w:bCs/>
          <w:color w:val="auto"/>
          <w:sz w:val="21"/>
          <w:szCs w:val="21"/>
          <w:highlight w:val="none"/>
        </w:rPr>
      </w:pPr>
    </w:p>
    <w:p w14:paraId="2F3C9711">
      <w:pPr>
        <w:pStyle w:val="10"/>
        <w:pageBreakBefore w:val="0"/>
        <w:widowControl w:val="0"/>
        <w:shd w:val="clear" w:color="auto" w:fill="auto"/>
        <w:kinsoku/>
        <w:autoSpaceDE/>
        <w:bidi w:val="0"/>
        <w:rPr>
          <w:rFonts w:hint="eastAsia" w:asciiTheme="minorEastAsia" w:hAnsiTheme="minorEastAsia" w:eastAsiaTheme="minorEastAsia" w:cstheme="minorEastAsia"/>
          <w:color w:val="auto"/>
          <w:szCs w:val="21"/>
          <w:highlight w:val="none"/>
        </w:rPr>
      </w:pPr>
    </w:p>
    <w:bookmarkEnd w:id="146"/>
    <w:bookmarkEnd w:id="147"/>
    <w:p w14:paraId="596660BB">
      <w:pPr>
        <w:pageBreakBefore w:val="0"/>
        <w:widowControl w:val="0"/>
        <w:shd w:val="clear" w:color="auto" w:fill="auto"/>
        <w:kinsoku/>
        <w:autoSpaceDE/>
        <w:bidi w:val="0"/>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Cs w:val="21"/>
          <w:highlight w:val="none"/>
        </w:rPr>
        <w:br w:type="page"/>
      </w:r>
    </w:p>
    <w:p w14:paraId="0923FB29">
      <w:pPr>
        <w:pStyle w:val="14"/>
        <w:pageBreakBefore w:val="0"/>
        <w:widowControl w:val="0"/>
        <w:numPr>
          <w:ilvl w:val="0"/>
          <w:numId w:val="0"/>
        </w:numPr>
        <w:shd w:val="clear" w:color="auto" w:fill="auto"/>
        <w:kinsoku/>
        <w:autoSpaceDE/>
        <w:bidi w:val="0"/>
        <w:spacing w:line="480" w:lineRule="exact"/>
        <w:jc w:val="both"/>
        <w:rPr>
          <w:rFonts w:hint="eastAsia" w:asciiTheme="minorEastAsia" w:hAnsiTheme="minorEastAsia" w:eastAsiaTheme="minorEastAsia" w:cstheme="minorEastAsia"/>
          <w:b/>
          <w:color w:val="auto"/>
          <w:sz w:val="24"/>
          <w:szCs w:val="24"/>
          <w:highlight w:val="none"/>
          <w:lang w:val="en-US" w:eastAsia="zh-CN"/>
        </w:rPr>
      </w:pPr>
    </w:p>
    <w:p w14:paraId="18669C88">
      <w:pPr>
        <w:pageBreakBefore w:val="0"/>
        <w:widowControl w:val="0"/>
        <w:shd w:val="clear" w:color="auto" w:fill="auto"/>
        <w:kinsoku/>
        <w:autoSpaceDE/>
        <w:bidi w:val="0"/>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bookmarkStart w:id="152" w:name="_Toc28594"/>
      <w:bookmarkStart w:id="153" w:name="_Toc3928"/>
      <w:bookmarkStart w:id="154" w:name="_Toc24318"/>
      <w:r>
        <w:rPr>
          <w:rFonts w:hint="eastAsia" w:asciiTheme="minorEastAsia" w:hAnsiTheme="minorEastAsia" w:eastAsiaTheme="minorEastAsia" w:cstheme="minorEastAsia"/>
          <w:b/>
          <w:color w:val="auto"/>
          <w:sz w:val="24"/>
          <w:szCs w:val="24"/>
          <w:highlight w:val="none"/>
          <w:lang w:val="en-US" w:eastAsia="zh-CN"/>
        </w:rPr>
        <w:t>十、</w:t>
      </w:r>
      <w:bookmarkEnd w:id="152"/>
      <w:bookmarkEnd w:id="153"/>
      <w:r>
        <w:rPr>
          <w:rFonts w:hint="eastAsia" w:asciiTheme="minorEastAsia" w:hAnsiTheme="minorEastAsia" w:eastAsiaTheme="minorEastAsia" w:cstheme="minorEastAsia"/>
          <w:b/>
          <w:color w:val="auto"/>
          <w:sz w:val="24"/>
          <w:szCs w:val="24"/>
          <w:highlight w:val="none"/>
          <w:lang w:val="en-US" w:eastAsia="zh-CN"/>
        </w:rPr>
        <w:t>对项目理解及重点、难点分析</w:t>
      </w:r>
      <w:bookmarkEnd w:id="154"/>
    </w:p>
    <w:p w14:paraId="4D88FBEB">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18028131">
      <w:pPr>
        <w:pageBreakBefore w:val="0"/>
        <w:widowControl w:val="0"/>
        <w:shd w:val="clear" w:color="auto" w:fill="auto"/>
        <w:kinsoku/>
        <w:autoSpaceDE/>
        <w:bidi w:val="0"/>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bookmarkStart w:id="155" w:name="_Toc29638"/>
      <w:bookmarkStart w:id="156" w:name="_Toc19230"/>
      <w:bookmarkStart w:id="157" w:name="_Toc9461"/>
      <w:r>
        <w:rPr>
          <w:rFonts w:hint="eastAsia" w:asciiTheme="minorEastAsia" w:hAnsiTheme="minorEastAsia" w:eastAsiaTheme="minorEastAsia" w:cstheme="minorEastAsia"/>
          <w:b/>
          <w:color w:val="auto"/>
          <w:sz w:val="24"/>
          <w:szCs w:val="24"/>
          <w:highlight w:val="none"/>
          <w:lang w:val="en-US" w:eastAsia="zh-CN"/>
        </w:rPr>
        <w:t>十一、</w:t>
      </w:r>
      <w:bookmarkEnd w:id="155"/>
      <w:bookmarkEnd w:id="156"/>
      <w:r>
        <w:rPr>
          <w:rFonts w:hint="eastAsia" w:asciiTheme="minorEastAsia" w:hAnsiTheme="minorEastAsia" w:eastAsiaTheme="minorEastAsia" w:cstheme="minorEastAsia"/>
          <w:b/>
          <w:color w:val="auto"/>
          <w:sz w:val="24"/>
          <w:szCs w:val="24"/>
          <w:highlight w:val="none"/>
          <w:lang w:val="en-US" w:eastAsia="zh-CN"/>
        </w:rPr>
        <w:t>服务方案</w:t>
      </w:r>
      <w:bookmarkEnd w:id="157"/>
    </w:p>
    <w:p w14:paraId="7A95A273">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7FBD321A">
      <w:pPr>
        <w:pageBreakBefore w:val="0"/>
        <w:widowControl w:val="0"/>
        <w:shd w:val="clear" w:color="auto" w:fill="auto"/>
        <w:kinsoku/>
        <w:autoSpaceDE/>
        <w:bidi w:val="0"/>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bookmarkStart w:id="158" w:name="_Toc15403"/>
      <w:bookmarkStart w:id="159" w:name="_Toc7063"/>
      <w:bookmarkStart w:id="160" w:name="_Toc25330"/>
      <w:r>
        <w:rPr>
          <w:rFonts w:hint="eastAsia" w:asciiTheme="minorEastAsia" w:hAnsiTheme="minorEastAsia" w:eastAsiaTheme="minorEastAsia" w:cstheme="minorEastAsia"/>
          <w:b/>
          <w:color w:val="auto"/>
          <w:sz w:val="24"/>
          <w:szCs w:val="24"/>
          <w:highlight w:val="none"/>
          <w:lang w:val="en-US" w:eastAsia="zh-CN"/>
        </w:rPr>
        <w:t>十二、质量承诺及保证措施</w:t>
      </w:r>
      <w:bookmarkEnd w:id="158"/>
    </w:p>
    <w:p w14:paraId="62A8E6EF">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6C12C48A">
      <w:pPr>
        <w:pageBreakBefore w:val="0"/>
        <w:widowControl w:val="0"/>
        <w:shd w:val="clear" w:color="auto" w:fill="auto"/>
        <w:kinsoku/>
        <w:autoSpaceDE/>
        <w:bidi w:val="0"/>
        <w:spacing w:line="480" w:lineRule="exact"/>
        <w:jc w:val="center"/>
        <w:outlineLvl w:val="1"/>
        <w:rPr>
          <w:rFonts w:hint="default" w:asciiTheme="minorEastAsia" w:hAnsiTheme="minorEastAsia" w:eastAsiaTheme="minorEastAsia" w:cstheme="minorEastAsia"/>
          <w:b/>
          <w:color w:val="auto"/>
          <w:sz w:val="24"/>
          <w:szCs w:val="24"/>
          <w:highlight w:val="none"/>
          <w:lang w:val="en-US" w:eastAsia="zh-CN"/>
        </w:rPr>
      </w:pPr>
      <w:bookmarkStart w:id="161" w:name="_Toc7717"/>
      <w:r>
        <w:rPr>
          <w:rFonts w:hint="eastAsia" w:asciiTheme="minorEastAsia" w:hAnsiTheme="minorEastAsia" w:eastAsiaTheme="minorEastAsia" w:cstheme="minorEastAsia"/>
          <w:b/>
          <w:color w:val="auto"/>
          <w:sz w:val="24"/>
          <w:szCs w:val="24"/>
          <w:highlight w:val="none"/>
          <w:lang w:val="en-US" w:eastAsia="zh-CN"/>
        </w:rPr>
        <w:t>十三、</w:t>
      </w:r>
      <w:bookmarkEnd w:id="159"/>
      <w:bookmarkEnd w:id="160"/>
      <w:bookmarkEnd w:id="161"/>
      <w:r>
        <w:rPr>
          <w:rFonts w:hint="eastAsia" w:asciiTheme="minorEastAsia" w:hAnsiTheme="minorEastAsia" w:eastAsiaTheme="minorEastAsia" w:cstheme="minorEastAsia"/>
          <w:b/>
          <w:color w:val="auto"/>
          <w:sz w:val="24"/>
          <w:szCs w:val="24"/>
          <w:highlight w:val="none"/>
          <w:lang w:val="en-US" w:eastAsia="zh-CN"/>
        </w:rPr>
        <w:t>项目组织机构</w:t>
      </w:r>
    </w:p>
    <w:p w14:paraId="70B371C1">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06877363">
      <w:pPr>
        <w:pageBreakBefore w:val="0"/>
        <w:widowControl w:val="0"/>
        <w:shd w:val="clear" w:color="auto" w:fill="auto"/>
        <w:kinsoku/>
        <w:autoSpaceDE/>
        <w:bidi w:val="0"/>
        <w:spacing w:line="480" w:lineRule="exact"/>
        <w:jc w:val="center"/>
        <w:outlineLvl w:val="1"/>
        <w:rPr>
          <w:rFonts w:hint="default" w:asciiTheme="minorEastAsia" w:hAnsiTheme="minorEastAsia" w:eastAsiaTheme="minorEastAsia" w:cstheme="minorEastAsia"/>
          <w:b/>
          <w:color w:val="auto"/>
          <w:sz w:val="24"/>
          <w:szCs w:val="24"/>
          <w:highlight w:val="none"/>
          <w:lang w:val="en-US" w:eastAsia="zh-CN"/>
        </w:rPr>
      </w:pPr>
      <w:bookmarkStart w:id="162" w:name="_Toc11819"/>
      <w:bookmarkStart w:id="163" w:name="_Toc25473"/>
      <w:bookmarkStart w:id="164" w:name="_Toc6293"/>
      <w:r>
        <w:rPr>
          <w:rFonts w:hint="eastAsia" w:asciiTheme="minorEastAsia" w:hAnsiTheme="minorEastAsia" w:eastAsiaTheme="minorEastAsia" w:cstheme="minorEastAsia"/>
          <w:b/>
          <w:color w:val="auto"/>
          <w:sz w:val="24"/>
          <w:szCs w:val="24"/>
          <w:highlight w:val="none"/>
          <w:lang w:val="en-US" w:eastAsia="zh-CN"/>
        </w:rPr>
        <w:t>十四、</w:t>
      </w:r>
      <w:bookmarkEnd w:id="162"/>
      <w:bookmarkEnd w:id="163"/>
      <w:r>
        <w:rPr>
          <w:rFonts w:hint="eastAsia" w:asciiTheme="minorEastAsia" w:hAnsiTheme="minorEastAsia" w:eastAsiaTheme="minorEastAsia" w:cstheme="minorEastAsia"/>
          <w:b/>
          <w:color w:val="auto"/>
          <w:sz w:val="24"/>
          <w:szCs w:val="24"/>
          <w:highlight w:val="none"/>
          <w:lang w:val="en-US" w:eastAsia="zh-CN"/>
        </w:rPr>
        <w:t>类似业绩</w:t>
      </w:r>
      <w:bookmarkEnd w:id="164"/>
    </w:p>
    <w:p w14:paraId="70467329">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411AAE3B">
      <w:pPr>
        <w:pageBreakBefore w:val="0"/>
        <w:widowControl w:val="0"/>
        <w:shd w:val="clear" w:color="auto" w:fill="auto"/>
        <w:kinsoku/>
        <w:autoSpaceDE/>
        <w:bidi w:val="0"/>
        <w:spacing w:line="480" w:lineRule="exact"/>
        <w:jc w:val="center"/>
        <w:outlineLvl w:val="1"/>
        <w:rPr>
          <w:rFonts w:hint="eastAsia" w:asciiTheme="minorEastAsia" w:hAnsiTheme="minorEastAsia" w:eastAsiaTheme="minorEastAsia" w:cstheme="minorEastAsia"/>
          <w:b/>
          <w:color w:val="auto"/>
          <w:sz w:val="24"/>
          <w:szCs w:val="24"/>
          <w:highlight w:val="none"/>
          <w:lang w:val="en-US" w:eastAsia="zh-CN"/>
        </w:rPr>
      </w:pPr>
      <w:bookmarkStart w:id="165" w:name="_Toc13624"/>
      <w:bookmarkStart w:id="166" w:name="_Toc4826"/>
      <w:bookmarkStart w:id="167" w:name="_Toc17057"/>
      <w:r>
        <w:rPr>
          <w:rFonts w:hint="eastAsia" w:asciiTheme="minorEastAsia" w:hAnsiTheme="minorEastAsia" w:eastAsiaTheme="minorEastAsia" w:cstheme="minorEastAsia"/>
          <w:b/>
          <w:color w:val="auto"/>
          <w:sz w:val="24"/>
          <w:szCs w:val="24"/>
          <w:highlight w:val="none"/>
          <w:lang w:val="en-US" w:eastAsia="zh-CN"/>
        </w:rPr>
        <w:t>十五、竞争性磋商文件要求或供应商认为应提交的其他资料</w:t>
      </w:r>
      <w:bookmarkEnd w:id="165"/>
      <w:bookmarkEnd w:id="166"/>
      <w:bookmarkEnd w:id="167"/>
    </w:p>
    <w:p w14:paraId="0983C85B">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具体格式自拟。</w:t>
      </w:r>
    </w:p>
    <w:p w14:paraId="28F1E690">
      <w:pPr>
        <w:pageBreakBefore w:val="0"/>
        <w:widowControl w:val="0"/>
        <w:shd w:val="clear" w:color="auto" w:fill="auto"/>
        <w:kinsoku/>
        <w:autoSpaceDE/>
        <w:bidi w:val="0"/>
        <w:spacing w:line="480" w:lineRule="exact"/>
        <w:jc w:val="center"/>
        <w:rPr>
          <w:rFonts w:hint="eastAsia" w:asciiTheme="minorEastAsia" w:hAnsiTheme="minorEastAsia" w:eastAsiaTheme="minorEastAsia" w:cstheme="minorEastAsia"/>
          <w:b/>
          <w:color w:val="auto"/>
          <w:sz w:val="24"/>
          <w:szCs w:val="24"/>
          <w:highlight w:val="none"/>
        </w:rPr>
      </w:pPr>
    </w:p>
    <w:p w14:paraId="6FACFE7B">
      <w:pPr>
        <w:keepNext w:val="0"/>
        <w:keepLines w:val="0"/>
        <w:pageBreakBefore w:val="0"/>
        <w:widowControl w:val="0"/>
        <w:shd w:val="clear" w:color="auto" w:fill="auto"/>
        <w:kinsoku/>
        <w:wordWrap/>
        <w:overflowPunct/>
        <w:topLinePunct w:val="0"/>
        <w:autoSpaceDE/>
        <w:autoSpaceDN/>
        <w:bidi w:val="0"/>
        <w:adjustRightInd/>
        <w:snapToGrid/>
        <w:spacing w:line="480" w:lineRule="exact"/>
        <w:ind w:firstLine="480" w:firstLineChars="20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p>
    <w:p w14:paraId="079FF902">
      <w:pPr>
        <w:keepNext w:val="0"/>
        <w:keepLines w:val="0"/>
        <w:pageBreakBefore w:val="0"/>
        <w:widowControl w:val="0"/>
        <w:shd w:val="clear" w:color="auto" w:fill="auto"/>
        <w:kinsoku/>
        <w:wordWrap/>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val="0"/>
          <w:bCs/>
          <w:color w:val="auto"/>
          <w:sz w:val="24"/>
          <w:szCs w:val="24"/>
          <w:highlight w:val="none"/>
          <w:lang w:val="en-US" w:eastAsia="zh-CN"/>
        </w:rPr>
      </w:pPr>
    </w:p>
    <w:p w14:paraId="310B927F">
      <w:pPr>
        <w:pStyle w:val="2"/>
        <w:pageBreakBefore w:val="0"/>
        <w:widowControl w:val="0"/>
        <w:shd w:val="clear" w:color="auto" w:fill="auto"/>
        <w:tabs>
          <w:tab w:val="left" w:pos="360"/>
        </w:tabs>
        <w:kinsoku/>
        <w:autoSpaceDE/>
        <w:bidi w:val="0"/>
        <w:ind w:left="0" w:firstLine="2891" w:firstLineChars="900"/>
        <w:jc w:val="both"/>
        <w:rPr>
          <w:rFonts w:hint="eastAsia" w:asciiTheme="minorEastAsia" w:hAnsiTheme="minorEastAsia" w:eastAsiaTheme="minorEastAsia" w:cstheme="minorEastAsia"/>
          <w:color w:val="auto"/>
          <w:sz w:val="32"/>
          <w:szCs w:val="32"/>
          <w:highlight w:val="none"/>
        </w:rPr>
        <w:sectPr>
          <w:headerReference r:id="rId13" w:type="default"/>
          <w:footerReference r:id="rId14" w:type="default"/>
          <w:pgSz w:w="11906" w:h="16838"/>
          <w:pgMar w:top="1440" w:right="1474" w:bottom="1440" w:left="1474" w:header="850" w:footer="992" w:gutter="0"/>
          <w:pgNumType w:fmt="decimal"/>
          <w:cols w:space="0" w:num="1"/>
          <w:rtlGutter w:val="0"/>
          <w:docGrid w:linePitch="327" w:charSpace="0"/>
        </w:sectPr>
      </w:pPr>
      <w:bookmarkStart w:id="168" w:name="_Toc8493"/>
    </w:p>
    <w:p w14:paraId="7CF0C870">
      <w:pPr>
        <w:pStyle w:val="2"/>
        <w:pageBreakBefore w:val="0"/>
        <w:widowControl w:val="0"/>
        <w:shd w:val="clear" w:color="auto" w:fill="auto"/>
        <w:tabs>
          <w:tab w:val="left" w:pos="360"/>
        </w:tabs>
        <w:kinsoku/>
        <w:autoSpaceDE/>
        <w:bidi w:val="0"/>
        <w:ind w:left="0" w:firstLine="2891" w:firstLineChars="900"/>
        <w:jc w:val="both"/>
        <w:rPr>
          <w:rFonts w:hint="eastAsia" w:asciiTheme="minorEastAsia" w:hAnsiTheme="minorEastAsia" w:eastAsiaTheme="minorEastAsia" w:cstheme="minorEastAsia"/>
          <w:color w:val="auto"/>
          <w:sz w:val="36"/>
          <w:szCs w:val="36"/>
          <w:highlight w:val="none"/>
        </w:rPr>
      </w:pPr>
      <w:bookmarkStart w:id="169" w:name="_Toc18710"/>
      <w:r>
        <w:rPr>
          <w:rFonts w:hint="eastAsia" w:asciiTheme="minorEastAsia" w:hAnsiTheme="minorEastAsia" w:eastAsiaTheme="minorEastAsia" w:cstheme="minorEastAsia"/>
          <w:color w:val="auto"/>
          <w:sz w:val="32"/>
          <w:szCs w:val="32"/>
          <w:highlight w:val="none"/>
        </w:rPr>
        <w:fldChar w:fldCharType="begin"/>
      </w:r>
      <w:r>
        <w:rPr>
          <w:rFonts w:hint="eastAsia" w:asciiTheme="minorEastAsia" w:hAnsiTheme="minorEastAsia" w:eastAsiaTheme="minorEastAsia" w:cstheme="minorEastAsia"/>
          <w:color w:val="auto"/>
          <w:sz w:val="32"/>
          <w:szCs w:val="32"/>
          <w:highlight w:val="none"/>
        </w:rPr>
        <w:instrText xml:space="preserve"> HYPERLINK \l _Toc26756 </w:instrText>
      </w:r>
      <w:r>
        <w:rPr>
          <w:rFonts w:hint="eastAsia" w:asciiTheme="minorEastAsia" w:hAnsiTheme="minorEastAsia" w:eastAsiaTheme="minorEastAsia" w:cstheme="minorEastAsia"/>
          <w:color w:val="auto"/>
          <w:sz w:val="32"/>
          <w:szCs w:val="32"/>
          <w:highlight w:val="none"/>
        </w:rPr>
        <w:fldChar w:fldCharType="separate"/>
      </w:r>
      <w:r>
        <w:rPr>
          <w:rFonts w:hint="eastAsia" w:asciiTheme="minorEastAsia" w:hAnsiTheme="minorEastAsia" w:eastAsiaTheme="minorEastAsia" w:cstheme="minorEastAsia"/>
          <w:color w:val="auto"/>
          <w:sz w:val="32"/>
          <w:szCs w:val="32"/>
          <w:highlight w:val="none"/>
        </w:rPr>
        <w:t>第</w:t>
      </w:r>
      <w:r>
        <w:rPr>
          <w:rFonts w:hint="eastAsia" w:asciiTheme="minorEastAsia" w:hAnsiTheme="minorEastAsia" w:eastAsia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章 采购需求</w:t>
      </w:r>
      <w:r>
        <w:rPr>
          <w:rFonts w:hint="eastAsia" w:asciiTheme="minorEastAsia" w:hAnsiTheme="minorEastAsia" w:eastAsiaTheme="minorEastAsia" w:cstheme="minorEastAsia"/>
          <w:color w:val="auto"/>
          <w:sz w:val="32"/>
          <w:szCs w:val="32"/>
          <w:highlight w:val="none"/>
        </w:rPr>
        <w:fldChar w:fldCharType="end"/>
      </w:r>
      <w:bookmarkEnd w:id="169"/>
    </w:p>
    <w:bookmarkEnd w:id="168"/>
    <w:p w14:paraId="28D05F73">
      <w:pPr>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b/>
          <w:color w:val="auto"/>
          <w:sz w:val="24"/>
          <w:szCs w:val="24"/>
          <w:highlight w:val="none"/>
        </w:rPr>
      </w:pPr>
      <w:bookmarkStart w:id="170" w:name="_Toc11189"/>
      <w:r>
        <w:rPr>
          <w:rFonts w:hint="eastAsia" w:ascii="宋体" w:hAnsi="宋体" w:cs="宋体"/>
          <w:b/>
          <w:color w:val="auto"/>
          <w:sz w:val="24"/>
          <w:szCs w:val="24"/>
          <w:highlight w:val="none"/>
        </w:rPr>
        <w:t>（一）采购标的需实现的功能或者目标，以及为落实政府采购政策需满足的要求</w:t>
      </w:r>
    </w:p>
    <w:p w14:paraId="2F85DDA9">
      <w:pPr>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1.采购标的需实现的功能或者目标</w:t>
      </w:r>
    </w:p>
    <w:p w14:paraId="15891FD7">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default" w:ascii="宋体" w:hAnsi="宋体" w:eastAsia="宋体" w:cs="宋体"/>
          <w:b w:val="0"/>
          <w:bCs w:val="0"/>
          <w:color w:val="auto"/>
          <w:sz w:val="24"/>
          <w:szCs w:val="24"/>
          <w:highlight w:val="none"/>
          <w:lang w:val="en-US"/>
        </w:rPr>
      </w:pPr>
      <w:r>
        <w:rPr>
          <w:rFonts w:hint="eastAsia" w:ascii="宋体" w:hAnsi="宋体" w:cs="宋体"/>
          <w:b w:val="0"/>
          <w:bCs w:val="0"/>
          <w:color w:val="auto"/>
          <w:sz w:val="24"/>
          <w:szCs w:val="24"/>
          <w:highlight w:val="none"/>
          <w:lang w:val="en-US" w:eastAsia="zh-CN"/>
        </w:rPr>
        <w:t>采购人</w:t>
      </w:r>
      <w:r>
        <w:rPr>
          <w:rFonts w:hint="eastAsia" w:ascii="宋体" w:hAnsi="宋体" w:eastAsia="宋体" w:cs="宋体"/>
          <w:b w:val="0"/>
          <w:bCs w:val="0"/>
          <w:color w:val="auto"/>
          <w:sz w:val="24"/>
          <w:szCs w:val="24"/>
          <w:highlight w:val="none"/>
        </w:rPr>
        <w:t>拟通过竞争性磋商方式选取具备相应能力的供应商，</w:t>
      </w:r>
      <w:r>
        <w:rPr>
          <w:rFonts w:hint="eastAsia" w:ascii="宋体" w:hAnsi="宋体" w:cs="宋体"/>
          <w:b w:val="0"/>
          <w:bCs w:val="0"/>
          <w:color w:val="auto"/>
          <w:sz w:val="24"/>
          <w:szCs w:val="24"/>
          <w:highlight w:val="none"/>
          <w:lang w:val="en-US" w:eastAsia="zh-CN"/>
        </w:rPr>
        <w:t>完成</w:t>
      </w:r>
      <w:r>
        <w:rPr>
          <w:rFonts w:hint="eastAsia" w:ascii="宋体" w:hAnsi="宋体" w:eastAsia="宋体" w:cs="宋体"/>
          <w:b w:val="0"/>
          <w:bCs w:val="0"/>
          <w:color w:val="auto"/>
          <w:sz w:val="24"/>
          <w:szCs w:val="24"/>
          <w:highlight w:val="none"/>
          <w:lang w:eastAsia="zh-CN"/>
        </w:rPr>
        <w:t>永德县永康林场国家澳洲坚果良种基地2025年中央财政林木良种培育补助项目</w:t>
      </w:r>
      <w:r>
        <w:rPr>
          <w:rFonts w:hint="eastAsia" w:ascii="宋体" w:hAnsi="宋体" w:cs="宋体"/>
          <w:b w:val="0"/>
          <w:bCs w:val="0"/>
          <w:color w:val="auto"/>
          <w:sz w:val="24"/>
          <w:szCs w:val="24"/>
          <w:highlight w:val="none"/>
          <w:lang w:eastAsia="zh-CN"/>
        </w:rPr>
        <w:t>，包括但不限于:1.现有林分抚育管理;2.辅助工程建设:安装视频语音监控设备，东区新建水池2个及补水管道，</w:t>
      </w:r>
      <w:r>
        <w:rPr>
          <w:rFonts w:hint="eastAsia" w:ascii="宋体" w:hAnsi="宋体" w:cs="宋体"/>
          <w:b w:val="0"/>
          <w:bCs w:val="0"/>
          <w:color w:val="auto"/>
          <w:sz w:val="24"/>
          <w:szCs w:val="24"/>
          <w:highlight w:val="none"/>
          <w:lang w:val="en-US" w:eastAsia="zh-CN"/>
        </w:rPr>
        <w:t>具体实施内容以采购人实际委托为准。</w:t>
      </w:r>
    </w:p>
    <w:p w14:paraId="2AAA4310">
      <w:pPr>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2.为落实政府采购政策需满足的要求</w:t>
      </w:r>
    </w:p>
    <w:p w14:paraId="0D6C5275">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符合《中华人民共和国政府采购法》《中华人民共和国政府采购法实施条例》《政府采购竞争性磋商采购方式管理暂行办法》（财库〔2014〕214号)等有关法律、法规规定。</w:t>
      </w:r>
    </w:p>
    <w:p w14:paraId="0814C134">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本项目属于专门面向中小企业采购的项目。</w:t>
      </w:r>
    </w:p>
    <w:p w14:paraId="4E0AB876">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根据《关于政府采购支持监狱企业发展有关问题的通知》(财库〔2014〕68号）、《关于促进残疾人就业政府采购政策的通知》（财库〔2017〕141号）等规定</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监狱企业、残疾人福利性单位视同小型、微型企业</w:t>
      </w:r>
      <w:r>
        <w:rPr>
          <w:rFonts w:hint="eastAsia" w:ascii="宋体" w:hAnsi="宋体" w:cs="宋体"/>
          <w:b w:val="0"/>
          <w:bCs w:val="0"/>
          <w:color w:val="auto"/>
          <w:sz w:val="24"/>
          <w:szCs w:val="24"/>
          <w:highlight w:val="none"/>
          <w:lang w:eastAsia="zh-CN"/>
        </w:rPr>
        <w:t>。</w:t>
      </w:r>
    </w:p>
    <w:p w14:paraId="63A44EB7">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本项目采购标的对应的中小企业划分标准所属行业为：</w:t>
      </w:r>
      <w:r>
        <w:rPr>
          <w:rFonts w:hint="eastAsia" w:ascii="宋体" w:hAnsi="宋体" w:eastAsia="宋体" w:cs="宋体"/>
          <w:b/>
          <w:bCs/>
          <w:color w:val="auto"/>
          <w:sz w:val="24"/>
          <w:szCs w:val="24"/>
          <w:highlight w:val="none"/>
          <w:lang w:eastAsia="zh-CN"/>
        </w:rPr>
        <w:t>“其他未列明行业”</w:t>
      </w:r>
      <w:r>
        <w:rPr>
          <w:rFonts w:hint="eastAsia" w:ascii="宋体" w:hAnsi="宋体" w:eastAsia="宋体" w:cs="宋体"/>
          <w:b/>
          <w:bCs/>
          <w:color w:val="auto"/>
          <w:sz w:val="24"/>
          <w:szCs w:val="24"/>
          <w:highlight w:val="none"/>
        </w:rPr>
        <w:t>。</w:t>
      </w:r>
    </w:p>
    <w:p w14:paraId="5C2632F7">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b/>
          <w:color w:val="auto"/>
          <w:sz w:val="24"/>
          <w:szCs w:val="24"/>
          <w:highlight w:val="none"/>
        </w:rPr>
      </w:pPr>
      <w:r>
        <w:rPr>
          <w:rFonts w:hint="eastAsia" w:ascii="宋体" w:hAnsi="宋体" w:cs="宋体"/>
          <w:b/>
          <w:color w:val="auto"/>
          <w:sz w:val="24"/>
          <w:szCs w:val="24"/>
          <w:highlight w:val="none"/>
        </w:rPr>
        <w:t>（二）采购标的需执行的国家相关标准、行业标准、地方标准或者其他标准、规范</w:t>
      </w:r>
    </w:p>
    <w:p w14:paraId="6082F830">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1.《中华人民共和国政府采购法》、《中华人民共和国政府采购法实施条例》等法律法规规定。</w:t>
      </w:r>
    </w:p>
    <w:p w14:paraId="6E22693A">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国家重点林木良种基地管理办法》（林场发〔2014〕74号）、国家林业局《林木种苗工程项目建设标准》（2014年）、《永德县永康林场国家澳洲坚果良种基地“十四五”发展规划》（2021-2025年）、《主要造林阔叶树种良种选育程序与要求》（GB/T14073-1993）等。</w:t>
      </w:r>
    </w:p>
    <w:p w14:paraId="56516301">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3.服务期限内，如国家有最新的强制标准和国家或行业的最新的规范，执行国家最新的强制标准和国家或行业的最新的规范。</w:t>
      </w:r>
    </w:p>
    <w:p w14:paraId="647B076E">
      <w:pPr>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b/>
          <w:color w:val="auto"/>
          <w:sz w:val="24"/>
          <w:szCs w:val="24"/>
          <w:highlight w:val="none"/>
        </w:rPr>
      </w:pPr>
      <w:r>
        <w:rPr>
          <w:rFonts w:hint="eastAsia" w:ascii="宋体" w:hAnsi="宋体" w:cs="宋体"/>
          <w:b/>
          <w:color w:val="auto"/>
          <w:sz w:val="24"/>
          <w:szCs w:val="24"/>
          <w:highlight w:val="none"/>
        </w:rPr>
        <w:t>（三）采购标的需满足的质量、安全、技术规格、物理特性等要求</w:t>
      </w:r>
    </w:p>
    <w:p w14:paraId="522BD2ED">
      <w:pPr>
        <w:keepNext w:val="0"/>
        <w:keepLines w:val="0"/>
        <w:pageBreakBefore w:val="0"/>
        <w:widowControl w:val="0"/>
        <w:shd w:val="clear" w:color="auto" w:fill="auto"/>
        <w:kinsoku/>
        <w:wordWrap/>
        <w:overflowPunct/>
        <w:topLinePunct w:val="0"/>
        <w:autoSpaceDE/>
        <w:autoSpaceDN w:val="0"/>
        <w:bidi w:val="0"/>
        <w:adjustRightInd/>
        <w:snapToGrid/>
        <w:spacing w:line="540" w:lineRule="exact"/>
        <w:ind w:firstLine="480" w:firstLineChars="200"/>
        <w:textAlignment w:val="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kern w:val="0"/>
          <w:sz w:val="24"/>
          <w:szCs w:val="24"/>
          <w:highlight w:val="none"/>
          <w:lang w:val="en-US" w:eastAsia="zh-CN"/>
        </w:rPr>
        <w:t>符合国家、行业质量标准，满足采购人需求，通过相关部门验收。</w:t>
      </w:r>
    </w:p>
    <w:p w14:paraId="09EA8C2D">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 xml:space="preserve">（四）采购标的的数量、采购项目交付或者实施的时间和地点  </w:t>
      </w:r>
    </w:p>
    <w:p w14:paraId="0E6187F9">
      <w:pPr>
        <w:pageBreakBefore w:val="0"/>
        <w:widowControl w:val="0"/>
        <w:shd w:val="clear" w:color="auto" w:fill="auto"/>
        <w:kinsoku/>
        <w:autoSpaceDE/>
        <w:bidi w:val="0"/>
        <w:spacing w:line="520" w:lineRule="exact"/>
        <w:ind w:firstLine="480" w:firstLineChars="200"/>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rPr>
        <w:t>1.</w:t>
      </w:r>
      <w:r>
        <w:rPr>
          <w:rFonts w:hint="eastAsia" w:ascii="宋体" w:hAnsi="宋体" w:cs="宋体"/>
          <w:bCs/>
          <w:color w:val="auto"/>
          <w:sz w:val="24"/>
          <w:szCs w:val="24"/>
          <w:highlight w:val="none"/>
          <w:lang w:val="en-US" w:eastAsia="zh-CN"/>
        </w:rPr>
        <w:t>项目实施地点</w:t>
      </w:r>
      <w:r>
        <w:rPr>
          <w:rFonts w:hint="eastAsia" w:ascii="宋体" w:hAnsi="宋体" w:cs="宋体"/>
          <w:bCs/>
          <w:color w:val="auto"/>
          <w:sz w:val="24"/>
          <w:szCs w:val="24"/>
          <w:highlight w:val="none"/>
        </w:rPr>
        <w:t>：</w:t>
      </w:r>
      <w:r>
        <w:rPr>
          <w:rFonts w:hint="eastAsia" w:ascii="宋体" w:hAnsi="宋体" w:cs="宋体"/>
          <w:bCs/>
          <w:color w:val="auto"/>
          <w:sz w:val="24"/>
          <w:szCs w:val="24"/>
          <w:highlight w:val="none"/>
          <w:lang w:val="en-US" w:eastAsia="zh-CN"/>
        </w:rPr>
        <w:t>采购人指定地点。</w:t>
      </w:r>
    </w:p>
    <w:p w14:paraId="3FFCB738">
      <w:pPr>
        <w:pageBreakBefore w:val="0"/>
        <w:widowControl w:val="0"/>
        <w:shd w:val="clear" w:color="auto" w:fill="auto"/>
        <w:kinsoku/>
        <w:autoSpaceDE/>
        <w:bidi w:val="0"/>
        <w:spacing w:line="520" w:lineRule="exact"/>
        <w:ind w:firstLine="480" w:firstLineChars="200"/>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2.服务期限：</w:t>
      </w:r>
      <w:r>
        <w:rPr>
          <w:rFonts w:hint="eastAsia" w:ascii="宋体" w:hAnsi="宋体" w:eastAsia="宋体" w:cs="宋体"/>
          <w:b w:val="0"/>
          <w:bCs w:val="0"/>
          <w:color w:val="auto"/>
          <w:kern w:val="0"/>
          <w:sz w:val="24"/>
          <w:szCs w:val="24"/>
          <w:highlight w:val="none"/>
          <w:lang w:val="en-US" w:eastAsia="zh-CN"/>
        </w:rPr>
        <w:t>合同签订之日后，2026年12月31日前完成本项目涉及的所有工作</w:t>
      </w:r>
      <w:r>
        <w:rPr>
          <w:rFonts w:hint="eastAsia" w:ascii="宋体" w:hAnsi="宋体" w:cs="宋体"/>
          <w:bCs/>
          <w:color w:val="auto"/>
          <w:sz w:val="24"/>
          <w:szCs w:val="24"/>
          <w:highlight w:val="none"/>
          <w:lang w:val="en-US" w:eastAsia="zh-CN"/>
        </w:rPr>
        <w:t>。</w:t>
      </w:r>
    </w:p>
    <w:p w14:paraId="48AEE208">
      <w:pPr>
        <w:keepLines w:val="0"/>
        <w:pageBreakBefore w:val="0"/>
        <w:widowControl w:val="0"/>
        <w:kinsoku/>
        <w:wordWrap/>
        <w:overflowPunct/>
        <w:topLinePunct w:val="0"/>
        <w:autoSpaceDE/>
        <w:autoSpaceDN/>
        <w:bidi w:val="0"/>
        <w:adjustRightInd/>
        <w:snapToGrid/>
        <w:spacing w:line="520" w:lineRule="exact"/>
        <w:ind w:firstLine="420"/>
        <w:textAlignment w:val="auto"/>
        <w:rPr>
          <w:rFonts w:ascii="宋体" w:hAnsi="宋体" w:cs="宋体"/>
          <w:bCs/>
          <w:color w:val="auto"/>
          <w:sz w:val="24"/>
          <w:szCs w:val="24"/>
          <w:highlight w:val="none"/>
        </w:rPr>
      </w:pPr>
      <w:r>
        <w:rPr>
          <w:rFonts w:hint="eastAsia" w:ascii="宋体" w:hAnsi="宋体" w:cs="宋体"/>
          <w:b/>
          <w:color w:val="auto"/>
          <w:sz w:val="24"/>
          <w:szCs w:val="24"/>
          <w:highlight w:val="none"/>
        </w:rPr>
        <w:t>（五）采购标的需满足的服务标准、期限、效率等要求</w:t>
      </w:r>
    </w:p>
    <w:p w14:paraId="4CE9A0AE">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eastAsia="宋体" w:cs="宋体"/>
          <w:b/>
          <w:bCs/>
          <w:color w:val="auto"/>
          <w:sz w:val="24"/>
          <w:szCs w:val="24"/>
          <w:highlight w:val="none"/>
          <w:lang w:val="en-US" w:eastAsia="zh-CN"/>
        </w:rPr>
      </w:pPr>
      <w:r>
        <w:rPr>
          <w:rFonts w:hint="eastAsia" w:ascii="宋体" w:hAnsi="宋体" w:cs="宋体"/>
          <w:bCs/>
          <w:color w:val="auto"/>
          <w:sz w:val="24"/>
          <w:szCs w:val="24"/>
          <w:highlight w:val="none"/>
        </w:rPr>
        <w:t>1.服务标准</w:t>
      </w:r>
      <w:r>
        <w:rPr>
          <w:rFonts w:hint="eastAsia" w:ascii="宋体" w:hAnsi="宋体" w:cs="宋体"/>
          <w:bCs/>
          <w:color w:val="auto"/>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符合国家、行业质量标准，满足采购人需求，通过相关部门验收。</w:t>
      </w:r>
    </w:p>
    <w:p w14:paraId="6E05381A">
      <w:pPr>
        <w:keepLines w:val="0"/>
        <w:pageBreakBefore w:val="0"/>
        <w:widowControl w:val="0"/>
        <w:kinsoku/>
        <w:wordWrap/>
        <w:overflowPunct/>
        <w:topLinePunct w:val="0"/>
        <w:autoSpaceDE/>
        <w:autoSpaceDN/>
        <w:bidi w:val="0"/>
        <w:adjustRightInd/>
        <w:snapToGrid/>
        <w:spacing w:line="520" w:lineRule="exact"/>
        <w:ind w:firstLine="420"/>
        <w:textAlignment w:val="auto"/>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服务期限：合同签订之日后，2026年12月31日前完成本项目涉及的所有工作。</w:t>
      </w:r>
    </w:p>
    <w:bookmarkEnd w:id="170"/>
    <w:p w14:paraId="35BB4BD5">
      <w:pPr>
        <w:rPr>
          <w:rFonts w:hint="eastAsia" w:ascii="宋体" w:hAnsi="宋体" w:eastAsia="宋体" w:cs="宋体"/>
          <w:b/>
          <w:color w:val="auto"/>
          <w:kern w:val="44"/>
          <w:sz w:val="32"/>
          <w:szCs w:val="32"/>
          <w:highlight w:val="none"/>
          <w:lang w:val="en-US" w:eastAsia="zh-CN" w:bidi="ar"/>
        </w:rPr>
      </w:pPr>
      <w:bookmarkStart w:id="171" w:name="_Toc30167"/>
      <w:r>
        <w:rPr>
          <w:rFonts w:hint="eastAsia" w:ascii="宋体" w:hAnsi="宋体" w:eastAsia="宋体" w:cs="宋体"/>
          <w:b/>
          <w:color w:val="auto"/>
          <w:kern w:val="44"/>
          <w:sz w:val="32"/>
          <w:szCs w:val="32"/>
          <w:highlight w:val="none"/>
          <w:lang w:val="en-US" w:eastAsia="zh-CN" w:bidi="ar"/>
        </w:rPr>
        <w:br w:type="page"/>
      </w:r>
    </w:p>
    <w:p w14:paraId="79581796">
      <w:pPr>
        <w:pStyle w:val="2"/>
        <w:pageBreakBefore w:val="0"/>
        <w:widowControl w:val="0"/>
        <w:numPr>
          <w:ilvl w:val="0"/>
          <w:numId w:val="0"/>
        </w:numPr>
        <w:kinsoku/>
        <w:autoSpaceDE/>
        <w:bidi w:val="0"/>
        <w:spacing w:line="480" w:lineRule="exact"/>
        <w:jc w:val="center"/>
        <w:rPr>
          <w:rFonts w:hint="eastAsia" w:ascii="宋体" w:hAnsi="宋体" w:cs="宋体"/>
          <w:color w:val="auto"/>
          <w:sz w:val="32"/>
          <w:szCs w:val="32"/>
          <w:highlight w:val="none"/>
        </w:rPr>
      </w:pPr>
      <w:r>
        <w:rPr>
          <w:rFonts w:hint="eastAsia" w:ascii="宋体" w:hAnsi="宋体" w:eastAsia="宋体" w:cs="宋体"/>
          <w:b/>
          <w:color w:val="auto"/>
          <w:kern w:val="44"/>
          <w:sz w:val="32"/>
          <w:szCs w:val="32"/>
          <w:highlight w:val="none"/>
          <w:lang w:val="en-US" w:eastAsia="zh-CN" w:bidi="ar"/>
        </w:rPr>
        <w:t>第</w:t>
      </w:r>
      <w:r>
        <w:rPr>
          <w:rFonts w:hint="eastAsia" w:cs="宋体"/>
          <w:b/>
          <w:color w:val="auto"/>
          <w:kern w:val="44"/>
          <w:sz w:val="32"/>
          <w:szCs w:val="32"/>
          <w:highlight w:val="none"/>
          <w:lang w:val="en-US" w:eastAsia="zh-CN" w:bidi="ar"/>
        </w:rPr>
        <w:t>七章</w:t>
      </w:r>
      <w:r>
        <w:rPr>
          <w:rFonts w:hint="eastAsia" w:asciiTheme="minorEastAsia" w:hAnsiTheme="minorEastAsia" w:eastAsiaTheme="minorEastAsia" w:cstheme="minorEastAsia"/>
          <w:color w:val="auto"/>
          <w:sz w:val="32"/>
          <w:szCs w:val="32"/>
          <w:highlight w:val="none"/>
          <w:lang w:val="en-US" w:eastAsia="zh-CN"/>
        </w:rPr>
        <w:t xml:space="preserve"> </w:t>
      </w:r>
      <w:bookmarkStart w:id="172" w:name="_Toc15562"/>
      <w:bookmarkStart w:id="173" w:name="_Toc23138"/>
      <w:r>
        <w:rPr>
          <w:rFonts w:hint="eastAsia" w:ascii="宋体" w:hAnsi="宋体" w:cs="宋体"/>
          <w:color w:val="auto"/>
          <w:sz w:val="32"/>
          <w:szCs w:val="32"/>
          <w:highlight w:val="none"/>
        </w:rPr>
        <w:t>磋商过程中可能实质性变动的内容</w:t>
      </w:r>
      <w:bookmarkEnd w:id="171"/>
      <w:bookmarkEnd w:id="172"/>
      <w:bookmarkEnd w:id="173"/>
    </w:p>
    <w:p w14:paraId="73D163DC">
      <w:pPr>
        <w:keepNext w:val="0"/>
        <w:keepLines w:val="0"/>
        <w:pageBreakBefore w:val="0"/>
        <w:widowControl w:val="0"/>
        <w:kinsoku/>
        <w:wordWrap/>
        <w:overflowPunct/>
        <w:topLinePunct w:val="0"/>
        <w:autoSpaceDE/>
        <w:autoSpaceDN/>
        <w:bidi w:val="0"/>
        <w:adjustRightInd/>
        <w:snapToGrid/>
        <w:spacing w:line="500" w:lineRule="exact"/>
        <w:ind w:firstLine="482" w:firstLineChars="200"/>
        <w:textAlignment w:val="auto"/>
        <w:rPr>
          <w:rFonts w:hint="eastAsia" w:ascii="宋体" w:hAnsi="宋体" w:cs="宋体"/>
          <w:b/>
          <w:bCs/>
          <w:color w:val="auto"/>
          <w:sz w:val="24"/>
          <w:szCs w:val="24"/>
          <w:highlight w:val="none"/>
        </w:rPr>
      </w:pPr>
      <w:bookmarkStart w:id="174" w:name="_Toc18208"/>
      <w:bookmarkStart w:id="175" w:name="_Toc20730"/>
      <w:bookmarkStart w:id="176" w:name="_Toc2228"/>
      <w:r>
        <w:rPr>
          <w:rFonts w:hint="eastAsia" w:ascii="宋体" w:hAnsi="宋体" w:cs="宋体"/>
          <w:b/>
          <w:bCs/>
          <w:color w:val="auto"/>
          <w:sz w:val="24"/>
          <w:szCs w:val="24"/>
          <w:highlight w:val="none"/>
        </w:rPr>
        <w:t>1.采购需求中的服务</w:t>
      </w:r>
      <w:r>
        <w:rPr>
          <w:rFonts w:hint="eastAsia" w:ascii="宋体" w:hAnsi="宋体" w:cs="宋体"/>
          <w:b/>
          <w:bCs/>
          <w:color w:val="auto"/>
          <w:sz w:val="24"/>
          <w:szCs w:val="24"/>
          <w:highlight w:val="none"/>
          <w:lang w:val="en-US" w:eastAsia="zh-CN"/>
        </w:rPr>
        <w:t>范围</w:t>
      </w:r>
      <w:r>
        <w:rPr>
          <w:rFonts w:hint="eastAsia" w:ascii="宋体" w:hAnsi="宋体" w:cs="宋体"/>
          <w:b/>
          <w:bCs/>
          <w:color w:val="auto"/>
          <w:sz w:val="24"/>
          <w:szCs w:val="24"/>
          <w:highlight w:val="none"/>
        </w:rPr>
        <w:t>、服务</w:t>
      </w:r>
      <w:r>
        <w:rPr>
          <w:rFonts w:hint="eastAsia" w:ascii="宋体" w:hAnsi="宋体" w:cs="宋体"/>
          <w:b/>
          <w:bCs/>
          <w:color w:val="auto"/>
          <w:sz w:val="24"/>
          <w:szCs w:val="24"/>
          <w:highlight w:val="none"/>
          <w:lang w:val="en-US" w:eastAsia="zh-CN"/>
        </w:rPr>
        <w:t>标准</w:t>
      </w:r>
      <w:r>
        <w:rPr>
          <w:rFonts w:hint="eastAsia" w:ascii="宋体" w:hAnsi="宋体" w:cs="宋体"/>
          <w:b/>
          <w:bCs/>
          <w:color w:val="auto"/>
          <w:sz w:val="24"/>
          <w:szCs w:val="24"/>
          <w:highlight w:val="none"/>
        </w:rPr>
        <w:t>、服务要求；</w:t>
      </w:r>
      <w:bookmarkEnd w:id="174"/>
      <w:bookmarkEnd w:id="175"/>
      <w:bookmarkEnd w:id="176"/>
    </w:p>
    <w:p w14:paraId="2E862314">
      <w:pPr>
        <w:keepNext w:val="0"/>
        <w:keepLines w:val="0"/>
        <w:pageBreakBefore w:val="0"/>
        <w:widowControl w:val="0"/>
        <w:numPr>
          <w:ilvl w:val="0"/>
          <w:numId w:val="0"/>
        </w:numPr>
        <w:shd w:val="clear" w:color="auto" w:fill="auto"/>
        <w:tabs>
          <w:tab w:val="left" w:pos="360"/>
        </w:tabs>
        <w:kinsoku/>
        <w:wordWrap/>
        <w:overflowPunct/>
        <w:topLinePunct w:val="0"/>
        <w:autoSpaceDE/>
        <w:autoSpaceDN/>
        <w:bidi w:val="0"/>
        <w:adjustRightInd/>
        <w:snapToGrid/>
        <w:spacing w:line="500" w:lineRule="exact"/>
        <w:ind w:firstLine="482" w:firstLineChars="200"/>
        <w:jc w:val="both"/>
        <w:textAlignment w:val="auto"/>
        <w:outlineLvl w:val="9"/>
        <w:rPr>
          <w:rFonts w:hint="eastAsia" w:asciiTheme="minorEastAsia" w:hAnsiTheme="minorEastAsia" w:eastAsiaTheme="minorEastAsia" w:cstheme="minorEastAsia"/>
          <w:color w:val="auto"/>
          <w:sz w:val="32"/>
          <w:szCs w:val="32"/>
          <w:highlight w:val="none"/>
          <w:lang w:val="en-US" w:eastAsia="zh-CN"/>
        </w:rPr>
      </w:pPr>
      <w:bookmarkStart w:id="177" w:name="_Toc6566"/>
      <w:bookmarkStart w:id="178" w:name="_Toc15376"/>
      <w:bookmarkStart w:id="179" w:name="_Toc13242"/>
      <w:r>
        <w:rPr>
          <w:rFonts w:hint="eastAsia" w:ascii="宋体" w:hAnsi="宋体" w:cs="宋体"/>
          <w:b/>
          <w:bCs/>
          <w:color w:val="auto"/>
          <w:sz w:val="24"/>
          <w:szCs w:val="24"/>
          <w:highlight w:val="none"/>
        </w:rPr>
        <w:t>2.《合同格式及主要条款》中其他内容。</w:t>
      </w:r>
      <w:bookmarkEnd w:id="177"/>
      <w:bookmarkEnd w:id="178"/>
      <w:bookmarkEnd w:id="179"/>
    </w:p>
    <w:p w14:paraId="07E059C8">
      <w:pPr>
        <w:pStyle w:val="2"/>
        <w:pageBreakBefore w:val="0"/>
        <w:widowControl w:val="0"/>
        <w:numPr>
          <w:ilvl w:val="0"/>
          <w:numId w:val="0"/>
        </w:numPr>
        <w:shd w:val="clear" w:color="auto" w:fill="auto"/>
        <w:tabs>
          <w:tab w:val="left" w:pos="360"/>
        </w:tabs>
        <w:kinsoku/>
        <w:autoSpaceDE/>
        <w:bidi w:val="0"/>
        <w:ind w:left="0" w:leftChars="0" w:firstLine="2891" w:firstLineChars="900"/>
        <w:jc w:val="both"/>
        <w:rPr>
          <w:rFonts w:hint="eastAsia" w:asciiTheme="minorEastAsia" w:hAnsiTheme="minorEastAsia" w:eastAsiaTheme="minorEastAsia" w:cstheme="minorEastAsia"/>
          <w:b/>
          <w:color w:val="auto"/>
          <w:kern w:val="44"/>
          <w:sz w:val="32"/>
          <w:szCs w:val="32"/>
          <w:highlight w:val="none"/>
          <w:lang w:val="en-US" w:eastAsia="zh-CN" w:bidi="ar"/>
        </w:rPr>
        <w:sectPr>
          <w:pgSz w:w="11906" w:h="16838"/>
          <w:pgMar w:top="1440" w:right="1474" w:bottom="1440" w:left="1474" w:header="850" w:footer="992" w:gutter="0"/>
          <w:pgNumType w:fmt="decimal"/>
          <w:cols w:space="0" w:num="1"/>
          <w:rtlGutter w:val="0"/>
          <w:docGrid w:linePitch="327" w:charSpace="0"/>
        </w:sectPr>
      </w:pPr>
    </w:p>
    <w:p w14:paraId="04229815">
      <w:pPr>
        <w:pStyle w:val="2"/>
        <w:pageBreakBefore w:val="0"/>
        <w:widowControl w:val="0"/>
        <w:numPr>
          <w:ilvl w:val="0"/>
          <w:numId w:val="0"/>
        </w:numPr>
        <w:shd w:val="clear" w:color="auto" w:fill="auto"/>
        <w:tabs>
          <w:tab w:val="left" w:pos="360"/>
        </w:tabs>
        <w:kinsoku/>
        <w:autoSpaceDE/>
        <w:bidi w:val="0"/>
        <w:ind w:left="0" w:leftChars="0" w:firstLine="2891" w:firstLineChars="900"/>
        <w:jc w:val="both"/>
        <w:rPr>
          <w:rFonts w:hint="default" w:asciiTheme="minorEastAsia" w:hAnsiTheme="minorEastAsia" w:eastAsiaTheme="minorEastAsia" w:cstheme="minorEastAsia"/>
          <w:color w:val="auto"/>
          <w:sz w:val="32"/>
          <w:szCs w:val="32"/>
          <w:highlight w:val="none"/>
          <w:lang w:val="en-US" w:eastAsia="zh-CN"/>
        </w:rPr>
      </w:pPr>
      <w:bookmarkStart w:id="180" w:name="_Toc1382"/>
      <w:r>
        <w:rPr>
          <w:rFonts w:hint="eastAsia" w:asciiTheme="minorEastAsia" w:hAnsiTheme="minorEastAsia" w:eastAsiaTheme="minorEastAsia" w:cstheme="minorEastAsia"/>
          <w:b/>
          <w:color w:val="auto"/>
          <w:kern w:val="44"/>
          <w:sz w:val="32"/>
          <w:szCs w:val="32"/>
          <w:highlight w:val="none"/>
          <w:lang w:val="en-US" w:eastAsia="zh-CN" w:bidi="ar"/>
        </w:rPr>
        <w:t xml:space="preserve">第八章 </w:t>
      </w:r>
      <w:r>
        <w:rPr>
          <w:rFonts w:hint="eastAsia" w:asciiTheme="minorEastAsia" w:hAnsiTheme="minorEastAsia" w:eastAsiaTheme="minorEastAsia" w:cstheme="minorEastAsia"/>
          <w:color w:val="auto"/>
          <w:sz w:val="32"/>
          <w:szCs w:val="32"/>
          <w:highlight w:val="none"/>
          <w:lang w:val="en-US" w:eastAsia="zh-CN"/>
        </w:rPr>
        <w:t>最后报价及承诺函</w:t>
      </w:r>
      <w:bookmarkEnd w:id="180"/>
    </w:p>
    <w:p w14:paraId="7064C160">
      <w:pPr>
        <w:pageBreakBefore w:val="0"/>
        <w:widowControl w:val="0"/>
        <w:kinsoku/>
        <w:wordWrap/>
        <w:overflowPunct/>
        <w:autoSpaceDE/>
        <w:bidi w:val="0"/>
        <w:spacing w:beforeAutospacing="0" w:afterAutospacing="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1.具体格式见《</w:t>
      </w:r>
      <w:r>
        <w:rPr>
          <w:rFonts w:hint="eastAsia" w:ascii="宋体" w:hAnsi="宋体" w:cs="宋体"/>
          <w:color w:val="auto"/>
          <w:sz w:val="24"/>
          <w:szCs w:val="24"/>
          <w:highlight w:val="none"/>
          <w:lang w:eastAsia="zh-CN"/>
        </w:rPr>
        <w:t>永德县永康林场国家澳洲坚果良种基地2025年中央财政林木良种培育补助项目</w:t>
      </w:r>
      <w:r>
        <w:rPr>
          <w:rFonts w:hint="eastAsia" w:ascii="宋体" w:hAnsi="宋体" w:eastAsia="宋体" w:cs="宋体"/>
          <w:color w:val="auto"/>
          <w:sz w:val="24"/>
          <w:szCs w:val="24"/>
          <w:highlight w:val="none"/>
          <w:lang w:eastAsia="zh-CN"/>
        </w:rPr>
        <w:t>最后报价及承诺函》</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承诺不作调整的直接写“无”即可，如需调整，结合自身情况据实填写即可</w:t>
      </w:r>
      <w:r>
        <w:rPr>
          <w:rFonts w:hint="eastAsia" w:ascii="宋体" w:hAnsi="宋体" w:eastAsia="宋体" w:cs="宋体"/>
          <w:color w:val="auto"/>
          <w:sz w:val="24"/>
          <w:szCs w:val="24"/>
          <w:highlight w:val="none"/>
          <w:lang w:eastAsia="zh-CN"/>
        </w:rPr>
        <w:t>。</w:t>
      </w:r>
    </w:p>
    <w:p w14:paraId="3E5DD54A">
      <w:pPr>
        <w:keepNext w:val="0"/>
        <w:keepLines w:val="0"/>
        <w:pageBreakBefore w:val="0"/>
        <w:widowControl w:val="0"/>
        <w:kinsoku/>
        <w:wordWrap w:val="0"/>
        <w:overflowPunct/>
        <w:topLinePunct w:val="0"/>
        <w:autoSpaceDE/>
        <w:autoSpaceDN/>
        <w:bidi w:val="0"/>
        <w:adjustRightInd/>
        <w:snapToGrid/>
        <w:spacing w:beforeAutospacing="0" w:afterAutospacing="0" w:line="48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2.《</w:t>
      </w:r>
      <w:r>
        <w:rPr>
          <w:rFonts w:hint="eastAsia" w:ascii="宋体" w:hAnsi="宋体" w:cs="宋体"/>
          <w:color w:val="auto"/>
          <w:sz w:val="24"/>
          <w:szCs w:val="24"/>
          <w:highlight w:val="none"/>
          <w:lang w:eastAsia="zh-CN"/>
        </w:rPr>
        <w:t>永德县永康林场国家澳洲坚果良种基地2025年中央财政林木良种培育补助项目</w:t>
      </w:r>
      <w:r>
        <w:rPr>
          <w:rFonts w:hint="eastAsia" w:ascii="宋体" w:hAnsi="宋体" w:eastAsia="宋体" w:cs="宋体"/>
          <w:color w:val="auto"/>
          <w:sz w:val="24"/>
          <w:szCs w:val="24"/>
          <w:highlight w:val="none"/>
          <w:lang w:eastAsia="zh-CN"/>
        </w:rPr>
        <w:t>磋商过程中实质性变动的内容响应文件》</w:t>
      </w:r>
      <w:r>
        <w:rPr>
          <w:rFonts w:hint="eastAsia" w:ascii="宋体" w:hAnsi="宋体" w:cs="宋体"/>
          <w:color w:val="auto"/>
          <w:sz w:val="24"/>
          <w:szCs w:val="24"/>
          <w:highlight w:val="none"/>
          <w:lang w:val="en-US" w:eastAsia="zh-CN"/>
        </w:rPr>
        <w:t>同最后报价及</w:t>
      </w:r>
      <w:r>
        <w:rPr>
          <w:rFonts w:hint="eastAsia" w:ascii="宋体" w:hAnsi="宋体" w:eastAsia="宋体" w:cs="宋体"/>
          <w:color w:val="auto"/>
          <w:sz w:val="24"/>
          <w:szCs w:val="24"/>
          <w:highlight w:val="none"/>
          <w:lang w:eastAsia="zh-CN"/>
        </w:rPr>
        <w:t>承诺函无需放入响应文件中，请供应商在</w:t>
      </w:r>
      <w:r>
        <w:rPr>
          <w:rFonts w:hint="eastAsia" w:ascii="宋体" w:hAnsi="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磋商</w:t>
      </w:r>
      <w:r>
        <w:rPr>
          <w:rFonts w:hint="eastAsia" w:ascii="宋体" w:hAnsi="宋体" w:cs="宋体"/>
          <w:color w:val="auto"/>
          <w:sz w:val="24"/>
          <w:szCs w:val="24"/>
          <w:highlight w:val="none"/>
          <w:lang w:val="en-US" w:eastAsia="zh-CN"/>
        </w:rPr>
        <w:t>时</w:t>
      </w:r>
      <w:r>
        <w:rPr>
          <w:rFonts w:hint="eastAsia" w:ascii="宋体" w:hAnsi="宋体" w:eastAsia="宋体" w:cs="宋体"/>
          <w:color w:val="auto"/>
          <w:sz w:val="24"/>
          <w:szCs w:val="24"/>
          <w:highlight w:val="none"/>
          <w:lang w:eastAsia="zh-CN"/>
        </w:rPr>
        <w:t>自行填写并在相应位置电子签章，作为附件与最</w:t>
      </w:r>
      <w:r>
        <w:rPr>
          <w:rFonts w:hint="eastAsia" w:ascii="宋体" w:hAnsi="宋体" w:cs="宋体"/>
          <w:color w:val="auto"/>
          <w:sz w:val="24"/>
          <w:szCs w:val="24"/>
          <w:highlight w:val="none"/>
          <w:lang w:val="en-US" w:eastAsia="zh-CN"/>
        </w:rPr>
        <w:t>后</w:t>
      </w:r>
      <w:r>
        <w:rPr>
          <w:rFonts w:hint="eastAsia" w:ascii="宋体" w:hAnsi="宋体" w:eastAsia="宋体" w:cs="宋体"/>
          <w:color w:val="auto"/>
          <w:sz w:val="24"/>
          <w:szCs w:val="24"/>
          <w:highlight w:val="none"/>
          <w:lang w:eastAsia="zh-CN"/>
        </w:rPr>
        <w:t>报价一同上传至“政采云平台（https://www.zcygov.cn/）”。</w:t>
      </w:r>
    </w:p>
    <w:p w14:paraId="6C229939">
      <w:pPr>
        <w:pageBreakBefore w:val="0"/>
        <w:widowControl w:val="0"/>
        <w:kinsoku/>
        <w:wordWrap/>
        <w:overflowPunct/>
        <w:autoSpaceDE/>
        <w:bidi w:val="0"/>
        <w:spacing w:beforeAutospacing="0" w:afterAutospacing="0" w:line="48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3.填写此表时请务必仔细核对后在规定时间内上传</w:t>
      </w:r>
      <w:r>
        <w:rPr>
          <w:rFonts w:hint="eastAsia" w:ascii="宋体" w:hAnsi="宋体" w:eastAsia="宋体" w:cs="宋体"/>
          <w:color w:val="auto"/>
          <w:sz w:val="24"/>
          <w:szCs w:val="24"/>
          <w:highlight w:val="none"/>
          <w:lang w:val="en-US" w:eastAsia="zh-CN"/>
        </w:rPr>
        <w:t>。</w:t>
      </w:r>
    </w:p>
    <w:p w14:paraId="06AE420D">
      <w:pPr>
        <w:pageBreakBefore w:val="0"/>
        <w:widowControl w:val="0"/>
        <w:kinsoku/>
        <w:wordWrap/>
        <w:overflowPunct/>
        <w:autoSpaceDE/>
        <w:bidi w:val="0"/>
        <w:spacing w:beforeAutospacing="0" w:afterAutospacing="0" w:line="480" w:lineRule="exact"/>
        <w:ind w:firstLine="480" w:firstLineChars="200"/>
        <w:textAlignment w:val="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未按要求填写</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eastAsia="zh-CN"/>
        </w:rPr>
        <w:t>永德县永康林场国家澳洲坚果良种基地2025年中央财政林木良种培育补助项目</w:t>
      </w:r>
      <w:r>
        <w:rPr>
          <w:rFonts w:hint="eastAsia" w:ascii="宋体" w:hAnsi="宋体" w:eastAsia="宋体" w:cs="宋体"/>
          <w:color w:val="auto"/>
          <w:sz w:val="24"/>
          <w:szCs w:val="24"/>
          <w:highlight w:val="none"/>
          <w:lang w:eastAsia="zh-CN"/>
        </w:rPr>
        <w:t>磋商过程中实质性变动的内容响应文件》</w:t>
      </w:r>
      <w:r>
        <w:rPr>
          <w:rFonts w:hint="eastAsia" w:ascii="宋体" w:hAnsi="宋体" w:cs="宋体"/>
          <w:color w:val="auto"/>
          <w:sz w:val="24"/>
          <w:szCs w:val="24"/>
          <w:highlight w:val="none"/>
          <w:lang w:val="en-US" w:eastAsia="zh-CN"/>
        </w:rPr>
        <w:t>或未在相应位置电子签章的，视为未响应本项目</w:t>
      </w:r>
      <w:r>
        <w:rPr>
          <w:rFonts w:hint="eastAsia" w:ascii="宋体" w:hAnsi="宋体" w:eastAsia="宋体" w:cs="宋体"/>
          <w:color w:val="auto"/>
          <w:sz w:val="24"/>
          <w:szCs w:val="24"/>
          <w:highlight w:val="none"/>
          <w:lang w:eastAsia="zh-CN"/>
        </w:rPr>
        <w:t>磋商过程中实质性变动的内容</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最后报价及承诺作无效处理。</w:t>
      </w:r>
    </w:p>
    <w:p w14:paraId="3F55FB1E">
      <w:pPr>
        <w:pageBreakBefore w:val="0"/>
        <w:widowControl w:val="0"/>
        <w:kinsoku/>
        <w:wordWrap/>
        <w:overflowPunct/>
        <w:autoSpaceDE/>
        <w:bidi w:val="0"/>
        <w:spacing w:beforeAutospacing="0" w:afterAutospacing="0" w:line="480" w:lineRule="exact"/>
        <w:ind w:firstLine="480" w:firstLineChars="200"/>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若无实质性变动内容，各供应商按《永德县永康林场国家澳洲坚果良种基地2025年中央财政林木良种培育补助项目磋商过程中实质性变动的内容响应文件》格式填写即可；若有实质性变动，则需按磋商时下发提交最后报价及承诺函指令时的附件格式要求填写，请各供应商磋商时留意附件信息，以免造成最后报价无效。</w:t>
      </w:r>
    </w:p>
    <w:p w14:paraId="2EB701A3">
      <w:pPr>
        <w:pageBreakBefore w:val="0"/>
        <w:widowControl w:val="0"/>
        <w:kinsoku/>
        <w:wordWrap/>
        <w:overflowPunct/>
        <w:autoSpaceDE/>
        <w:bidi w:val="0"/>
        <w:spacing w:beforeAutospacing="0" w:afterAutospacing="0" w:line="480" w:lineRule="exact"/>
        <w:ind w:firstLine="420" w:firstLineChars="200"/>
        <w:textAlignment w:val="auto"/>
        <w:rPr>
          <w:rFonts w:hint="eastAsia" w:ascii="宋体" w:hAnsi="宋体" w:eastAsia="宋体" w:cs="宋体"/>
          <w:color w:val="auto"/>
          <w:szCs w:val="21"/>
          <w:highlight w:val="none"/>
          <w:lang w:val="en-US" w:eastAsia="zh-CN"/>
        </w:rPr>
      </w:pPr>
    </w:p>
    <w:p w14:paraId="7CFF4358">
      <w:pPr>
        <w:pStyle w:val="10"/>
        <w:pageBreakBefore w:val="0"/>
        <w:widowControl w:val="0"/>
        <w:kinsoku/>
        <w:autoSpaceDE/>
        <w:bidi w:val="0"/>
        <w:rPr>
          <w:rFonts w:hint="eastAsia"/>
          <w:color w:val="auto"/>
          <w:highlight w:val="none"/>
          <w:lang w:val="en-US" w:eastAsia="zh-CN"/>
        </w:rPr>
        <w:sectPr>
          <w:pgSz w:w="11906" w:h="16838"/>
          <w:pgMar w:top="1440" w:right="1474" w:bottom="1440" w:left="1474" w:header="850" w:footer="992" w:gutter="0"/>
          <w:pgNumType w:fmt="decimal"/>
          <w:cols w:space="0" w:num="1"/>
          <w:rtlGutter w:val="0"/>
          <w:docGrid w:linePitch="312" w:charSpace="0"/>
        </w:sectPr>
      </w:pPr>
    </w:p>
    <w:p w14:paraId="70AAE587">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宋体" w:hAnsi="宋体" w:cs="宋体"/>
          <w:b/>
          <w:bCs w:val="0"/>
          <w:color w:val="auto"/>
          <w:sz w:val="28"/>
          <w:szCs w:val="28"/>
          <w:highlight w:val="none"/>
          <w:lang w:val="en-US" w:eastAsia="zh-CN"/>
        </w:rPr>
      </w:pPr>
      <w:r>
        <w:rPr>
          <w:rFonts w:hint="eastAsia" w:ascii="宋体" w:hAnsi="宋体" w:cs="宋体"/>
          <w:b/>
          <w:bCs w:val="0"/>
          <w:color w:val="auto"/>
          <w:sz w:val="28"/>
          <w:szCs w:val="28"/>
          <w:highlight w:val="none"/>
          <w:lang w:val="en-US" w:eastAsia="zh-CN"/>
        </w:rPr>
        <w:t>永德县永康林场国家澳洲坚果良种基地2025年中央财政林木良种培育补助项目</w:t>
      </w:r>
    </w:p>
    <w:p w14:paraId="16F09BDF">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宋体" w:hAnsi="宋体" w:eastAsia="宋体" w:cs="宋体"/>
          <w:b/>
          <w:bCs w:val="0"/>
          <w:color w:val="auto"/>
          <w:sz w:val="32"/>
          <w:szCs w:val="32"/>
          <w:highlight w:val="none"/>
          <w:lang w:eastAsia="zh-CN"/>
        </w:rPr>
      </w:pPr>
      <w:r>
        <w:rPr>
          <w:rFonts w:hint="eastAsia" w:ascii="宋体" w:hAnsi="宋体" w:eastAsia="宋体" w:cs="宋体"/>
          <w:b/>
          <w:bCs w:val="0"/>
          <w:color w:val="auto"/>
          <w:sz w:val="28"/>
          <w:szCs w:val="28"/>
          <w:highlight w:val="none"/>
          <w:lang w:val="en-US" w:eastAsia="zh-CN"/>
        </w:rPr>
        <w:t>磋商</w:t>
      </w:r>
      <w:r>
        <w:rPr>
          <w:rFonts w:hint="eastAsia" w:ascii="宋体" w:hAnsi="宋体" w:eastAsia="宋体" w:cs="宋体"/>
          <w:b/>
          <w:bCs w:val="0"/>
          <w:color w:val="auto"/>
          <w:sz w:val="28"/>
          <w:szCs w:val="28"/>
          <w:highlight w:val="none"/>
          <w:lang w:eastAsia="zh-CN"/>
        </w:rPr>
        <w:t>过程中实质性变动的内容</w:t>
      </w:r>
      <w:r>
        <w:rPr>
          <w:rFonts w:hint="eastAsia" w:ascii="宋体" w:hAnsi="宋体" w:eastAsia="宋体" w:cs="宋体"/>
          <w:b/>
          <w:bCs w:val="0"/>
          <w:color w:val="auto"/>
          <w:sz w:val="28"/>
          <w:szCs w:val="28"/>
          <w:highlight w:val="none"/>
          <w:lang w:val="en-US" w:eastAsia="zh-CN"/>
        </w:rPr>
        <w:t>响应文件</w:t>
      </w:r>
    </w:p>
    <w:p w14:paraId="3C83DC0A">
      <w:pPr>
        <w:pStyle w:val="10"/>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z w:val="24"/>
          <w:szCs w:val="24"/>
          <w:highlight w:val="none"/>
          <w:lang w:val="en-US" w:eastAsia="zh-CN"/>
        </w:rPr>
      </w:pPr>
    </w:p>
    <w:p w14:paraId="312B4513">
      <w:pPr>
        <w:pStyle w:val="10"/>
        <w:keepNext w:val="0"/>
        <w:keepLines w:val="0"/>
        <w:pageBreakBefore w:val="0"/>
        <w:widowControl w:val="0"/>
        <w:numPr>
          <w:ilvl w:val="0"/>
          <w:numId w:val="0"/>
        </w:numPr>
        <w:kinsoku/>
        <w:wordWrap/>
        <w:overflowPunct/>
        <w:topLinePunct w:val="0"/>
        <w:autoSpaceDE/>
        <w:autoSpaceDN/>
        <w:bidi w:val="0"/>
        <w:adjustRightInd/>
        <w:snapToGrid/>
        <w:spacing w:line="520" w:lineRule="exact"/>
        <w:textAlignment w:val="auto"/>
        <w:rPr>
          <w:rFonts w:hint="default" w:ascii="宋体" w:hAnsi="宋体" w:eastAsia="宋体" w:cs="宋体"/>
          <w:b w:val="0"/>
          <w:bCs w:val="0"/>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致：</w:t>
      </w:r>
      <w:r>
        <w:rPr>
          <w:rFonts w:hint="eastAsia" w:ascii="宋体" w:hAnsi="宋体" w:cs="宋体"/>
          <w:color w:val="auto"/>
          <w:sz w:val="24"/>
          <w:szCs w:val="24"/>
          <w:highlight w:val="none"/>
          <w:lang w:val="en-US" w:eastAsia="zh-CN"/>
        </w:rPr>
        <w:t>永德县林业和草原局</w:t>
      </w:r>
    </w:p>
    <w:p w14:paraId="1AD0ED24">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outlineLvl w:val="9"/>
        <w:rPr>
          <w:rFonts w:hint="default"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val="0"/>
          <w:bCs w:val="0"/>
          <w:color w:val="auto"/>
          <w:kern w:val="2"/>
          <w:sz w:val="24"/>
          <w:szCs w:val="24"/>
          <w:highlight w:val="none"/>
          <w:u w:val="none"/>
          <w:lang w:val="en-US" w:eastAsia="zh-CN" w:bidi="ar-SA"/>
        </w:rPr>
        <w:t>我方完全根据《</w:t>
      </w:r>
      <w:r>
        <w:rPr>
          <w:rFonts w:hint="eastAsia" w:ascii="宋体" w:hAnsi="宋体" w:cs="宋体"/>
          <w:b w:val="0"/>
          <w:bCs w:val="0"/>
          <w:color w:val="auto"/>
          <w:kern w:val="2"/>
          <w:sz w:val="24"/>
          <w:szCs w:val="24"/>
          <w:highlight w:val="none"/>
          <w:u w:val="none"/>
          <w:lang w:val="en-US" w:eastAsia="zh-CN" w:bidi="ar-SA"/>
        </w:rPr>
        <w:t>永德县永康林场国家澳洲坚果良种基地2025年中央财政林木良种培育补助项目</w:t>
      </w:r>
      <w:r>
        <w:rPr>
          <w:rFonts w:hint="eastAsia" w:ascii="宋体" w:hAnsi="宋体" w:eastAsia="宋体" w:cs="宋体"/>
          <w:b w:val="0"/>
          <w:bCs w:val="0"/>
          <w:color w:val="auto"/>
          <w:kern w:val="2"/>
          <w:sz w:val="24"/>
          <w:szCs w:val="24"/>
          <w:highlight w:val="none"/>
          <w:u w:val="none"/>
          <w:lang w:val="en-US" w:eastAsia="zh-CN" w:bidi="ar-SA"/>
        </w:rPr>
        <w:t>磋商过程中实质性变动内容通知》提交响应文件如下：</w:t>
      </w:r>
    </w:p>
    <w:p w14:paraId="34E462BD">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both"/>
        <w:textAlignment w:val="auto"/>
        <w:outlineLvl w:val="9"/>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bCs/>
          <w:color w:val="auto"/>
          <w:kern w:val="2"/>
          <w:sz w:val="24"/>
          <w:szCs w:val="24"/>
          <w:highlight w:val="none"/>
          <w:u w:val="none"/>
          <w:lang w:val="en-US" w:eastAsia="zh-CN" w:bidi="ar-SA"/>
        </w:rPr>
        <w:t>1.采购需求中的服务</w:t>
      </w:r>
      <w:r>
        <w:rPr>
          <w:rFonts w:hint="eastAsia" w:ascii="宋体" w:hAnsi="宋体" w:cs="宋体"/>
          <w:b/>
          <w:bCs/>
          <w:color w:val="auto"/>
          <w:kern w:val="2"/>
          <w:sz w:val="24"/>
          <w:szCs w:val="24"/>
          <w:highlight w:val="none"/>
          <w:u w:val="none"/>
          <w:lang w:val="en-US" w:eastAsia="zh-CN" w:bidi="ar-SA"/>
        </w:rPr>
        <w:t>范围</w:t>
      </w:r>
      <w:r>
        <w:rPr>
          <w:rFonts w:hint="eastAsia" w:ascii="宋体" w:hAnsi="宋体" w:eastAsia="宋体" w:cs="宋体"/>
          <w:b/>
          <w:bCs/>
          <w:color w:val="auto"/>
          <w:kern w:val="2"/>
          <w:sz w:val="24"/>
          <w:szCs w:val="24"/>
          <w:highlight w:val="none"/>
          <w:u w:val="none"/>
          <w:lang w:val="en-US" w:eastAsia="zh-CN" w:bidi="ar-SA"/>
        </w:rPr>
        <w:t>、服务标准、服务要求；</w:t>
      </w:r>
    </w:p>
    <w:p w14:paraId="7FFFC341">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b/>
          <w:bCs/>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 </w:t>
      </w:r>
    </w:p>
    <w:p w14:paraId="13BA7BDB">
      <w:pPr>
        <w:keepNext w:val="0"/>
        <w:keepLines w:val="0"/>
        <w:pageBreakBefore w:val="0"/>
        <w:widowControl w:val="0"/>
        <w:kinsoku/>
        <w:wordWrap/>
        <w:overflowPunct/>
        <w:topLinePunct w:val="0"/>
        <w:autoSpaceDE/>
        <w:autoSpaceDN/>
        <w:bidi w:val="0"/>
        <w:adjustRightInd/>
        <w:snapToGrid/>
        <w:spacing w:line="520" w:lineRule="exact"/>
        <w:ind w:right="0" w:rightChars="0" w:firstLine="482" w:firstLineChars="200"/>
        <w:jc w:val="both"/>
        <w:textAlignment w:val="auto"/>
        <w:outlineLvl w:val="9"/>
        <w:rPr>
          <w:rFonts w:hint="eastAsia" w:ascii="宋体" w:hAnsi="宋体" w:eastAsia="宋体" w:cs="宋体"/>
          <w:b/>
          <w:bCs/>
          <w:color w:val="auto"/>
          <w:kern w:val="2"/>
          <w:sz w:val="24"/>
          <w:szCs w:val="24"/>
          <w:highlight w:val="none"/>
          <w:u w:val="none"/>
          <w:lang w:val="en-US" w:eastAsia="zh-CN" w:bidi="ar-SA"/>
        </w:rPr>
      </w:pPr>
      <w:r>
        <w:rPr>
          <w:rFonts w:hint="eastAsia" w:ascii="宋体" w:hAnsi="宋体" w:eastAsia="宋体" w:cs="宋体"/>
          <w:b/>
          <w:bCs/>
          <w:color w:val="auto"/>
          <w:kern w:val="2"/>
          <w:sz w:val="24"/>
          <w:szCs w:val="24"/>
          <w:highlight w:val="none"/>
          <w:u w:val="none"/>
          <w:lang w:val="en-US" w:eastAsia="zh-CN" w:bidi="ar-SA"/>
        </w:rPr>
        <w:t>2.《合同格式及主要条款》中其他内容。</w:t>
      </w:r>
    </w:p>
    <w:p w14:paraId="267513FD">
      <w:pPr>
        <w:keepNext w:val="0"/>
        <w:keepLines w:val="0"/>
        <w:pageBreakBefore w:val="0"/>
        <w:widowControl w:val="0"/>
        <w:kinsoku/>
        <w:wordWrap/>
        <w:overflowPunct/>
        <w:topLinePunct w:val="0"/>
        <w:autoSpaceDE/>
        <w:autoSpaceDN/>
        <w:bidi w:val="0"/>
        <w:adjustRightInd/>
        <w:snapToGrid/>
        <w:spacing w:line="520" w:lineRule="exact"/>
        <w:ind w:right="0" w:rightChars="0" w:firstLine="480" w:firstLineChars="200"/>
        <w:jc w:val="both"/>
        <w:textAlignment w:val="auto"/>
        <w:outlineLvl w:val="9"/>
        <w:rPr>
          <w:rFonts w:hint="eastAsia" w:ascii="宋体" w:hAnsi="宋体" w:eastAsia="宋体" w:cs="宋体"/>
          <w:color w:val="auto"/>
          <w:kern w:val="2"/>
          <w:sz w:val="24"/>
          <w:szCs w:val="24"/>
          <w:highlight w:val="none"/>
          <w:u w:val="none"/>
          <w:lang w:val="en-US" w:eastAsia="zh-CN" w:bidi="ar-SA"/>
        </w:rPr>
      </w:pPr>
      <w:r>
        <w:rPr>
          <w:rFonts w:hint="eastAsia" w:ascii="宋体" w:hAnsi="宋体" w:cs="宋体"/>
          <w:color w:val="auto"/>
          <w:kern w:val="2"/>
          <w:sz w:val="24"/>
          <w:szCs w:val="24"/>
          <w:highlight w:val="none"/>
          <w:u w:val="none"/>
          <w:lang w:val="en-US" w:eastAsia="zh-CN" w:bidi="ar-SA"/>
        </w:rPr>
        <w:t xml:space="preserve"> </w:t>
      </w:r>
    </w:p>
    <w:p w14:paraId="393989B1">
      <w:pPr>
        <w:keepNext w:val="0"/>
        <w:keepLines w:val="0"/>
        <w:pageBreakBefore w:val="0"/>
        <w:widowControl w:val="0"/>
        <w:kinsoku/>
        <w:wordWrap/>
        <w:overflowPunct/>
        <w:topLinePunct w:val="0"/>
        <w:autoSpaceDE/>
        <w:autoSpaceDN/>
        <w:bidi w:val="0"/>
        <w:adjustRightInd/>
        <w:snapToGrid/>
        <w:spacing w:line="520" w:lineRule="exact"/>
        <w:ind w:left="0" w:leftChars="0" w:right="0" w:rightChars="0" w:firstLine="480" w:firstLineChars="200"/>
        <w:jc w:val="both"/>
        <w:textAlignment w:val="auto"/>
        <w:outlineLvl w:val="9"/>
        <w:rPr>
          <w:rFonts w:hint="default" w:ascii="宋体" w:hAnsi="宋体" w:eastAsia="宋体" w:cs="宋体"/>
          <w:color w:val="auto"/>
          <w:kern w:val="2"/>
          <w:sz w:val="28"/>
          <w:szCs w:val="28"/>
          <w:highlight w:val="none"/>
          <w:u w:val="none"/>
          <w:lang w:val="en-US" w:eastAsia="zh-CN" w:bidi="ar-SA"/>
        </w:rPr>
      </w:pPr>
      <w:r>
        <w:rPr>
          <w:rFonts w:hint="eastAsia" w:ascii="宋体" w:hAnsi="宋体" w:eastAsia="宋体" w:cs="宋体"/>
          <w:color w:val="auto"/>
          <w:kern w:val="2"/>
          <w:sz w:val="24"/>
          <w:szCs w:val="24"/>
          <w:highlight w:val="none"/>
          <w:u w:val="none"/>
          <w:lang w:val="en-US" w:eastAsia="zh-CN" w:bidi="ar-SA"/>
        </w:rPr>
        <w:t>我方完全同意并认可上述实质性变动内容，并愿意依据上述实质性变动内容提交最后报价及承诺函。</w:t>
      </w:r>
    </w:p>
    <w:p w14:paraId="4A47322E">
      <w:pPr>
        <w:pStyle w:val="11"/>
        <w:pageBreakBefore w:val="0"/>
        <w:widowControl w:val="0"/>
        <w:kinsoku/>
        <w:autoSpaceDE/>
        <w:bidi w:val="0"/>
        <w:rPr>
          <w:rFonts w:hint="eastAsia" w:ascii="宋体" w:hAnsi="宋体" w:eastAsia="宋体" w:cs="宋体"/>
          <w:color w:val="auto"/>
          <w:kern w:val="2"/>
          <w:sz w:val="28"/>
          <w:szCs w:val="28"/>
          <w:highlight w:val="none"/>
          <w:u w:val="none"/>
          <w:lang w:val="en-US" w:eastAsia="zh-CN" w:bidi="ar-SA"/>
        </w:rPr>
      </w:pPr>
    </w:p>
    <w:p w14:paraId="6293A141">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宋体" w:hAnsi="宋体" w:eastAsia="宋体" w:cs="宋体"/>
          <w:b w:val="0"/>
          <w:bCs w:val="0"/>
          <w:color w:val="auto"/>
          <w:sz w:val="28"/>
          <w:szCs w:val="28"/>
          <w:highlight w:val="none"/>
          <w:lang w:val="en-US" w:eastAsia="zh-CN"/>
        </w:rPr>
      </w:pPr>
    </w:p>
    <w:p w14:paraId="38FDE58F">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宋体" w:hAnsi="宋体" w:eastAsia="宋体" w:cs="宋体"/>
          <w:b w:val="0"/>
          <w:bCs w:val="0"/>
          <w:color w:val="auto"/>
          <w:sz w:val="28"/>
          <w:szCs w:val="28"/>
          <w:highlight w:val="none"/>
          <w:lang w:val="en-US" w:eastAsia="zh-CN"/>
        </w:rPr>
      </w:pPr>
      <w:r>
        <w:rPr>
          <w:rFonts w:hint="eastAsia" w:ascii="宋体" w:hAnsi="宋体" w:eastAsia="宋体" w:cs="宋体"/>
          <w:b w:val="0"/>
          <w:bCs w:val="0"/>
          <w:color w:val="auto"/>
          <w:sz w:val="28"/>
          <w:szCs w:val="28"/>
          <w:highlight w:val="none"/>
          <w:lang w:val="en-US" w:eastAsia="zh-CN"/>
        </w:rPr>
        <w:t xml:space="preserve">   </w:t>
      </w:r>
    </w:p>
    <w:p w14:paraId="22C6E3B0">
      <w:pPr>
        <w:keepNext w:val="0"/>
        <w:keepLines w:val="0"/>
        <w:pageBreakBefore w:val="0"/>
        <w:widowControl w:val="0"/>
        <w:numPr>
          <w:ilvl w:val="0"/>
          <w:numId w:val="0"/>
        </w:numPr>
        <w:kinsoku/>
        <w:wordWrap/>
        <w:overflowPunct/>
        <w:topLinePunct w:val="0"/>
        <w:autoSpaceDE/>
        <w:autoSpaceDN/>
        <w:bidi w:val="0"/>
        <w:adjustRightInd/>
        <w:snapToGrid/>
        <w:spacing w:line="660" w:lineRule="exact"/>
        <w:jc w:val="center"/>
        <w:textAlignment w:val="auto"/>
        <w:rPr>
          <w:rFonts w:hint="eastAsia" w:ascii="宋体" w:hAnsi="宋体" w:eastAsia="宋体" w:cs="宋体"/>
          <w:b w:val="0"/>
          <w:bCs w:val="0"/>
          <w:color w:val="auto"/>
          <w:sz w:val="28"/>
          <w:szCs w:val="28"/>
          <w:highlight w:val="none"/>
          <w:lang w:val="en-US" w:eastAsia="zh-CN"/>
        </w:rPr>
      </w:pPr>
    </w:p>
    <w:p w14:paraId="69924171">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供应商：</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60471C6F">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p>
    <w:p w14:paraId="1E3DF28B">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法定代表人或委托代理人：</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705437A0">
      <w:pPr>
        <w:keepNext w:val="0"/>
        <w:keepLines w:val="0"/>
        <w:pageBreakBefore w:val="0"/>
        <w:widowControl w:val="0"/>
        <w:kinsoku/>
        <w:wordWrap/>
        <w:overflowPunct/>
        <w:topLinePunct w:val="0"/>
        <w:autoSpaceDE/>
        <w:autoSpaceDN/>
        <w:bidi w:val="0"/>
        <w:adjustRightInd/>
        <w:snapToGrid/>
        <w:spacing w:line="600" w:lineRule="exact"/>
        <w:jc w:val="both"/>
        <w:textAlignment w:val="auto"/>
        <w:rPr>
          <w:rFonts w:hint="eastAsia" w:ascii="宋体" w:hAnsi="宋体"/>
          <w:b/>
          <w:bCs/>
          <w:color w:val="auto"/>
          <w:sz w:val="24"/>
          <w:szCs w:val="24"/>
          <w:highlight w:val="none"/>
        </w:rPr>
      </w:pPr>
      <w:r>
        <w:rPr>
          <w:rFonts w:hint="eastAsia" w:ascii="宋体" w:hAnsi="宋体"/>
          <w:b/>
          <w:bCs/>
          <w:color w:val="auto"/>
          <w:sz w:val="24"/>
          <w:szCs w:val="24"/>
          <w:highlight w:val="none"/>
        </w:rPr>
        <w:t>日期：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p>
    <w:p w14:paraId="0FFE1CF1">
      <w:pPr>
        <w:pageBreakBefore w:val="0"/>
        <w:widowControl w:val="0"/>
        <w:kinsoku/>
        <w:autoSpaceDE/>
        <w:bidi w:val="0"/>
        <w:rPr>
          <w:rFonts w:hint="eastAsia"/>
          <w:color w:val="auto"/>
          <w:highlight w:val="none"/>
        </w:rPr>
      </w:pPr>
    </w:p>
    <w:p w14:paraId="749EBE29">
      <w:pPr>
        <w:pageBreakBefore w:val="0"/>
        <w:widowControl w:val="0"/>
        <w:kinsoku/>
        <w:autoSpaceDE/>
        <w:bidi w:val="0"/>
        <w:rPr>
          <w:rFonts w:hint="eastAsia"/>
          <w:color w:val="auto"/>
          <w:highlight w:val="none"/>
          <w:lang w:val="en-US" w:eastAsia="zh-CN"/>
        </w:rPr>
        <w:sectPr>
          <w:pgSz w:w="11906" w:h="16838"/>
          <w:pgMar w:top="1440" w:right="1474" w:bottom="1440" w:left="1474" w:header="850" w:footer="992" w:gutter="0"/>
          <w:pgNumType w:fmt="decimal"/>
          <w:cols w:space="0" w:num="1"/>
          <w:rtlGutter w:val="0"/>
          <w:docGrid w:linePitch="327" w:charSpace="0"/>
        </w:sectPr>
      </w:pPr>
    </w:p>
    <w:p w14:paraId="25202D43">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b/>
          <w:bCs/>
          <w:color w:val="auto"/>
          <w:sz w:val="28"/>
          <w:szCs w:val="28"/>
          <w:highlight w:val="none"/>
          <w:lang w:val="en-US" w:eastAsia="zh-CN"/>
        </w:rPr>
      </w:pPr>
      <w:r>
        <w:rPr>
          <w:rFonts w:hint="eastAsia" w:ascii="宋体" w:hAnsi="宋体"/>
          <w:b/>
          <w:bCs/>
          <w:color w:val="auto"/>
          <w:sz w:val="28"/>
          <w:szCs w:val="28"/>
          <w:highlight w:val="none"/>
          <w:lang w:val="en-US" w:eastAsia="zh-CN"/>
        </w:rPr>
        <w:t>永德县永康林场国家澳洲坚果良种基地2025年中央财政林木良种培育补助项目</w:t>
      </w:r>
    </w:p>
    <w:p w14:paraId="013AD8BD">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宋体" w:hAnsi="宋体"/>
          <w:color w:val="auto"/>
          <w:sz w:val="24"/>
          <w:szCs w:val="24"/>
          <w:highlight w:val="none"/>
        </w:rPr>
      </w:pPr>
      <w:r>
        <w:rPr>
          <w:rFonts w:hint="eastAsia" w:ascii="宋体" w:hAnsi="宋体"/>
          <w:b/>
          <w:bCs/>
          <w:color w:val="auto"/>
          <w:sz w:val="28"/>
          <w:szCs w:val="28"/>
          <w:highlight w:val="none"/>
          <w:lang w:val="en-US" w:eastAsia="zh-CN"/>
        </w:rPr>
        <w:t>最后报价及承诺函</w:t>
      </w:r>
    </w:p>
    <w:p w14:paraId="0598DF6A">
      <w:pPr>
        <w:pageBreakBefore w:val="0"/>
        <w:widowControl w:val="0"/>
        <w:kinsoku/>
        <w:autoSpaceDE/>
        <w:autoSpaceDN/>
        <w:bidi w:val="0"/>
        <w:spacing w:line="360" w:lineRule="auto"/>
        <w:rPr>
          <w:rFonts w:hint="eastAsia" w:ascii="宋体" w:hAnsi="宋体"/>
          <w:color w:val="auto"/>
          <w:sz w:val="24"/>
          <w:szCs w:val="24"/>
          <w:highlight w:val="none"/>
        </w:rPr>
      </w:pPr>
    </w:p>
    <w:p w14:paraId="3611C7DF">
      <w:pPr>
        <w:pageBreakBefore w:val="0"/>
        <w:widowControl w:val="0"/>
        <w:kinsoku/>
        <w:autoSpaceDE/>
        <w:autoSpaceDN/>
        <w:bidi w:val="0"/>
        <w:spacing w:line="360" w:lineRule="auto"/>
        <w:rPr>
          <w:rFonts w:hint="eastAsia" w:ascii="宋体" w:hAnsi="宋体" w:eastAsia="宋体"/>
          <w:b/>
          <w:bCs/>
          <w:color w:val="auto"/>
          <w:sz w:val="24"/>
          <w:szCs w:val="24"/>
          <w:highlight w:val="none"/>
          <w:u w:val="single"/>
          <w:lang w:eastAsia="zh-CN"/>
        </w:rPr>
      </w:pPr>
      <w:r>
        <w:rPr>
          <w:rFonts w:hint="eastAsia" w:ascii="宋体" w:hAnsi="宋体"/>
          <w:color w:val="auto"/>
          <w:sz w:val="24"/>
          <w:szCs w:val="24"/>
          <w:highlight w:val="none"/>
        </w:rPr>
        <w:t>致：</w:t>
      </w:r>
      <w:r>
        <w:rPr>
          <w:rFonts w:hint="eastAsia" w:ascii="宋体" w:hAnsi="宋体"/>
          <w:b/>
          <w:bCs/>
          <w:color w:val="auto"/>
          <w:sz w:val="24"/>
          <w:szCs w:val="24"/>
          <w:highlight w:val="none"/>
          <w:u w:val="single"/>
          <w:lang w:eastAsia="zh-CN"/>
        </w:rPr>
        <w:t>永德县林业和草原局</w:t>
      </w:r>
    </w:p>
    <w:p w14:paraId="5111C142">
      <w:pPr>
        <w:pageBreakBefore w:val="0"/>
        <w:widowControl w:val="0"/>
        <w:kinsoku/>
        <w:overflowPunct/>
        <w:topLinePunct w:val="0"/>
        <w:autoSpaceDE/>
        <w:autoSpaceDN/>
        <w:bidi w:val="0"/>
        <w:adjustRightInd/>
        <w:snapToGrid/>
        <w:spacing w:line="360" w:lineRule="auto"/>
        <w:textAlignment w:val="auto"/>
        <w:outlineLvl w:val="9"/>
        <w:rPr>
          <w:rFonts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1.</w:t>
      </w:r>
      <w:r>
        <w:rPr>
          <w:rFonts w:hint="eastAsia" w:ascii="宋体" w:hAnsi="宋体"/>
          <w:color w:val="auto"/>
          <w:sz w:val="24"/>
          <w:szCs w:val="24"/>
          <w:highlight w:val="none"/>
        </w:rPr>
        <w:t>我单位对</w:t>
      </w:r>
      <w:r>
        <w:rPr>
          <w:rFonts w:hint="eastAsia" w:ascii="宋体" w:hAnsi="宋体"/>
          <w:b/>
          <w:bCs/>
          <w:color w:val="auto"/>
          <w:sz w:val="24"/>
          <w:szCs w:val="24"/>
          <w:highlight w:val="none"/>
          <w:u w:val="single"/>
          <w:lang w:eastAsia="zh-CN"/>
        </w:rPr>
        <w:t>永德县永康林场国家澳洲坚果良种基地2025年中央财政林木良种培育补助项目</w:t>
      </w:r>
      <w:r>
        <w:rPr>
          <w:rFonts w:hint="eastAsia" w:ascii="宋体" w:hAnsi="宋体"/>
          <w:color w:val="auto"/>
          <w:sz w:val="24"/>
          <w:szCs w:val="24"/>
          <w:highlight w:val="none"/>
          <w:lang w:val="en-US" w:eastAsia="zh-CN"/>
        </w:rPr>
        <w:t>最后</w:t>
      </w:r>
      <w:r>
        <w:rPr>
          <w:rFonts w:hint="eastAsia" w:ascii="宋体" w:hAnsi="宋体"/>
          <w:color w:val="auto"/>
          <w:sz w:val="24"/>
          <w:szCs w:val="24"/>
          <w:highlight w:val="none"/>
        </w:rPr>
        <w:t>报价</w:t>
      </w:r>
      <w:r>
        <w:rPr>
          <w:rFonts w:hint="eastAsia" w:ascii="宋体" w:hAnsi="宋体"/>
          <w:color w:val="auto"/>
          <w:sz w:val="24"/>
          <w:szCs w:val="24"/>
          <w:highlight w:val="none"/>
          <w:lang w:val="en-US" w:eastAsia="zh-CN"/>
        </w:rPr>
        <w:t>如下</w:t>
      </w:r>
      <w:r>
        <w:rPr>
          <w:rFonts w:hint="eastAsia" w:ascii="宋体" w:hAnsi="宋体"/>
          <w:color w:val="auto"/>
          <w:sz w:val="24"/>
          <w:szCs w:val="24"/>
          <w:highlight w:val="none"/>
        </w:rPr>
        <w:t>：</w:t>
      </w:r>
    </w:p>
    <w:p w14:paraId="3E266B53">
      <w:pPr>
        <w:pageBreakBefore w:val="0"/>
        <w:widowControl w:val="0"/>
        <w:kinsoku/>
        <w:overflowPunct/>
        <w:topLinePunct w:val="0"/>
        <w:autoSpaceDE/>
        <w:autoSpaceDN/>
        <w:bidi w:val="0"/>
        <w:adjustRightInd/>
        <w:snapToGrid/>
        <w:spacing w:line="360" w:lineRule="auto"/>
        <w:ind w:firstLine="420" w:firstLineChars="0"/>
        <w:textAlignment w:val="auto"/>
        <w:outlineLvl w:val="9"/>
        <w:rPr>
          <w:rFonts w:hint="eastAsia" w:ascii="宋体" w:hAnsi="宋体" w:eastAsia="宋体"/>
          <w:color w:val="auto"/>
          <w:sz w:val="24"/>
          <w:szCs w:val="24"/>
          <w:highlight w:val="none"/>
          <w:u w:val="single"/>
          <w:lang w:eastAsia="zh-CN"/>
        </w:rPr>
      </w:pPr>
      <w:r>
        <w:rPr>
          <w:rFonts w:hint="eastAsia" w:ascii="宋体" w:hAnsi="宋体"/>
          <w:color w:val="auto"/>
          <w:sz w:val="24"/>
          <w:szCs w:val="24"/>
          <w:highlight w:val="none"/>
        </w:rPr>
        <w:t>小写：</w:t>
      </w:r>
      <w:r>
        <w:rPr>
          <w:rFonts w:hint="eastAsia" w:ascii="宋体" w:hAnsi="宋体"/>
          <w:color w:val="auto"/>
          <w:sz w:val="24"/>
          <w:szCs w:val="24"/>
          <w:highlight w:val="none"/>
          <w:u w:val="single"/>
          <w:lang w:eastAsia="zh-CN"/>
        </w:rPr>
        <w:t>￥</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none"/>
          <w:lang w:val="en-US" w:eastAsia="zh-CN"/>
        </w:rPr>
        <w:t>元</w:t>
      </w:r>
      <w:r>
        <w:rPr>
          <w:rFonts w:hint="eastAsia" w:ascii="宋体" w:hAnsi="宋体"/>
          <w:color w:val="auto"/>
          <w:sz w:val="24"/>
          <w:szCs w:val="24"/>
          <w:highlight w:val="none"/>
        </w:rPr>
        <w:t>（小数点后保留两位小数）</w:t>
      </w:r>
      <w:r>
        <w:rPr>
          <w:rFonts w:hint="eastAsia" w:ascii="宋体" w:hAnsi="宋体"/>
          <w:color w:val="auto"/>
          <w:sz w:val="24"/>
          <w:szCs w:val="24"/>
          <w:highlight w:val="none"/>
          <w:lang w:eastAsia="zh-CN"/>
        </w:rPr>
        <w:t>；</w:t>
      </w:r>
    </w:p>
    <w:p w14:paraId="7FA63473">
      <w:pPr>
        <w:pageBreakBefore w:val="0"/>
        <w:widowControl w:val="0"/>
        <w:kinsoku/>
        <w:overflowPunct/>
        <w:topLinePunct w:val="0"/>
        <w:autoSpaceDE/>
        <w:autoSpaceDN/>
        <w:bidi w:val="0"/>
        <w:adjustRightInd/>
        <w:snapToGrid/>
        <w:spacing w:line="360" w:lineRule="auto"/>
        <w:ind w:firstLine="420" w:firstLineChars="0"/>
        <w:textAlignment w:val="auto"/>
        <w:outlineLvl w:val="9"/>
        <w:rPr>
          <w:rFonts w:hint="eastAsia" w:ascii="宋体" w:hAnsi="宋体" w:cs="宋体"/>
          <w:color w:val="auto"/>
          <w:sz w:val="28"/>
          <w:szCs w:val="28"/>
          <w:highlight w:val="none"/>
        </w:rPr>
      </w:pPr>
      <w:r>
        <w:rPr>
          <w:rFonts w:hint="eastAsia" w:ascii="宋体" w:hAnsi="宋体"/>
          <w:color w:val="auto"/>
          <w:sz w:val="24"/>
          <w:szCs w:val="24"/>
          <w:highlight w:val="none"/>
        </w:rPr>
        <w:t>大写：</w:t>
      </w:r>
      <w:r>
        <w:rPr>
          <w:rFonts w:hint="eastAsia" w:ascii="宋体" w:hAnsi="宋体"/>
          <w:color w:val="auto"/>
          <w:sz w:val="24"/>
          <w:szCs w:val="24"/>
          <w:highlight w:val="none"/>
          <w:u w:val="none"/>
          <w:lang w:val="en-US" w:eastAsia="zh-CN"/>
        </w:rPr>
        <w:t>人民币</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none"/>
          <w:lang w:eastAsia="zh-CN"/>
        </w:rPr>
        <w:t>。</w:t>
      </w:r>
    </w:p>
    <w:p w14:paraId="6E9A5691">
      <w:pPr>
        <w:pageBreakBefore w:val="0"/>
        <w:widowControl w:val="0"/>
        <w:kinsoku/>
        <w:overflowPunct/>
        <w:topLinePunct w:val="0"/>
        <w:autoSpaceDE/>
        <w:autoSpaceDN/>
        <w:bidi w:val="0"/>
        <w:adjustRightInd/>
        <w:snapToGrid/>
        <w:spacing w:line="360" w:lineRule="auto"/>
        <w:ind w:firstLine="360" w:firstLineChars="150"/>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我单位对已承诺的部分内容调整如下：</w:t>
      </w:r>
    </w:p>
    <w:p w14:paraId="7D49E7AB">
      <w:pPr>
        <w:pageBreakBefore w:val="0"/>
        <w:widowControl w:val="0"/>
        <w:kinsoku/>
        <w:overflowPunct/>
        <w:topLinePunct w:val="0"/>
        <w:autoSpaceDE/>
        <w:autoSpaceDN/>
        <w:bidi w:val="0"/>
        <w:adjustRightInd/>
        <w:snapToGrid/>
        <w:spacing w:line="360" w:lineRule="auto"/>
        <w:textAlignment w:val="auto"/>
        <w:outlineLvl w:val="9"/>
        <w:rPr>
          <w:rFonts w:hint="eastAsia" w:ascii="宋体" w:hAnsi="宋体"/>
          <w:color w:val="auto"/>
          <w:sz w:val="24"/>
          <w:szCs w:val="24"/>
          <w:highlight w:val="none"/>
        </w:rPr>
      </w:pPr>
    </w:p>
    <w:p w14:paraId="0DE15F98">
      <w:pPr>
        <w:pStyle w:val="10"/>
        <w:pageBreakBefore w:val="0"/>
        <w:widowControl w:val="0"/>
        <w:kinsoku/>
        <w:autoSpaceDE/>
        <w:bidi w:val="0"/>
        <w:rPr>
          <w:rFonts w:hint="eastAsia"/>
          <w:color w:val="auto"/>
          <w:highlight w:val="none"/>
        </w:rPr>
      </w:pPr>
    </w:p>
    <w:p w14:paraId="23D995DA">
      <w:pPr>
        <w:pStyle w:val="10"/>
        <w:pageBreakBefore w:val="0"/>
        <w:widowControl w:val="0"/>
        <w:kinsoku/>
        <w:autoSpaceDE/>
        <w:bidi w:val="0"/>
        <w:rPr>
          <w:rFonts w:hint="eastAsia"/>
          <w:color w:val="auto"/>
          <w:highlight w:val="none"/>
        </w:rPr>
      </w:pPr>
    </w:p>
    <w:p w14:paraId="59047E48">
      <w:pPr>
        <w:pageBreakBefore w:val="0"/>
        <w:widowControl w:val="0"/>
        <w:kinsoku/>
        <w:autoSpaceDE/>
        <w:bidi w:val="0"/>
        <w:rPr>
          <w:rFonts w:hint="eastAsia"/>
          <w:color w:val="auto"/>
          <w:highlight w:val="none"/>
        </w:rPr>
      </w:pPr>
    </w:p>
    <w:p w14:paraId="198869C4">
      <w:pPr>
        <w:pStyle w:val="10"/>
        <w:pageBreakBefore w:val="0"/>
        <w:widowControl w:val="0"/>
        <w:kinsoku/>
        <w:autoSpaceDE/>
        <w:bidi w:val="0"/>
        <w:rPr>
          <w:rFonts w:hint="eastAsia"/>
          <w:color w:val="auto"/>
          <w:highlight w:val="none"/>
        </w:rPr>
      </w:pPr>
    </w:p>
    <w:p w14:paraId="4BEFD6DF">
      <w:pPr>
        <w:pageBreakBefore w:val="0"/>
        <w:widowControl w:val="0"/>
        <w:kinsoku/>
        <w:autoSpaceDE/>
        <w:bidi w:val="0"/>
        <w:rPr>
          <w:rFonts w:hint="eastAsia"/>
          <w:color w:val="auto"/>
          <w:highlight w:val="none"/>
        </w:rPr>
      </w:pPr>
    </w:p>
    <w:p w14:paraId="5C48FC9B">
      <w:pPr>
        <w:pageBreakBefore w:val="0"/>
        <w:widowControl w:val="0"/>
        <w:kinsoku/>
        <w:autoSpaceDE/>
        <w:bidi w:val="0"/>
        <w:rPr>
          <w:rFonts w:hint="eastAsia"/>
          <w:color w:val="auto"/>
          <w:highlight w:val="none"/>
        </w:rPr>
      </w:pPr>
    </w:p>
    <w:p w14:paraId="3884C798">
      <w:pPr>
        <w:pageBreakBefore w:val="0"/>
        <w:widowControl w:val="0"/>
        <w:kinsoku/>
        <w:overflowPunct/>
        <w:topLinePunct w:val="0"/>
        <w:autoSpaceDE/>
        <w:autoSpaceDN/>
        <w:bidi w:val="0"/>
        <w:adjustRightInd/>
        <w:snapToGrid/>
        <w:spacing w:line="360" w:lineRule="auto"/>
        <w:ind w:firstLine="360" w:firstLineChars="150"/>
        <w:textAlignment w:val="auto"/>
        <w:outlineLvl w:val="9"/>
        <w:rPr>
          <w:rFonts w:ascii="宋体" w:hAnsi="宋体"/>
          <w:color w:val="auto"/>
          <w:sz w:val="24"/>
          <w:szCs w:val="24"/>
          <w:highlight w:val="none"/>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其他说明：</w:t>
      </w:r>
    </w:p>
    <w:p w14:paraId="2422506C">
      <w:pPr>
        <w:pageBreakBefore w:val="0"/>
        <w:widowControl w:val="0"/>
        <w:kinsoku/>
        <w:overflowPunct/>
        <w:topLinePunct w:val="0"/>
        <w:autoSpaceDE/>
        <w:autoSpaceDN/>
        <w:bidi w:val="0"/>
        <w:adjustRightInd/>
        <w:snapToGrid/>
        <w:spacing w:line="360" w:lineRule="auto"/>
        <w:textAlignment w:val="auto"/>
        <w:outlineLvl w:val="9"/>
        <w:rPr>
          <w:rFonts w:hint="eastAsia" w:ascii="宋体" w:hAnsi="宋体"/>
          <w:color w:val="auto"/>
          <w:sz w:val="24"/>
          <w:szCs w:val="24"/>
          <w:highlight w:val="none"/>
        </w:rPr>
      </w:pPr>
      <w:r>
        <w:rPr>
          <w:rFonts w:hint="eastAsia" w:ascii="宋体" w:hAnsi="宋体"/>
          <w:color w:val="auto"/>
          <w:sz w:val="24"/>
          <w:szCs w:val="24"/>
          <w:highlight w:val="none"/>
        </w:rPr>
        <w:t xml:space="preserve">    </w:t>
      </w:r>
    </w:p>
    <w:p w14:paraId="6BD95A44">
      <w:pPr>
        <w:pStyle w:val="10"/>
        <w:pageBreakBefore w:val="0"/>
        <w:widowControl w:val="0"/>
        <w:kinsoku/>
        <w:autoSpaceDE/>
        <w:bidi w:val="0"/>
        <w:rPr>
          <w:rFonts w:hint="eastAsia"/>
          <w:color w:val="auto"/>
          <w:highlight w:val="none"/>
        </w:rPr>
      </w:pPr>
    </w:p>
    <w:p w14:paraId="23B5FA20">
      <w:pPr>
        <w:pageBreakBefore w:val="0"/>
        <w:widowControl w:val="0"/>
        <w:kinsoku/>
        <w:autoSpaceDE/>
        <w:bidi w:val="0"/>
        <w:rPr>
          <w:rFonts w:hint="eastAsia"/>
          <w:color w:val="auto"/>
          <w:highlight w:val="none"/>
        </w:rPr>
      </w:pPr>
    </w:p>
    <w:p w14:paraId="56088F7B">
      <w:pPr>
        <w:pStyle w:val="10"/>
        <w:pageBreakBefore w:val="0"/>
        <w:widowControl w:val="0"/>
        <w:kinsoku/>
        <w:autoSpaceDE/>
        <w:bidi w:val="0"/>
        <w:rPr>
          <w:rFonts w:hint="eastAsia"/>
          <w:color w:val="auto"/>
          <w:highlight w:val="none"/>
        </w:rPr>
      </w:pPr>
    </w:p>
    <w:p w14:paraId="5DBB8480">
      <w:pPr>
        <w:pageBreakBefore w:val="0"/>
        <w:widowControl w:val="0"/>
        <w:kinsoku/>
        <w:autoSpaceDE/>
        <w:bidi w:val="0"/>
        <w:rPr>
          <w:rFonts w:hint="eastAsia"/>
          <w:color w:val="auto"/>
          <w:highlight w:val="none"/>
        </w:rPr>
      </w:pPr>
    </w:p>
    <w:p w14:paraId="7C7EFD92">
      <w:pPr>
        <w:pageBreakBefore w:val="0"/>
        <w:widowControl w:val="0"/>
        <w:kinsoku/>
        <w:autoSpaceDE/>
        <w:bidi w:val="0"/>
        <w:rPr>
          <w:rFonts w:hint="eastAsia"/>
          <w:color w:val="auto"/>
          <w:highlight w:val="none"/>
        </w:rPr>
      </w:pPr>
    </w:p>
    <w:p w14:paraId="646D6264">
      <w:pPr>
        <w:pStyle w:val="10"/>
        <w:pageBreakBefore w:val="0"/>
        <w:widowControl w:val="0"/>
        <w:kinsoku/>
        <w:autoSpaceDE/>
        <w:bidi w:val="0"/>
        <w:rPr>
          <w:rFonts w:hint="eastAsia"/>
          <w:color w:val="auto"/>
          <w:highlight w:val="none"/>
        </w:rPr>
      </w:pPr>
    </w:p>
    <w:p w14:paraId="24586848">
      <w:pPr>
        <w:pStyle w:val="10"/>
        <w:pageBreakBefore w:val="0"/>
        <w:widowControl w:val="0"/>
        <w:kinsoku/>
        <w:autoSpaceDE/>
        <w:bidi w:val="0"/>
        <w:rPr>
          <w:rFonts w:hint="eastAsia"/>
          <w:color w:val="auto"/>
          <w:highlight w:val="none"/>
          <w:lang w:eastAsia="zh-CN"/>
        </w:rPr>
      </w:pPr>
    </w:p>
    <w:p w14:paraId="647FFA96">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供应商：</w:t>
      </w:r>
      <w:r>
        <w:rPr>
          <w:rFonts w:hint="eastAsia" w:ascii="宋体" w:hAnsi="宋体"/>
          <w:b/>
          <w:bCs/>
          <w:color w:val="auto"/>
          <w:sz w:val="24"/>
          <w:szCs w:val="24"/>
          <w:highlight w:val="none"/>
          <w:u w:val="single"/>
        </w:rPr>
        <w:tab/>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3A35C92F">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 </w:t>
      </w:r>
    </w:p>
    <w:p w14:paraId="68D2E6AE">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法定代表人或委托代理人：</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（电子签章）</w:t>
      </w:r>
    </w:p>
    <w:p w14:paraId="2DFD83A3">
      <w:pPr>
        <w:pageBreakBefore w:val="0"/>
        <w:widowControl w:val="0"/>
        <w:kinsoku/>
        <w:autoSpaceDE/>
        <w:bidi w:val="0"/>
        <w:ind w:firstLine="1205" w:firstLineChars="500"/>
        <w:rPr>
          <w:rFonts w:hint="eastAsia" w:ascii="宋体" w:hAnsi="宋体"/>
          <w:b/>
          <w:bCs/>
          <w:color w:val="auto"/>
          <w:sz w:val="24"/>
          <w:szCs w:val="24"/>
          <w:highlight w:val="none"/>
        </w:rPr>
      </w:pPr>
    </w:p>
    <w:p w14:paraId="60C71A26">
      <w:pPr>
        <w:pageBreakBefore w:val="0"/>
        <w:widowControl w:val="0"/>
        <w:kinsoku/>
        <w:autoSpaceDE/>
        <w:bidi w:val="0"/>
        <w:rPr>
          <w:rFonts w:hint="eastAsia" w:ascii="宋体" w:hAnsi="宋体"/>
          <w:b/>
          <w:bCs/>
          <w:color w:val="auto"/>
          <w:sz w:val="24"/>
          <w:szCs w:val="24"/>
          <w:highlight w:val="none"/>
        </w:rPr>
      </w:pPr>
      <w:r>
        <w:rPr>
          <w:rFonts w:hint="eastAsia" w:ascii="宋体" w:hAnsi="宋体"/>
          <w:b/>
          <w:bCs/>
          <w:color w:val="auto"/>
          <w:sz w:val="24"/>
          <w:szCs w:val="24"/>
          <w:highlight w:val="none"/>
        </w:rPr>
        <w:t>日期：</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u w:val="single"/>
          <w:lang w:val="en-US" w:eastAsia="zh-CN"/>
        </w:rPr>
        <w:t xml:space="preserve"> </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年</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月</w:t>
      </w:r>
      <w:r>
        <w:rPr>
          <w:rFonts w:hint="eastAsia" w:ascii="宋体" w:hAnsi="宋体"/>
          <w:b/>
          <w:bCs/>
          <w:color w:val="auto"/>
          <w:sz w:val="24"/>
          <w:szCs w:val="24"/>
          <w:highlight w:val="none"/>
          <w:u w:val="single"/>
        </w:rPr>
        <w:t xml:space="preserve">         </w:t>
      </w:r>
      <w:r>
        <w:rPr>
          <w:rFonts w:hint="eastAsia" w:ascii="宋体" w:hAnsi="宋体"/>
          <w:b/>
          <w:bCs/>
          <w:color w:val="auto"/>
          <w:sz w:val="24"/>
          <w:szCs w:val="24"/>
          <w:highlight w:val="none"/>
        </w:rPr>
        <w:t>日</w:t>
      </w:r>
    </w:p>
    <w:p w14:paraId="6209A33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default" w:asciiTheme="minorEastAsia" w:hAnsiTheme="minorEastAsia" w:eastAsiaTheme="minorEastAsia" w:cstheme="minorEastAsia"/>
          <w:b/>
          <w:bCs/>
          <w:color w:val="auto"/>
          <w:sz w:val="24"/>
          <w:szCs w:val="24"/>
          <w:highlight w:val="none"/>
          <w:lang w:val="en-US" w:eastAsia="zh-CN"/>
        </w:rPr>
      </w:pPr>
    </w:p>
    <w:sectPr>
      <w:pgSz w:w="11906" w:h="16838"/>
      <w:pgMar w:top="1440" w:right="1440" w:bottom="1440" w:left="1440" w:header="850" w:footer="992" w:gutter="0"/>
      <w:pgNumType w:fmt="decimal"/>
      <w:cols w:space="0" w:num="1"/>
      <w:rtlGutter w:val="0"/>
      <w:docGrid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B181B">
    <w:pPr>
      <w:pStyle w:val="15"/>
      <w:ind w:right="360"/>
      <w:jc w:val="both"/>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E06EF">
    <w:pPr>
      <w:pStyle w:val="15"/>
      <w:framePr w:wrap="around" w:vAnchor="text" w:hAnchor="margin" w:xAlign="center" w:y="1"/>
      <w:rPr>
        <w:rStyle w:val="29"/>
      </w:rPr>
    </w:pPr>
    <w:r>
      <w:fldChar w:fldCharType="begin"/>
    </w:r>
    <w:r>
      <w:rPr>
        <w:rStyle w:val="29"/>
      </w:rPr>
      <w:instrText xml:space="preserve">PAGE  </w:instrText>
    </w:r>
    <w:r>
      <w:fldChar w:fldCharType="separate"/>
    </w:r>
    <w:r>
      <w:rPr>
        <w:rStyle w:val="29"/>
      </w:rPr>
      <w:t>39</w:t>
    </w:r>
    <w:r>
      <w:fldChar w:fldCharType="end"/>
    </w:r>
  </w:p>
  <w:p w14:paraId="5E38A82F">
    <w:pPr>
      <w:pStyle w:val="15"/>
      <w:ind w:right="360"/>
      <w:rPr>
        <w:sz w:val="21"/>
      </w:rPr>
    </w:pPr>
    <w:r>
      <mc:AlternateContent>
        <mc:Choice Requires="wps">
          <w:drawing>
            <wp:anchor distT="0" distB="0" distL="0" distR="0" simplePos="0" relativeHeight="251659264" behindDoc="0" locked="0" layoutInCell="1" allowOverlap="1">
              <wp:simplePos x="0" y="0"/>
              <wp:positionH relativeFrom="margin">
                <wp:posOffset>0</wp:posOffset>
              </wp:positionH>
              <wp:positionV relativeFrom="paragraph">
                <wp:posOffset>0</wp:posOffset>
              </wp:positionV>
              <wp:extent cx="66675" cy="172720"/>
              <wp:effectExtent l="0" t="0" r="0" b="0"/>
              <wp:wrapSquare wrapText="bothSides"/>
              <wp:docPr id="3" name="文本框 3"/>
              <wp:cNvGraphicFramePr/>
              <a:graphic xmlns:a="http://schemas.openxmlformats.org/drawingml/2006/main">
                <a:graphicData uri="http://schemas.microsoft.com/office/word/2010/wordprocessingShape">
                  <wps:wsp>
                    <wps:cNvSpPr txBox="1"/>
                    <wps:spPr>
                      <a:xfrm>
                        <a:off x="0" y="0"/>
                        <a:ext cx="66675" cy="172720"/>
                      </a:xfrm>
                      <a:prstGeom prst="rect">
                        <a:avLst/>
                      </a:prstGeom>
                      <a:noFill/>
                      <a:ln w="9525">
                        <a:noFill/>
                      </a:ln>
                      <a:effectLst/>
                    </wps:spPr>
                    <wps:txbx>
                      <w:txbxContent>
                        <w:p w14:paraId="65007731">
                          <w:pPr>
                            <w:pStyle w:val="15"/>
                            <w:rPr>
                              <w:rStyle w:val="29"/>
                              <w:sz w:val="21"/>
                            </w:rPr>
                          </w:pPr>
                          <w:r>
                            <w:rPr>
                              <w:sz w:val="21"/>
                            </w:rPr>
                            <w:fldChar w:fldCharType="begin"/>
                          </w:r>
                          <w:r>
                            <w:rPr>
                              <w:rStyle w:val="29"/>
                              <w:sz w:val="21"/>
                            </w:rPr>
                            <w:instrText xml:space="preserve">Page</w:instrText>
                          </w:r>
                          <w:r>
                            <w:rPr>
                              <w:sz w:val="21"/>
                            </w:rPr>
                            <w:fldChar w:fldCharType="separate"/>
                          </w:r>
                          <w:r>
                            <w:rPr>
                              <w:rStyle w:val="29"/>
                              <w:sz w:val="21"/>
                            </w:rPr>
                            <w:t>40</w:t>
                          </w:r>
                          <w:r>
                            <w:rPr>
                              <w:sz w:val="21"/>
                            </w:rPr>
                            <w:fldChar w:fldCharType="end"/>
                          </w:r>
                        </w:p>
                      </w:txbxContent>
                    </wps:txbx>
                    <wps:bodyPr lIns="0" tIns="0" rIns="0" bIns="0" upright="1"/>
                  </wps:wsp>
                </a:graphicData>
              </a:graphic>
            </wp:anchor>
          </w:drawing>
        </mc:Choice>
        <mc:Fallback>
          <w:pict>
            <v:shape id="_x0000_s1026" o:spid="_x0000_s1026" o:spt="202" type="#_x0000_t202" style="position:absolute;left:0pt;margin-left:0pt;margin-top:0pt;height:13.6pt;width:5.25pt;mso-position-horizontal-relative:margin;mso-wrap-distance-bottom:0pt;mso-wrap-distance-left:0pt;mso-wrap-distance-right:0pt;mso-wrap-distance-top:0pt;z-index:251659264;mso-width-relative:page;mso-height-relative:page;" filled="f" stroked="f" coordsize="21600,21600" o:gfxdata="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G0n7CvTAAAAAwEAAA8AAAAAAAAAAQAgAAAAIgAAAGRycy9kb3ducmV2&#10;LnhtbFBLAQIUABQAAAAIAIdO4kA+noRJyAEAAIcDAAAOAAAAAAAAAAEAIAAAACIBAABkcnMvZTJv&#10;RG9jLnhtbFBLBQYAAAAABgAGAFkBAABcBQAAAAA=&#10;">
              <v:fill on="f" focussize="0,0"/>
              <v:stroke on="f"/>
              <v:imagedata o:title=""/>
              <o:lock v:ext="edit" aspectratio="f"/>
              <v:textbox inset="0mm,0mm,0mm,0mm">
                <w:txbxContent>
                  <w:p w14:paraId="65007731">
                    <w:pPr>
                      <w:pStyle w:val="15"/>
                      <w:rPr>
                        <w:rStyle w:val="29"/>
                        <w:sz w:val="21"/>
                      </w:rPr>
                    </w:pPr>
                    <w:r>
                      <w:rPr>
                        <w:sz w:val="21"/>
                      </w:rPr>
                      <w:fldChar w:fldCharType="begin"/>
                    </w:r>
                    <w:r>
                      <w:rPr>
                        <w:rStyle w:val="29"/>
                        <w:sz w:val="21"/>
                      </w:rPr>
                      <w:instrText xml:space="preserve">Page</w:instrText>
                    </w:r>
                    <w:r>
                      <w:rPr>
                        <w:sz w:val="21"/>
                      </w:rPr>
                      <w:fldChar w:fldCharType="separate"/>
                    </w:r>
                    <w:r>
                      <w:rPr>
                        <w:rStyle w:val="29"/>
                        <w:sz w:val="21"/>
                      </w:rPr>
                      <w:t>40</w:t>
                    </w:r>
                    <w:r>
                      <w:rPr>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5D348">
    <w:pPr>
      <w:pStyle w:val="15"/>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F2890">
    <w:pPr>
      <w:pStyle w:val="15"/>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8F52FB">
                          <w:pPr>
                            <w:pStyle w:val="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18F52FB">
                    <w:pPr>
                      <w:pStyle w:val="1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  \* MERGEFORMAT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ACF4A">
    <w:pPr>
      <w:pStyle w:val="15"/>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E7788">
                          <w:pPr>
                            <w:pStyle w:val="1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7E7788">
                    <w:pPr>
                      <w:pStyle w:val="1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36</w:t>
                    </w:r>
                    <w:r>
                      <w:rPr>
                        <w:rFonts w:hint="eastAsia" w:ascii="宋体" w:hAnsi="宋体" w:eastAsia="宋体" w:cs="宋体"/>
                        <w:sz w:val="24"/>
                        <w:szCs w:val="24"/>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81D98">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F13AD8">
                          <w:pPr>
                            <w:pStyle w:val="1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76</w:t>
                          </w:r>
                          <w:r>
                            <w:rPr>
                              <w:rFonts w:hint="eastAsia" w:ascii="宋体" w:hAnsi="宋体" w:eastAsia="宋体" w:cs="宋体"/>
                              <w:sz w:val="24"/>
                              <w:szCs w:val="24"/>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1F13AD8">
                    <w:pPr>
                      <w:pStyle w:val="15"/>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76</w:t>
                    </w:r>
                    <w:r>
                      <w:rPr>
                        <w:rFonts w:hint="eastAsia" w:ascii="宋体" w:hAnsi="宋体" w:eastAsia="宋体" w:cs="宋体"/>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B900D">
    <w:pPr>
      <w:pStyle w:val="16"/>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37023">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48AEDC">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D948D">
    <w:pPr>
      <w:pStyle w:val="16"/>
      <w:jc w:val="both"/>
      <w:rPr>
        <w:rFonts w:hint="eastAsia"/>
      </w:rPr>
    </w:pPr>
    <w:r>
      <w:rPr>
        <w:rFonts w:hint="eastAsia" w:ascii="宋体"/>
        <w:lang w:val="en-GB" w:eastAsia="zh-CN"/>
      </w:rPr>
      <w:t>永德县永康林场国家澳洲坚果良种基地2025年中央财政林木良种培育补助项目</w:t>
    </w:r>
    <w:r>
      <w:rPr>
        <w:rFonts w:hint="eastAsia" w:ascii="宋体"/>
        <w:lang w:val="en-GB"/>
      </w:rPr>
      <w:t xml:space="preserve">                                </w:t>
    </w:r>
    <w:r>
      <w:rPr>
        <w:rFonts w:hint="eastAsia" w:ascii="宋体"/>
      </w:rPr>
      <w:t xml:space="preserve">                                           招标编号：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FC507">
    <w:pPr>
      <w:pStyle w:val="16"/>
      <w:pBdr>
        <w:bottom w:val="none" w:color="auto" w:sz="0" w:space="0"/>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B4D5A8">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0"/>
      <w:numFmt w:val="bullet"/>
      <w:lvlText w:val="●"/>
      <w:lvlJc w:val="left"/>
      <w:pPr>
        <w:ind w:left="353" w:hanging="237"/>
      </w:pPr>
      <w:rPr>
        <w:rFonts w:hint="default" w:ascii="宋体" w:hAnsi="宋体" w:eastAsia="宋体" w:cs="宋体"/>
        <w:w w:val="100"/>
        <w:sz w:val="21"/>
        <w:szCs w:val="21"/>
        <w:lang w:val="en-US" w:eastAsia="en-US" w:bidi="en-US"/>
      </w:rPr>
    </w:lvl>
    <w:lvl w:ilvl="1" w:tentative="0">
      <w:start w:val="0"/>
      <w:numFmt w:val="bullet"/>
      <w:lvlText w:val="•"/>
      <w:lvlJc w:val="left"/>
      <w:pPr>
        <w:ind w:left="1297" w:hanging="237"/>
      </w:pPr>
      <w:rPr>
        <w:rFonts w:hint="default"/>
        <w:lang w:val="en-US" w:eastAsia="en-US" w:bidi="en-US"/>
      </w:rPr>
    </w:lvl>
    <w:lvl w:ilvl="2" w:tentative="0">
      <w:start w:val="0"/>
      <w:numFmt w:val="bullet"/>
      <w:lvlText w:val="•"/>
      <w:lvlJc w:val="left"/>
      <w:pPr>
        <w:ind w:left="2235" w:hanging="237"/>
      </w:pPr>
      <w:rPr>
        <w:rFonts w:hint="default"/>
        <w:lang w:val="en-US" w:eastAsia="en-US" w:bidi="en-US"/>
      </w:rPr>
    </w:lvl>
    <w:lvl w:ilvl="3" w:tentative="0">
      <w:start w:val="0"/>
      <w:numFmt w:val="bullet"/>
      <w:lvlText w:val="•"/>
      <w:lvlJc w:val="left"/>
      <w:pPr>
        <w:ind w:left="3172" w:hanging="237"/>
      </w:pPr>
      <w:rPr>
        <w:rFonts w:hint="default"/>
        <w:lang w:val="en-US" w:eastAsia="en-US" w:bidi="en-US"/>
      </w:rPr>
    </w:lvl>
    <w:lvl w:ilvl="4" w:tentative="0">
      <w:start w:val="0"/>
      <w:numFmt w:val="bullet"/>
      <w:lvlText w:val="•"/>
      <w:lvlJc w:val="left"/>
      <w:pPr>
        <w:ind w:left="4110" w:hanging="237"/>
      </w:pPr>
      <w:rPr>
        <w:rFonts w:hint="default"/>
        <w:lang w:val="en-US" w:eastAsia="en-US" w:bidi="en-US"/>
      </w:rPr>
    </w:lvl>
    <w:lvl w:ilvl="5" w:tentative="0">
      <w:start w:val="0"/>
      <w:numFmt w:val="bullet"/>
      <w:lvlText w:val="•"/>
      <w:lvlJc w:val="left"/>
      <w:pPr>
        <w:ind w:left="5047" w:hanging="237"/>
      </w:pPr>
      <w:rPr>
        <w:rFonts w:hint="default"/>
        <w:lang w:val="en-US" w:eastAsia="en-US" w:bidi="en-US"/>
      </w:rPr>
    </w:lvl>
    <w:lvl w:ilvl="6" w:tentative="0">
      <w:start w:val="0"/>
      <w:numFmt w:val="bullet"/>
      <w:lvlText w:val="•"/>
      <w:lvlJc w:val="left"/>
      <w:pPr>
        <w:ind w:left="5985" w:hanging="237"/>
      </w:pPr>
      <w:rPr>
        <w:rFonts w:hint="default"/>
        <w:lang w:val="en-US" w:eastAsia="en-US" w:bidi="en-US"/>
      </w:rPr>
    </w:lvl>
    <w:lvl w:ilvl="7" w:tentative="0">
      <w:start w:val="0"/>
      <w:numFmt w:val="bullet"/>
      <w:lvlText w:val="•"/>
      <w:lvlJc w:val="left"/>
      <w:pPr>
        <w:ind w:left="6922" w:hanging="237"/>
      </w:pPr>
      <w:rPr>
        <w:rFonts w:hint="default"/>
        <w:lang w:val="en-US" w:eastAsia="en-US" w:bidi="en-US"/>
      </w:rPr>
    </w:lvl>
    <w:lvl w:ilvl="8" w:tentative="0">
      <w:start w:val="0"/>
      <w:numFmt w:val="bullet"/>
      <w:lvlText w:val="•"/>
      <w:lvlJc w:val="left"/>
      <w:pPr>
        <w:ind w:left="7860" w:hanging="237"/>
      </w:pPr>
      <w:rPr>
        <w:rFonts w:hint="default"/>
        <w:lang w:val="en-US" w:eastAsia="en-US" w:bidi="en-US"/>
      </w:rPr>
    </w:lvl>
  </w:abstractNum>
  <w:abstractNum w:abstractNumId="1">
    <w:nsid w:val="46DE0E51"/>
    <w:multiLevelType w:val="singleLevel"/>
    <w:tmpl w:val="46DE0E51"/>
    <w:lvl w:ilvl="0" w:tentative="0">
      <w:start w:val="8"/>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HorizontalSpacing w:val="210"/>
  <w:drawingGridVerticalSpacing w:val="99999990"/>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B0E10"/>
    <w:rsid w:val="000D0518"/>
    <w:rsid w:val="00102CEF"/>
    <w:rsid w:val="001A64C4"/>
    <w:rsid w:val="001E40CA"/>
    <w:rsid w:val="00207D7F"/>
    <w:rsid w:val="002235CA"/>
    <w:rsid w:val="00247343"/>
    <w:rsid w:val="002B1744"/>
    <w:rsid w:val="00345998"/>
    <w:rsid w:val="00351550"/>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854261"/>
    <w:rsid w:val="00867708"/>
    <w:rsid w:val="008C6C96"/>
    <w:rsid w:val="009444C8"/>
    <w:rsid w:val="009A37BE"/>
    <w:rsid w:val="009B646F"/>
    <w:rsid w:val="009C15CF"/>
    <w:rsid w:val="009D66E9"/>
    <w:rsid w:val="00A53833"/>
    <w:rsid w:val="00A6622F"/>
    <w:rsid w:val="00A66EA3"/>
    <w:rsid w:val="00A9146D"/>
    <w:rsid w:val="00AD558A"/>
    <w:rsid w:val="00C46C1F"/>
    <w:rsid w:val="00C621A8"/>
    <w:rsid w:val="00CF2BFF"/>
    <w:rsid w:val="00D2781B"/>
    <w:rsid w:val="00D97299"/>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D4B60"/>
    <w:rsid w:val="01415CD2"/>
    <w:rsid w:val="01521C8D"/>
    <w:rsid w:val="015977B8"/>
    <w:rsid w:val="015B4987"/>
    <w:rsid w:val="0160564A"/>
    <w:rsid w:val="01687703"/>
    <w:rsid w:val="016E5167"/>
    <w:rsid w:val="016F0A91"/>
    <w:rsid w:val="016F6AE2"/>
    <w:rsid w:val="01761E20"/>
    <w:rsid w:val="01787946"/>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B15BC3"/>
    <w:rsid w:val="01BA140A"/>
    <w:rsid w:val="01C41A91"/>
    <w:rsid w:val="01C928D7"/>
    <w:rsid w:val="01CF1530"/>
    <w:rsid w:val="01D60109"/>
    <w:rsid w:val="01DD59FB"/>
    <w:rsid w:val="01E274B5"/>
    <w:rsid w:val="01E55C7F"/>
    <w:rsid w:val="01FA0599"/>
    <w:rsid w:val="0204567E"/>
    <w:rsid w:val="02045F07"/>
    <w:rsid w:val="020E57A9"/>
    <w:rsid w:val="02225B04"/>
    <w:rsid w:val="02261BE3"/>
    <w:rsid w:val="02345366"/>
    <w:rsid w:val="023B2552"/>
    <w:rsid w:val="023B2668"/>
    <w:rsid w:val="02430DFA"/>
    <w:rsid w:val="02493090"/>
    <w:rsid w:val="024A0175"/>
    <w:rsid w:val="024E26D4"/>
    <w:rsid w:val="024E4B4B"/>
    <w:rsid w:val="0250441F"/>
    <w:rsid w:val="02511F45"/>
    <w:rsid w:val="02587C53"/>
    <w:rsid w:val="025D214D"/>
    <w:rsid w:val="025E1380"/>
    <w:rsid w:val="025F4662"/>
    <w:rsid w:val="02631013"/>
    <w:rsid w:val="026709FD"/>
    <w:rsid w:val="02694D8D"/>
    <w:rsid w:val="026954E1"/>
    <w:rsid w:val="026E18F2"/>
    <w:rsid w:val="0270061D"/>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049E"/>
    <w:rsid w:val="02BD75DA"/>
    <w:rsid w:val="02BF15A4"/>
    <w:rsid w:val="02C66262"/>
    <w:rsid w:val="02D0730E"/>
    <w:rsid w:val="02D405AB"/>
    <w:rsid w:val="02D45932"/>
    <w:rsid w:val="02DC2156"/>
    <w:rsid w:val="02E122B3"/>
    <w:rsid w:val="02EB777A"/>
    <w:rsid w:val="02F235B8"/>
    <w:rsid w:val="02F661CE"/>
    <w:rsid w:val="02FB392D"/>
    <w:rsid w:val="03084CFA"/>
    <w:rsid w:val="030F35FF"/>
    <w:rsid w:val="03123DCA"/>
    <w:rsid w:val="03127926"/>
    <w:rsid w:val="031439CE"/>
    <w:rsid w:val="0317318F"/>
    <w:rsid w:val="031C26D3"/>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710AF1"/>
    <w:rsid w:val="03724869"/>
    <w:rsid w:val="038344F3"/>
    <w:rsid w:val="038832EC"/>
    <w:rsid w:val="038B1C37"/>
    <w:rsid w:val="038C58AA"/>
    <w:rsid w:val="03962305"/>
    <w:rsid w:val="03A46726"/>
    <w:rsid w:val="03B10EED"/>
    <w:rsid w:val="03B12C38"/>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1C9E"/>
    <w:rsid w:val="043A3225"/>
    <w:rsid w:val="043B546A"/>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36FD0"/>
    <w:rsid w:val="04966335"/>
    <w:rsid w:val="049E3BEA"/>
    <w:rsid w:val="04A7716F"/>
    <w:rsid w:val="04AE18D1"/>
    <w:rsid w:val="04BA09AD"/>
    <w:rsid w:val="04BB7EC7"/>
    <w:rsid w:val="04BC08B4"/>
    <w:rsid w:val="04C17856"/>
    <w:rsid w:val="04C6507D"/>
    <w:rsid w:val="04D566C2"/>
    <w:rsid w:val="04D76CB9"/>
    <w:rsid w:val="04D90435"/>
    <w:rsid w:val="04DF01B0"/>
    <w:rsid w:val="04E06B6F"/>
    <w:rsid w:val="04E22F90"/>
    <w:rsid w:val="04EB042F"/>
    <w:rsid w:val="04F52115"/>
    <w:rsid w:val="04F74489"/>
    <w:rsid w:val="04FA68C4"/>
    <w:rsid w:val="05012311"/>
    <w:rsid w:val="05094D59"/>
    <w:rsid w:val="050A505C"/>
    <w:rsid w:val="051060E7"/>
    <w:rsid w:val="05297B69"/>
    <w:rsid w:val="053578FC"/>
    <w:rsid w:val="053973EC"/>
    <w:rsid w:val="05400FE8"/>
    <w:rsid w:val="05432019"/>
    <w:rsid w:val="054472A1"/>
    <w:rsid w:val="05455862"/>
    <w:rsid w:val="05455DAE"/>
    <w:rsid w:val="05471C86"/>
    <w:rsid w:val="054C45FF"/>
    <w:rsid w:val="054F4E62"/>
    <w:rsid w:val="05504736"/>
    <w:rsid w:val="055802F1"/>
    <w:rsid w:val="05663F59"/>
    <w:rsid w:val="056E08C6"/>
    <w:rsid w:val="05701DE5"/>
    <w:rsid w:val="057551AC"/>
    <w:rsid w:val="057E7A3A"/>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C36B9"/>
    <w:rsid w:val="05CD1002"/>
    <w:rsid w:val="05D610DF"/>
    <w:rsid w:val="05D67816"/>
    <w:rsid w:val="05D81EC4"/>
    <w:rsid w:val="05D961F6"/>
    <w:rsid w:val="05DB1844"/>
    <w:rsid w:val="05DB66F5"/>
    <w:rsid w:val="05E27A84"/>
    <w:rsid w:val="05E337FC"/>
    <w:rsid w:val="05E36C9D"/>
    <w:rsid w:val="05E76509"/>
    <w:rsid w:val="05E946BE"/>
    <w:rsid w:val="05EE7E53"/>
    <w:rsid w:val="05FC437C"/>
    <w:rsid w:val="06007F0A"/>
    <w:rsid w:val="060A46BF"/>
    <w:rsid w:val="060B1FE2"/>
    <w:rsid w:val="0621228B"/>
    <w:rsid w:val="062A31D9"/>
    <w:rsid w:val="062B2A96"/>
    <w:rsid w:val="062C0CFF"/>
    <w:rsid w:val="062D1DDB"/>
    <w:rsid w:val="06317000"/>
    <w:rsid w:val="06361CA0"/>
    <w:rsid w:val="06395592"/>
    <w:rsid w:val="0642797C"/>
    <w:rsid w:val="064416B6"/>
    <w:rsid w:val="065760FB"/>
    <w:rsid w:val="065909ED"/>
    <w:rsid w:val="065C361E"/>
    <w:rsid w:val="06640499"/>
    <w:rsid w:val="06670FCC"/>
    <w:rsid w:val="06675FA4"/>
    <w:rsid w:val="066C1A43"/>
    <w:rsid w:val="067B1F1D"/>
    <w:rsid w:val="067E36D3"/>
    <w:rsid w:val="068B011B"/>
    <w:rsid w:val="06927A7D"/>
    <w:rsid w:val="06986941"/>
    <w:rsid w:val="06B119B0"/>
    <w:rsid w:val="06B331CE"/>
    <w:rsid w:val="06B807E5"/>
    <w:rsid w:val="06B85547"/>
    <w:rsid w:val="06BF7DC5"/>
    <w:rsid w:val="06C07699"/>
    <w:rsid w:val="06C62F02"/>
    <w:rsid w:val="06C71910"/>
    <w:rsid w:val="06CA6D2B"/>
    <w:rsid w:val="06D85CEA"/>
    <w:rsid w:val="06DF3FC3"/>
    <w:rsid w:val="06E31D05"/>
    <w:rsid w:val="06F4329F"/>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B55A3"/>
    <w:rsid w:val="073F2CB4"/>
    <w:rsid w:val="074107DA"/>
    <w:rsid w:val="07487DBA"/>
    <w:rsid w:val="074958E1"/>
    <w:rsid w:val="074F69AE"/>
    <w:rsid w:val="07503F44"/>
    <w:rsid w:val="0751601C"/>
    <w:rsid w:val="07562564"/>
    <w:rsid w:val="07591FC8"/>
    <w:rsid w:val="075B3E11"/>
    <w:rsid w:val="07603356"/>
    <w:rsid w:val="076B7044"/>
    <w:rsid w:val="07783EDF"/>
    <w:rsid w:val="077A3CEC"/>
    <w:rsid w:val="078669CA"/>
    <w:rsid w:val="07901266"/>
    <w:rsid w:val="07926DEA"/>
    <w:rsid w:val="07973FC4"/>
    <w:rsid w:val="0797664C"/>
    <w:rsid w:val="07985882"/>
    <w:rsid w:val="079D1F14"/>
    <w:rsid w:val="07A528A7"/>
    <w:rsid w:val="07A859AB"/>
    <w:rsid w:val="07AA20DF"/>
    <w:rsid w:val="07AB0349"/>
    <w:rsid w:val="07AB18D9"/>
    <w:rsid w:val="07AD6D60"/>
    <w:rsid w:val="07B92A66"/>
    <w:rsid w:val="07BB3768"/>
    <w:rsid w:val="07BD69FF"/>
    <w:rsid w:val="07BE007D"/>
    <w:rsid w:val="07C11C3C"/>
    <w:rsid w:val="07C531B9"/>
    <w:rsid w:val="07CF534D"/>
    <w:rsid w:val="07D02006"/>
    <w:rsid w:val="07D22F80"/>
    <w:rsid w:val="07D96011"/>
    <w:rsid w:val="07EA47F3"/>
    <w:rsid w:val="07ED23B2"/>
    <w:rsid w:val="07F47710"/>
    <w:rsid w:val="07F61294"/>
    <w:rsid w:val="08006D71"/>
    <w:rsid w:val="0808579C"/>
    <w:rsid w:val="0808754A"/>
    <w:rsid w:val="080F0D90"/>
    <w:rsid w:val="08147C9D"/>
    <w:rsid w:val="08183E10"/>
    <w:rsid w:val="081C5097"/>
    <w:rsid w:val="08266B3E"/>
    <w:rsid w:val="08297BEC"/>
    <w:rsid w:val="082C148A"/>
    <w:rsid w:val="083D7528"/>
    <w:rsid w:val="0842185D"/>
    <w:rsid w:val="084F09BE"/>
    <w:rsid w:val="08540EDE"/>
    <w:rsid w:val="08626C5A"/>
    <w:rsid w:val="087072EB"/>
    <w:rsid w:val="08727407"/>
    <w:rsid w:val="088704C3"/>
    <w:rsid w:val="0895702F"/>
    <w:rsid w:val="089D7971"/>
    <w:rsid w:val="08A317B5"/>
    <w:rsid w:val="08AF3BBC"/>
    <w:rsid w:val="08B60832"/>
    <w:rsid w:val="08BF358B"/>
    <w:rsid w:val="08D132F7"/>
    <w:rsid w:val="08D56A1B"/>
    <w:rsid w:val="08DC4C5E"/>
    <w:rsid w:val="08E13A59"/>
    <w:rsid w:val="08E1680C"/>
    <w:rsid w:val="08E7666C"/>
    <w:rsid w:val="08F33D56"/>
    <w:rsid w:val="08F61060"/>
    <w:rsid w:val="090237BC"/>
    <w:rsid w:val="09023F99"/>
    <w:rsid w:val="09074C75"/>
    <w:rsid w:val="09093579"/>
    <w:rsid w:val="09163859"/>
    <w:rsid w:val="091C32AD"/>
    <w:rsid w:val="091F2D9D"/>
    <w:rsid w:val="0925575C"/>
    <w:rsid w:val="09297778"/>
    <w:rsid w:val="092D730D"/>
    <w:rsid w:val="093E3B30"/>
    <w:rsid w:val="0949375A"/>
    <w:rsid w:val="094A2CB8"/>
    <w:rsid w:val="094D790A"/>
    <w:rsid w:val="09526A84"/>
    <w:rsid w:val="096B0217"/>
    <w:rsid w:val="096C4EC0"/>
    <w:rsid w:val="09771CFC"/>
    <w:rsid w:val="097924AD"/>
    <w:rsid w:val="097E749C"/>
    <w:rsid w:val="0987349A"/>
    <w:rsid w:val="098826F0"/>
    <w:rsid w:val="098A13E9"/>
    <w:rsid w:val="098D3783"/>
    <w:rsid w:val="098D7D07"/>
    <w:rsid w:val="098F7AE7"/>
    <w:rsid w:val="099512B1"/>
    <w:rsid w:val="09971131"/>
    <w:rsid w:val="09972BED"/>
    <w:rsid w:val="09996322"/>
    <w:rsid w:val="099E1F14"/>
    <w:rsid w:val="09A62A40"/>
    <w:rsid w:val="09AB2883"/>
    <w:rsid w:val="09BC05EC"/>
    <w:rsid w:val="09BE6112"/>
    <w:rsid w:val="09C6146A"/>
    <w:rsid w:val="09D0027E"/>
    <w:rsid w:val="09D43B87"/>
    <w:rsid w:val="09DC0C8E"/>
    <w:rsid w:val="09DE7F38"/>
    <w:rsid w:val="09E22693"/>
    <w:rsid w:val="09E85885"/>
    <w:rsid w:val="09EA33AB"/>
    <w:rsid w:val="09EA59EB"/>
    <w:rsid w:val="09ED69F7"/>
    <w:rsid w:val="09EF4731"/>
    <w:rsid w:val="09F27FE0"/>
    <w:rsid w:val="09FE29B2"/>
    <w:rsid w:val="0A014251"/>
    <w:rsid w:val="0A0564C8"/>
    <w:rsid w:val="0A104E7E"/>
    <w:rsid w:val="0A153E7D"/>
    <w:rsid w:val="0A157CFC"/>
    <w:rsid w:val="0A1B7A08"/>
    <w:rsid w:val="0A217932"/>
    <w:rsid w:val="0A23052D"/>
    <w:rsid w:val="0A24284B"/>
    <w:rsid w:val="0A27015B"/>
    <w:rsid w:val="0A2C755F"/>
    <w:rsid w:val="0A300975"/>
    <w:rsid w:val="0A382368"/>
    <w:rsid w:val="0A3D21C6"/>
    <w:rsid w:val="0A3E7253"/>
    <w:rsid w:val="0A415285"/>
    <w:rsid w:val="0A5C7AF9"/>
    <w:rsid w:val="0A617AEE"/>
    <w:rsid w:val="0A6749FB"/>
    <w:rsid w:val="0A6842D0"/>
    <w:rsid w:val="0A71382C"/>
    <w:rsid w:val="0A7333A0"/>
    <w:rsid w:val="0A74450F"/>
    <w:rsid w:val="0A74648F"/>
    <w:rsid w:val="0A777490"/>
    <w:rsid w:val="0A777866"/>
    <w:rsid w:val="0A7B2255"/>
    <w:rsid w:val="0A7D35EF"/>
    <w:rsid w:val="0A7E1D45"/>
    <w:rsid w:val="0A821187"/>
    <w:rsid w:val="0A8455AD"/>
    <w:rsid w:val="0A8B6D96"/>
    <w:rsid w:val="0A917CCA"/>
    <w:rsid w:val="0A934F20"/>
    <w:rsid w:val="0A947BC6"/>
    <w:rsid w:val="0A96708F"/>
    <w:rsid w:val="0A9B28F7"/>
    <w:rsid w:val="0A9D21CB"/>
    <w:rsid w:val="0AA172D2"/>
    <w:rsid w:val="0AA25A34"/>
    <w:rsid w:val="0AA479FE"/>
    <w:rsid w:val="0AA7304A"/>
    <w:rsid w:val="0AB12031"/>
    <w:rsid w:val="0AB13EC9"/>
    <w:rsid w:val="0AB2713C"/>
    <w:rsid w:val="0AB35B63"/>
    <w:rsid w:val="0AB614DF"/>
    <w:rsid w:val="0AB6722B"/>
    <w:rsid w:val="0AB745A8"/>
    <w:rsid w:val="0ABD461B"/>
    <w:rsid w:val="0AC37D72"/>
    <w:rsid w:val="0AC43BFC"/>
    <w:rsid w:val="0AC736EC"/>
    <w:rsid w:val="0AC90BC7"/>
    <w:rsid w:val="0AC95124"/>
    <w:rsid w:val="0ACC5028"/>
    <w:rsid w:val="0ACD3A48"/>
    <w:rsid w:val="0AD674DD"/>
    <w:rsid w:val="0ADF422C"/>
    <w:rsid w:val="0AE55920"/>
    <w:rsid w:val="0AEC4D3F"/>
    <w:rsid w:val="0AEC4F01"/>
    <w:rsid w:val="0AF51214"/>
    <w:rsid w:val="0AFD2C6A"/>
    <w:rsid w:val="0B001553"/>
    <w:rsid w:val="0B0C10FF"/>
    <w:rsid w:val="0B0F145C"/>
    <w:rsid w:val="0B102511"/>
    <w:rsid w:val="0B1256F9"/>
    <w:rsid w:val="0B183F48"/>
    <w:rsid w:val="0B226B74"/>
    <w:rsid w:val="0B25175A"/>
    <w:rsid w:val="0B2529AE"/>
    <w:rsid w:val="0B287211"/>
    <w:rsid w:val="0B2B436C"/>
    <w:rsid w:val="0B3222C4"/>
    <w:rsid w:val="0B3443F6"/>
    <w:rsid w:val="0B424B21"/>
    <w:rsid w:val="0B425013"/>
    <w:rsid w:val="0B4A55A2"/>
    <w:rsid w:val="0B4B1C27"/>
    <w:rsid w:val="0B561748"/>
    <w:rsid w:val="0B584344"/>
    <w:rsid w:val="0B5A379F"/>
    <w:rsid w:val="0B5B704A"/>
    <w:rsid w:val="0B5C1203"/>
    <w:rsid w:val="0B667B80"/>
    <w:rsid w:val="0B765A72"/>
    <w:rsid w:val="0B771B39"/>
    <w:rsid w:val="0B786794"/>
    <w:rsid w:val="0B7C0AD7"/>
    <w:rsid w:val="0B7F7B23"/>
    <w:rsid w:val="0B805722"/>
    <w:rsid w:val="0B867103"/>
    <w:rsid w:val="0B884C29"/>
    <w:rsid w:val="0B886B49"/>
    <w:rsid w:val="0B896BF3"/>
    <w:rsid w:val="0B8B471A"/>
    <w:rsid w:val="0B8E420A"/>
    <w:rsid w:val="0B921F8C"/>
    <w:rsid w:val="0B972ACE"/>
    <w:rsid w:val="0B9F01C5"/>
    <w:rsid w:val="0B9F54A0"/>
    <w:rsid w:val="0BA23811"/>
    <w:rsid w:val="0BAB4DBC"/>
    <w:rsid w:val="0BAB6B6A"/>
    <w:rsid w:val="0BB27EF8"/>
    <w:rsid w:val="0BB61EAD"/>
    <w:rsid w:val="0BBC5C62"/>
    <w:rsid w:val="0BC65752"/>
    <w:rsid w:val="0BD0714E"/>
    <w:rsid w:val="0BE66B6F"/>
    <w:rsid w:val="0BE81B6C"/>
    <w:rsid w:val="0BEF4CA9"/>
    <w:rsid w:val="0BF91ACF"/>
    <w:rsid w:val="0BFD5D61"/>
    <w:rsid w:val="0C1069CD"/>
    <w:rsid w:val="0C110C8D"/>
    <w:rsid w:val="0C140B52"/>
    <w:rsid w:val="0C187159"/>
    <w:rsid w:val="0C197BB6"/>
    <w:rsid w:val="0C1A522D"/>
    <w:rsid w:val="0C1B4F42"/>
    <w:rsid w:val="0C222A29"/>
    <w:rsid w:val="0C245BFC"/>
    <w:rsid w:val="0C2F230A"/>
    <w:rsid w:val="0C347C0D"/>
    <w:rsid w:val="0C387C9E"/>
    <w:rsid w:val="0C4072B2"/>
    <w:rsid w:val="0C48406D"/>
    <w:rsid w:val="0C517711"/>
    <w:rsid w:val="0C541788"/>
    <w:rsid w:val="0C594C5D"/>
    <w:rsid w:val="0C5C1C12"/>
    <w:rsid w:val="0C60667A"/>
    <w:rsid w:val="0C6369FF"/>
    <w:rsid w:val="0C697F05"/>
    <w:rsid w:val="0C803AD1"/>
    <w:rsid w:val="0C830CA3"/>
    <w:rsid w:val="0C851169"/>
    <w:rsid w:val="0C8B1D7C"/>
    <w:rsid w:val="0C9007FB"/>
    <w:rsid w:val="0C994C14"/>
    <w:rsid w:val="0CA81BE3"/>
    <w:rsid w:val="0CB17A6B"/>
    <w:rsid w:val="0CBD18CD"/>
    <w:rsid w:val="0CBE1D97"/>
    <w:rsid w:val="0CBF5CFF"/>
    <w:rsid w:val="0CD02D66"/>
    <w:rsid w:val="0CD67C16"/>
    <w:rsid w:val="0CD87887"/>
    <w:rsid w:val="0CDB522D"/>
    <w:rsid w:val="0CE720A9"/>
    <w:rsid w:val="0CEB63A8"/>
    <w:rsid w:val="0CEC568C"/>
    <w:rsid w:val="0CED228F"/>
    <w:rsid w:val="0CEF3D60"/>
    <w:rsid w:val="0CF03BD5"/>
    <w:rsid w:val="0CF307C8"/>
    <w:rsid w:val="0CF46AD6"/>
    <w:rsid w:val="0CF5680A"/>
    <w:rsid w:val="0CF62067"/>
    <w:rsid w:val="0CF743EB"/>
    <w:rsid w:val="0CF87B8D"/>
    <w:rsid w:val="0CFA6EF3"/>
    <w:rsid w:val="0CFB142B"/>
    <w:rsid w:val="0D004C93"/>
    <w:rsid w:val="0D0562CD"/>
    <w:rsid w:val="0D091FF5"/>
    <w:rsid w:val="0D122F2C"/>
    <w:rsid w:val="0D1349C7"/>
    <w:rsid w:val="0D1A3FA7"/>
    <w:rsid w:val="0D1D43CB"/>
    <w:rsid w:val="0D20150E"/>
    <w:rsid w:val="0D28440B"/>
    <w:rsid w:val="0D293B3A"/>
    <w:rsid w:val="0D2A7E55"/>
    <w:rsid w:val="0D2C3CDA"/>
    <w:rsid w:val="0D38267F"/>
    <w:rsid w:val="0D3A6CDB"/>
    <w:rsid w:val="0D3B4742"/>
    <w:rsid w:val="0D3C2A09"/>
    <w:rsid w:val="0D464F9D"/>
    <w:rsid w:val="0D4970FC"/>
    <w:rsid w:val="0D585B80"/>
    <w:rsid w:val="0D6267B2"/>
    <w:rsid w:val="0D650A0F"/>
    <w:rsid w:val="0D703B98"/>
    <w:rsid w:val="0D8238FA"/>
    <w:rsid w:val="0D887163"/>
    <w:rsid w:val="0D8D15B7"/>
    <w:rsid w:val="0D953C0B"/>
    <w:rsid w:val="0D96694A"/>
    <w:rsid w:val="0DA27AF9"/>
    <w:rsid w:val="0DA536DA"/>
    <w:rsid w:val="0DB00467"/>
    <w:rsid w:val="0DBA174B"/>
    <w:rsid w:val="0DBC5B20"/>
    <w:rsid w:val="0DBE0DD6"/>
    <w:rsid w:val="0DC20725"/>
    <w:rsid w:val="0DC65EDD"/>
    <w:rsid w:val="0DC75635"/>
    <w:rsid w:val="0DCD668D"/>
    <w:rsid w:val="0DCE6B40"/>
    <w:rsid w:val="0DD56120"/>
    <w:rsid w:val="0DD57ECE"/>
    <w:rsid w:val="0DDB4F21"/>
    <w:rsid w:val="0DDE1BA7"/>
    <w:rsid w:val="0DE011D7"/>
    <w:rsid w:val="0DE369B9"/>
    <w:rsid w:val="0DE46E7A"/>
    <w:rsid w:val="0DE80AB1"/>
    <w:rsid w:val="0DEB033A"/>
    <w:rsid w:val="0DEF6236"/>
    <w:rsid w:val="0DF02F5A"/>
    <w:rsid w:val="0DF21E3B"/>
    <w:rsid w:val="0DF742E8"/>
    <w:rsid w:val="0DF843DB"/>
    <w:rsid w:val="0E0802A4"/>
    <w:rsid w:val="0E15651D"/>
    <w:rsid w:val="0E1924B1"/>
    <w:rsid w:val="0E19425F"/>
    <w:rsid w:val="0E1F1149"/>
    <w:rsid w:val="0E286250"/>
    <w:rsid w:val="0E294B7B"/>
    <w:rsid w:val="0E2E37DD"/>
    <w:rsid w:val="0E321116"/>
    <w:rsid w:val="0E387414"/>
    <w:rsid w:val="0E3B2427"/>
    <w:rsid w:val="0E400D4A"/>
    <w:rsid w:val="0E437229"/>
    <w:rsid w:val="0E4C283F"/>
    <w:rsid w:val="0E50509D"/>
    <w:rsid w:val="0E5C414B"/>
    <w:rsid w:val="0E5D23AC"/>
    <w:rsid w:val="0E602098"/>
    <w:rsid w:val="0E6146E2"/>
    <w:rsid w:val="0E6422B8"/>
    <w:rsid w:val="0E64514C"/>
    <w:rsid w:val="0E666D78"/>
    <w:rsid w:val="0E675A50"/>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A6891"/>
    <w:rsid w:val="0EED16E8"/>
    <w:rsid w:val="0EED27D6"/>
    <w:rsid w:val="0EF04C31"/>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54789"/>
    <w:rsid w:val="0F5C08A7"/>
    <w:rsid w:val="0F5F5CA1"/>
    <w:rsid w:val="0F635443"/>
    <w:rsid w:val="0F643300"/>
    <w:rsid w:val="0F657030"/>
    <w:rsid w:val="0F7021B0"/>
    <w:rsid w:val="0F732EF4"/>
    <w:rsid w:val="0F781459"/>
    <w:rsid w:val="0F7E015F"/>
    <w:rsid w:val="0F807D73"/>
    <w:rsid w:val="0F895414"/>
    <w:rsid w:val="0F8B4CE8"/>
    <w:rsid w:val="0F8C1048"/>
    <w:rsid w:val="0F8D22CE"/>
    <w:rsid w:val="0F8D6B37"/>
    <w:rsid w:val="0F8E6586"/>
    <w:rsid w:val="0F9242C9"/>
    <w:rsid w:val="0F98542E"/>
    <w:rsid w:val="0F9A4CDE"/>
    <w:rsid w:val="0FA47D57"/>
    <w:rsid w:val="0FA933C0"/>
    <w:rsid w:val="0FB26719"/>
    <w:rsid w:val="0FB56209"/>
    <w:rsid w:val="0FB85B95"/>
    <w:rsid w:val="0FB87AA7"/>
    <w:rsid w:val="0FBD0627"/>
    <w:rsid w:val="0FBD6E6C"/>
    <w:rsid w:val="0FC14BAE"/>
    <w:rsid w:val="0FCA3CAF"/>
    <w:rsid w:val="0FEF171B"/>
    <w:rsid w:val="0FF52C8D"/>
    <w:rsid w:val="0FF7412C"/>
    <w:rsid w:val="0FFF1232"/>
    <w:rsid w:val="1006196F"/>
    <w:rsid w:val="10061C28"/>
    <w:rsid w:val="100D7DF3"/>
    <w:rsid w:val="10100C41"/>
    <w:rsid w:val="10131F62"/>
    <w:rsid w:val="101733B6"/>
    <w:rsid w:val="101E5B5C"/>
    <w:rsid w:val="10305890"/>
    <w:rsid w:val="10321608"/>
    <w:rsid w:val="103A6EA6"/>
    <w:rsid w:val="103C3F59"/>
    <w:rsid w:val="1044448D"/>
    <w:rsid w:val="1049590D"/>
    <w:rsid w:val="104B03D7"/>
    <w:rsid w:val="1057219D"/>
    <w:rsid w:val="1058689E"/>
    <w:rsid w:val="106339EB"/>
    <w:rsid w:val="106D2640"/>
    <w:rsid w:val="10710382"/>
    <w:rsid w:val="10741C20"/>
    <w:rsid w:val="107D0A69"/>
    <w:rsid w:val="10801761"/>
    <w:rsid w:val="10802FF2"/>
    <w:rsid w:val="108A0770"/>
    <w:rsid w:val="10944A3F"/>
    <w:rsid w:val="10945DC8"/>
    <w:rsid w:val="10A32505"/>
    <w:rsid w:val="10B84EDA"/>
    <w:rsid w:val="10BE2E9B"/>
    <w:rsid w:val="10C2249F"/>
    <w:rsid w:val="10C86279"/>
    <w:rsid w:val="10CD513B"/>
    <w:rsid w:val="10D03686"/>
    <w:rsid w:val="10D0681E"/>
    <w:rsid w:val="10D91A83"/>
    <w:rsid w:val="10E741A0"/>
    <w:rsid w:val="10F16DCD"/>
    <w:rsid w:val="10F845FF"/>
    <w:rsid w:val="10FA2FC0"/>
    <w:rsid w:val="10FE29EF"/>
    <w:rsid w:val="11001706"/>
    <w:rsid w:val="11123588"/>
    <w:rsid w:val="11125D8C"/>
    <w:rsid w:val="11147D5E"/>
    <w:rsid w:val="111768B2"/>
    <w:rsid w:val="1118788E"/>
    <w:rsid w:val="111D2270"/>
    <w:rsid w:val="111F3C92"/>
    <w:rsid w:val="112A3006"/>
    <w:rsid w:val="11335637"/>
    <w:rsid w:val="11365128"/>
    <w:rsid w:val="11494E5B"/>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D3E53"/>
    <w:rsid w:val="1197540C"/>
    <w:rsid w:val="11A86494"/>
    <w:rsid w:val="11AC53EA"/>
    <w:rsid w:val="11BD4E2C"/>
    <w:rsid w:val="11BF336F"/>
    <w:rsid w:val="11C24C0D"/>
    <w:rsid w:val="11C42733"/>
    <w:rsid w:val="11CE35B2"/>
    <w:rsid w:val="11D42D5F"/>
    <w:rsid w:val="11D434DF"/>
    <w:rsid w:val="11D61772"/>
    <w:rsid w:val="11DF1879"/>
    <w:rsid w:val="11E22BBA"/>
    <w:rsid w:val="11E3705D"/>
    <w:rsid w:val="11ED2CA9"/>
    <w:rsid w:val="11EF16CB"/>
    <w:rsid w:val="11F03528"/>
    <w:rsid w:val="11F254F3"/>
    <w:rsid w:val="11F46EBE"/>
    <w:rsid w:val="11F5472A"/>
    <w:rsid w:val="11F70371"/>
    <w:rsid w:val="11F72B09"/>
    <w:rsid w:val="11FD0A50"/>
    <w:rsid w:val="12080872"/>
    <w:rsid w:val="12096398"/>
    <w:rsid w:val="120C1635"/>
    <w:rsid w:val="120D5E88"/>
    <w:rsid w:val="12173068"/>
    <w:rsid w:val="12232B93"/>
    <w:rsid w:val="122370C7"/>
    <w:rsid w:val="122B1980"/>
    <w:rsid w:val="122F22A3"/>
    <w:rsid w:val="1230027E"/>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C30F0"/>
    <w:rsid w:val="128633D3"/>
    <w:rsid w:val="12865C3B"/>
    <w:rsid w:val="128A572B"/>
    <w:rsid w:val="128B60CC"/>
    <w:rsid w:val="128C7765"/>
    <w:rsid w:val="12950A7E"/>
    <w:rsid w:val="129A3494"/>
    <w:rsid w:val="129B7938"/>
    <w:rsid w:val="129C00E6"/>
    <w:rsid w:val="129E11D6"/>
    <w:rsid w:val="12A83E03"/>
    <w:rsid w:val="12B32B77"/>
    <w:rsid w:val="12B47372"/>
    <w:rsid w:val="12B72298"/>
    <w:rsid w:val="12BE53D5"/>
    <w:rsid w:val="12C43900"/>
    <w:rsid w:val="12C549B5"/>
    <w:rsid w:val="12C72A04"/>
    <w:rsid w:val="12D009A7"/>
    <w:rsid w:val="12E27EED"/>
    <w:rsid w:val="12E400DB"/>
    <w:rsid w:val="12E806A4"/>
    <w:rsid w:val="12E81133"/>
    <w:rsid w:val="12E82452"/>
    <w:rsid w:val="12EA441C"/>
    <w:rsid w:val="12EF7D0F"/>
    <w:rsid w:val="12F17558"/>
    <w:rsid w:val="12F44960"/>
    <w:rsid w:val="12F9273B"/>
    <w:rsid w:val="12F9465F"/>
    <w:rsid w:val="12FA4A1A"/>
    <w:rsid w:val="12FA5784"/>
    <w:rsid w:val="12FF557F"/>
    <w:rsid w:val="13051255"/>
    <w:rsid w:val="13087DEF"/>
    <w:rsid w:val="130C25E4"/>
    <w:rsid w:val="13117499"/>
    <w:rsid w:val="13124E77"/>
    <w:rsid w:val="131274CE"/>
    <w:rsid w:val="13152ADC"/>
    <w:rsid w:val="13182014"/>
    <w:rsid w:val="131B1329"/>
    <w:rsid w:val="13356BC5"/>
    <w:rsid w:val="13370CE3"/>
    <w:rsid w:val="133B434D"/>
    <w:rsid w:val="13403660"/>
    <w:rsid w:val="134753CA"/>
    <w:rsid w:val="134D6F18"/>
    <w:rsid w:val="13525793"/>
    <w:rsid w:val="13531FC1"/>
    <w:rsid w:val="1356385F"/>
    <w:rsid w:val="135F0966"/>
    <w:rsid w:val="13611AA6"/>
    <w:rsid w:val="13682D04"/>
    <w:rsid w:val="136E1102"/>
    <w:rsid w:val="136E24E0"/>
    <w:rsid w:val="13712447"/>
    <w:rsid w:val="13727C87"/>
    <w:rsid w:val="13743CE5"/>
    <w:rsid w:val="13857CA0"/>
    <w:rsid w:val="138B7DB4"/>
    <w:rsid w:val="13904FC3"/>
    <w:rsid w:val="13A520F1"/>
    <w:rsid w:val="13A8239B"/>
    <w:rsid w:val="13A85B47"/>
    <w:rsid w:val="13AF2F6F"/>
    <w:rsid w:val="13B02153"/>
    <w:rsid w:val="13B15CBD"/>
    <w:rsid w:val="13B73E39"/>
    <w:rsid w:val="13C832D3"/>
    <w:rsid w:val="13DD6D1E"/>
    <w:rsid w:val="13EB044B"/>
    <w:rsid w:val="13EB3FA7"/>
    <w:rsid w:val="13ED16DB"/>
    <w:rsid w:val="13F56BD4"/>
    <w:rsid w:val="13FC61B5"/>
    <w:rsid w:val="140A76A8"/>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401FE"/>
    <w:rsid w:val="146A0866"/>
    <w:rsid w:val="14750D5A"/>
    <w:rsid w:val="1478068F"/>
    <w:rsid w:val="147E1869"/>
    <w:rsid w:val="1481490C"/>
    <w:rsid w:val="148443FC"/>
    <w:rsid w:val="1489218F"/>
    <w:rsid w:val="148F7C8A"/>
    <w:rsid w:val="149731AD"/>
    <w:rsid w:val="14991C55"/>
    <w:rsid w:val="14A34882"/>
    <w:rsid w:val="14BC3B96"/>
    <w:rsid w:val="14C420E8"/>
    <w:rsid w:val="14C430D3"/>
    <w:rsid w:val="14C91E0F"/>
    <w:rsid w:val="14CF5AFC"/>
    <w:rsid w:val="14DA401C"/>
    <w:rsid w:val="14DE5E10"/>
    <w:rsid w:val="14EE54EC"/>
    <w:rsid w:val="14F060C1"/>
    <w:rsid w:val="14FC21E4"/>
    <w:rsid w:val="15064D30"/>
    <w:rsid w:val="1511012C"/>
    <w:rsid w:val="15172299"/>
    <w:rsid w:val="1519567E"/>
    <w:rsid w:val="151F31F3"/>
    <w:rsid w:val="1528650F"/>
    <w:rsid w:val="152B0338"/>
    <w:rsid w:val="153206E0"/>
    <w:rsid w:val="153B2D0D"/>
    <w:rsid w:val="153B4ABB"/>
    <w:rsid w:val="154020D1"/>
    <w:rsid w:val="154232FD"/>
    <w:rsid w:val="15463159"/>
    <w:rsid w:val="15482C5E"/>
    <w:rsid w:val="154E0EDE"/>
    <w:rsid w:val="15513403"/>
    <w:rsid w:val="155C4C26"/>
    <w:rsid w:val="15645A11"/>
    <w:rsid w:val="15645AE1"/>
    <w:rsid w:val="1565422D"/>
    <w:rsid w:val="157312D0"/>
    <w:rsid w:val="15741F45"/>
    <w:rsid w:val="15743252"/>
    <w:rsid w:val="15797052"/>
    <w:rsid w:val="157B696D"/>
    <w:rsid w:val="157E50B1"/>
    <w:rsid w:val="15810EA3"/>
    <w:rsid w:val="15842D98"/>
    <w:rsid w:val="15847875"/>
    <w:rsid w:val="15883A78"/>
    <w:rsid w:val="15A00DC2"/>
    <w:rsid w:val="15A233FE"/>
    <w:rsid w:val="15A563D8"/>
    <w:rsid w:val="15AA1C40"/>
    <w:rsid w:val="15B02E86"/>
    <w:rsid w:val="15B825AF"/>
    <w:rsid w:val="15BE53E8"/>
    <w:rsid w:val="15CA7ACA"/>
    <w:rsid w:val="15CE3B81"/>
    <w:rsid w:val="15D15DC8"/>
    <w:rsid w:val="15D46CBD"/>
    <w:rsid w:val="15D773B8"/>
    <w:rsid w:val="15DF1F03"/>
    <w:rsid w:val="15EA0595"/>
    <w:rsid w:val="15EC04AB"/>
    <w:rsid w:val="15EE21AD"/>
    <w:rsid w:val="15F7493E"/>
    <w:rsid w:val="15F97149"/>
    <w:rsid w:val="15FA2BC8"/>
    <w:rsid w:val="15FB3CF2"/>
    <w:rsid w:val="15FC63E5"/>
    <w:rsid w:val="16043E5F"/>
    <w:rsid w:val="160A3E33"/>
    <w:rsid w:val="160A4F1B"/>
    <w:rsid w:val="161E02A6"/>
    <w:rsid w:val="16290DB7"/>
    <w:rsid w:val="162C099A"/>
    <w:rsid w:val="162C3563"/>
    <w:rsid w:val="162E2871"/>
    <w:rsid w:val="1633426F"/>
    <w:rsid w:val="163360DA"/>
    <w:rsid w:val="1635775C"/>
    <w:rsid w:val="163634D4"/>
    <w:rsid w:val="16377803"/>
    <w:rsid w:val="1638324F"/>
    <w:rsid w:val="1639583E"/>
    <w:rsid w:val="163E26E0"/>
    <w:rsid w:val="163F50B6"/>
    <w:rsid w:val="164200CB"/>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A4B95"/>
    <w:rsid w:val="169C77DB"/>
    <w:rsid w:val="169D2733"/>
    <w:rsid w:val="16A20B69"/>
    <w:rsid w:val="16A4694B"/>
    <w:rsid w:val="16AD32E4"/>
    <w:rsid w:val="16AE07B1"/>
    <w:rsid w:val="16B32726"/>
    <w:rsid w:val="16B40C20"/>
    <w:rsid w:val="16BA5EB3"/>
    <w:rsid w:val="16BC1C2B"/>
    <w:rsid w:val="16BE1E47"/>
    <w:rsid w:val="16C466DE"/>
    <w:rsid w:val="16D03928"/>
    <w:rsid w:val="16D37E65"/>
    <w:rsid w:val="16D542A9"/>
    <w:rsid w:val="16D8458B"/>
    <w:rsid w:val="16DB76B1"/>
    <w:rsid w:val="16DD23A4"/>
    <w:rsid w:val="16E24AC6"/>
    <w:rsid w:val="16E47ABF"/>
    <w:rsid w:val="16F849EC"/>
    <w:rsid w:val="16F906F7"/>
    <w:rsid w:val="16F90D5A"/>
    <w:rsid w:val="16FC27E7"/>
    <w:rsid w:val="17033DF0"/>
    <w:rsid w:val="17073119"/>
    <w:rsid w:val="170D692B"/>
    <w:rsid w:val="17125CEF"/>
    <w:rsid w:val="17195DAB"/>
    <w:rsid w:val="171D7580"/>
    <w:rsid w:val="17253C74"/>
    <w:rsid w:val="172E4032"/>
    <w:rsid w:val="172F064F"/>
    <w:rsid w:val="17380414"/>
    <w:rsid w:val="173A725A"/>
    <w:rsid w:val="173B6FF4"/>
    <w:rsid w:val="17400EC1"/>
    <w:rsid w:val="174173FA"/>
    <w:rsid w:val="174242AE"/>
    <w:rsid w:val="174340FA"/>
    <w:rsid w:val="174936DB"/>
    <w:rsid w:val="1749452C"/>
    <w:rsid w:val="174D24DD"/>
    <w:rsid w:val="174F2A9F"/>
    <w:rsid w:val="17542EC3"/>
    <w:rsid w:val="17544559"/>
    <w:rsid w:val="175B488E"/>
    <w:rsid w:val="175E2CE2"/>
    <w:rsid w:val="176522C3"/>
    <w:rsid w:val="17680005"/>
    <w:rsid w:val="176B20D9"/>
    <w:rsid w:val="176F4EEF"/>
    <w:rsid w:val="177048A0"/>
    <w:rsid w:val="1776002C"/>
    <w:rsid w:val="178A4CCC"/>
    <w:rsid w:val="179761F4"/>
    <w:rsid w:val="17A06F8C"/>
    <w:rsid w:val="17A50911"/>
    <w:rsid w:val="17A82169"/>
    <w:rsid w:val="17AD77C6"/>
    <w:rsid w:val="17B9616B"/>
    <w:rsid w:val="17BD20FF"/>
    <w:rsid w:val="17BD3EAD"/>
    <w:rsid w:val="17C101CD"/>
    <w:rsid w:val="17C23271"/>
    <w:rsid w:val="17D04D35"/>
    <w:rsid w:val="17D26ACD"/>
    <w:rsid w:val="17E256C1"/>
    <w:rsid w:val="17E94CA2"/>
    <w:rsid w:val="17F16160"/>
    <w:rsid w:val="17F8256E"/>
    <w:rsid w:val="17FB6783"/>
    <w:rsid w:val="17FD1308"/>
    <w:rsid w:val="17FE7DB3"/>
    <w:rsid w:val="18025D64"/>
    <w:rsid w:val="1802759E"/>
    <w:rsid w:val="180C2FB2"/>
    <w:rsid w:val="1816180F"/>
    <w:rsid w:val="18185A02"/>
    <w:rsid w:val="181D2B9D"/>
    <w:rsid w:val="1821268E"/>
    <w:rsid w:val="182201B4"/>
    <w:rsid w:val="182E0907"/>
    <w:rsid w:val="18300B23"/>
    <w:rsid w:val="18335F1D"/>
    <w:rsid w:val="18392AEF"/>
    <w:rsid w:val="183D3240"/>
    <w:rsid w:val="185540E5"/>
    <w:rsid w:val="185B674A"/>
    <w:rsid w:val="185F1661"/>
    <w:rsid w:val="186500A0"/>
    <w:rsid w:val="18731E2A"/>
    <w:rsid w:val="187E6CE8"/>
    <w:rsid w:val="188873F9"/>
    <w:rsid w:val="188974FF"/>
    <w:rsid w:val="188C2500"/>
    <w:rsid w:val="1890336F"/>
    <w:rsid w:val="189C2603"/>
    <w:rsid w:val="189C3E54"/>
    <w:rsid w:val="189F2A53"/>
    <w:rsid w:val="18AB63FB"/>
    <w:rsid w:val="18B647EB"/>
    <w:rsid w:val="18B76B4E"/>
    <w:rsid w:val="18B8174E"/>
    <w:rsid w:val="18B87908"/>
    <w:rsid w:val="18C94AD3"/>
    <w:rsid w:val="18CF42C0"/>
    <w:rsid w:val="18D53262"/>
    <w:rsid w:val="18D539DE"/>
    <w:rsid w:val="18DD2922"/>
    <w:rsid w:val="18E13BCB"/>
    <w:rsid w:val="18E5280D"/>
    <w:rsid w:val="18E66902"/>
    <w:rsid w:val="18EB32E8"/>
    <w:rsid w:val="18EF453A"/>
    <w:rsid w:val="18F048F8"/>
    <w:rsid w:val="18FC77C6"/>
    <w:rsid w:val="18FE2EED"/>
    <w:rsid w:val="19037FE5"/>
    <w:rsid w:val="19050E78"/>
    <w:rsid w:val="1912647A"/>
    <w:rsid w:val="19163B16"/>
    <w:rsid w:val="191731C4"/>
    <w:rsid w:val="19175B5B"/>
    <w:rsid w:val="19211322"/>
    <w:rsid w:val="19272AC9"/>
    <w:rsid w:val="19282B95"/>
    <w:rsid w:val="192A74E4"/>
    <w:rsid w:val="19362068"/>
    <w:rsid w:val="1939497F"/>
    <w:rsid w:val="193E2B61"/>
    <w:rsid w:val="19404D95"/>
    <w:rsid w:val="1940617A"/>
    <w:rsid w:val="19495369"/>
    <w:rsid w:val="194D58C8"/>
    <w:rsid w:val="19555B47"/>
    <w:rsid w:val="196138D0"/>
    <w:rsid w:val="19650358"/>
    <w:rsid w:val="196E32E1"/>
    <w:rsid w:val="196E7FD0"/>
    <w:rsid w:val="19745D87"/>
    <w:rsid w:val="197832BB"/>
    <w:rsid w:val="197A6AB8"/>
    <w:rsid w:val="197B1B58"/>
    <w:rsid w:val="19891E66"/>
    <w:rsid w:val="198D017B"/>
    <w:rsid w:val="198F3627"/>
    <w:rsid w:val="19921C44"/>
    <w:rsid w:val="19923117"/>
    <w:rsid w:val="19996254"/>
    <w:rsid w:val="19A3296E"/>
    <w:rsid w:val="19BB08C0"/>
    <w:rsid w:val="19BB266E"/>
    <w:rsid w:val="19BE0EDD"/>
    <w:rsid w:val="19BE34F7"/>
    <w:rsid w:val="19C333B1"/>
    <w:rsid w:val="19C75DFE"/>
    <w:rsid w:val="19D159ED"/>
    <w:rsid w:val="19D6555A"/>
    <w:rsid w:val="19E03858"/>
    <w:rsid w:val="19E07505"/>
    <w:rsid w:val="19E44366"/>
    <w:rsid w:val="19E87F27"/>
    <w:rsid w:val="19F605BF"/>
    <w:rsid w:val="19FB6838"/>
    <w:rsid w:val="1A18407F"/>
    <w:rsid w:val="1A187AC0"/>
    <w:rsid w:val="1A1D693D"/>
    <w:rsid w:val="1A246465"/>
    <w:rsid w:val="1A2E1092"/>
    <w:rsid w:val="1A310B82"/>
    <w:rsid w:val="1A333E09"/>
    <w:rsid w:val="1A362C80"/>
    <w:rsid w:val="1A4077C6"/>
    <w:rsid w:val="1A444411"/>
    <w:rsid w:val="1A4771FE"/>
    <w:rsid w:val="1A4A3BD0"/>
    <w:rsid w:val="1A4C32C6"/>
    <w:rsid w:val="1A547B77"/>
    <w:rsid w:val="1A57266E"/>
    <w:rsid w:val="1A584361"/>
    <w:rsid w:val="1A6709DF"/>
    <w:rsid w:val="1A6E23B6"/>
    <w:rsid w:val="1A703458"/>
    <w:rsid w:val="1A705206"/>
    <w:rsid w:val="1A7B1A7D"/>
    <w:rsid w:val="1A930EF5"/>
    <w:rsid w:val="1A98686C"/>
    <w:rsid w:val="1A9C4A79"/>
    <w:rsid w:val="1A9F19C8"/>
    <w:rsid w:val="1AA21AC2"/>
    <w:rsid w:val="1AA50C28"/>
    <w:rsid w:val="1AA816CE"/>
    <w:rsid w:val="1AB40989"/>
    <w:rsid w:val="1AB45C98"/>
    <w:rsid w:val="1ABC07FF"/>
    <w:rsid w:val="1AC21DD8"/>
    <w:rsid w:val="1AC67940"/>
    <w:rsid w:val="1AC90DBB"/>
    <w:rsid w:val="1AE45BF4"/>
    <w:rsid w:val="1AF520D1"/>
    <w:rsid w:val="1AF672AD"/>
    <w:rsid w:val="1AF95716"/>
    <w:rsid w:val="1B0B3181"/>
    <w:rsid w:val="1B0D5496"/>
    <w:rsid w:val="1B111794"/>
    <w:rsid w:val="1B122762"/>
    <w:rsid w:val="1B167D23"/>
    <w:rsid w:val="1B186D78"/>
    <w:rsid w:val="1B1C541C"/>
    <w:rsid w:val="1B1E0F38"/>
    <w:rsid w:val="1B31079C"/>
    <w:rsid w:val="1B3C1444"/>
    <w:rsid w:val="1B487F31"/>
    <w:rsid w:val="1B577A36"/>
    <w:rsid w:val="1B684130"/>
    <w:rsid w:val="1B711136"/>
    <w:rsid w:val="1B8233E1"/>
    <w:rsid w:val="1B823D27"/>
    <w:rsid w:val="1B862808"/>
    <w:rsid w:val="1B8F2026"/>
    <w:rsid w:val="1B9237D6"/>
    <w:rsid w:val="1B994819"/>
    <w:rsid w:val="1B9E15EF"/>
    <w:rsid w:val="1B9F1411"/>
    <w:rsid w:val="1B9F7C16"/>
    <w:rsid w:val="1BA710FC"/>
    <w:rsid w:val="1BB761FD"/>
    <w:rsid w:val="1BBB4BA7"/>
    <w:rsid w:val="1BC17CE4"/>
    <w:rsid w:val="1BC81072"/>
    <w:rsid w:val="1BD01938"/>
    <w:rsid w:val="1BDB6FF7"/>
    <w:rsid w:val="1BEC52B7"/>
    <w:rsid w:val="1BEF34FD"/>
    <w:rsid w:val="1BF202DD"/>
    <w:rsid w:val="1BF91BD9"/>
    <w:rsid w:val="1BFC3B26"/>
    <w:rsid w:val="1C014BF4"/>
    <w:rsid w:val="1C054074"/>
    <w:rsid w:val="1C0A3439"/>
    <w:rsid w:val="1C0E2F2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6173F7"/>
    <w:rsid w:val="1C657E51"/>
    <w:rsid w:val="1C6C22C0"/>
    <w:rsid w:val="1C6D5116"/>
    <w:rsid w:val="1C735482"/>
    <w:rsid w:val="1C746976"/>
    <w:rsid w:val="1C7A05BE"/>
    <w:rsid w:val="1C856F63"/>
    <w:rsid w:val="1C89505A"/>
    <w:rsid w:val="1C940F54"/>
    <w:rsid w:val="1C972642"/>
    <w:rsid w:val="1C9E5823"/>
    <w:rsid w:val="1CA438BF"/>
    <w:rsid w:val="1CA90B4D"/>
    <w:rsid w:val="1CAE64BA"/>
    <w:rsid w:val="1CAF1D78"/>
    <w:rsid w:val="1CB03FE0"/>
    <w:rsid w:val="1CB669F1"/>
    <w:rsid w:val="1CBD4603"/>
    <w:rsid w:val="1CC45CDD"/>
    <w:rsid w:val="1CC528B8"/>
    <w:rsid w:val="1CC730D8"/>
    <w:rsid w:val="1CCE14B3"/>
    <w:rsid w:val="1CD13B74"/>
    <w:rsid w:val="1CD22F7D"/>
    <w:rsid w:val="1CD34549"/>
    <w:rsid w:val="1CD73315"/>
    <w:rsid w:val="1CDD6809"/>
    <w:rsid w:val="1CDF53F1"/>
    <w:rsid w:val="1CE02090"/>
    <w:rsid w:val="1CE65C54"/>
    <w:rsid w:val="1CEA3F89"/>
    <w:rsid w:val="1CEB5018"/>
    <w:rsid w:val="1CEC5DFD"/>
    <w:rsid w:val="1CF3211F"/>
    <w:rsid w:val="1CF42602"/>
    <w:rsid w:val="1CF643E7"/>
    <w:rsid w:val="1CFA525B"/>
    <w:rsid w:val="1CFD4D4B"/>
    <w:rsid w:val="1CFE1AAE"/>
    <w:rsid w:val="1CFF1291"/>
    <w:rsid w:val="1D000EB9"/>
    <w:rsid w:val="1D047531"/>
    <w:rsid w:val="1D0C4B86"/>
    <w:rsid w:val="1D1125A5"/>
    <w:rsid w:val="1D11694F"/>
    <w:rsid w:val="1D167BBB"/>
    <w:rsid w:val="1D1861C0"/>
    <w:rsid w:val="1D2126CB"/>
    <w:rsid w:val="1D2528A0"/>
    <w:rsid w:val="1D2648F3"/>
    <w:rsid w:val="1D2779F7"/>
    <w:rsid w:val="1D282061"/>
    <w:rsid w:val="1D290A3D"/>
    <w:rsid w:val="1D2C6E4E"/>
    <w:rsid w:val="1D331268"/>
    <w:rsid w:val="1D3637B7"/>
    <w:rsid w:val="1D367D12"/>
    <w:rsid w:val="1D46666D"/>
    <w:rsid w:val="1D4806BC"/>
    <w:rsid w:val="1D483B5E"/>
    <w:rsid w:val="1D484219"/>
    <w:rsid w:val="1D4D4DFF"/>
    <w:rsid w:val="1D594678"/>
    <w:rsid w:val="1D5A03F0"/>
    <w:rsid w:val="1D5A219E"/>
    <w:rsid w:val="1D5C5F16"/>
    <w:rsid w:val="1D6946C0"/>
    <w:rsid w:val="1D6B0B1F"/>
    <w:rsid w:val="1D71198C"/>
    <w:rsid w:val="1D726B9D"/>
    <w:rsid w:val="1D743279"/>
    <w:rsid w:val="1D770F9F"/>
    <w:rsid w:val="1D7B733D"/>
    <w:rsid w:val="1D840434"/>
    <w:rsid w:val="1D8B2357"/>
    <w:rsid w:val="1D907783"/>
    <w:rsid w:val="1D9B4C90"/>
    <w:rsid w:val="1DBC650F"/>
    <w:rsid w:val="1DC35F95"/>
    <w:rsid w:val="1DCF0496"/>
    <w:rsid w:val="1DD37785"/>
    <w:rsid w:val="1DD54DD1"/>
    <w:rsid w:val="1DD7245C"/>
    <w:rsid w:val="1DD8129D"/>
    <w:rsid w:val="1DD86BC6"/>
    <w:rsid w:val="1DDC1EE1"/>
    <w:rsid w:val="1DE61A0D"/>
    <w:rsid w:val="1DE74CEC"/>
    <w:rsid w:val="1DEE0019"/>
    <w:rsid w:val="1DF42687"/>
    <w:rsid w:val="1DF47EFC"/>
    <w:rsid w:val="1DFB0E71"/>
    <w:rsid w:val="1DFF3CCB"/>
    <w:rsid w:val="1E0530E9"/>
    <w:rsid w:val="1E116E56"/>
    <w:rsid w:val="1E1366E4"/>
    <w:rsid w:val="1E1660C5"/>
    <w:rsid w:val="1E1B44E3"/>
    <w:rsid w:val="1E1E44E9"/>
    <w:rsid w:val="1E295151"/>
    <w:rsid w:val="1E312EFF"/>
    <w:rsid w:val="1E380731"/>
    <w:rsid w:val="1E392382"/>
    <w:rsid w:val="1E3F5433"/>
    <w:rsid w:val="1E424C60"/>
    <w:rsid w:val="1E550CDA"/>
    <w:rsid w:val="1E57048B"/>
    <w:rsid w:val="1E5B0724"/>
    <w:rsid w:val="1E6071B4"/>
    <w:rsid w:val="1E62130A"/>
    <w:rsid w:val="1E65704C"/>
    <w:rsid w:val="1E672DC4"/>
    <w:rsid w:val="1E6A2707"/>
    <w:rsid w:val="1E74728F"/>
    <w:rsid w:val="1E7F0E72"/>
    <w:rsid w:val="1E805C34"/>
    <w:rsid w:val="1E816A2F"/>
    <w:rsid w:val="1E8976CC"/>
    <w:rsid w:val="1E8A7F4E"/>
    <w:rsid w:val="1E9539DF"/>
    <w:rsid w:val="1EA82479"/>
    <w:rsid w:val="1EA86CED"/>
    <w:rsid w:val="1EAA11AA"/>
    <w:rsid w:val="1EAC7DF3"/>
    <w:rsid w:val="1EB27A1A"/>
    <w:rsid w:val="1EBF1697"/>
    <w:rsid w:val="1EC51899"/>
    <w:rsid w:val="1EC655A7"/>
    <w:rsid w:val="1ECB7C20"/>
    <w:rsid w:val="1ECC0E79"/>
    <w:rsid w:val="1ECE074D"/>
    <w:rsid w:val="1ED0096A"/>
    <w:rsid w:val="1ED1023E"/>
    <w:rsid w:val="1ED65854"/>
    <w:rsid w:val="1EDB74D8"/>
    <w:rsid w:val="1EE07B63"/>
    <w:rsid w:val="1EE11ECD"/>
    <w:rsid w:val="1EE47B84"/>
    <w:rsid w:val="1EE97E37"/>
    <w:rsid w:val="1EEC5078"/>
    <w:rsid w:val="1EF53F2C"/>
    <w:rsid w:val="1EFA7794"/>
    <w:rsid w:val="1F0C74C8"/>
    <w:rsid w:val="1F1D16D5"/>
    <w:rsid w:val="1F1E704E"/>
    <w:rsid w:val="1F1F369F"/>
    <w:rsid w:val="1F234F3D"/>
    <w:rsid w:val="1F2B2044"/>
    <w:rsid w:val="1F2C4884"/>
    <w:rsid w:val="1F3233D2"/>
    <w:rsid w:val="1F330EF8"/>
    <w:rsid w:val="1F361D86"/>
    <w:rsid w:val="1F3A40D9"/>
    <w:rsid w:val="1F3B1292"/>
    <w:rsid w:val="1F3D2794"/>
    <w:rsid w:val="1F3D6657"/>
    <w:rsid w:val="1F435398"/>
    <w:rsid w:val="1F446843"/>
    <w:rsid w:val="1F446C62"/>
    <w:rsid w:val="1F4A3D1F"/>
    <w:rsid w:val="1F4A708A"/>
    <w:rsid w:val="1F521969"/>
    <w:rsid w:val="1F545625"/>
    <w:rsid w:val="1F572E39"/>
    <w:rsid w:val="1F63358C"/>
    <w:rsid w:val="1F6D4C9B"/>
    <w:rsid w:val="1F7F44DD"/>
    <w:rsid w:val="1F813A12"/>
    <w:rsid w:val="1F851DDD"/>
    <w:rsid w:val="1F8A4FBC"/>
    <w:rsid w:val="1F8D383C"/>
    <w:rsid w:val="1F8E730E"/>
    <w:rsid w:val="1F8F60E9"/>
    <w:rsid w:val="1F911FE7"/>
    <w:rsid w:val="1F925C1F"/>
    <w:rsid w:val="1F936766"/>
    <w:rsid w:val="1F953AC5"/>
    <w:rsid w:val="1F9A2D26"/>
    <w:rsid w:val="1FA264A3"/>
    <w:rsid w:val="1FA923BC"/>
    <w:rsid w:val="1FAA1CAD"/>
    <w:rsid w:val="1FB37A64"/>
    <w:rsid w:val="1FB45DF0"/>
    <w:rsid w:val="1FBD7929"/>
    <w:rsid w:val="1FC72E9A"/>
    <w:rsid w:val="1FCF29CF"/>
    <w:rsid w:val="1FD7645F"/>
    <w:rsid w:val="1FDD0B17"/>
    <w:rsid w:val="1FE1598A"/>
    <w:rsid w:val="1FE32951"/>
    <w:rsid w:val="1FEF4E1F"/>
    <w:rsid w:val="1FF24910"/>
    <w:rsid w:val="1FF3380D"/>
    <w:rsid w:val="200007DF"/>
    <w:rsid w:val="20011AFD"/>
    <w:rsid w:val="200239BE"/>
    <w:rsid w:val="2009466C"/>
    <w:rsid w:val="200F101E"/>
    <w:rsid w:val="20154252"/>
    <w:rsid w:val="201B3E66"/>
    <w:rsid w:val="201E5705"/>
    <w:rsid w:val="20234AC9"/>
    <w:rsid w:val="20334ED2"/>
    <w:rsid w:val="20385336"/>
    <w:rsid w:val="203B62B7"/>
    <w:rsid w:val="203C2CA3"/>
    <w:rsid w:val="2040567B"/>
    <w:rsid w:val="20420E63"/>
    <w:rsid w:val="2043516B"/>
    <w:rsid w:val="205254D7"/>
    <w:rsid w:val="205630F0"/>
    <w:rsid w:val="20582A63"/>
    <w:rsid w:val="20585715"/>
    <w:rsid w:val="20592BE1"/>
    <w:rsid w:val="206F41B2"/>
    <w:rsid w:val="206F5F60"/>
    <w:rsid w:val="2071222D"/>
    <w:rsid w:val="207329B3"/>
    <w:rsid w:val="208B2A2D"/>
    <w:rsid w:val="208E12B4"/>
    <w:rsid w:val="20924301"/>
    <w:rsid w:val="20972794"/>
    <w:rsid w:val="209E23A2"/>
    <w:rsid w:val="209E6186"/>
    <w:rsid w:val="209F0117"/>
    <w:rsid w:val="209F27F3"/>
    <w:rsid w:val="20A025BE"/>
    <w:rsid w:val="20A51982"/>
    <w:rsid w:val="20AC109E"/>
    <w:rsid w:val="20AF2801"/>
    <w:rsid w:val="20B10327"/>
    <w:rsid w:val="20B221AC"/>
    <w:rsid w:val="20B931EF"/>
    <w:rsid w:val="20BB1436"/>
    <w:rsid w:val="20BF4D39"/>
    <w:rsid w:val="20D109C9"/>
    <w:rsid w:val="20D32238"/>
    <w:rsid w:val="20D34741"/>
    <w:rsid w:val="20D641EF"/>
    <w:rsid w:val="20D85D57"/>
    <w:rsid w:val="20DA32B1"/>
    <w:rsid w:val="20DF0DF0"/>
    <w:rsid w:val="20E72B5B"/>
    <w:rsid w:val="20E77269"/>
    <w:rsid w:val="20EB01B3"/>
    <w:rsid w:val="20EC7F87"/>
    <w:rsid w:val="20EE03F2"/>
    <w:rsid w:val="20EF28CE"/>
    <w:rsid w:val="20F61EF1"/>
    <w:rsid w:val="20FD17BE"/>
    <w:rsid w:val="211014F1"/>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E1D16"/>
    <w:rsid w:val="216058A9"/>
    <w:rsid w:val="21654660"/>
    <w:rsid w:val="216B6728"/>
    <w:rsid w:val="216F5573"/>
    <w:rsid w:val="217D0A1F"/>
    <w:rsid w:val="217D1886"/>
    <w:rsid w:val="218216ED"/>
    <w:rsid w:val="21906E45"/>
    <w:rsid w:val="21914F6E"/>
    <w:rsid w:val="21941EA4"/>
    <w:rsid w:val="21A41C3A"/>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BC725E"/>
    <w:rsid w:val="22C0341B"/>
    <w:rsid w:val="22CC769A"/>
    <w:rsid w:val="22CF0F38"/>
    <w:rsid w:val="22D14CB0"/>
    <w:rsid w:val="22D351CD"/>
    <w:rsid w:val="22D95913"/>
    <w:rsid w:val="22DB00E0"/>
    <w:rsid w:val="22DF0D93"/>
    <w:rsid w:val="22E26EBD"/>
    <w:rsid w:val="22E5075C"/>
    <w:rsid w:val="22E85AEC"/>
    <w:rsid w:val="22EE11B0"/>
    <w:rsid w:val="22F377CF"/>
    <w:rsid w:val="22F5344F"/>
    <w:rsid w:val="22F56BF1"/>
    <w:rsid w:val="22F77C76"/>
    <w:rsid w:val="22F90444"/>
    <w:rsid w:val="23007E1A"/>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35477"/>
    <w:rsid w:val="236B2A0F"/>
    <w:rsid w:val="236E3686"/>
    <w:rsid w:val="236E4509"/>
    <w:rsid w:val="23710D16"/>
    <w:rsid w:val="237A4FBB"/>
    <w:rsid w:val="237C4C1C"/>
    <w:rsid w:val="237D3DBF"/>
    <w:rsid w:val="238031A0"/>
    <w:rsid w:val="23831236"/>
    <w:rsid w:val="238E492C"/>
    <w:rsid w:val="239D2DE4"/>
    <w:rsid w:val="23A106E1"/>
    <w:rsid w:val="23B3363E"/>
    <w:rsid w:val="23B7025B"/>
    <w:rsid w:val="23B91E96"/>
    <w:rsid w:val="23DA14B2"/>
    <w:rsid w:val="23DC0185"/>
    <w:rsid w:val="23F22AA6"/>
    <w:rsid w:val="23F60DC5"/>
    <w:rsid w:val="23F72E72"/>
    <w:rsid w:val="240D651C"/>
    <w:rsid w:val="24107A5A"/>
    <w:rsid w:val="2412732E"/>
    <w:rsid w:val="241C63FF"/>
    <w:rsid w:val="241F0EFF"/>
    <w:rsid w:val="24287767"/>
    <w:rsid w:val="243B6A2B"/>
    <w:rsid w:val="243C2BA2"/>
    <w:rsid w:val="243F5C4A"/>
    <w:rsid w:val="244514B2"/>
    <w:rsid w:val="244558F0"/>
    <w:rsid w:val="244A2F6C"/>
    <w:rsid w:val="244D0366"/>
    <w:rsid w:val="245401AE"/>
    <w:rsid w:val="2457589F"/>
    <w:rsid w:val="245904E1"/>
    <w:rsid w:val="24617941"/>
    <w:rsid w:val="24675324"/>
    <w:rsid w:val="246A35DA"/>
    <w:rsid w:val="246A6926"/>
    <w:rsid w:val="246C6D95"/>
    <w:rsid w:val="24766D97"/>
    <w:rsid w:val="24772744"/>
    <w:rsid w:val="247C6164"/>
    <w:rsid w:val="248D2E59"/>
    <w:rsid w:val="248D7A6F"/>
    <w:rsid w:val="24912949"/>
    <w:rsid w:val="24A700B1"/>
    <w:rsid w:val="24AA3A0B"/>
    <w:rsid w:val="24AD4960"/>
    <w:rsid w:val="24AF3C23"/>
    <w:rsid w:val="24B1038E"/>
    <w:rsid w:val="24B71C84"/>
    <w:rsid w:val="24BD6371"/>
    <w:rsid w:val="24BF33A4"/>
    <w:rsid w:val="24BF7404"/>
    <w:rsid w:val="24C543A1"/>
    <w:rsid w:val="24C60CE2"/>
    <w:rsid w:val="24C70119"/>
    <w:rsid w:val="24C8296D"/>
    <w:rsid w:val="24CF7171"/>
    <w:rsid w:val="24D07CA4"/>
    <w:rsid w:val="24D606C4"/>
    <w:rsid w:val="24DB2630"/>
    <w:rsid w:val="24DD20F9"/>
    <w:rsid w:val="24E707BB"/>
    <w:rsid w:val="24E9041A"/>
    <w:rsid w:val="24F13C4E"/>
    <w:rsid w:val="2500362B"/>
    <w:rsid w:val="25021151"/>
    <w:rsid w:val="250C4542"/>
    <w:rsid w:val="250F386E"/>
    <w:rsid w:val="25155759"/>
    <w:rsid w:val="251610A0"/>
    <w:rsid w:val="25205A7B"/>
    <w:rsid w:val="252A3087"/>
    <w:rsid w:val="252B4B4C"/>
    <w:rsid w:val="252D4FBC"/>
    <w:rsid w:val="25340B7A"/>
    <w:rsid w:val="253908EB"/>
    <w:rsid w:val="253D487F"/>
    <w:rsid w:val="254B6E5F"/>
    <w:rsid w:val="254C45D5"/>
    <w:rsid w:val="2552474A"/>
    <w:rsid w:val="25530418"/>
    <w:rsid w:val="25584143"/>
    <w:rsid w:val="2565318A"/>
    <w:rsid w:val="256D74C3"/>
    <w:rsid w:val="256F237E"/>
    <w:rsid w:val="25762A15"/>
    <w:rsid w:val="257C1D6A"/>
    <w:rsid w:val="25853B30"/>
    <w:rsid w:val="25871828"/>
    <w:rsid w:val="25893620"/>
    <w:rsid w:val="25910727"/>
    <w:rsid w:val="25954889"/>
    <w:rsid w:val="2598079C"/>
    <w:rsid w:val="259C7089"/>
    <w:rsid w:val="25A27518"/>
    <w:rsid w:val="25A530AD"/>
    <w:rsid w:val="25A822CA"/>
    <w:rsid w:val="25A95DFD"/>
    <w:rsid w:val="25B12B77"/>
    <w:rsid w:val="25B3069D"/>
    <w:rsid w:val="25B439D5"/>
    <w:rsid w:val="25B63FD2"/>
    <w:rsid w:val="25B97089"/>
    <w:rsid w:val="25BA28AD"/>
    <w:rsid w:val="25BA3610"/>
    <w:rsid w:val="25BC0AFB"/>
    <w:rsid w:val="25BF34E6"/>
    <w:rsid w:val="25C72F98"/>
    <w:rsid w:val="25CD5C03"/>
    <w:rsid w:val="25CE54D7"/>
    <w:rsid w:val="25D36F91"/>
    <w:rsid w:val="25D424CD"/>
    <w:rsid w:val="25D7087A"/>
    <w:rsid w:val="25D725DE"/>
    <w:rsid w:val="25DA0320"/>
    <w:rsid w:val="25DC7BF4"/>
    <w:rsid w:val="25E20BC6"/>
    <w:rsid w:val="25EE4C55"/>
    <w:rsid w:val="25EE7927"/>
    <w:rsid w:val="25F27417"/>
    <w:rsid w:val="25FA62CC"/>
    <w:rsid w:val="25FD5DBC"/>
    <w:rsid w:val="25FF1B34"/>
    <w:rsid w:val="26031625"/>
    <w:rsid w:val="260962C3"/>
    <w:rsid w:val="26105AEF"/>
    <w:rsid w:val="26221B3A"/>
    <w:rsid w:val="26230F52"/>
    <w:rsid w:val="26313096"/>
    <w:rsid w:val="263A2B6C"/>
    <w:rsid w:val="26543C2E"/>
    <w:rsid w:val="26577CD2"/>
    <w:rsid w:val="26591839"/>
    <w:rsid w:val="265C6F87"/>
    <w:rsid w:val="265E5112"/>
    <w:rsid w:val="26625EB7"/>
    <w:rsid w:val="266C3044"/>
    <w:rsid w:val="267800C9"/>
    <w:rsid w:val="26797B39"/>
    <w:rsid w:val="26857A82"/>
    <w:rsid w:val="26865DB2"/>
    <w:rsid w:val="26881B30"/>
    <w:rsid w:val="269B6213"/>
    <w:rsid w:val="269C5635"/>
    <w:rsid w:val="26A55390"/>
    <w:rsid w:val="26AC0B28"/>
    <w:rsid w:val="26AE073F"/>
    <w:rsid w:val="26B4291F"/>
    <w:rsid w:val="26B8583B"/>
    <w:rsid w:val="26BE3ABE"/>
    <w:rsid w:val="26BE5C77"/>
    <w:rsid w:val="26C64400"/>
    <w:rsid w:val="26C850AD"/>
    <w:rsid w:val="26D134D1"/>
    <w:rsid w:val="26DB0100"/>
    <w:rsid w:val="26E10EAE"/>
    <w:rsid w:val="26E34FB2"/>
    <w:rsid w:val="26F15921"/>
    <w:rsid w:val="26F94FC8"/>
    <w:rsid w:val="26FC754D"/>
    <w:rsid w:val="26FE3B9A"/>
    <w:rsid w:val="270311B0"/>
    <w:rsid w:val="27042DFE"/>
    <w:rsid w:val="27050B37"/>
    <w:rsid w:val="27082C6B"/>
    <w:rsid w:val="27117D71"/>
    <w:rsid w:val="271E248E"/>
    <w:rsid w:val="27206996"/>
    <w:rsid w:val="2722776F"/>
    <w:rsid w:val="272279FF"/>
    <w:rsid w:val="272368F5"/>
    <w:rsid w:val="27262CF7"/>
    <w:rsid w:val="27277595"/>
    <w:rsid w:val="272B7ED2"/>
    <w:rsid w:val="27354FCE"/>
    <w:rsid w:val="27361586"/>
    <w:rsid w:val="273864DE"/>
    <w:rsid w:val="273D6578"/>
    <w:rsid w:val="275859A0"/>
    <w:rsid w:val="275A0439"/>
    <w:rsid w:val="2765125B"/>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BE1357"/>
    <w:rsid w:val="27CD64A0"/>
    <w:rsid w:val="27CD765E"/>
    <w:rsid w:val="27D070D0"/>
    <w:rsid w:val="27D522F3"/>
    <w:rsid w:val="27D57BA0"/>
    <w:rsid w:val="27D6111F"/>
    <w:rsid w:val="27DF40A6"/>
    <w:rsid w:val="27E05BDB"/>
    <w:rsid w:val="27E34F95"/>
    <w:rsid w:val="27E4002A"/>
    <w:rsid w:val="27E5181C"/>
    <w:rsid w:val="27F36E8A"/>
    <w:rsid w:val="27F714EE"/>
    <w:rsid w:val="27F76F67"/>
    <w:rsid w:val="27FC3FE7"/>
    <w:rsid w:val="28017DE6"/>
    <w:rsid w:val="28031161"/>
    <w:rsid w:val="280478D6"/>
    <w:rsid w:val="280653FC"/>
    <w:rsid w:val="28094EEC"/>
    <w:rsid w:val="280A408E"/>
    <w:rsid w:val="281333B4"/>
    <w:rsid w:val="28240B7A"/>
    <w:rsid w:val="282671A9"/>
    <w:rsid w:val="28336664"/>
    <w:rsid w:val="283D04C3"/>
    <w:rsid w:val="28445AE8"/>
    <w:rsid w:val="284A09C8"/>
    <w:rsid w:val="284B2E0F"/>
    <w:rsid w:val="284B72B3"/>
    <w:rsid w:val="284D6B87"/>
    <w:rsid w:val="285048C9"/>
    <w:rsid w:val="28540164"/>
    <w:rsid w:val="2858552C"/>
    <w:rsid w:val="285C326E"/>
    <w:rsid w:val="28663CBB"/>
    <w:rsid w:val="286D2EB7"/>
    <w:rsid w:val="28722A91"/>
    <w:rsid w:val="287405B8"/>
    <w:rsid w:val="2879266B"/>
    <w:rsid w:val="287C74F6"/>
    <w:rsid w:val="288527C5"/>
    <w:rsid w:val="288D3427"/>
    <w:rsid w:val="288F53F1"/>
    <w:rsid w:val="2890116A"/>
    <w:rsid w:val="28940C5A"/>
    <w:rsid w:val="2894468D"/>
    <w:rsid w:val="289742A6"/>
    <w:rsid w:val="28980BDC"/>
    <w:rsid w:val="289C5DE6"/>
    <w:rsid w:val="289F5451"/>
    <w:rsid w:val="28A6098D"/>
    <w:rsid w:val="28A864B3"/>
    <w:rsid w:val="28A95D87"/>
    <w:rsid w:val="28AF1112"/>
    <w:rsid w:val="28B5308F"/>
    <w:rsid w:val="28BE5CD7"/>
    <w:rsid w:val="28C332ED"/>
    <w:rsid w:val="28CD59CC"/>
    <w:rsid w:val="28D15A0A"/>
    <w:rsid w:val="28D42E04"/>
    <w:rsid w:val="28D56B7C"/>
    <w:rsid w:val="28D720CC"/>
    <w:rsid w:val="28D92DB9"/>
    <w:rsid w:val="28DC58C4"/>
    <w:rsid w:val="28DF1D1C"/>
    <w:rsid w:val="28E4149E"/>
    <w:rsid w:val="28E929B8"/>
    <w:rsid w:val="28EB63A0"/>
    <w:rsid w:val="28ED3EC6"/>
    <w:rsid w:val="28F00706"/>
    <w:rsid w:val="28F2772E"/>
    <w:rsid w:val="28F33BD2"/>
    <w:rsid w:val="28FD6A48"/>
    <w:rsid w:val="29015BC3"/>
    <w:rsid w:val="29016FB5"/>
    <w:rsid w:val="290556B4"/>
    <w:rsid w:val="29086F52"/>
    <w:rsid w:val="29087613"/>
    <w:rsid w:val="29192F0D"/>
    <w:rsid w:val="29312005"/>
    <w:rsid w:val="293146FB"/>
    <w:rsid w:val="29332371"/>
    <w:rsid w:val="293A3683"/>
    <w:rsid w:val="29453338"/>
    <w:rsid w:val="294B1A32"/>
    <w:rsid w:val="294F50E8"/>
    <w:rsid w:val="295959FF"/>
    <w:rsid w:val="296039E3"/>
    <w:rsid w:val="2960729B"/>
    <w:rsid w:val="29625064"/>
    <w:rsid w:val="29687BF4"/>
    <w:rsid w:val="2969622E"/>
    <w:rsid w:val="296C2DD1"/>
    <w:rsid w:val="29746395"/>
    <w:rsid w:val="29847D1D"/>
    <w:rsid w:val="29915199"/>
    <w:rsid w:val="299F0B8C"/>
    <w:rsid w:val="29AE292F"/>
    <w:rsid w:val="29B11398"/>
    <w:rsid w:val="29B37588"/>
    <w:rsid w:val="29B82726"/>
    <w:rsid w:val="29B859EE"/>
    <w:rsid w:val="29BB2CB1"/>
    <w:rsid w:val="29C36E98"/>
    <w:rsid w:val="29CF0DBC"/>
    <w:rsid w:val="29D46E34"/>
    <w:rsid w:val="29D95510"/>
    <w:rsid w:val="29DA08EE"/>
    <w:rsid w:val="29E34611"/>
    <w:rsid w:val="29EC52C2"/>
    <w:rsid w:val="29F4303F"/>
    <w:rsid w:val="29F673AC"/>
    <w:rsid w:val="29FB049E"/>
    <w:rsid w:val="29FD638B"/>
    <w:rsid w:val="2A067935"/>
    <w:rsid w:val="2A092018"/>
    <w:rsid w:val="2A1A518F"/>
    <w:rsid w:val="2A1F27A5"/>
    <w:rsid w:val="2A2238F8"/>
    <w:rsid w:val="2A224043"/>
    <w:rsid w:val="2A28197F"/>
    <w:rsid w:val="2A3534D2"/>
    <w:rsid w:val="2A353D77"/>
    <w:rsid w:val="2A3704DA"/>
    <w:rsid w:val="2A3C4980"/>
    <w:rsid w:val="2A3C5105"/>
    <w:rsid w:val="2A4144C9"/>
    <w:rsid w:val="2A4A4417"/>
    <w:rsid w:val="2A4C1771"/>
    <w:rsid w:val="2A4F6767"/>
    <w:rsid w:val="2A51078D"/>
    <w:rsid w:val="2A5364DD"/>
    <w:rsid w:val="2A5F0C10"/>
    <w:rsid w:val="2A662182"/>
    <w:rsid w:val="2A7D74CC"/>
    <w:rsid w:val="2A8C57DF"/>
    <w:rsid w:val="2A903CB0"/>
    <w:rsid w:val="2AA348B7"/>
    <w:rsid w:val="2AA720D9"/>
    <w:rsid w:val="2AAF1A65"/>
    <w:rsid w:val="2AAF55F1"/>
    <w:rsid w:val="2AB0164F"/>
    <w:rsid w:val="2AB062C3"/>
    <w:rsid w:val="2AB51EB1"/>
    <w:rsid w:val="2AB670B6"/>
    <w:rsid w:val="2AB72A98"/>
    <w:rsid w:val="2AB90504"/>
    <w:rsid w:val="2AC450FA"/>
    <w:rsid w:val="2AC61C8E"/>
    <w:rsid w:val="2ACE106F"/>
    <w:rsid w:val="2ACF535F"/>
    <w:rsid w:val="2AE00F03"/>
    <w:rsid w:val="2AE82B97"/>
    <w:rsid w:val="2AED28A3"/>
    <w:rsid w:val="2AFC6642"/>
    <w:rsid w:val="2B012333"/>
    <w:rsid w:val="2B037BB5"/>
    <w:rsid w:val="2B0F45C8"/>
    <w:rsid w:val="2B177920"/>
    <w:rsid w:val="2B192F19"/>
    <w:rsid w:val="2B193698"/>
    <w:rsid w:val="2B204A27"/>
    <w:rsid w:val="2B275DB5"/>
    <w:rsid w:val="2B29500D"/>
    <w:rsid w:val="2B2C686F"/>
    <w:rsid w:val="2B2C778D"/>
    <w:rsid w:val="2B3362BD"/>
    <w:rsid w:val="2B344A2B"/>
    <w:rsid w:val="2B3B360F"/>
    <w:rsid w:val="2B4B3FF4"/>
    <w:rsid w:val="2B51698E"/>
    <w:rsid w:val="2B5C4A35"/>
    <w:rsid w:val="2B5E10AB"/>
    <w:rsid w:val="2B6111BC"/>
    <w:rsid w:val="2B6D725E"/>
    <w:rsid w:val="2B726905"/>
    <w:rsid w:val="2B735935"/>
    <w:rsid w:val="2B8378E0"/>
    <w:rsid w:val="2B8613CE"/>
    <w:rsid w:val="2B8A2A44"/>
    <w:rsid w:val="2B8E4B26"/>
    <w:rsid w:val="2B8F395A"/>
    <w:rsid w:val="2B916B5A"/>
    <w:rsid w:val="2B946D50"/>
    <w:rsid w:val="2B9D6077"/>
    <w:rsid w:val="2BA016C4"/>
    <w:rsid w:val="2BA54F2C"/>
    <w:rsid w:val="2BAC1E16"/>
    <w:rsid w:val="2BAE6890"/>
    <w:rsid w:val="2BB005EE"/>
    <w:rsid w:val="2BBC3B7F"/>
    <w:rsid w:val="2BC532A9"/>
    <w:rsid w:val="2BCE6231"/>
    <w:rsid w:val="2BDC10FF"/>
    <w:rsid w:val="2BE27F2E"/>
    <w:rsid w:val="2BE34303"/>
    <w:rsid w:val="2BE54A9D"/>
    <w:rsid w:val="2BE55328"/>
    <w:rsid w:val="2BEC66B7"/>
    <w:rsid w:val="2BEE6D21"/>
    <w:rsid w:val="2BF119AC"/>
    <w:rsid w:val="2BF91A78"/>
    <w:rsid w:val="2BFF4F65"/>
    <w:rsid w:val="2C033294"/>
    <w:rsid w:val="2C0C4FAB"/>
    <w:rsid w:val="2C0C6D59"/>
    <w:rsid w:val="2C106849"/>
    <w:rsid w:val="2C126937"/>
    <w:rsid w:val="2C1A3224"/>
    <w:rsid w:val="2C231518"/>
    <w:rsid w:val="2C235595"/>
    <w:rsid w:val="2C244D24"/>
    <w:rsid w:val="2C2726DF"/>
    <w:rsid w:val="2C2B1C60"/>
    <w:rsid w:val="2C334863"/>
    <w:rsid w:val="2C377AC1"/>
    <w:rsid w:val="2C3D3AC9"/>
    <w:rsid w:val="2C4B5AD3"/>
    <w:rsid w:val="2C5014F1"/>
    <w:rsid w:val="2C5030EA"/>
    <w:rsid w:val="2C520ABA"/>
    <w:rsid w:val="2C526E62"/>
    <w:rsid w:val="2C575892"/>
    <w:rsid w:val="2C591B76"/>
    <w:rsid w:val="2C6907A2"/>
    <w:rsid w:val="2C7072E8"/>
    <w:rsid w:val="2C781ABD"/>
    <w:rsid w:val="2C7D37B3"/>
    <w:rsid w:val="2C8B4122"/>
    <w:rsid w:val="2C8D3737"/>
    <w:rsid w:val="2CA1345F"/>
    <w:rsid w:val="2CA95888"/>
    <w:rsid w:val="2CAE7E10"/>
    <w:rsid w:val="2CB03B88"/>
    <w:rsid w:val="2CB335FE"/>
    <w:rsid w:val="2CBA2CC2"/>
    <w:rsid w:val="2CC01D80"/>
    <w:rsid w:val="2CC24F06"/>
    <w:rsid w:val="2CC82C80"/>
    <w:rsid w:val="2CD47E0C"/>
    <w:rsid w:val="2CD812B0"/>
    <w:rsid w:val="2CD95759"/>
    <w:rsid w:val="2CDD35CF"/>
    <w:rsid w:val="2CDF446E"/>
    <w:rsid w:val="2CDF6D6E"/>
    <w:rsid w:val="2CEF215B"/>
    <w:rsid w:val="2CF75313"/>
    <w:rsid w:val="2D012673"/>
    <w:rsid w:val="2D0A3299"/>
    <w:rsid w:val="2D0D4B37"/>
    <w:rsid w:val="2D0F08AF"/>
    <w:rsid w:val="2D205BB7"/>
    <w:rsid w:val="2D241B62"/>
    <w:rsid w:val="2D293C41"/>
    <w:rsid w:val="2D306AA6"/>
    <w:rsid w:val="2D4730D3"/>
    <w:rsid w:val="2D497F94"/>
    <w:rsid w:val="2D4A5D8B"/>
    <w:rsid w:val="2D4B0D1B"/>
    <w:rsid w:val="2D551498"/>
    <w:rsid w:val="2D597D7C"/>
    <w:rsid w:val="2D654973"/>
    <w:rsid w:val="2D666D38"/>
    <w:rsid w:val="2D6B02E7"/>
    <w:rsid w:val="2D6C3F53"/>
    <w:rsid w:val="2D6C476E"/>
    <w:rsid w:val="2D6E40A6"/>
    <w:rsid w:val="2D7141F4"/>
    <w:rsid w:val="2D74205C"/>
    <w:rsid w:val="2D76092E"/>
    <w:rsid w:val="2D766B80"/>
    <w:rsid w:val="2D7F56FD"/>
    <w:rsid w:val="2D811081"/>
    <w:rsid w:val="2D847281"/>
    <w:rsid w:val="2D8654A1"/>
    <w:rsid w:val="2D88240F"/>
    <w:rsid w:val="2D9F106A"/>
    <w:rsid w:val="2DA25926"/>
    <w:rsid w:val="2DA3549B"/>
    <w:rsid w:val="2DA7653E"/>
    <w:rsid w:val="2DAA1B06"/>
    <w:rsid w:val="2DAA40D8"/>
    <w:rsid w:val="2DB11B2B"/>
    <w:rsid w:val="2DB80F46"/>
    <w:rsid w:val="2DBB4352"/>
    <w:rsid w:val="2DC859A1"/>
    <w:rsid w:val="2DCB1889"/>
    <w:rsid w:val="2DD12008"/>
    <w:rsid w:val="2DD21B9F"/>
    <w:rsid w:val="2DD23BAC"/>
    <w:rsid w:val="2DD35D80"/>
    <w:rsid w:val="2DD36C12"/>
    <w:rsid w:val="2DDD09AD"/>
    <w:rsid w:val="2DF04B3D"/>
    <w:rsid w:val="2DF61A6F"/>
    <w:rsid w:val="2DFE0923"/>
    <w:rsid w:val="2DFF6B75"/>
    <w:rsid w:val="2E0065CE"/>
    <w:rsid w:val="2E020414"/>
    <w:rsid w:val="2E0212C8"/>
    <w:rsid w:val="2E077C93"/>
    <w:rsid w:val="2E204BEF"/>
    <w:rsid w:val="2E217873"/>
    <w:rsid w:val="2E263B66"/>
    <w:rsid w:val="2E277E7A"/>
    <w:rsid w:val="2E2E2FB7"/>
    <w:rsid w:val="2E300356"/>
    <w:rsid w:val="2E3413C6"/>
    <w:rsid w:val="2E354E3E"/>
    <w:rsid w:val="2E396BD1"/>
    <w:rsid w:val="2E3B7332"/>
    <w:rsid w:val="2E4176CE"/>
    <w:rsid w:val="2E4239F8"/>
    <w:rsid w:val="2E485D7D"/>
    <w:rsid w:val="2E4C168F"/>
    <w:rsid w:val="2E4E5407"/>
    <w:rsid w:val="2E53443E"/>
    <w:rsid w:val="2E580034"/>
    <w:rsid w:val="2E593A13"/>
    <w:rsid w:val="2E5B7B24"/>
    <w:rsid w:val="2E620224"/>
    <w:rsid w:val="2E627104"/>
    <w:rsid w:val="2E6C5AAD"/>
    <w:rsid w:val="2E6D7F83"/>
    <w:rsid w:val="2E7330BF"/>
    <w:rsid w:val="2E763918"/>
    <w:rsid w:val="2E825366"/>
    <w:rsid w:val="2E8A24CD"/>
    <w:rsid w:val="2E903C71"/>
    <w:rsid w:val="2E921785"/>
    <w:rsid w:val="2E9372BE"/>
    <w:rsid w:val="2E976DAE"/>
    <w:rsid w:val="2E9A77AF"/>
    <w:rsid w:val="2EA7310E"/>
    <w:rsid w:val="2EA83663"/>
    <w:rsid w:val="2EAB387A"/>
    <w:rsid w:val="2EB21E3A"/>
    <w:rsid w:val="2EBC05C2"/>
    <w:rsid w:val="2EC52085"/>
    <w:rsid w:val="2EC52D69"/>
    <w:rsid w:val="2EC658E5"/>
    <w:rsid w:val="2EC67693"/>
    <w:rsid w:val="2EC87765"/>
    <w:rsid w:val="2EC92CDF"/>
    <w:rsid w:val="2ECB4CA9"/>
    <w:rsid w:val="2ECB4FE2"/>
    <w:rsid w:val="2ECF07FE"/>
    <w:rsid w:val="2ED52630"/>
    <w:rsid w:val="2ED7364E"/>
    <w:rsid w:val="2EDD0924"/>
    <w:rsid w:val="2EE10029"/>
    <w:rsid w:val="2EE81E5B"/>
    <w:rsid w:val="2EEB0EA8"/>
    <w:rsid w:val="2EF05A04"/>
    <w:rsid w:val="2EF9007F"/>
    <w:rsid w:val="2EFC1390"/>
    <w:rsid w:val="2F000DF7"/>
    <w:rsid w:val="2F0C35AE"/>
    <w:rsid w:val="2F0E5ECE"/>
    <w:rsid w:val="2F120B2A"/>
    <w:rsid w:val="2F177EEF"/>
    <w:rsid w:val="2F1B08DB"/>
    <w:rsid w:val="2F1F6DA3"/>
    <w:rsid w:val="2F2D14C0"/>
    <w:rsid w:val="2F2F55AF"/>
    <w:rsid w:val="2F45118A"/>
    <w:rsid w:val="2F4773E5"/>
    <w:rsid w:val="2F4A4EE0"/>
    <w:rsid w:val="2F4E52FD"/>
    <w:rsid w:val="2F570024"/>
    <w:rsid w:val="2F570B40"/>
    <w:rsid w:val="2F57653D"/>
    <w:rsid w:val="2F594B25"/>
    <w:rsid w:val="2F595531"/>
    <w:rsid w:val="2F601896"/>
    <w:rsid w:val="2F640AC9"/>
    <w:rsid w:val="2F693540"/>
    <w:rsid w:val="2F6D3FB3"/>
    <w:rsid w:val="2F6D5D61"/>
    <w:rsid w:val="2F6F7878"/>
    <w:rsid w:val="2F7075FF"/>
    <w:rsid w:val="2F730857"/>
    <w:rsid w:val="2F76187C"/>
    <w:rsid w:val="2F7D0FB0"/>
    <w:rsid w:val="2F7E1D1C"/>
    <w:rsid w:val="2F8F5946"/>
    <w:rsid w:val="2F920F9E"/>
    <w:rsid w:val="2F9669C2"/>
    <w:rsid w:val="2FAC6B25"/>
    <w:rsid w:val="2FAF78CE"/>
    <w:rsid w:val="2FB965CA"/>
    <w:rsid w:val="2FCC0CD9"/>
    <w:rsid w:val="2FCD4A51"/>
    <w:rsid w:val="2FD063BC"/>
    <w:rsid w:val="2FD430BA"/>
    <w:rsid w:val="2FDB0F1C"/>
    <w:rsid w:val="2FDE6C5E"/>
    <w:rsid w:val="2FE51C60"/>
    <w:rsid w:val="2FE7755C"/>
    <w:rsid w:val="2FE778C1"/>
    <w:rsid w:val="2FEA115F"/>
    <w:rsid w:val="2FEC3129"/>
    <w:rsid w:val="2FF47D4F"/>
    <w:rsid w:val="2FF63FA8"/>
    <w:rsid w:val="2FF67B04"/>
    <w:rsid w:val="2FF904AC"/>
    <w:rsid w:val="2FFA6DF5"/>
    <w:rsid w:val="2FFE090E"/>
    <w:rsid w:val="300246FB"/>
    <w:rsid w:val="30027212"/>
    <w:rsid w:val="300E24C9"/>
    <w:rsid w:val="30190DFD"/>
    <w:rsid w:val="301B57BD"/>
    <w:rsid w:val="301D32E3"/>
    <w:rsid w:val="301F601F"/>
    <w:rsid w:val="30261DE9"/>
    <w:rsid w:val="30420F9B"/>
    <w:rsid w:val="3049232A"/>
    <w:rsid w:val="304D1595"/>
    <w:rsid w:val="304E7CB0"/>
    <w:rsid w:val="30536D05"/>
    <w:rsid w:val="30562A38"/>
    <w:rsid w:val="305A62E5"/>
    <w:rsid w:val="305F7D9F"/>
    <w:rsid w:val="306233EC"/>
    <w:rsid w:val="3066300C"/>
    <w:rsid w:val="30676C54"/>
    <w:rsid w:val="306B115D"/>
    <w:rsid w:val="306F34BD"/>
    <w:rsid w:val="306F6B65"/>
    <w:rsid w:val="30760793"/>
    <w:rsid w:val="30760C45"/>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17964"/>
    <w:rsid w:val="30B315A4"/>
    <w:rsid w:val="30B8125D"/>
    <w:rsid w:val="30B93464"/>
    <w:rsid w:val="30BF083E"/>
    <w:rsid w:val="30D034A2"/>
    <w:rsid w:val="30E24E48"/>
    <w:rsid w:val="30E9688F"/>
    <w:rsid w:val="30F55EC1"/>
    <w:rsid w:val="30FF50DE"/>
    <w:rsid w:val="31020EF0"/>
    <w:rsid w:val="310532C2"/>
    <w:rsid w:val="3116114F"/>
    <w:rsid w:val="311961A0"/>
    <w:rsid w:val="311C64BD"/>
    <w:rsid w:val="311C67FF"/>
    <w:rsid w:val="311E37B6"/>
    <w:rsid w:val="311E5564"/>
    <w:rsid w:val="31277BD3"/>
    <w:rsid w:val="312863E3"/>
    <w:rsid w:val="31305298"/>
    <w:rsid w:val="31351D5F"/>
    <w:rsid w:val="313A6116"/>
    <w:rsid w:val="313C1E8F"/>
    <w:rsid w:val="313F372D"/>
    <w:rsid w:val="314239BA"/>
    <w:rsid w:val="31436D79"/>
    <w:rsid w:val="314407FC"/>
    <w:rsid w:val="31447145"/>
    <w:rsid w:val="31556AAC"/>
    <w:rsid w:val="31602DEA"/>
    <w:rsid w:val="316513E5"/>
    <w:rsid w:val="31694DC5"/>
    <w:rsid w:val="316A1E7D"/>
    <w:rsid w:val="31705EE7"/>
    <w:rsid w:val="3175031F"/>
    <w:rsid w:val="31784752"/>
    <w:rsid w:val="31853836"/>
    <w:rsid w:val="31857392"/>
    <w:rsid w:val="31877F1B"/>
    <w:rsid w:val="318B24CE"/>
    <w:rsid w:val="31921AAF"/>
    <w:rsid w:val="31975317"/>
    <w:rsid w:val="319D1C3B"/>
    <w:rsid w:val="31A16195"/>
    <w:rsid w:val="31A36B64"/>
    <w:rsid w:val="31A70F2E"/>
    <w:rsid w:val="31A7168E"/>
    <w:rsid w:val="31A765F5"/>
    <w:rsid w:val="31AF08B2"/>
    <w:rsid w:val="31B13D0E"/>
    <w:rsid w:val="31B71515"/>
    <w:rsid w:val="31C205E6"/>
    <w:rsid w:val="31CA3FFA"/>
    <w:rsid w:val="31CA4B31"/>
    <w:rsid w:val="31CC4000"/>
    <w:rsid w:val="31D04385"/>
    <w:rsid w:val="31D504C9"/>
    <w:rsid w:val="31DB09AB"/>
    <w:rsid w:val="31DF2096"/>
    <w:rsid w:val="31E0281A"/>
    <w:rsid w:val="31E02EF6"/>
    <w:rsid w:val="31E53335"/>
    <w:rsid w:val="31E77834"/>
    <w:rsid w:val="31EA3699"/>
    <w:rsid w:val="31F167D5"/>
    <w:rsid w:val="31F31802"/>
    <w:rsid w:val="31F943F2"/>
    <w:rsid w:val="32081D71"/>
    <w:rsid w:val="320F30FF"/>
    <w:rsid w:val="3210751C"/>
    <w:rsid w:val="321D1ABB"/>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AB5AC6"/>
    <w:rsid w:val="32AE7C54"/>
    <w:rsid w:val="32BD6FFF"/>
    <w:rsid w:val="32C043F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34A26"/>
    <w:rsid w:val="3337030F"/>
    <w:rsid w:val="3337290D"/>
    <w:rsid w:val="333A4D44"/>
    <w:rsid w:val="334119DE"/>
    <w:rsid w:val="334E5DC6"/>
    <w:rsid w:val="3352118A"/>
    <w:rsid w:val="33550FE6"/>
    <w:rsid w:val="335602FC"/>
    <w:rsid w:val="335A2AA0"/>
    <w:rsid w:val="335E1ACB"/>
    <w:rsid w:val="335F4C98"/>
    <w:rsid w:val="33632873"/>
    <w:rsid w:val="336372A0"/>
    <w:rsid w:val="336819E3"/>
    <w:rsid w:val="33696AEA"/>
    <w:rsid w:val="336D27D3"/>
    <w:rsid w:val="336F654B"/>
    <w:rsid w:val="337B7169"/>
    <w:rsid w:val="337E3FFB"/>
    <w:rsid w:val="33892417"/>
    <w:rsid w:val="3393505B"/>
    <w:rsid w:val="33A100AA"/>
    <w:rsid w:val="33A1247D"/>
    <w:rsid w:val="33A55B75"/>
    <w:rsid w:val="33AA1331"/>
    <w:rsid w:val="33AC346D"/>
    <w:rsid w:val="33AD0C6F"/>
    <w:rsid w:val="33AD0E22"/>
    <w:rsid w:val="33AE6EFE"/>
    <w:rsid w:val="33BA369E"/>
    <w:rsid w:val="33CD6DCE"/>
    <w:rsid w:val="33D04B10"/>
    <w:rsid w:val="33D95773"/>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21327"/>
    <w:rsid w:val="34362BC5"/>
    <w:rsid w:val="344254CB"/>
    <w:rsid w:val="34535D1B"/>
    <w:rsid w:val="34582047"/>
    <w:rsid w:val="345E2581"/>
    <w:rsid w:val="34621C0C"/>
    <w:rsid w:val="346258FD"/>
    <w:rsid w:val="346C65E7"/>
    <w:rsid w:val="346D6A14"/>
    <w:rsid w:val="34732836"/>
    <w:rsid w:val="34735BC7"/>
    <w:rsid w:val="34741917"/>
    <w:rsid w:val="34761214"/>
    <w:rsid w:val="347B137B"/>
    <w:rsid w:val="347C419D"/>
    <w:rsid w:val="347D6A46"/>
    <w:rsid w:val="348214A6"/>
    <w:rsid w:val="34823063"/>
    <w:rsid w:val="34826102"/>
    <w:rsid w:val="34863867"/>
    <w:rsid w:val="348D1F9A"/>
    <w:rsid w:val="349D438D"/>
    <w:rsid w:val="34A50280"/>
    <w:rsid w:val="34A51C1E"/>
    <w:rsid w:val="34AB5591"/>
    <w:rsid w:val="34B15A2E"/>
    <w:rsid w:val="34B61205"/>
    <w:rsid w:val="34B76B4D"/>
    <w:rsid w:val="34BA1A48"/>
    <w:rsid w:val="34BF0E0C"/>
    <w:rsid w:val="34C16318"/>
    <w:rsid w:val="34C5335C"/>
    <w:rsid w:val="34CF1DAC"/>
    <w:rsid w:val="34D10B40"/>
    <w:rsid w:val="34DD74E5"/>
    <w:rsid w:val="34EE16F2"/>
    <w:rsid w:val="34F10F51"/>
    <w:rsid w:val="34F23AD3"/>
    <w:rsid w:val="34FE2963"/>
    <w:rsid w:val="35042533"/>
    <w:rsid w:val="35092088"/>
    <w:rsid w:val="35111896"/>
    <w:rsid w:val="351138D5"/>
    <w:rsid w:val="351275CF"/>
    <w:rsid w:val="351A7555"/>
    <w:rsid w:val="351D29EB"/>
    <w:rsid w:val="35230286"/>
    <w:rsid w:val="35262E10"/>
    <w:rsid w:val="352B0250"/>
    <w:rsid w:val="352C329C"/>
    <w:rsid w:val="3538296D"/>
    <w:rsid w:val="353A3CDC"/>
    <w:rsid w:val="353A4937"/>
    <w:rsid w:val="353D2B19"/>
    <w:rsid w:val="35405374"/>
    <w:rsid w:val="3546508A"/>
    <w:rsid w:val="354721FC"/>
    <w:rsid w:val="354B0C54"/>
    <w:rsid w:val="35507CB7"/>
    <w:rsid w:val="35527ED3"/>
    <w:rsid w:val="35570F2A"/>
    <w:rsid w:val="355827D3"/>
    <w:rsid w:val="35584DBD"/>
    <w:rsid w:val="355902E2"/>
    <w:rsid w:val="355A0B35"/>
    <w:rsid w:val="35676CEF"/>
    <w:rsid w:val="356B7E6A"/>
    <w:rsid w:val="35832670"/>
    <w:rsid w:val="3583298C"/>
    <w:rsid w:val="35847960"/>
    <w:rsid w:val="358931C8"/>
    <w:rsid w:val="35956011"/>
    <w:rsid w:val="359E4EC6"/>
    <w:rsid w:val="359F39D4"/>
    <w:rsid w:val="35A57B52"/>
    <w:rsid w:val="35A65B28"/>
    <w:rsid w:val="35A77DEC"/>
    <w:rsid w:val="35AB75E3"/>
    <w:rsid w:val="35AF428F"/>
    <w:rsid w:val="35B86D60"/>
    <w:rsid w:val="35BF6BEA"/>
    <w:rsid w:val="35CB6B83"/>
    <w:rsid w:val="35CC2115"/>
    <w:rsid w:val="35CE4807"/>
    <w:rsid w:val="35D07B67"/>
    <w:rsid w:val="35D77D86"/>
    <w:rsid w:val="35DC6B72"/>
    <w:rsid w:val="35DF3832"/>
    <w:rsid w:val="35E11256"/>
    <w:rsid w:val="35E33EF8"/>
    <w:rsid w:val="35E46651"/>
    <w:rsid w:val="35E74A29"/>
    <w:rsid w:val="35E77E4F"/>
    <w:rsid w:val="35EA0A28"/>
    <w:rsid w:val="35EB79DF"/>
    <w:rsid w:val="35F42120"/>
    <w:rsid w:val="35FC1BEC"/>
    <w:rsid w:val="35FC399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4165D0"/>
    <w:rsid w:val="364671D3"/>
    <w:rsid w:val="365732C7"/>
    <w:rsid w:val="36592B9B"/>
    <w:rsid w:val="367D0F7F"/>
    <w:rsid w:val="367D6E01"/>
    <w:rsid w:val="368220F2"/>
    <w:rsid w:val="36835E6A"/>
    <w:rsid w:val="36883480"/>
    <w:rsid w:val="368A544A"/>
    <w:rsid w:val="368D4E24"/>
    <w:rsid w:val="369462C9"/>
    <w:rsid w:val="36A04C6E"/>
    <w:rsid w:val="36A225C5"/>
    <w:rsid w:val="36AC3612"/>
    <w:rsid w:val="36AC4E55"/>
    <w:rsid w:val="36AF0874"/>
    <w:rsid w:val="36B13C9C"/>
    <w:rsid w:val="36B65C3C"/>
    <w:rsid w:val="36B83D65"/>
    <w:rsid w:val="36B97ADD"/>
    <w:rsid w:val="36BC0EA5"/>
    <w:rsid w:val="36BD75CE"/>
    <w:rsid w:val="36CD22AA"/>
    <w:rsid w:val="36D16B63"/>
    <w:rsid w:val="36D22AC4"/>
    <w:rsid w:val="36D35D0D"/>
    <w:rsid w:val="36D6068F"/>
    <w:rsid w:val="36DA1F2E"/>
    <w:rsid w:val="36E006C5"/>
    <w:rsid w:val="36E0150E"/>
    <w:rsid w:val="36E0506A"/>
    <w:rsid w:val="36E068D2"/>
    <w:rsid w:val="36E61590"/>
    <w:rsid w:val="36ED633C"/>
    <w:rsid w:val="36F10B70"/>
    <w:rsid w:val="36F81861"/>
    <w:rsid w:val="37074CED"/>
    <w:rsid w:val="37116D42"/>
    <w:rsid w:val="37180CA8"/>
    <w:rsid w:val="371A26C2"/>
    <w:rsid w:val="37215DAE"/>
    <w:rsid w:val="372572D3"/>
    <w:rsid w:val="372E4027"/>
    <w:rsid w:val="37314DB7"/>
    <w:rsid w:val="3734577F"/>
    <w:rsid w:val="373732D2"/>
    <w:rsid w:val="373A0C1E"/>
    <w:rsid w:val="373C27A4"/>
    <w:rsid w:val="373D432A"/>
    <w:rsid w:val="37421C4F"/>
    <w:rsid w:val="37425D25"/>
    <w:rsid w:val="374C26CA"/>
    <w:rsid w:val="37545BC2"/>
    <w:rsid w:val="375B2943"/>
    <w:rsid w:val="375F041E"/>
    <w:rsid w:val="37624BA8"/>
    <w:rsid w:val="376C483A"/>
    <w:rsid w:val="376C4B50"/>
    <w:rsid w:val="37702892"/>
    <w:rsid w:val="37757EA8"/>
    <w:rsid w:val="377D0B0B"/>
    <w:rsid w:val="37825AA8"/>
    <w:rsid w:val="379245B6"/>
    <w:rsid w:val="37954E2F"/>
    <w:rsid w:val="37A20571"/>
    <w:rsid w:val="37AD13F0"/>
    <w:rsid w:val="37AE6F16"/>
    <w:rsid w:val="37AE71C3"/>
    <w:rsid w:val="37B6137A"/>
    <w:rsid w:val="37B7226F"/>
    <w:rsid w:val="37B73322"/>
    <w:rsid w:val="37B747BB"/>
    <w:rsid w:val="37C624B2"/>
    <w:rsid w:val="37CE7E2C"/>
    <w:rsid w:val="37CF2114"/>
    <w:rsid w:val="37D74FE0"/>
    <w:rsid w:val="37E82428"/>
    <w:rsid w:val="37ED5C91"/>
    <w:rsid w:val="37F21C57"/>
    <w:rsid w:val="37F772FC"/>
    <w:rsid w:val="37FE4FBB"/>
    <w:rsid w:val="38011815"/>
    <w:rsid w:val="38044D88"/>
    <w:rsid w:val="380A30F5"/>
    <w:rsid w:val="380B69DF"/>
    <w:rsid w:val="38140CB7"/>
    <w:rsid w:val="3818066F"/>
    <w:rsid w:val="38190C12"/>
    <w:rsid w:val="381A3528"/>
    <w:rsid w:val="381A4E20"/>
    <w:rsid w:val="382764DF"/>
    <w:rsid w:val="382C6A40"/>
    <w:rsid w:val="382F44FB"/>
    <w:rsid w:val="382F62A9"/>
    <w:rsid w:val="3834566E"/>
    <w:rsid w:val="383C5906"/>
    <w:rsid w:val="38412005"/>
    <w:rsid w:val="3843483E"/>
    <w:rsid w:val="384635F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D3CBA"/>
    <w:rsid w:val="388E7474"/>
    <w:rsid w:val="389C3213"/>
    <w:rsid w:val="38A00F55"/>
    <w:rsid w:val="38A65E3F"/>
    <w:rsid w:val="38B01D9A"/>
    <w:rsid w:val="38B21F68"/>
    <w:rsid w:val="38BB40E1"/>
    <w:rsid w:val="38C04C49"/>
    <w:rsid w:val="38C369F1"/>
    <w:rsid w:val="38C42E95"/>
    <w:rsid w:val="38CD0523"/>
    <w:rsid w:val="38CF0D23"/>
    <w:rsid w:val="38CF4370"/>
    <w:rsid w:val="38D21249"/>
    <w:rsid w:val="38D75AB2"/>
    <w:rsid w:val="38D94467"/>
    <w:rsid w:val="38E31C93"/>
    <w:rsid w:val="38E35E11"/>
    <w:rsid w:val="38F31085"/>
    <w:rsid w:val="38F512A1"/>
    <w:rsid w:val="38F848ED"/>
    <w:rsid w:val="3905700A"/>
    <w:rsid w:val="3906101F"/>
    <w:rsid w:val="39092E0A"/>
    <w:rsid w:val="390E5EBF"/>
    <w:rsid w:val="39162FC5"/>
    <w:rsid w:val="39221A5F"/>
    <w:rsid w:val="3927464D"/>
    <w:rsid w:val="392A6A70"/>
    <w:rsid w:val="39396CB4"/>
    <w:rsid w:val="393A4F06"/>
    <w:rsid w:val="394C46CD"/>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8D772B"/>
    <w:rsid w:val="39993D83"/>
    <w:rsid w:val="39A71E6F"/>
    <w:rsid w:val="39AA6B1B"/>
    <w:rsid w:val="39AE31FE"/>
    <w:rsid w:val="39B414EE"/>
    <w:rsid w:val="39B527DE"/>
    <w:rsid w:val="39BA3CAC"/>
    <w:rsid w:val="39BA4298"/>
    <w:rsid w:val="39C43476"/>
    <w:rsid w:val="39CA0222"/>
    <w:rsid w:val="39D1036D"/>
    <w:rsid w:val="39D1578E"/>
    <w:rsid w:val="39DC4084"/>
    <w:rsid w:val="39DC7D6B"/>
    <w:rsid w:val="39DD2AE2"/>
    <w:rsid w:val="39ED01CA"/>
    <w:rsid w:val="39ED0DB9"/>
    <w:rsid w:val="39FD5F33"/>
    <w:rsid w:val="3A00576A"/>
    <w:rsid w:val="3A045513"/>
    <w:rsid w:val="3A06134D"/>
    <w:rsid w:val="3A0A1FEF"/>
    <w:rsid w:val="3A12378C"/>
    <w:rsid w:val="3A15327D"/>
    <w:rsid w:val="3A166389"/>
    <w:rsid w:val="3A1936CB"/>
    <w:rsid w:val="3A273F3B"/>
    <w:rsid w:val="3A282FB0"/>
    <w:rsid w:val="3A2A31CC"/>
    <w:rsid w:val="3A2B7996"/>
    <w:rsid w:val="3A323E2F"/>
    <w:rsid w:val="3A330B56"/>
    <w:rsid w:val="3A4122C4"/>
    <w:rsid w:val="3A476BFD"/>
    <w:rsid w:val="3A476E05"/>
    <w:rsid w:val="3A4D1D3F"/>
    <w:rsid w:val="3A5A3BC6"/>
    <w:rsid w:val="3A5F274A"/>
    <w:rsid w:val="3A686A7E"/>
    <w:rsid w:val="3A6F3410"/>
    <w:rsid w:val="3A727F87"/>
    <w:rsid w:val="3A76122C"/>
    <w:rsid w:val="3A7626D5"/>
    <w:rsid w:val="3A77477F"/>
    <w:rsid w:val="3A777A93"/>
    <w:rsid w:val="3A8328DC"/>
    <w:rsid w:val="3A836438"/>
    <w:rsid w:val="3A853CFC"/>
    <w:rsid w:val="3A887EF3"/>
    <w:rsid w:val="3A8B23A8"/>
    <w:rsid w:val="3A922B1F"/>
    <w:rsid w:val="3A9643BE"/>
    <w:rsid w:val="3A992100"/>
    <w:rsid w:val="3A9A18E0"/>
    <w:rsid w:val="3A9B586C"/>
    <w:rsid w:val="3A9C399E"/>
    <w:rsid w:val="3A9E55CB"/>
    <w:rsid w:val="3AA10350"/>
    <w:rsid w:val="3AA12D62"/>
    <w:rsid w:val="3AA30888"/>
    <w:rsid w:val="3AAA1C17"/>
    <w:rsid w:val="3AB97A67"/>
    <w:rsid w:val="3ABF2659"/>
    <w:rsid w:val="3AC05766"/>
    <w:rsid w:val="3AC27F71"/>
    <w:rsid w:val="3AC54698"/>
    <w:rsid w:val="3AC70A1B"/>
    <w:rsid w:val="3AC84793"/>
    <w:rsid w:val="3ACC7DDF"/>
    <w:rsid w:val="3ADF57BD"/>
    <w:rsid w:val="3AEA64B7"/>
    <w:rsid w:val="3AEE244B"/>
    <w:rsid w:val="3AF3358A"/>
    <w:rsid w:val="3AFB06C4"/>
    <w:rsid w:val="3B084B8F"/>
    <w:rsid w:val="3B0B2724"/>
    <w:rsid w:val="3B0E42A9"/>
    <w:rsid w:val="3B101CF1"/>
    <w:rsid w:val="3B196D9D"/>
    <w:rsid w:val="3B1B01D6"/>
    <w:rsid w:val="3B225C51"/>
    <w:rsid w:val="3B2C4D22"/>
    <w:rsid w:val="3B2F488A"/>
    <w:rsid w:val="3B366AE0"/>
    <w:rsid w:val="3B3A631B"/>
    <w:rsid w:val="3B3D2C57"/>
    <w:rsid w:val="3B3F449C"/>
    <w:rsid w:val="3B4200A1"/>
    <w:rsid w:val="3B4B0D42"/>
    <w:rsid w:val="3B4E0C94"/>
    <w:rsid w:val="3B583526"/>
    <w:rsid w:val="3B5D325E"/>
    <w:rsid w:val="3B5D6BB7"/>
    <w:rsid w:val="3B6444BC"/>
    <w:rsid w:val="3B66527F"/>
    <w:rsid w:val="3B693880"/>
    <w:rsid w:val="3B6B6B81"/>
    <w:rsid w:val="3B7F4E52"/>
    <w:rsid w:val="3B822B94"/>
    <w:rsid w:val="3B8D00BE"/>
    <w:rsid w:val="3B8E17F9"/>
    <w:rsid w:val="3B96663F"/>
    <w:rsid w:val="3B985F13"/>
    <w:rsid w:val="3B9878E7"/>
    <w:rsid w:val="3B9909AD"/>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5780A"/>
    <w:rsid w:val="3BF8119C"/>
    <w:rsid w:val="3C0417FB"/>
    <w:rsid w:val="3C047A4D"/>
    <w:rsid w:val="3C070B8D"/>
    <w:rsid w:val="3C0802CE"/>
    <w:rsid w:val="3C0D1174"/>
    <w:rsid w:val="3C0E2679"/>
    <w:rsid w:val="3C0E4427"/>
    <w:rsid w:val="3C101EF8"/>
    <w:rsid w:val="3C1110A5"/>
    <w:rsid w:val="3C1A2C1F"/>
    <w:rsid w:val="3C204C6F"/>
    <w:rsid w:val="3C291261"/>
    <w:rsid w:val="3C29483E"/>
    <w:rsid w:val="3C355E58"/>
    <w:rsid w:val="3C395396"/>
    <w:rsid w:val="3C3B0AF7"/>
    <w:rsid w:val="3C406CD7"/>
    <w:rsid w:val="3C425014"/>
    <w:rsid w:val="3C4340D1"/>
    <w:rsid w:val="3C4D4F50"/>
    <w:rsid w:val="3C4E6795"/>
    <w:rsid w:val="3C56625B"/>
    <w:rsid w:val="3C65056D"/>
    <w:rsid w:val="3C65139C"/>
    <w:rsid w:val="3C6E4EC6"/>
    <w:rsid w:val="3C794497"/>
    <w:rsid w:val="3C797AF3"/>
    <w:rsid w:val="3C7B6540"/>
    <w:rsid w:val="3C834E15"/>
    <w:rsid w:val="3C86610F"/>
    <w:rsid w:val="3C8666B4"/>
    <w:rsid w:val="3C923AA1"/>
    <w:rsid w:val="3C940547"/>
    <w:rsid w:val="3C9568F7"/>
    <w:rsid w:val="3CA408E8"/>
    <w:rsid w:val="3CA52FDE"/>
    <w:rsid w:val="3CA8662A"/>
    <w:rsid w:val="3CB3037C"/>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1D2B74"/>
    <w:rsid w:val="3D22018A"/>
    <w:rsid w:val="3D233362"/>
    <w:rsid w:val="3D242F26"/>
    <w:rsid w:val="3D254A9A"/>
    <w:rsid w:val="3D315477"/>
    <w:rsid w:val="3D3404E4"/>
    <w:rsid w:val="3D3C7820"/>
    <w:rsid w:val="3D400A77"/>
    <w:rsid w:val="3D4103E4"/>
    <w:rsid w:val="3D4E0F7F"/>
    <w:rsid w:val="3D4F2F6F"/>
    <w:rsid w:val="3D4F538F"/>
    <w:rsid w:val="3D557755"/>
    <w:rsid w:val="3D5B111A"/>
    <w:rsid w:val="3D6D0770"/>
    <w:rsid w:val="3D7529B0"/>
    <w:rsid w:val="3D7824A0"/>
    <w:rsid w:val="3D806D56"/>
    <w:rsid w:val="3D842AB7"/>
    <w:rsid w:val="3D873749"/>
    <w:rsid w:val="3D891FB8"/>
    <w:rsid w:val="3D8E52AA"/>
    <w:rsid w:val="3D917A02"/>
    <w:rsid w:val="3D934BE4"/>
    <w:rsid w:val="3D9372DA"/>
    <w:rsid w:val="3D9B4E64"/>
    <w:rsid w:val="3D9F78E8"/>
    <w:rsid w:val="3DA6700D"/>
    <w:rsid w:val="3DAF5796"/>
    <w:rsid w:val="3DB15560"/>
    <w:rsid w:val="3DB42DAD"/>
    <w:rsid w:val="3DBA6615"/>
    <w:rsid w:val="3DC94978"/>
    <w:rsid w:val="3DCE49C4"/>
    <w:rsid w:val="3DD671C7"/>
    <w:rsid w:val="3DDD4C72"/>
    <w:rsid w:val="3DE4769C"/>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306B73"/>
    <w:rsid w:val="3E33483D"/>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B5A1B"/>
    <w:rsid w:val="3E704F26"/>
    <w:rsid w:val="3E790570"/>
    <w:rsid w:val="3E7964D0"/>
    <w:rsid w:val="3E8567C1"/>
    <w:rsid w:val="3E8D48FA"/>
    <w:rsid w:val="3E9055C8"/>
    <w:rsid w:val="3E9949B0"/>
    <w:rsid w:val="3E9D053F"/>
    <w:rsid w:val="3EA01CAF"/>
    <w:rsid w:val="3EA60687"/>
    <w:rsid w:val="3EAD1CD6"/>
    <w:rsid w:val="3EAF73F5"/>
    <w:rsid w:val="3EB37B0C"/>
    <w:rsid w:val="3EBF0C09"/>
    <w:rsid w:val="3EC62D97"/>
    <w:rsid w:val="3EC87D98"/>
    <w:rsid w:val="3EC924E2"/>
    <w:rsid w:val="3ECB79D6"/>
    <w:rsid w:val="3ED02F6F"/>
    <w:rsid w:val="3ED43706"/>
    <w:rsid w:val="3ED834A3"/>
    <w:rsid w:val="3EE37DED"/>
    <w:rsid w:val="3EE4099B"/>
    <w:rsid w:val="3EE44F27"/>
    <w:rsid w:val="3EE6168C"/>
    <w:rsid w:val="3EE83109"/>
    <w:rsid w:val="3EF73BB4"/>
    <w:rsid w:val="3EF75647"/>
    <w:rsid w:val="3EFB0C93"/>
    <w:rsid w:val="3EFC2C5D"/>
    <w:rsid w:val="3EFE4C27"/>
    <w:rsid w:val="3F015F57"/>
    <w:rsid w:val="3F033FEC"/>
    <w:rsid w:val="3F035713"/>
    <w:rsid w:val="3F0F2990"/>
    <w:rsid w:val="3F141D55"/>
    <w:rsid w:val="3F1955BD"/>
    <w:rsid w:val="3F1B7EF4"/>
    <w:rsid w:val="3F1E443A"/>
    <w:rsid w:val="3F1E6FCE"/>
    <w:rsid w:val="3F2625A3"/>
    <w:rsid w:val="3F2C3542"/>
    <w:rsid w:val="3F360DD8"/>
    <w:rsid w:val="3F3C2875"/>
    <w:rsid w:val="3F4168C2"/>
    <w:rsid w:val="3F43088C"/>
    <w:rsid w:val="3F4A39D4"/>
    <w:rsid w:val="3F4E11BA"/>
    <w:rsid w:val="3F52287D"/>
    <w:rsid w:val="3F532126"/>
    <w:rsid w:val="3F535C5C"/>
    <w:rsid w:val="3F584337"/>
    <w:rsid w:val="3F59020D"/>
    <w:rsid w:val="3F5D17EF"/>
    <w:rsid w:val="3F5E56C6"/>
    <w:rsid w:val="3F6324C8"/>
    <w:rsid w:val="3F636838"/>
    <w:rsid w:val="3F6668EF"/>
    <w:rsid w:val="3F795547"/>
    <w:rsid w:val="3F795781"/>
    <w:rsid w:val="3F7A2671"/>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E3893"/>
    <w:rsid w:val="40026051"/>
    <w:rsid w:val="4010076E"/>
    <w:rsid w:val="4021297B"/>
    <w:rsid w:val="40324FDC"/>
    <w:rsid w:val="40364F60"/>
    <w:rsid w:val="40381640"/>
    <w:rsid w:val="40396812"/>
    <w:rsid w:val="403C539B"/>
    <w:rsid w:val="403F1053"/>
    <w:rsid w:val="4041567A"/>
    <w:rsid w:val="404623E2"/>
    <w:rsid w:val="40464190"/>
    <w:rsid w:val="404F5C36"/>
    <w:rsid w:val="40503261"/>
    <w:rsid w:val="40520EC7"/>
    <w:rsid w:val="405E40CA"/>
    <w:rsid w:val="405F16F6"/>
    <w:rsid w:val="4061721C"/>
    <w:rsid w:val="406960D0"/>
    <w:rsid w:val="40771090"/>
    <w:rsid w:val="40866C82"/>
    <w:rsid w:val="408C3EDA"/>
    <w:rsid w:val="4093314D"/>
    <w:rsid w:val="40A9471F"/>
    <w:rsid w:val="40B43E6A"/>
    <w:rsid w:val="40B90E06"/>
    <w:rsid w:val="40BE641C"/>
    <w:rsid w:val="40C854ED"/>
    <w:rsid w:val="40D03A0C"/>
    <w:rsid w:val="40D519B8"/>
    <w:rsid w:val="40D5458F"/>
    <w:rsid w:val="40E045E4"/>
    <w:rsid w:val="40E62000"/>
    <w:rsid w:val="40EC2C13"/>
    <w:rsid w:val="40F00849"/>
    <w:rsid w:val="40F167F2"/>
    <w:rsid w:val="40FE0FE1"/>
    <w:rsid w:val="410D1152"/>
    <w:rsid w:val="411132BD"/>
    <w:rsid w:val="41287D39"/>
    <w:rsid w:val="41456B3D"/>
    <w:rsid w:val="414601C0"/>
    <w:rsid w:val="41474664"/>
    <w:rsid w:val="414972FD"/>
    <w:rsid w:val="414B7C26"/>
    <w:rsid w:val="414F176A"/>
    <w:rsid w:val="41526B64"/>
    <w:rsid w:val="41541F12"/>
    <w:rsid w:val="41546D80"/>
    <w:rsid w:val="415E73D5"/>
    <w:rsid w:val="41605419"/>
    <w:rsid w:val="416173C4"/>
    <w:rsid w:val="41625218"/>
    <w:rsid w:val="41656898"/>
    <w:rsid w:val="416D399E"/>
    <w:rsid w:val="41764BB4"/>
    <w:rsid w:val="417F4B94"/>
    <w:rsid w:val="41856F3A"/>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77A51"/>
    <w:rsid w:val="41C836BC"/>
    <w:rsid w:val="41CA60D9"/>
    <w:rsid w:val="41D41C6F"/>
    <w:rsid w:val="41D659E7"/>
    <w:rsid w:val="41DA2951"/>
    <w:rsid w:val="41DD54EE"/>
    <w:rsid w:val="41E41EB2"/>
    <w:rsid w:val="41E9396D"/>
    <w:rsid w:val="41ED7D93"/>
    <w:rsid w:val="41EE0F83"/>
    <w:rsid w:val="41F67393"/>
    <w:rsid w:val="41F83BB0"/>
    <w:rsid w:val="41F8593B"/>
    <w:rsid w:val="41F93D14"/>
    <w:rsid w:val="41FA1B64"/>
    <w:rsid w:val="4200138B"/>
    <w:rsid w:val="42022339"/>
    <w:rsid w:val="42072045"/>
    <w:rsid w:val="42092942"/>
    <w:rsid w:val="42095582"/>
    <w:rsid w:val="420F2CA7"/>
    <w:rsid w:val="420F6AF5"/>
    <w:rsid w:val="421107CE"/>
    <w:rsid w:val="42220C2D"/>
    <w:rsid w:val="422932C0"/>
    <w:rsid w:val="422B5D33"/>
    <w:rsid w:val="422E40B0"/>
    <w:rsid w:val="42336996"/>
    <w:rsid w:val="42381EAE"/>
    <w:rsid w:val="42395067"/>
    <w:rsid w:val="42465827"/>
    <w:rsid w:val="42470693"/>
    <w:rsid w:val="424C5CAA"/>
    <w:rsid w:val="424D7EEF"/>
    <w:rsid w:val="424E37D0"/>
    <w:rsid w:val="4253296F"/>
    <w:rsid w:val="4255690C"/>
    <w:rsid w:val="425A3C21"/>
    <w:rsid w:val="42647F5B"/>
    <w:rsid w:val="426D00FA"/>
    <w:rsid w:val="42725A4C"/>
    <w:rsid w:val="42823081"/>
    <w:rsid w:val="428A4F54"/>
    <w:rsid w:val="428C3276"/>
    <w:rsid w:val="428C5ED3"/>
    <w:rsid w:val="428D6F03"/>
    <w:rsid w:val="428E1E1E"/>
    <w:rsid w:val="42905B96"/>
    <w:rsid w:val="42950144"/>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75573"/>
    <w:rsid w:val="42DD6902"/>
    <w:rsid w:val="42DE4B54"/>
    <w:rsid w:val="42E41D08"/>
    <w:rsid w:val="42F13381"/>
    <w:rsid w:val="42F9316C"/>
    <w:rsid w:val="42F97FB9"/>
    <w:rsid w:val="42FE6FA4"/>
    <w:rsid w:val="43080135"/>
    <w:rsid w:val="43085C34"/>
    <w:rsid w:val="43106CD7"/>
    <w:rsid w:val="43134D1D"/>
    <w:rsid w:val="431B5A0C"/>
    <w:rsid w:val="431E16CA"/>
    <w:rsid w:val="43226128"/>
    <w:rsid w:val="432858EA"/>
    <w:rsid w:val="432D59B5"/>
    <w:rsid w:val="433771D7"/>
    <w:rsid w:val="433D44BC"/>
    <w:rsid w:val="433E7E99"/>
    <w:rsid w:val="434768FE"/>
    <w:rsid w:val="434C41B3"/>
    <w:rsid w:val="434D1CD9"/>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9965B5"/>
    <w:rsid w:val="43A2436B"/>
    <w:rsid w:val="43A55671"/>
    <w:rsid w:val="43B027A5"/>
    <w:rsid w:val="43B753A5"/>
    <w:rsid w:val="43BB52BB"/>
    <w:rsid w:val="43BB6827"/>
    <w:rsid w:val="43BF1816"/>
    <w:rsid w:val="43C31F9B"/>
    <w:rsid w:val="43C92CBE"/>
    <w:rsid w:val="43CE47D0"/>
    <w:rsid w:val="43D15585"/>
    <w:rsid w:val="43D441A9"/>
    <w:rsid w:val="43D63A7D"/>
    <w:rsid w:val="43DE0B83"/>
    <w:rsid w:val="43EA146E"/>
    <w:rsid w:val="43EA6644"/>
    <w:rsid w:val="43F03412"/>
    <w:rsid w:val="43F33DE5"/>
    <w:rsid w:val="44036616"/>
    <w:rsid w:val="44044A8E"/>
    <w:rsid w:val="44071E88"/>
    <w:rsid w:val="440F482D"/>
    <w:rsid w:val="441261E4"/>
    <w:rsid w:val="44163079"/>
    <w:rsid w:val="4416656F"/>
    <w:rsid w:val="44273BE5"/>
    <w:rsid w:val="442B2615"/>
    <w:rsid w:val="442E38B9"/>
    <w:rsid w:val="44327DA0"/>
    <w:rsid w:val="443D549C"/>
    <w:rsid w:val="44417989"/>
    <w:rsid w:val="444949C5"/>
    <w:rsid w:val="444A7498"/>
    <w:rsid w:val="445449CD"/>
    <w:rsid w:val="44550E45"/>
    <w:rsid w:val="44592E59"/>
    <w:rsid w:val="445F10EC"/>
    <w:rsid w:val="44742CA9"/>
    <w:rsid w:val="44745536"/>
    <w:rsid w:val="44806045"/>
    <w:rsid w:val="44837AB8"/>
    <w:rsid w:val="4484172B"/>
    <w:rsid w:val="448535BE"/>
    <w:rsid w:val="44916CC1"/>
    <w:rsid w:val="4492209A"/>
    <w:rsid w:val="44953CD6"/>
    <w:rsid w:val="449D537A"/>
    <w:rsid w:val="44A21BB1"/>
    <w:rsid w:val="44A44004"/>
    <w:rsid w:val="44B10046"/>
    <w:rsid w:val="44B40F84"/>
    <w:rsid w:val="44B41888"/>
    <w:rsid w:val="44BA3D81"/>
    <w:rsid w:val="44C22253"/>
    <w:rsid w:val="44CC0583"/>
    <w:rsid w:val="44CE6E4A"/>
    <w:rsid w:val="44CF7BA0"/>
    <w:rsid w:val="44D202E1"/>
    <w:rsid w:val="44D41A85"/>
    <w:rsid w:val="44D65552"/>
    <w:rsid w:val="44DC1567"/>
    <w:rsid w:val="44DD0E3B"/>
    <w:rsid w:val="44E645A9"/>
    <w:rsid w:val="44E70298"/>
    <w:rsid w:val="44E73A68"/>
    <w:rsid w:val="44ED5522"/>
    <w:rsid w:val="44EE06A6"/>
    <w:rsid w:val="44EE4DF6"/>
    <w:rsid w:val="44EF26F9"/>
    <w:rsid w:val="44F56185"/>
    <w:rsid w:val="44F85EE6"/>
    <w:rsid w:val="44F93027"/>
    <w:rsid w:val="44FE21F3"/>
    <w:rsid w:val="450F36EA"/>
    <w:rsid w:val="451505D5"/>
    <w:rsid w:val="4515141C"/>
    <w:rsid w:val="45154A79"/>
    <w:rsid w:val="4519716D"/>
    <w:rsid w:val="451B7394"/>
    <w:rsid w:val="451E1374"/>
    <w:rsid w:val="452A335C"/>
    <w:rsid w:val="45387C09"/>
    <w:rsid w:val="453C3DB3"/>
    <w:rsid w:val="454113CA"/>
    <w:rsid w:val="454B049A"/>
    <w:rsid w:val="455040E6"/>
    <w:rsid w:val="4557044F"/>
    <w:rsid w:val="45582520"/>
    <w:rsid w:val="45642180"/>
    <w:rsid w:val="45667282"/>
    <w:rsid w:val="45677177"/>
    <w:rsid w:val="456823ED"/>
    <w:rsid w:val="456978F4"/>
    <w:rsid w:val="457E43CC"/>
    <w:rsid w:val="457E4CC3"/>
    <w:rsid w:val="45800144"/>
    <w:rsid w:val="45844552"/>
    <w:rsid w:val="45855547"/>
    <w:rsid w:val="4585575A"/>
    <w:rsid w:val="458A221C"/>
    <w:rsid w:val="458B4C95"/>
    <w:rsid w:val="458D5981"/>
    <w:rsid w:val="4590612B"/>
    <w:rsid w:val="45912351"/>
    <w:rsid w:val="4599434E"/>
    <w:rsid w:val="45A54224"/>
    <w:rsid w:val="45A55B9B"/>
    <w:rsid w:val="45A858ED"/>
    <w:rsid w:val="45BC30EC"/>
    <w:rsid w:val="45BC676B"/>
    <w:rsid w:val="45C30031"/>
    <w:rsid w:val="45CA13BF"/>
    <w:rsid w:val="45D55761"/>
    <w:rsid w:val="45D85A64"/>
    <w:rsid w:val="45DD7344"/>
    <w:rsid w:val="45E053CB"/>
    <w:rsid w:val="45E306D3"/>
    <w:rsid w:val="45EA7CB3"/>
    <w:rsid w:val="45EC21FE"/>
    <w:rsid w:val="45F14B9E"/>
    <w:rsid w:val="45F6394A"/>
    <w:rsid w:val="45F702D3"/>
    <w:rsid w:val="460147BD"/>
    <w:rsid w:val="46081EE8"/>
    <w:rsid w:val="46131F38"/>
    <w:rsid w:val="46144D30"/>
    <w:rsid w:val="461A2060"/>
    <w:rsid w:val="461F6271"/>
    <w:rsid w:val="462E487B"/>
    <w:rsid w:val="46366A55"/>
    <w:rsid w:val="464C6278"/>
    <w:rsid w:val="464C7AA7"/>
    <w:rsid w:val="4655708C"/>
    <w:rsid w:val="46592743"/>
    <w:rsid w:val="465E57CF"/>
    <w:rsid w:val="465F393C"/>
    <w:rsid w:val="46653CEC"/>
    <w:rsid w:val="46671304"/>
    <w:rsid w:val="466F7DC4"/>
    <w:rsid w:val="467C1271"/>
    <w:rsid w:val="467D0B27"/>
    <w:rsid w:val="467D43D1"/>
    <w:rsid w:val="46804174"/>
    <w:rsid w:val="468377A8"/>
    <w:rsid w:val="46932667"/>
    <w:rsid w:val="469F5593"/>
    <w:rsid w:val="46A41C10"/>
    <w:rsid w:val="46A475BE"/>
    <w:rsid w:val="46A71700"/>
    <w:rsid w:val="46AB2E40"/>
    <w:rsid w:val="46B11DF1"/>
    <w:rsid w:val="46B16FCD"/>
    <w:rsid w:val="46B417FC"/>
    <w:rsid w:val="46B85FC3"/>
    <w:rsid w:val="46BA11E7"/>
    <w:rsid w:val="46BA1434"/>
    <w:rsid w:val="46D1677D"/>
    <w:rsid w:val="46EC3A4E"/>
    <w:rsid w:val="46FB04BB"/>
    <w:rsid w:val="46FC1A4C"/>
    <w:rsid w:val="46FC4D11"/>
    <w:rsid w:val="47003C8C"/>
    <w:rsid w:val="47004189"/>
    <w:rsid w:val="470C3AC9"/>
    <w:rsid w:val="470E59CC"/>
    <w:rsid w:val="471A45C8"/>
    <w:rsid w:val="471C20EE"/>
    <w:rsid w:val="471D55EA"/>
    <w:rsid w:val="471E2247"/>
    <w:rsid w:val="47214E43"/>
    <w:rsid w:val="47215957"/>
    <w:rsid w:val="472A1DE0"/>
    <w:rsid w:val="472D42FC"/>
    <w:rsid w:val="473016F6"/>
    <w:rsid w:val="473860EE"/>
    <w:rsid w:val="473F5DDD"/>
    <w:rsid w:val="474332E3"/>
    <w:rsid w:val="47456CD0"/>
    <w:rsid w:val="475140C4"/>
    <w:rsid w:val="4755115C"/>
    <w:rsid w:val="47633879"/>
    <w:rsid w:val="476C2E00"/>
    <w:rsid w:val="476C6422"/>
    <w:rsid w:val="476D25D3"/>
    <w:rsid w:val="476D46F8"/>
    <w:rsid w:val="47721D0E"/>
    <w:rsid w:val="477A6E15"/>
    <w:rsid w:val="477B7331"/>
    <w:rsid w:val="47863A0C"/>
    <w:rsid w:val="4786534F"/>
    <w:rsid w:val="478657BA"/>
    <w:rsid w:val="478A6996"/>
    <w:rsid w:val="478D6B48"/>
    <w:rsid w:val="478E1CCE"/>
    <w:rsid w:val="478F28C0"/>
    <w:rsid w:val="47AB54F0"/>
    <w:rsid w:val="47B83B92"/>
    <w:rsid w:val="47C3256A"/>
    <w:rsid w:val="47D6229D"/>
    <w:rsid w:val="47DB5B06"/>
    <w:rsid w:val="47DE1152"/>
    <w:rsid w:val="47E26E94"/>
    <w:rsid w:val="47E66258"/>
    <w:rsid w:val="47E744AA"/>
    <w:rsid w:val="47EA3F9B"/>
    <w:rsid w:val="47F66AEE"/>
    <w:rsid w:val="47F870D9"/>
    <w:rsid w:val="47FB1D04"/>
    <w:rsid w:val="47FB7F56"/>
    <w:rsid w:val="47FE17F4"/>
    <w:rsid w:val="47FE37AF"/>
    <w:rsid w:val="47FF4BB8"/>
    <w:rsid w:val="48002054"/>
    <w:rsid w:val="4800419B"/>
    <w:rsid w:val="48073570"/>
    <w:rsid w:val="48081689"/>
    <w:rsid w:val="48082673"/>
    <w:rsid w:val="480D4102"/>
    <w:rsid w:val="480F755D"/>
    <w:rsid w:val="4818290E"/>
    <w:rsid w:val="48184892"/>
    <w:rsid w:val="48190C87"/>
    <w:rsid w:val="4820176A"/>
    <w:rsid w:val="48254FD3"/>
    <w:rsid w:val="48263C6E"/>
    <w:rsid w:val="48362D3C"/>
    <w:rsid w:val="48401E0D"/>
    <w:rsid w:val="484441E1"/>
    <w:rsid w:val="48511B4B"/>
    <w:rsid w:val="48580F04"/>
    <w:rsid w:val="485C74FB"/>
    <w:rsid w:val="48634DB6"/>
    <w:rsid w:val="486C2C02"/>
    <w:rsid w:val="486D24D6"/>
    <w:rsid w:val="486D5676"/>
    <w:rsid w:val="4872278C"/>
    <w:rsid w:val="48732184"/>
    <w:rsid w:val="48740B49"/>
    <w:rsid w:val="487F0EA0"/>
    <w:rsid w:val="487F2935"/>
    <w:rsid w:val="488258B7"/>
    <w:rsid w:val="48831CF9"/>
    <w:rsid w:val="48855A71"/>
    <w:rsid w:val="488D6822"/>
    <w:rsid w:val="488E1949"/>
    <w:rsid w:val="488E22F8"/>
    <w:rsid w:val="48981C49"/>
    <w:rsid w:val="489D725F"/>
    <w:rsid w:val="48A42E12"/>
    <w:rsid w:val="48A87A57"/>
    <w:rsid w:val="48A91760"/>
    <w:rsid w:val="48B00C88"/>
    <w:rsid w:val="48B93B23"/>
    <w:rsid w:val="48C742DC"/>
    <w:rsid w:val="48D5496B"/>
    <w:rsid w:val="48D93A13"/>
    <w:rsid w:val="48DB38E3"/>
    <w:rsid w:val="48DC6BB8"/>
    <w:rsid w:val="48DF0F04"/>
    <w:rsid w:val="48E257A9"/>
    <w:rsid w:val="48E376BD"/>
    <w:rsid w:val="48E74190"/>
    <w:rsid w:val="48F36ECE"/>
    <w:rsid w:val="48FF75D2"/>
    <w:rsid w:val="49033877"/>
    <w:rsid w:val="49064E04"/>
    <w:rsid w:val="4907054C"/>
    <w:rsid w:val="491128DB"/>
    <w:rsid w:val="49113EE5"/>
    <w:rsid w:val="4913307D"/>
    <w:rsid w:val="4919199A"/>
    <w:rsid w:val="49264CFE"/>
    <w:rsid w:val="492B6619"/>
    <w:rsid w:val="493B39EC"/>
    <w:rsid w:val="493D0735"/>
    <w:rsid w:val="49431BB4"/>
    <w:rsid w:val="494633B0"/>
    <w:rsid w:val="4947157F"/>
    <w:rsid w:val="49490E9D"/>
    <w:rsid w:val="494971A9"/>
    <w:rsid w:val="4954017C"/>
    <w:rsid w:val="49544782"/>
    <w:rsid w:val="495A5D3D"/>
    <w:rsid w:val="4962490E"/>
    <w:rsid w:val="49632A67"/>
    <w:rsid w:val="49635DB3"/>
    <w:rsid w:val="49652C7D"/>
    <w:rsid w:val="49696660"/>
    <w:rsid w:val="49705551"/>
    <w:rsid w:val="49724248"/>
    <w:rsid w:val="49777F90"/>
    <w:rsid w:val="497C0DC1"/>
    <w:rsid w:val="49845D29"/>
    <w:rsid w:val="4989380B"/>
    <w:rsid w:val="498C5DCF"/>
    <w:rsid w:val="4995680C"/>
    <w:rsid w:val="499C0B00"/>
    <w:rsid w:val="499C7517"/>
    <w:rsid w:val="499F0DB5"/>
    <w:rsid w:val="49A81A17"/>
    <w:rsid w:val="49A95790"/>
    <w:rsid w:val="49AB5596"/>
    <w:rsid w:val="49B303BC"/>
    <w:rsid w:val="49B316E8"/>
    <w:rsid w:val="49B74350"/>
    <w:rsid w:val="49B9577F"/>
    <w:rsid w:val="49C0578E"/>
    <w:rsid w:val="49C1176A"/>
    <w:rsid w:val="49C37519"/>
    <w:rsid w:val="49C4058B"/>
    <w:rsid w:val="49C425C9"/>
    <w:rsid w:val="49CA4084"/>
    <w:rsid w:val="49CE379C"/>
    <w:rsid w:val="49D80C93"/>
    <w:rsid w:val="49E36EF3"/>
    <w:rsid w:val="49E50EBD"/>
    <w:rsid w:val="49E54986"/>
    <w:rsid w:val="49F51014"/>
    <w:rsid w:val="49FE6EE1"/>
    <w:rsid w:val="4A0D3F70"/>
    <w:rsid w:val="4A20356F"/>
    <w:rsid w:val="4A221A4A"/>
    <w:rsid w:val="4A2424EA"/>
    <w:rsid w:val="4A2859D9"/>
    <w:rsid w:val="4A2E53C5"/>
    <w:rsid w:val="4A3278A2"/>
    <w:rsid w:val="4A38723F"/>
    <w:rsid w:val="4A392FB7"/>
    <w:rsid w:val="4A3B1EE9"/>
    <w:rsid w:val="4A3F367E"/>
    <w:rsid w:val="4A4020E8"/>
    <w:rsid w:val="4A4431E9"/>
    <w:rsid w:val="4A45378A"/>
    <w:rsid w:val="4A5278E5"/>
    <w:rsid w:val="4A53089A"/>
    <w:rsid w:val="4A5B1180"/>
    <w:rsid w:val="4A5E657A"/>
    <w:rsid w:val="4A657FF1"/>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C2C6F"/>
    <w:rsid w:val="4AAD4C08"/>
    <w:rsid w:val="4AAF6A1F"/>
    <w:rsid w:val="4AB12B4E"/>
    <w:rsid w:val="4AB20B2A"/>
    <w:rsid w:val="4AB6597F"/>
    <w:rsid w:val="4AB663B6"/>
    <w:rsid w:val="4ABB65DC"/>
    <w:rsid w:val="4AC13A05"/>
    <w:rsid w:val="4AC35380"/>
    <w:rsid w:val="4ACB66A6"/>
    <w:rsid w:val="4AD134FA"/>
    <w:rsid w:val="4AD3008D"/>
    <w:rsid w:val="4AE10C24"/>
    <w:rsid w:val="4AE201A2"/>
    <w:rsid w:val="4AF33403"/>
    <w:rsid w:val="4B030D93"/>
    <w:rsid w:val="4B06150B"/>
    <w:rsid w:val="4B09762A"/>
    <w:rsid w:val="4B10675D"/>
    <w:rsid w:val="4B146D2F"/>
    <w:rsid w:val="4B182FD3"/>
    <w:rsid w:val="4B244232"/>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977C6"/>
    <w:rsid w:val="4B6C3D81"/>
    <w:rsid w:val="4B6D741D"/>
    <w:rsid w:val="4B766BB2"/>
    <w:rsid w:val="4B78366B"/>
    <w:rsid w:val="4B7E5126"/>
    <w:rsid w:val="4B8547A4"/>
    <w:rsid w:val="4B9C1A50"/>
    <w:rsid w:val="4BAB7265"/>
    <w:rsid w:val="4BAC1AB0"/>
    <w:rsid w:val="4BB94F3A"/>
    <w:rsid w:val="4BC13264"/>
    <w:rsid w:val="4BC16080"/>
    <w:rsid w:val="4BC468B1"/>
    <w:rsid w:val="4BCB747A"/>
    <w:rsid w:val="4BCD4365"/>
    <w:rsid w:val="4BCE156F"/>
    <w:rsid w:val="4BE14B6E"/>
    <w:rsid w:val="4BE17463"/>
    <w:rsid w:val="4BE3142D"/>
    <w:rsid w:val="4BEE392E"/>
    <w:rsid w:val="4BEE7C6E"/>
    <w:rsid w:val="4BEF4C0C"/>
    <w:rsid w:val="4BF34481"/>
    <w:rsid w:val="4BF707D3"/>
    <w:rsid w:val="4BF929FE"/>
    <w:rsid w:val="4C0A69B9"/>
    <w:rsid w:val="4C0A6BA1"/>
    <w:rsid w:val="4C0C0983"/>
    <w:rsid w:val="4C152FE5"/>
    <w:rsid w:val="4C1827E3"/>
    <w:rsid w:val="4C196BFC"/>
    <w:rsid w:val="4C1C66ED"/>
    <w:rsid w:val="4C1D63CF"/>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51C5D"/>
    <w:rsid w:val="4C96319D"/>
    <w:rsid w:val="4C971FC1"/>
    <w:rsid w:val="4C975D73"/>
    <w:rsid w:val="4CA13785"/>
    <w:rsid w:val="4CAF130F"/>
    <w:rsid w:val="4CB24C66"/>
    <w:rsid w:val="4CB56EFC"/>
    <w:rsid w:val="4CBA03DF"/>
    <w:rsid w:val="4CBD1D79"/>
    <w:rsid w:val="4CC2732C"/>
    <w:rsid w:val="4CC449DC"/>
    <w:rsid w:val="4CD16930"/>
    <w:rsid w:val="4CD477BD"/>
    <w:rsid w:val="4CD76542"/>
    <w:rsid w:val="4CDF5113"/>
    <w:rsid w:val="4CDF6854"/>
    <w:rsid w:val="4CE85356"/>
    <w:rsid w:val="4CE91B28"/>
    <w:rsid w:val="4CEF02DA"/>
    <w:rsid w:val="4CF07121"/>
    <w:rsid w:val="4CF105EB"/>
    <w:rsid w:val="4CF136D5"/>
    <w:rsid w:val="4CF220C5"/>
    <w:rsid w:val="4CFD4B48"/>
    <w:rsid w:val="4D0258E3"/>
    <w:rsid w:val="4D0A29E9"/>
    <w:rsid w:val="4D0B1AD9"/>
    <w:rsid w:val="4D1241E0"/>
    <w:rsid w:val="4D1B38DC"/>
    <w:rsid w:val="4D1D44CA"/>
    <w:rsid w:val="4D1F46E6"/>
    <w:rsid w:val="4D31441A"/>
    <w:rsid w:val="4D36558C"/>
    <w:rsid w:val="4D3A507C"/>
    <w:rsid w:val="4D3B0DF4"/>
    <w:rsid w:val="4D4B1038"/>
    <w:rsid w:val="4D534390"/>
    <w:rsid w:val="4D573E80"/>
    <w:rsid w:val="4D5A26ED"/>
    <w:rsid w:val="4D671BE9"/>
    <w:rsid w:val="4D7D31BB"/>
    <w:rsid w:val="4D7F313C"/>
    <w:rsid w:val="4D814A59"/>
    <w:rsid w:val="4D826A23"/>
    <w:rsid w:val="4D8A7D75"/>
    <w:rsid w:val="4D8C21E4"/>
    <w:rsid w:val="4D922C95"/>
    <w:rsid w:val="4D9609C0"/>
    <w:rsid w:val="4D970BDA"/>
    <w:rsid w:val="4D9A5F44"/>
    <w:rsid w:val="4D9C5D37"/>
    <w:rsid w:val="4D9C7AE5"/>
    <w:rsid w:val="4DA0086E"/>
    <w:rsid w:val="4DAA3AE0"/>
    <w:rsid w:val="4DB120F1"/>
    <w:rsid w:val="4DB97EEA"/>
    <w:rsid w:val="4DBA55D7"/>
    <w:rsid w:val="4DBF5ADD"/>
    <w:rsid w:val="4DCD2784"/>
    <w:rsid w:val="4DD3433F"/>
    <w:rsid w:val="4DD70B1D"/>
    <w:rsid w:val="4DD83673"/>
    <w:rsid w:val="4DD84F19"/>
    <w:rsid w:val="4DDA23BB"/>
    <w:rsid w:val="4DED405F"/>
    <w:rsid w:val="4DFC4A28"/>
    <w:rsid w:val="4DFF3A26"/>
    <w:rsid w:val="4E0518BE"/>
    <w:rsid w:val="4E094A4F"/>
    <w:rsid w:val="4E141D71"/>
    <w:rsid w:val="4E154438"/>
    <w:rsid w:val="4E173610"/>
    <w:rsid w:val="4E1C36B2"/>
    <w:rsid w:val="4E1F5D76"/>
    <w:rsid w:val="4E283CCC"/>
    <w:rsid w:val="4E2C7CEC"/>
    <w:rsid w:val="4E2E44B5"/>
    <w:rsid w:val="4E3571EF"/>
    <w:rsid w:val="4E437F61"/>
    <w:rsid w:val="4E472EFD"/>
    <w:rsid w:val="4E487C6D"/>
    <w:rsid w:val="4E4D5283"/>
    <w:rsid w:val="4E50182D"/>
    <w:rsid w:val="4E573A0C"/>
    <w:rsid w:val="4E591146"/>
    <w:rsid w:val="4E5A0417"/>
    <w:rsid w:val="4E5E0644"/>
    <w:rsid w:val="4E5E4D9B"/>
    <w:rsid w:val="4E613247"/>
    <w:rsid w:val="4E676345"/>
    <w:rsid w:val="4E6A78E3"/>
    <w:rsid w:val="4E6D76D3"/>
    <w:rsid w:val="4E6E62BD"/>
    <w:rsid w:val="4E742CAA"/>
    <w:rsid w:val="4E7F1E16"/>
    <w:rsid w:val="4E832A53"/>
    <w:rsid w:val="4E84409D"/>
    <w:rsid w:val="4E864E4A"/>
    <w:rsid w:val="4E891312"/>
    <w:rsid w:val="4E8A2033"/>
    <w:rsid w:val="4E8A391E"/>
    <w:rsid w:val="4E8F764A"/>
    <w:rsid w:val="4E916F1E"/>
    <w:rsid w:val="4E9A33F8"/>
    <w:rsid w:val="4E9D675B"/>
    <w:rsid w:val="4E9E788D"/>
    <w:rsid w:val="4EA604F0"/>
    <w:rsid w:val="4EA60AE2"/>
    <w:rsid w:val="4EA824BA"/>
    <w:rsid w:val="4EAE7D34"/>
    <w:rsid w:val="4EB23A37"/>
    <w:rsid w:val="4EB70D01"/>
    <w:rsid w:val="4EB943FF"/>
    <w:rsid w:val="4EBE7F2F"/>
    <w:rsid w:val="4EC42650"/>
    <w:rsid w:val="4EC866B8"/>
    <w:rsid w:val="4ECE0172"/>
    <w:rsid w:val="4ED137BE"/>
    <w:rsid w:val="4ED80FF1"/>
    <w:rsid w:val="4EDD5024"/>
    <w:rsid w:val="4EEE35FC"/>
    <w:rsid w:val="4EEE3858"/>
    <w:rsid w:val="4EEE4670"/>
    <w:rsid w:val="4EFA642B"/>
    <w:rsid w:val="4EFD0A57"/>
    <w:rsid w:val="4EFE1926"/>
    <w:rsid w:val="4F073EC1"/>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55F5A"/>
    <w:rsid w:val="4F4A7CBE"/>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873F3"/>
    <w:rsid w:val="4FAA743F"/>
    <w:rsid w:val="4FAB794B"/>
    <w:rsid w:val="4FAE23A0"/>
    <w:rsid w:val="4FB05ACA"/>
    <w:rsid w:val="4FB37368"/>
    <w:rsid w:val="4FB62DCA"/>
    <w:rsid w:val="4FB8497E"/>
    <w:rsid w:val="4FB854F8"/>
    <w:rsid w:val="4FB858C2"/>
    <w:rsid w:val="4FBC6953"/>
    <w:rsid w:val="4FBF11AA"/>
    <w:rsid w:val="4FBF3F5F"/>
    <w:rsid w:val="4FC27D53"/>
    <w:rsid w:val="4FC3134F"/>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4FFF6109"/>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5C2FF8"/>
    <w:rsid w:val="505D4109"/>
    <w:rsid w:val="5066378B"/>
    <w:rsid w:val="506A211C"/>
    <w:rsid w:val="506B7C43"/>
    <w:rsid w:val="507718E7"/>
    <w:rsid w:val="5079523B"/>
    <w:rsid w:val="50804090"/>
    <w:rsid w:val="5088616F"/>
    <w:rsid w:val="508A78F6"/>
    <w:rsid w:val="50935E3E"/>
    <w:rsid w:val="50964CC0"/>
    <w:rsid w:val="509B4084"/>
    <w:rsid w:val="509E35B3"/>
    <w:rsid w:val="509E6042"/>
    <w:rsid w:val="50A834F9"/>
    <w:rsid w:val="50A867A1"/>
    <w:rsid w:val="50BC0A37"/>
    <w:rsid w:val="50BC224C"/>
    <w:rsid w:val="50C86E43"/>
    <w:rsid w:val="50CA1482"/>
    <w:rsid w:val="50D91050"/>
    <w:rsid w:val="50DA1EA9"/>
    <w:rsid w:val="50DA2DB1"/>
    <w:rsid w:val="50E64204"/>
    <w:rsid w:val="50F10148"/>
    <w:rsid w:val="50F62A03"/>
    <w:rsid w:val="50F6575E"/>
    <w:rsid w:val="51052F88"/>
    <w:rsid w:val="51071719"/>
    <w:rsid w:val="510812ED"/>
    <w:rsid w:val="510F05CE"/>
    <w:rsid w:val="51102E68"/>
    <w:rsid w:val="511E1C85"/>
    <w:rsid w:val="51237D1B"/>
    <w:rsid w:val="51273B6A"/>
    <w:rsid w:val="512A4457"/>
    <w:rsid w:val="513242BC"/>
    <w:rsid w:val="5135416D"/>
    <w:rsid w:val="51354F21"/>
    <w:rsid w:val="5139389D"/>
    <w:rsid w:val="51422751"/>
    <w:rsid w:val="51450494"/>
    <w:rsid w:val="5148635A"/>
    <w:rsid w:val="514A2BEA"/>
    <w:rsid w:val="51570E30"/>
    <w:rsid w:val="515A3F3F"/>
    <w:rsid w:val="515B3813"/>
    <w:rsid w:val="515E35EA"/>
    <w:rsid w:val="5165265C"/>
    <w:rsid w:val="51660C4E"/>
    <w:rsid w:val="517B5543"/>
    <w:rsid w:val="51814FF7"/>
    <w:rsid w:val="51870F9F"/>
    <w:rsid w:val="51890380"/>
    <w:rsid w:val="51905BB3"/>
    <w:rsid w:val="51925198"/>
    <w:rsid w:val="51932B62"/>
    <w:rsid w:val="5193320B"/>
    <w:rsid w:val="5197340C"/>
    <w:rsid w:val="51A52CE0"/>
    <w:rsid w:val="51A56620"/>
    <w:rsid w:val="51A6769A"/>
    <w:rsid w:val="51B1657A"/>
    <w:rsid w:val="51B24883"/>
    <w:rsid w:val="51B573C7"/>
    <w:rsid w:val="51C4760A"/>
    <w:rsid w:val="51C963A9"/>
    <w:rsid w:val="51D84F57"/>
    <w:rsid w:val="51DA47E6"/>
    <w:rsid w:val="51DB6702"/>
    <w:rsid w:val="51DC2BA6"/>
    <w:rsid w:val="51DF2696"/>
    <w:rsid w:val="51E44D95"/>
    <w:rsid w:val="51E63A25"/>
    <w:rsid w:val="51E67581"/>
    <w:rsid w:val="51EC3196"/>
    <w:rsid w:val="51ED6AE7"/>
    <w:rsid w:val="51EE6435"/>
    <w:rsid w:val="51F55A16"/>
    <w:rsid w:val="51F7178E"/>
    <w:rsid w:val="51F872B4"/>
    <w:rsid w:val="51FE1078"/>
    <w:rsid w:val="5208140D"/>
    <w:rsid w:val="5209326F"/>
    <w:rsid w:val="52121225"/>
    <w:rsid w:val="52124677"/>
    <w:rsid w:val="52131388"/>
    <w:rsid w:val="52132340"/>
    <w:rsid w:val="5219128C"/>
    <w:rsid w:val="521A09E9"/>
    <w:rsid w:val="521C11F4"/>
    <w:rsid w:val="521F0E9F"/>
    <w:rsid w:val="521F2A93"/>
    <w:rsid w:val="52215EB7"/>
    <w:rsid w:val="52293911"/>
    <w:rsid w:val="522C1839"/>
    <w:rsid w:val="52365E7C"/>
    <w:rsid w:val="52387E2D"/>
    <w:rsid w:val="523D061E"/>
    <w:rsid w:val="523D2BA6"/>
    <w:rsid w:val="52410C5B"/>
    <w:rsid w:val="5241571A"/>
    <w:rsid w:val="5247502A"/>
    <w:rsid w:val="524810FD"/>
    <w:rsid w:val="524A1D12"/>
    <w:rsid w:val="524F0F10"/>
    <w:rsid w:val="525724B6"/>
    <w:rsid w:val="52592449"/>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B341A"/>
    <w:rsid w:val="528D1497"/>
    <w:rsid w:val="528F2803"/>
    <w:rsid w:val="529B29C3"/>
    <w:rsid w:val="529C0587"/>
    <w:rsid w:val="52A5743C"/>
    <w:rsid w:val="52A7285B"/>
    <w:rsid w:val="52AD62F0"/>
    <w:rsid w:val="52AE4D91"/>
    <w:rsid w:val="52B56FC4"/>
    <w:rsid w:val="52BD2BB7"/>
    <w:rsid w:val="52C11D9C"/>
    <w:rsid w:val="52CC2970"/>
    <w:rsid w:val="52CD6993"/>
    <w:rsid w:val="52CF6267"/>
    <w:rsid w:val="52D12EE6"/>
    <w:rsid w:val="52D25057"/>
    <w:rsid w:val="52D40323"/>
    <w:rsid w:val="52D93896"/>
    <w:rsid w:val="52DE08E5"/>
    <w:rsid w:val="52DE3D21"/>
    <w:rsid w:val="52EB2845"/>
    <w:rsid w:val="52FA7D19"/>
    <w:rsid w:val="52FF1A0D"/>
    <w:rsid w:val="53071EA5"/>
    <w:rsid w:val="530F19CD"/>
    <w:rsid w:val="530F48B5"/>
    <w:rsid w:val="531279FD"/>
    <w:rsid w:val="531E71EE"/>
    <w:rsid w:val="532B497C"/>
    <w:rsid w:val="532E6CBF"/>
    <w:rsid w:val="533345A7"/>
    <w:rsid w:val="53446C55"/>
    <w:rsid w:val="534D53DE"/>
    <w:rsid w:val="534E1882"/>
    <w:rsid w:val="534F1565"/>
    <w:rsid w:val="53517035"/>
    <w:rsid w:val="53542C10"/>
    <w:rsid w:val="53591FD4"/>
    <w:rsid w:val="5360199C"/>
    <w:rsid w:val="536760AB"/>
    <w:rsid w:val="536820F1"/>
    <w:rsid w:val="536C1D08"/>
    <w:rsid w:val="53841959"/>
    <w:rsid w:val="538B76B7"/>
    <w:rsid w:val="538C5F06"/>
    <w:rsid w:val="538D450E"/>
    <w:rsid w:val="539D57CC"/>
    <w:rsid w:val="53B22D76"/>
    <w:rsid w:val="53B278ED"/>
    <w:rsid w:val="53BA12AA"/>
    <w:rsid w:val="53BC2E44"/>
    <w:rsid w:val="53BF05EA"/>
    <w:rsid w:val="53BF62DB"/>
    <w:rsid w:val="53C47D96"/>
    <w:rsid w:val="53CB1124"/>
    <w:rsid w:val="53DB1AFB"/>
    <w:rsid w:val="53E73A84"/>
    <w:rsid w:val="53E93358"/>
    <w:rsid w:val="53EA42FA"/>
    <w:rsid w:val="53FB3968"/>
    <w:rsid w:val="54041F40"/>
    <w:rsid w:val="54120B01"/>
    <w:rsid w:val="541250CE"/>
    <w:rsid w:val="54164915"/>
    <w:rsid w:val="541C1CA1"/>
    <w:rsid w:val="5429030A"/>
    <w:rsid w:val="54462559"/>
    <w:rsid w:val="544762D1"/>
    <w:rsid w:val="544B5DC1"/>
    <w:rsid w:val="54584EB6"/>
    <w:rsid w:val="54592F34"/>
    <w:rsid w:val="54596D50"/>
    <w:rsid w:val="545F25C6"/>
    <w:rsid w:val="5463135D"/>
    <w:rsid w:val="54686973"/>
    <w:rsid w:val="547A0454"/>
    <w:rsid w:val="547B1550"/>
    <w:rsid w:val="547D6C5E"/>
    <w:rsid w:val="54801E0A"/>
    <w:rsid w:val="548A51C4"/>
    <w:rsid w:val="54913B60"/>
    <w:rsid w:val="54932013"/>
    <w:rsid w:val="549412E0"/>
    <w:rsid w:val="549A4653"/>
    <w:rsid w:val="54A92AE8"/>
    <w:rsid w:val="54A947EB"/>
    <w:rsid w:val="54AB7258"/>
    <w:rsid w:val="54AD082A"/>
    <w:rsid w:val="54AE00FE"/>
    <w:rsid w:val="54B12990"/>
    <w:rsid w:val="54B43966"/>
    <w:rsid w:val="54B5148C"/>
    <w:rsid w:val="54C17E31"/>
    <w:rsid w:val="54C65448"/>
    <w:rsid w:val="54C96B57"/>
    <w:rsid w:val="54CA13DC"/>
    <w:rsid w:val="54D050DC"/>
    <w:rsid w:val="54D264E2"/>
    <w:rsid w:val="54D33113"/>
    <w:rsid w:val="54DF6509"/>
    <w:rsid w:val="54E04A17"/>
    <w:rsid w:val="54E405A7"/>
    <w:rsid w:val="54E44CA2"/>
    <w:rsid w:val="54F55D2D"/>
    <w:rsid w:val="54F57475"/>
    <w:rsid w:val="54F6391C"/>
    <w:rsid w:val="54FC70BB"/>
    <w:rsid w:val="54FD6B73"/>
    <w:rsid w:val="55006BAB"/>
    <w:rsid w:val="5503449C"/>
    <w:rsid w:val="550D1EEC"/>
    <w:rsid w:val="5518601D"/>
    <w:rsid w:val="55216B22"/>
    <w:rsid w:val="55225714"/>
    <w:rsid w:val="55276B2C"/>
    <w:rsid w:val="55281597"/>
    <w:rsid w:val="55286102"/>
    <w:rsid w:val="553C69B2"/>
    <w:rsid w:val="55400FE4"/>
    <w:rsid w:val="5543118E"/>
    <w:rsid w:val="55473A9D"/>
    <w:rsid w:val="554E0454"/>
    <w:rsid w:val="554F368F"/>
    <w:rsid w:val="55517407"/>
    <w:rsid w:val="5555007B"/>
    <w:rsid w:val="555714B5"/>
    <w:rsid w:val="55676E3B"/>
    <w:rsid w:val="556E620B"/>
    <w:rsid w:val="556E7630"/>
    <w:rsid w:val="55744268"/>
    <w:rsid w:val="55780E38"/>
    <w:rsid w:val="5580322B"/>
    <w:rsid w:val="55825812"/>
    <w:rsid w:val="55827531"/>
    <w:rsid w:val="5583514A"/>
    <w:rsid w:val="55886BA1"/>
    <w:rsid w:val="558A69EE"/>
    <w:rsid w:val="559E0611"/>
    <w:rsid w:val="55A44845"/>
    <w:rsid w:val="55A93125"/>
    <w:rsid w:val="55B668EA"/>
    <w:rsid w:val="55BE4C30"/>
    <w:rsid w:val="55C367C2"/>
    <w:rsid w:val="55C617FA"/>
    <w:rsid w:val="55CA71B9"/>
    <w:rsid w:val="55CB6E0A"/>
    <w:rsid w:val="55CD4BC0"/>
    <w:rsid w:val="55CE055B"/>
    <w:rsid w:val="55D14D5F"/>
    <w:rsid w:val="55D1679A"/>
    <w:rsid w:val="55D83148"/>
    <w:rsid w:val="55E243C4"/>
    <w:rsid w:val="55EA175E"/>
    <w:rsid w:val="55EC2C79"/>
    <w:rsid w:val="55EE2EA8"/>
    <w:rsid w:val="55F16EA6"/>
    <w:rsid w:val="55F61D5C"/>
    <w:rsid w:val="55FA2C6E"/>
    <w:rsid w:val="56002C38"/>
    <w:rsid w:val="560256B0"/>
    <w:rsid w:val="560908AB"/>
    <w:rsid w:val="56093396"/>
    <w:rsid w:val="56116B96"/>
    <w:rsid w:val="56121C4B"/>
    <w:rsid w:val="561D553B"/>
    <w:rsid w:val="56250121"/>
    <w:rsid w:val="56264966"/>
    <w:rsid w:val="56283049"/>
    <w:rsid w:val="562E610E"/>
    <w:rsid w:val="56310FE7"/>
    <w:rsid w:val="563665FD"/>
    <w:rsid w:val="56391D90"/>
    <w:rsid w:val="563F5A1F"/>
    <w:rsid w:val="564C5E20"/>
    <w:rsid w:val="564C7BCE"/>
    <w:rsid w:val="564E1B99"/>
    <w:rsid w:val="56521689"/>
    <w:rsid w:val="565D5647"/>
    <w:rsid w:val="5664616C"/>
    <w:rsid w:val="566473D3"/>
    <w:rsid w:val="56665134"/>
    <w:rsid w:val="566B3616"/>
    <w:rsid w:val="566C5776"/>
    <w:rsid w:val="566E184F"/>
    <w:rsid w:val="566E3FE9"/>
    <w:rsid w:val="5671018D"/>
    <w:rsid w:val="567315FF"/>
    <w:rsid w:val="5675239F"/>
    <w:rsid w:val="56763AC6"/>
    <w:rsid w:val="567947C2"/>
    <w:rsid w:val="56834F0D"/>
    <w:rsid w:val="568440E5"/>
    <w:rsid w:val="56884DC7"/>
    <w:rsid w:val="56916F31"/>
    <w:rsid w:val="5697709C"/>
    <w:rsid w:val="56A05E3F"/>
    <w:rsid w:val="56A52117"/>
    <w:rsid w:val="56A731E6"/>
    <w:rsid w:val="56A8574D"/>
    <w:rsid w:val="56AA0510"/>
    <w:rsid w:val="56AE2637"/>
    <w:rsid w:val="56C42B77"/>
    <w:rsid w:val="56D0330B"/>
    <w:rsid w:val="56D24DB9"/>
    <w:rsid w:val="56D33179"/>
    <w:rsid w:val="56D77DE0"/>
    <w:rsid w:val="56D818DD"/>
    <w:rsid w:val="56DE2CEF"/>
    <w:rsid w:val="56E8798C"/>
    <w:rsid w:val="56EE21B9"/>
    <w:rsid w:val="56F23EB5"/>
    <w:rsid w:val="570109B9"/>
    <w:rsid w:val="57056FEA"/>
    <w:rsid w:val="57064F84"/>
    <w:rsid w:val="57137C33"/>
    <w:rsid w:val="57174680"/>
    <w:rsid w:val="571C6B19"/>
    <w:rsid w:val="571F0AFC"/>
    <w:rsid w:val="5726160C"/>
    <w:rsid w:val="572B2E52"/>
    <w:rsid w:val="572F3778"/>
    <w:rsid w:val="57312FF3"/>
    <w:rsid w:val="57323081"/>
    <w:rsid w:val="57354828"/>
    <w:rsid w:val="573A1BFD"/>
    <w:rsid w:val="573B3FED"/>
    <w:rsid w:val="57403E9E"/>
    <w:rsid w:val="57480FB9"/>
    <w:rsid w:val="574F3973"/>
    <w:rsid w:val="5755458A"/>
    <w:rsid w:val="57555A3D"/>
    <w:rsid w:val="575753AE"/>
    <w:rsid w:val="575C2093"/>
    <w:rsid w:val="57604227"/>
    <w:rsid w:val="57672F12"/>
    <w:rsid w:val="576942DD"/>
    <w:rsid w:val="57697B57"/>
    <w:rsid w:val="576A2A02"/>
    <w:rsid w:val="576B0DA0"/>
    <w:rsid w:val="577332BA"/>
    <w:rsid w:val="57783371"/>
    <w:rsid w:val="57791C46"/>
    <w:rsid w:val="577B33D6"/>
    <w:rsid w:val="57833AC4"/>
    <w:rsid w:val="578C6155"/>
    <w:rsid w:val="578F0028"/>
    <w:rsid w:val="578F4217"/>
    <w:rsid w:val="57917F8F"/>
    <w:rsid w:val="57953B57"/>
    <w:rsid w:val="57954FFD"/>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6077A"/>
    <w:rsid w:val="57E31C08"/>
    <w:rsid w:val="57E502DB"/>
    <w:rsid w:val="57E83927"/>
    <w:rsid w:val="57E866C9"/>
    <w:rsid w:val="57EE3633"/>
    <w:rsid w:val="57F0234F"/>
    <w:rsid w:val="57F03FAE"/>
    <w:rsid w:val="57F27812"/>
    <w:rsid w:val="57F66044"/>
    <w:rsid w:val="57FA3D86"/>
    <w:rsid w:val="580469B3"/>
    <w:rsid w:val="580544D9"/>
    <w:rsid w:val="580F0297"/>
    <w:rsid w:val="582232DD"/>
    <w:rsid w:val="58227637"/>
    <w:rsid w:val="583628E4"/>
    <w:rsid w:val="58376A76"/>
    <w:rsid w:val="584A6390"/>
    <w:rsid w:val="585C3C2E"/>
    <w:rsid w:val="585F1E3B"/>
    <w:rsid w:val="586966C6"/>
    <w:rsid w:val="586B764B"/>
    <w:rsid w:val="58754A86"/>
    <w:rsid w:val="58782EFD"/>
    <w:rsid w:val="58787F0A"/>
    <w:rsid w:val="58810003"/>
    <w:rsid w:val="5886709C"/>
    <w:rsid w:val="588840E5"/>
    <w:rsid w:val="58893856"/>
    <w:rsid w:val="588A1893"/>
    <w:rsid w:val="588B0E82"/>
    <w:rsid w:val="588F1D73"/>
    <w:rsid w:val="58913FBE"/>
    <w:rsid w:val="58937D37"/>
    <w:rsid w:val="589406EF"/>
    <w:rsid w:val="58977AC0"/>
    <w:rsid w:val="589C6BEB"/>
    <w:rsid w:val="589F0489"/>
    <w:rsid w:val="58A401B3"/>
    <w:rsid w:val="58A65CBC"/>
    <w:rsid w:val="58AC2BA6"/>
    <w:rsid w:val="58B02697"/>
    <w:rsid w:val="58B06B3A"/>
    <w:rsid w:val="58B40D71"/>
    <w:rsid w:val="58C85C32"/>
    <w:rsid w:val="58CA7BFC"/>
    <w:rsid w:val="58CB4286"/>
    <w:rsid w:val="58CD492B"/>
    <w:rsid w:val="58D04AE7"/>
    <w:rsid w:val="58D14644"/>
    <w:rsid w:val="58DD0FB2"/>
    <w:rsid w:val="58DF11CE"/>
    <w:rsid w:val="58DF1F01"/>
    <w:rsid w:val="58E16CF4"/>
    <w:rsid w:val="58E862D4"/>
    <w:rsid w:val="58E97957"/>
    <w:rsid w:val="58EB35AA"/>
    <w:rsid w:val="58F52598"/>
    <w:rsid w:val="58F72073"/>
    <w:rsid w:val="59026E45"/>
    <w:rsid w:val="59044790"/>
    <w:rsid w:val="590645DA"/>
    <w:rsid w:val="59107818"/>
    <w:rsid w:val="59172716"/>
    <w:rsid w:val="591E5852"/>
    <w:rsid w:val="591F15CA"/>
    <w:rsid w:val="59247DA9"/>
    <w:rsid w:val="593212FE"/>
    <w:rsid w:val="593705EE"/>
    <w:rsid w:val="593F279A"/>
    <w:rsid w:val="59457283"/>
    <w:rsid w:val="594A2253"/>
    <w:rsid w:val="59594959"/>
    <w:rsid w:val="595F4F33"/>
    <w:rsid w:val="59611522"/>
    <w:rsid w:val="59622119"/>
    <w:rsid w:val="5963315C"/>
    <w:rsid w:val="597569E8"/>
    <w:rsid w:val="5980662B"/>
    <w:rsid w:val="598F6750"/>
    <w:rsid w:val="59973856"/>
    <w:rsid w:val="599C0E6D"/>
    <w:rsid w:val="599C6D5A"/>
    <w:rsid w:val="599E145F"/>
    <w:rsid w:val="59A0270B"/>
    <w:rsid w:val="59A26483"/>
    <w:rsid w:val="59A77780"/>
    <w:rsid w:val="59B63CDD"/>
    <w:rsid w:val="59C74AA1"/>
    <w:rsid w:val="59C94DFC"/>
    <w:rsid w:val="59CC0CC5"/>
    <w:rsid w:val="59D800F7"/>
    <w:rsid w:val="59DD205E"/>
    <w:rsid w:val="59E22D24"/>
    <w:rsid w:val="59E52814"/>
    <w:rsid w:val="59E62A83"/>
    <w:rsid w:val="59E655B4"/>
    <w:rsid w:val="59E81184"/>
    <w:rsid w:val="59EF5441"/>
    <w:rsid w:val="59F033A8"/>
    <w:rsid w:val="59F34F31"/>
    <w:rsid w:val="59F9006D"/>
    <w:rsid w:val="5A001125"/>
    <w:rsid w:val="5A094754"/>
    <w:rsid w:val="5A127C5A"/>
    <w:rsid w:val="5A18742D"/>
    <w:rsid w:val="5A230CE7"/>
    <w:rsid w:val="5A327B1F"/>
    <w:rsid w:val="5A366373"/>
    <w:rsid w:val="5A3A1404"/>
    <w:rsid w:val="5A3A2B60"/>
    <w:rsid w:val="5A3B5F77"/>
    <w:rsid w:val="5A405CDC"/>
    <w:rsid w:val="5A427C66"/>
    <w:rsid w:val="5A470DD9"/>
    <w:rsid w:val="5A4E2167"/>
    <w:rsid w:val="5A532C1D"/>
    <w:rsid w:val="5A567D10"/>
    <w:rsid w:val="5A582FE6"/>
    <w:rsid w:val="5A58574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A6067"/>
    <w:rsid w:val="5A9B1124"/>
    <w:rsid w:val="5A9D26D6"/>
    <w:rsid w:val="5AA65849"/>
    <w:rsid w:val="5AAE0E58"/>
    <w:rsid w:val="5AB45570"/>
    <w:rsid w:val="5AB6080C"/>
    <w:rsid w:val="5AB946B3"/>
    <w:rsid w:val="5ABA5A4E"/>
    <w:rsid w:val="5ABA77FD"/>
    <w:rsid w:val="5AC01B9F"/>
    <w:rsid w:val="5ACB1A0A"/>
    <w:rsid w:val="5ACD73E4"/>
    <w:rsid w:val="5AD92379"/>
    <w:rsid w:val="5AE12973"/>
    <w:rsid w:val="5AEE1C72"/>
    <w:rsid w:val="5AEE56F8"/>
    <w:rsid w:val="5AF2367F"/>
    <w:rsid w:val="5AF30D97"/>
    <w:rsid w:val="5AF54CD9"/>
    <w:rsid w:val="5AF656AC"/>
    <w:rsid w:val="5AF80325"/>
    <w:rsid w:val="5AFB13A2"/>
    <w:rsid w:val="5AFF3461"/>
    <w:rsid w:val="5B013B70"/>
    <w:rsid w:val="5B0865DE"/>
    <w:rsid w:val="5B0867BA"/>
    <w:rsid w:val="5B092532"/>
    <w:rsid w:val="5B0A06F9"/>
    <w:rsid w:val="5B0E0F0F"/>
    <w:rsid w:val="5B10566E"/>
    <w:rsid w:val="5B13515F"/>
    <w:rsid w:val="5B174C4F"/>
    <w:rsid w:val="5B215CCF"/>
    <w:rsid w:val="5B250C85"/>
    <w:rsid w:val="5B2E2399"/>
    <w:rsid w:val="5B313258"/>
    <w:rsid w:val="5B321A89"/>
    <w:rsid w:val="5B3573B0"/>
    <w:rsid w:val="5B3D5BBC"/>
    <w:rsid w:val="5B411AA7"/>
    <w:rsid w:val="5B445318"/>
    <w:rsid w:val="5B5075BB"/>
    <w:rsid w:val="5B56652C"/>
    <w:rsid w:val="5B591312"/>
    <w:rsid w:val="5B592D40"/>
    <w:rsid w:val="5B6360E6"/>
    <w:rsid w:val="5B651126"/>
    <w:rsid w:val="5B7A1F69"/>
    <w:rsid w:val="5B7E704A"/>
    <w:rsid w:val="5B876AF2"/>
    <w:rsid w:val="5B8D3163"/>
    <w:rsid w:val="5B98227D"/>
    <w:rsid w:val="5B9F6CF3"/>
    <w:rsid w:val="5BA92D4B"/>
    <w:rsid w:val="5BB4164A"/>
    <w:rsid w:val="5BC60464"/>
    <w:rsid w:val="5BD008DC"/>
    <w:rsid w:val="5BD3501A"/>
    <w:rsid w:val="5BD4669C"/>
    <w:rsid w:val="5BD90156"/>
    <w:rsid w:val="5BD90F85"/>
    <w:rsid w:val="5BDD3FC4"/>
    <w:rsid w:val="5BDE751B"/>
    <w:rsid w:val="5BE30FD5"/>
    <w:rsid w:val="5BE70AC5"/>
    <w:rsid w:val="5BE74621"/>
    <w:rsid w:val="5BF67C29"/>
    <w:rsid w:val="5BF907F8"/>
    <w:rsid w:val="5BF93F20"/>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5B500F"/>
    <w:rsid w:val="5C5D48E3"/>
    <w:rsid w:val="5C5E240A"/>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A16AF"/>
    <w:rsid w:val="5D2C42B6"/>
    <w:rsid w:val="5D331AE8"/>
    <w:rsid w:val="5D423AD9"/>
    <w:rsid w:val="5D467E0D"/>
    <w:rsid w:val="5D4D63B1"/>
    <w:rsid w:val="5D4E06D0"/>
    <w:rsid w:val="5D502E32"/>
    <w:rsid w:val="5D585F07"/>
    <w:rsid w:val="5D6A27A8"/>
    <w:rsid w:val="5D752101"/>
    <w:rsid w:val="5D75259B"/>
    <w:rsid w:val="5D861BCD"/>
    <w:rsid w:val="5D88074A"/>
    <w:rsid w:val="5D985696"/>
    <w:rsid w:val="5D9869B0"/>
    <w:rsid w:val="5D9D6994"/>
    <w:rsid w:val="5DA14CA4"/>
    <w:rsid w:val="5DA6050C"/>
    <w:rsid w:val="5DA64068"/>
    <w:rsid w:val="5DAB78D0"/>
    <w:rsid w:val="5DAD3E49"/>
    <w:rsid w:val="5DAE2321"/>
    <w:rsid w:val="5DBC5ECC"/>
    <w:rsid w:val="5DC32E6C"/>
    <w:rsid w:val="5DC343F9"/>
    <w:rsid w:val="5DC35E00"/>
    <w:rsid w:val="5DC5057E"/>
    <w:rsid w:val="5DC76774"/>
    <w:rsid w:val="5DCF4C78"/>
    <w:rsid w:val="5DD07AF4"/>
    <w:rsid w:val="5DD921C5"/>
    <w:rsid w:val="5DE2248A"/>
    <w:rsid w:val="5DE54B90"/>
    <w:rsid w:val="5DE82C1A"/>
    <w:rsid w:val="5DEA4642"/>
    <w:rsid w:val="5DEE0041"/>
    <w:rsid w:val="5DF030C5"/>
    <w:rsid w:val="5E0016D0"/>
    <w:rsid w:val="5E0A6536"/>
    <w:rsid w:val="5E0F7E5F"/>
    <w:rsid w:val="5E1324AC"/>
    <w:rsid w:val="5E162F9C"/>
    <w:rsid w:val="5E1B1BA1"/>
    <w:rsid w:val="5E1D74C3"/>
    <w:rsid w:val="5E1E4546"/>
    <w:rsid w:val="5E1F63A1"/>
    <w:rsid w:val="5E231B5D"/>
    <w:rsid w:val="5E2356B9"/>
    <w:rsid w:val="5E246C69"/>
    <w:rsid w:val="5E2A529A"/>
    <w:rsid w:val="5E335943"/>
    <w:rsid w:val="5E3476C9"/>
    <w:rsid w:val="5E361890"/>
    <w:rsid w:val="5E36363E"/>
    <w:rsid w:val="5E3D224D"/>
    <w:rsid w:val="5E3E7882"/>
    <w:rsid w:val="5E407C0D"/>
    <w:rsid w:val="5E4E4E2C"/>
    <w:rsid w:val="5E4E6BDA"/>
    <w:rsid w:val="5E4F1664"/>
    <w:rsid w:val="5E4F64AE"/>
    <w:rsid w:val="5E5D4D99"/>
    <w:rsid w:val="5E6A153A"/>
    <w:rsid w:val="5E736640"/>
    <w:rsid w:val="5E7E6701"/>
    <w:rsid w:val="5E841E57"/>
    <w:rsid w:val="5E8545C5"/>
    <w:rsid w:val="5E856373"/>
    <w:rsid w:val="5E954808"/>
    <w:rsid w:val="5E9640DD"/>
    <w:rsid w:val="5E97383C"/>
    <w:rsid w:val="5E9860EB"/>
    <w:rsid w:val="5EA42C9D"/>
    <w:rsid w:val="5EA507C4"/>
    <w:rsid w:val="5EB10F16"/>
    <w:rsid w:val="5EB2004A"/>
    <w:rsid w:val="5EB32EE1"/>
    <w:rsid w:val="5EC46929"/>
    <w:rsid w:val="5ED30E8D"/>
    <w:rsid w:val="5ED35331"/>
    <w:rsid w:val="5ED52E57"/>
    <w:rsid w:val="5EDF5A84"/>
    <w:rsid w:val="5EE94B54"/>
    <w:rsid w:val="5EF05EE3"/>
    <w:rsid w:val="5EF57137"/>
    <w:rsid w:val="5EFE6E42"/>
    <w:rsid w:val="5F054FBD"/>
    <w:rsid w:val="5F0B3395"/>
    <w:rsid w:val="5F107AA7"/>
    <w:rsid w:val="5F1B3A4B"/>
    <w:rsid w:val="5F1D035A"/>
    <w:rsid w:val="5F240F6E"/>
    <w:rsid w:val="5F25151C"/>
    <w:rsid w:val="5F2F2747"/>
    <w:rsid w:val="5F304531"/>
    <w:rsid w:val="5F3131CD"/>
    <w:rsid w:val="5F335DCF"/>
    <w:rsid w:val="5F354FCC"/>
    <w:rsid w:val="5F3A715E"/>
    <w:rsid w:val="5F46146B"/>
    <w:rsid w:val="5F4D50E3"/>
    <w:rsid w:val="5F50560B"/>
    <w:rsid w:val="5F555D46"/>
    <w:rsid w:val="5F5A480F"/>
    <w:rsid w:val="5F5A7800"/>
    <w:rsid w:val="5F5C0E82"/>
    <w:rsid w:val="5F5D3CF6"/>
    <w:rsid w:val="5F6212EE"/>
    <w:rsid w:val="5F641494"/>
    <w:rsid w:val="5F663652"/>
    <w:rsid w:val="5F6706E3"/>
    <w:rsid w:val="5F6847A5"/>
    <w:rsid w:val="5F6A74F3"/>
    <w:rsid w:val="5F6B6C27"/>
    <w:rsid w:val="5F6E5FAF"/>
    <w:rsid w:val="5F702B80"/>
    <w:rsid w:val="5F734DD2"/>
    <w:rsid w:val="5F747CBB"/>
    <w:rsid w:val="5F7603BF"/>
    <w:rsid w:val="5F781A34"/>
    <w:rsid w:val="5F7B7494"/>
    <w:rsid w:val="5F821204"/>
    <w:rsid w:val="5F8672E6"/>
    <w:rsid w:val="5F903222"/>
    <w:rsid w:val="5FA32F55"/>
    <w:rsid w:val="5FA37CAF"/>
    <w:rsid w:val="5FA4174E"/>
    <w:rsid w:val="5FA62DEE"/>
    <w:rsid w:val="5FAC17F4"/>
    <w:rsid w:val="5FAC5FA5"/>
    <w:rsid w:val="5FB045E7"/>
    <w:rsid w:val="5FB707AE"/>
    <w:rsid w:val="5FB7255D"/>
    <w:rsid w:val="5FB91456"/>
    <w:rsid w:val="5FBC5A2C"/>
    <w:rsid w:val="5FBD4480"/>
    <w:rsid w:val="5FC93D7A"/>
    <w:rsid w:val="5FD2225B"/>
    <w:rsid w:val="5FD41360"/>
    <w:rsid w:val="5FDC1FC3"/>
    <w:rsid w:val="5FDD7B11"/>
    <w:rsid w:val="5FE01A64"/>
    <w:rsid w:val="5FE01AB3"/>
    <w:rsid w:val="5FE01C28"/>
    <w:rsid w:val="5FE570CA"/>
    <w:rsid w:val="5FE61094"/>
    <w:rsid w:val="5FE62E42"/>
    <w:rsid w:val="5FE80968"/>
    <w:rsid w:val="5FE938A5"/>
    <w:rsid w:val="5FEA0B84"/>
    <w:rsid w:val="5FFA7637"/>
    <w:rsid w:val="5FFC38E9"/>
    <w:rsid w:val="60003917"/>
    <w:rsid w:val="600914DE"/>
    <w:rsid w:val="600A090D"/>
    <w:rsid w:val="600D03CE"/>
    <w:rsid w:val="60144BDF"/>
    <w:rsid w:val="60145C01"/>
    <w:rsid w:val="6018063D"/>
    <w:rsid w:val="601A3622"/>
    <w:rsid w:val="602F1F75"/>
    <w:rsid w:val="60331A5C"/>
    <w:rsid w:val="60367589"/>
    <w:rsid w:val="60397415"/>
    <w:rsid w:val="603C28E6"/>
    <w:rsid w:val="603C6C42"/>
    <w:rsid w:val="603D527B"/>
    <w:rsid w:val="603F3A23"/>
    <w:rsid w:val="604007A4"/>
    <w:rsid w:val="60457B68"/>
    <w:rsid w:val="604638E0"/>
    <w:rsid w:val="60511079"/>
    <w:rsid w:val="60597AB8"/>
    <w:rsid w:val="60653243"/>
    <w:rsid w:val="60681AA9"/>
    <w:rsid w:val="606C2ECA"/>
    <w:rsid w:val="607B445F"/>
    <w:rsid w:val="60805044"/>
    <w:rsid w:val="60824919"/>
    <w:rsid w:val="60886391"/>
    <w:rsid w:val="608A7C71"/>
    <w:rsid w:val="608D263A"/>
    <w:rsid w:val="6090789A"/>
    <w:rsid w:val="609168F9"/>
    <w:rsid w:val="609371CC"/>
    <w:rsid w:val="60956D42"/>
    <w:rsid w:val="60A93E60"/>
    <w:rsid w:val="60B116A2"/>
    <w:rsid w:val="60B438B3"/>
    <w:rsid w:val="60B6122B"/>
    <w:rsid w:val="60BB42CE"/>
    <w:rsid w:val="60D16514"/>
    <w:rsid w:val="60D5551B"/>
    <w:rsid w:val="60D801D1"/>
    <w:rsid w:val="60D8398C"/>
    <w:rsid w:val="60E121F5"/>
    <w:rsid w:val="60E53520"/>
    <w:rsid w:val="60F048A3"/>
    <w:rsid w:val="60F95222"/>
    <w:rsid w:val="610E79D9"/>
    <w:rsid w:val="612E2CF2"/>
    <w:rsid w:val="61302DBD"/>
    <w:rsid w:val="61333E65"/>
    <w:rsid w:val="613936FA"/>
    <w:rsid w:val="614147D4"/>
    <w:rsid w:val="61472254"/>
    <w:rsid w:val="61527A3D"/>
    <w:rsid w:val="61555058"/>
    <w:rsid w:val="615618D2"/>
    <w:rsid w:val="61574EC1"/>
    <w:rsid w:val="615A41CF"/>
    <w:rsid w:val="61630BEE"/>
    <w:rsid w:val="6165067D"/>
    <w:rsid w:val="61700C15"/>
    <w:rsid w:val="617028A6"/>
    <w:rsid w:val="617649CA"/>
    <w:rsid w:val="61796953"/>
    <w:rsid w:val="617E51EA"/>
    <w:rsid w:val="618042CE"/>
    <w:rsid w:val="61842912"/>
    <w:rsid w:val="61860438"/>
    <w:rsid w:val="618648DC"/>
    <w:rsid w:val="61867CBA"/>
    <w:rsid w:val="61880654"/>
    <w:rsid w:val="618860C5"/>
    <w:rsid w:val="618928AC"/>
    <w:rsid w:val="61913C09"/>
    <w:rsid w:val="619E1C26"/>
    <w:rsid w:val="61A94127"/>
    <w:rsid w:val="61A9504A"/>
    <w:rsid w:val="61AB60F1"/>
    <w:rsid w:val="61B60BBE"/>
    <w:rsid w:val="61BA5B6C"/>
    <w:rsid w:val="61BE553D"/>
    <w:rsid w:val="61BF5B0C"/>
    <w:rsid w:val="61D03DA9"/>
    <w:rsid w:val="61D6397A"/>
    <w:rsid w:val="61D76EE6"/>
    <w:rsid w:val="61DB6A4D"/>
    <w:rsid w:val="61E04AD9"/>
    <w:rsid w:val="61F47E6B"/>
    <w:rsid w:val="61F555BE"/>
    <w:rsid w:val="6201775B"/>
    <w:rsid w:val="620D71A2"/>
    <w:rsid w:val="620F042E"/>
    <w:rsid w:val="62106035"/>
    <w:rsid w:val="621670CB"/>
    <w:rsid w:val="62172B4C"/>
    <w:rsid w:val="621E7D7A"/>
    <w:rsid w:val="62244E9F"/>
    <w:rsid w:val="62320319"/>
    <w:rsid w:val="62361A2E"/>
    <w:rsid w:val="6238312F"/>
    <w:rsid w:val="623920A5"/>
    <w:rsid w:val="62397BA1"/>
    <w:rsid w:val="623A36A7"/>
    <w:rsid w:val="623A61B6"/>
    <w:rsid w:val="623B6840"/>
    <w:rsid w:val="624D0F56"/>
    <w:rsid w:val="624E5AC5"/>
    <w:rsid w:val="62533869"/>
    <w:rsid w:val="625F6A4A"/>
    <w:rsid w:val="625F7A95"/>
    <w:rsid w:val="626C278F"/>
    <w:rsid w:val="62740596"/>
    <w:rsid w:val="6280553C"/>
    <w:rsid w:val="628232F6"/>
    <w:rsid w:val="628C499D"/>
    <w:rsid w:val="629D15BD"/>
    <w:rsid w:val="62A414BE"/>
    <w:rsid w:val="62AF7540"/>
    <w:rsid w:val="62B6362D"/>
    <w:rsid w:val="62B65BDA"/>
    <w:rsid w:val="62BD432E"/>
    <w:rsid w:val="62C21944"/>
    <w:rsid w:val="62CA6252"/>
    <w:rsid w:val="62D179A7"/>
    <w:rsid w:val="62D535D8"/>
    <w:rsid w:val="62DA07C5"/>
    <w:rsid w:val="62DA7DAA"/>
    <w:rsid w:val="62DB0217"/>
    <w:rsid w:val="62DD530F"/>
    <w:rsid w:val="62DF12F6"/>
    <w:rsid w:val="62EF025F"/>
    <w:rsid w:val="62F82F7B"/>
    <w:rsid w:val="62FF4946"/>
    <w:rsid w:val="63041F5D"/>
    <w:rsid w:val="630C3F88"/>
    <w:rsid w:val="63116428"/>
    <w:rsid w:val="63131C60"/>
    <w:rsid w:val="632223E3"/>
    <w:rsid w:val="632473E0"/>
    <w:rsid w:val="6327254B"/>
    <w:rsid w:val="632945F8"/>
    <w:rsid w:val="632F112F"/>
    <w:rsid w:val="633329E6"/>
    <w:rsid w:val="63347148"/>
    <w:rsid w:val="634379A6"/>
    <w:rsid w:val="63512CC8"/>
    <w:rsid w:val="635527B8"/>
    <w:rsid w:val="635822A8"/>
    <w:rsid w:val="636649C5"/>
    <w:rsid w:val="6367429A"/>
    <w:rsid w:val="636F2CBC"/>
    <w:rsid w:val="6372336A"/>
    <w:rsid w:val="63730E90"/>
    <w:rsid w:val="637644DD"/>
    <w:rsid w:val="63A66B70"/>
    <w:rsid w:val="63AB4186"/>
    <w:rsid w:val="63AD6150"/>
    <w:rsid w:val="63B35BE5"/>
    <w:rsid w:val="63B573FB"/>
    <w:rsid w:val="63BC7619"/>
    <w:rsid w:val="63C86E42"/>
    <w:rsid w:val="63CE60C7"/>
    <w:rsid w:val="63CF256B"/>
    <w:rsid w:val="63D77671"/>
    <w:rsid w:val="63E61222"/>
    <w:rsid w:val="63FF035D"/>
    <w:rsid w:val="64016C68"/>
    <w:rsid w:val="64025D70"/>
    <w:rsid w:val="64041ABE"/>
    <w:rsid w:val="64061D04"/>
    <w:rsid w:val="64070C3A"/>
    <w:rsid w:val="640A2E5C"/>
    <w:rsid w:val="640B4E4E"/>
    <w:rsid w:val="6416213F"/>
    <w:rsid w:val="641E704E"/>
    <w:rsid w:val="64252409"/>
    <w:rsid w:val="64277EAD"/>
    <w:rsid w:val="642908B4"/>
    <w:rsid w:val="642D103F"/>
    <w:rsid w:val="642F125B"/>
    <w:rsid w:val="643527F9"/>
    <w:rsid w:val="643F585C"/>
    <w:rsid w:val="64477D24"/>
    <w:rsid w:val="644B7C6E"/>
    <w:rsid w:val="64504D2E"/>
    <w:rsid w:val="645111D2"/>
    <w:rsid w:val="645E744B"/>
    <w:rsid w:val="645F1659"/>
    <w:rsid w:val="64607667"/>
    <w:rsid w:val="646A6EA6"/>
    <w:rsid w:val="64740A1C"/>
    <w:rsid w:val="64746C6E"/>
    <w:rsid w:val="647E5BE3"/>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520C"/>
    <w:rsid w:val="64DA5E0B"/>
    <w:rsid w:val="64DB6CED"/>
    <w:rsid w:val="64DE67DD"/>
    <w:rsid w:val="64E732AE"/>
    <w:rsid w:val="64EB797F"/>
    <w:rsid w:val="64F105C1"/>
    <w:rsid w:val="64F6539B"/>
    <w:rsid w:val="65085CEA"/>
    <w:rsid w:val="650D6399"/>
    <w:rsid w:val="650E38E9"/>
    <w:rsid w:val="651641C9"/>
    <w:rsid w:val="652228B0"/>
    <w:rsid w:val="65244DE3"/>
    <w:rsid w:val="65292CF6"/>
    <w:rsid w:val="652B08B5"/>
    <w:rsid w:val="652B723C"/>
    <w:rsid w:val="652E506F"/>
    <w:rsid w:val="6534385F"/>
    <w:rsid w:val="65392928"/>
    <w:rsid w:val="653B778C"/>
    <w:rsid w:val="653E0329"/>
    <w:rsid w:val="654674C5"/>
    <w:rsid w:val="65484A48"/>
    <w:rsid w:val="65491EA9"/>
    <w:rsid w:val="65550066"/>
    <w:rsid w:val="65566374"/>
    <w:rsid w:val="655A5E64"/>
    <w:rsid w:val="656206A5"/>
    <w:rsid w:val="65623600"/>
    <w:rsid w:val="65664D63"/>
    <w:rsid w:val="656710C9"/>
    <w:rsid w:val="656976B0"/>
    <w:rsid w:val="656A57C4"/>
    <w:rsid w:val="656D408F"/>
    <w:rsid w:val="656E5DB3"/>
    <w:rsid w:val="6570115F"/>
    <w:rsid w:val="65707DEA"/>
    <w:rsid w:val="65765E72"/>
    <w:rsid w:val="657F58CB"/>
    <w:rsid w:val="65817895"/>
    <w:rsid w:val="65896749"/>
    <w:rsid w:val="658B3C23"/>
    <w:rsid w:val="658D036C"/>
    <w:rsid w:val="65901116"/>
    <w:rsid w:val="659908BE"/>
    <w:rsid w:val="659A0956"/>
    <w:rsid w:val="65A447B7"/>
    <w:rsid w:val="65A52645"/>
    <w:rsid w:val="65AA660F"/>
    <w:rsid w:val="65B01973"/>
    <w:rsid w:val="65BE21B3"/>
    <w:rsid w:val="65BE264A"/>
    <w:rsid w:val="65C634F9"/>
    <w:rsid w:val="65C71020"/>
    <w:rsid w:val="65C83B5C"/>
    <w:rsid w:val="65D1317E"/>
    <w:rsid w:val="65D73958"/>
    <w:rsid w:val="65E059A3"/>
    <w:rsid w:val="65E51816"/>
    <w:rsid w:val="65E575C2"/>
    <w:rsid w:val="65E9379A"/>
    <w:rsid w:val="65F660A6"/>
    <w:rsid w:val="65FB4FFA"/>
    <w:rsid w:val="66134265"/>
    <w:rsid w:val="66193993"/>
    <w:rsid w:val="661C5E23"/>
    <w:rsid w:val="663B4FEF"/>
    <w:rsid w:val="663B6ADC"/>
    <w:rsid w:val="663D1F2D"/>
    <w:rsid w:val="66432D9C"/>
    <w:rsid w:val="664B1C51"/>
    <w:rsid w:val="664D6B97"/>
    <w:rsid w:val="66551508"/>
    <w:rsid w:val="66552ACF"/>
    <w:rsid w:val="6657649E"/>
    <w:rsid w:val="6659436D"/>
    <w:rsid w:val="665C34BE"/>
    <w:rsid w:val="665F74AA"/>
    <w:rsid w:val="666845B1"/>
    <w:rsid w:val="6669068F"/>
    <w:rsid w:val="66703465"/>
    <w:rsid w:val="66707909"/>
    <w:rsid w:val="6672542F"/>
    <w:rsid w:val="667353AA"/>
    <w:rsid w:val="66794A10"/>
    <w:rsid w:val="667C62AE"/>
    <w:rsid w:val="66805D9E"/>
    <w:rsid w:val="668263D9"/>
    <w:rsid w:val="66826704"/>
    <w:rsid w:val="668A2779"/>
    <w:rsid w:val="668C6F35"/>
    <w:rsid w:val="668F7D8F"/>
    <w:rsid w:val="66903B07"/>
    <w:rsid w:val="66914861"/>
    <w:rsid w:val="66990550"/>
    <w:rsid w:val="669971F6"/>
    <w:rsid w:val="66A11F66"/>
    <w:rsid w:val="66A51361"/>
    <w:rsid w:val="66A54030"/>
    <w:rsid w:val="66AF4903"/>
    <w:rsid w:val="66B31CC5"/>
    <w:rsid w:val="66B612EF"/>
    <w:rsid w:val="66BB5028"/>
    <w:rsid w:val="66BC3299"/>
    <w:rsid w:val="66D71736"/>
    <w:rsid w:val="66D87988"/>
    <w:rsid w:val="66DB14FC"/>
    <w:rsid w:val="66E83943"/>
    <w:rsid w:val="66EA4BFD"/>
    <w:rsid w:val="66ED4AB6"/>
    <w:rsid w:val="66F26C83"/>
    <w:rsid w:val="66F90A49"/>
    <w:rsid w:val="66FD119D"/>
    <w:rsid w:val="67024A05"/>
    <w:rsid w:val="670C33CD"/>
    <w:rsid w:val="670F0ED0"/>
    <w:rsid w:val="670F2C7E"/>
    <w:rsid w:val="671102C9"/>
    <w:rsid w:val="671D35ED"/>
    <w:rsid w:val="6727016E"/>
    <w:rsid w:val="67302D72"/>
    <w:rsid w:val="67367BDE"/>
    <w:rsid w:val="67383895"/>
    <w:rsid w:val="673C3F4D"/>
    <w:rsid w:val="673D6C8E"/>
    <w:rsid w:val="67401089"/>
    <w:rsid w:val="674072DB"/>
    <w:rsid w:val="675039C2"/>
    <w:rsid w:val="67515045"/>
    <w:rsid w:val="675A65EF"/>
    <w:rsid w:val="675E7762"/>
    <w:rsid w:val="676034DA"/>
    <w:rsid w:val="67620795"/>
    <w:rsid w:val="67650AA1"/>
    <w:rsid w:val="676B3D88"/>
    <w:rsid w:val="67901824"/>
    <w:rsid w:val="67910EA4"/>
    <w:rsid w:val="679B538E"/>
    <w:rsid w:val="67A03B90"/>
    <w:rsid w:val="67A535E2"/>
    <w:rsid w:val="67A7735B"/>
    <w:rsid w:val="67AD6FA5"/>
    <w:rsid w:val="67B46B65"/>
    <w:rsid w:val="67B64405"/>
    <w:rsid w:val="67B6759E"/>
    <w:rsid w:val="67B825EE"/>
    <w:rsid w:val="67BA4365"/>
    <w:rsid w:val="67C21C75"/>
    <w:rsid w:val="67C65A33"/>
    <w:rsid w:val="67C73559"/>
    <w:rsid w:val="67CE6F06"/>
    <w:rsid w:val="67D068B1"/>
    <w:rsid w:val="67DF71B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8340B"/>
    <w:rsid w:val="683B72BC"/>
    <w:rsid w:val="683E37A9"/>
    <w:rsid w:val="6845021D"/>
    <w:rsid w:val="684C483A"/>
    <w:rsid w:val="68537E16"/>
    <w:rsid w:val="685B4079"/>
    <w:rsid w:val="6867275C"/>
    <w:rsid w:val="68694610"/>
    <w:rsid w:val="686B0388"/>
    <w:rsid w:val="686D4100"/>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82A54"/>
    <w:rsid w:val="68AA5B4D"/>
    <w:rsid w:val="68B30CED"/>
    <w:rsid w:val="68B3402F"/>
    <w:rsid w:val="68B7339D"/>
    <w:rsid w:val="68BC680B"/>
    <w:rsid w:val="68C006D4"/>
    <w:rsid w:val="68C55A28"/>
    <w:rsid w:val="68C61A62"/>
    <w:rsid w:val="68C656C9"/>
    <w:rsid w:val="68C667CC"/>
    <w:rsid w:val="68C857DA"/>
    <w:rsid w:val="68C93813"/>
    <w:rsid w:val="68CA50AF"/>
    <w:rsid w:val="68CF0917"/>
    <w:rsid w:val="68F33BEB"/>
    <w:rsid w:val="68F6141B"/>
    <w:rsid w:val="68F63A6F"/>
    <w:rsid w:val="68F93BE6"/>
    <w:rsid w:val="68FC5484"/>
    <w:rsid w:val="69011A03"/>
    <w:rsid w:val="69036813"/>
    <w:rsid w:val="691427CE"/>
    <w:rsid w:val="69194FE4"/>
    <w:rsid w:val="69201173"/>
    <w:rsid w:val="692C087F"/>
    <w:rsid w:val="692F585A"/>
    <w:rsid w:val="69325074"/>
    <w:rsid w:val="693B3D95"/>
    <w:rsid w:val="693E5A9D"/>
    <w:rsid w:val="6940200D"/>
    <w:rsid w:val="6942558D"/>
    <w:rsid w:val="69470DF5"/>
    <w:rsid w:val="69540E1C"/>
    <w:rsid w:val="695E7C81"/>
    <w:rsid w:val="696230A8"/>
    <w:rsid w:val="696324F7"/>
    <w:rsid w:val="69635503"/>
    <w:rsid w:val="69636512"/>
    <w:rsid w:val="69645D0B"/>
    <w:rsid w:val="696D1EDE"/>
    <w:rsid w:val="696E697F"/>
    <w:rsid w:val="69703A94"/>
    <w:rsid w:val="697414BE"/>
    <w:rsid w:val="69766FE4"/>
    <w:rsid w:val="69775D94"/>
    <w:rsid w:val="697B45FB"/>
    <w:rsid w:val="697F233D"/>
    <w:rsid w:val="6982764E"/>
    <w:rsid w:val="698A1782"/>
    <w:rsid w:val="698C2CAC"/>
    <w:rsid w:val="698E07D2"/>
    <w:rsid w:val="6994390F"/>
    <w:rsid w:val="69981651"/>
    <w:rsid w:val="699B6A4B"/>
    <w:rsid w:val="69A41DA4"/>
    <w:rsid w:val="69AC6EAA"/>
    <w:rsid w:val="69B30239"/>
    <w:rsid w:val="69BE09A8"/>
    <w:rsid w:val="69CE0BCF"/>
    <w:rsid w:val="69D16A9C"/>
    <w:rsid w:val="69DC2584"/>
    <w:rsid w:val="69E06B54"/>
    <w:rsid w:val="69E76FD1"/>
    <w:rsid w:val="6A032CC6"/>
    <w:rsid w:val="6A0731D8"/>
    <w:rsid w:val="6A0B3BD1"/>
    <w:rsid w:val="6A0B4DA2"/>
    <w:rsid w:val="6A0D4CED"/>
    <w:rsid w:val="6A1C4030"/>
    <w:rsid w:val="6A2133F4"/>
    <w:rsid w:val="6A2151A2"/>
    <w:rsid w:val="6A2353BE"/>
    <w:rsid w:val="6A3430A0"/>
    <w:rsid w:val="6A3C571E"/>
    <w:rsid w:val="6A3F1ACC"/>
    <w:rsid w:val="6A401CB8"/>
    <w:rsid w:val="6A452BC9"/>
    <w:rsid w:val="6A482602"/>
    <w:rsid w:val="6A4E1D0F"/>
    <w:rsid w:val="6A521800"/>
    <w:rsid w:val="6A5F216E"/>
    <w:rsid w:val="6A623F41"/>
    <w:rsid w:val="6A6908F7"/>
    <w:rsid w:val="6A6B570C"/>
    <w:rsid w:val="6A6E5F0E"/>
    <w:rsid w:val="6A7554EE"/>
    <w:rsid w:val="6A837C0B"/>
    <w:rsid w:val="6A877213"/>
    <w:rsid w:val="6A8B520E"/>
    <w:rsid w:val="6A8D0A8A"/>
    <w:rsid w:val="6A9D12E5"/>
    <w:rsid w:val="6A9F3E04"/>
    <w:rsid w:val="6AA54025"/>
    <w:rsid w:val="6AA778F8"/>
    <w:rsid w:val="6AAB2D00"/>
    <w:rsid w:val="6AAE4335"/>
    <w:rsid w:val="6AB46793"/>
    <w:rsid w:val="6ABB5326"/>
    <w:rsid w:val="6AC22514"/>
    <w:rsid w:val="6AC27C99"/>
    <w:rsid w:val="6AC703D4"/>
    <w:rsid w:val="6AC87D14"/>
    <w:rsid w:val="6ACC63C3"/>
    <w:rsid w:val="6AD14E1A"/>
    <w:rsid w:val="6AE6658B"/>
    <w:rsid w:val="6AEA1A38"/>
    <w:rsid w:val="6AED32D6"/>
    <w:rsid w:val="6AF01018"/>
    <w:rsid w:val="6AFD230E"/>
    <w:rsid w:val="6AFD409F"/>
    <w:rsid w:val="6B014FD4"/>
    <w:rsid w:val="6B040620"/>
    <w:rsid w:val="6B0546BF"/>
    <w:rsid w:val="6B0F5943"/>
    <w:rsid w:val="6B140A94"/>
    <w:rsid w:val="6B1765A5"/>
    <w:rsid w:val="6B1C0DEC"/>
    <w:rsid w:val="6B1E5B86"/>
    <w:rsid w:val="6B225676"/>
    <w:rsid w:val="6B2A0DD1"/>
    <w:rsid w:val="6B2A62D8"/>
    <w:rsid w:val="6B2D5DC9"/>
    <w:rsid w:val="6B3123E5"/>
    <w:rsid w:val="6B3928DE"/>
    <w:rsid w:val="6B3A571B"/>
    <w:rsid w:val="6B3D24B0"/>
    <w:rsid w:val="6B3E1D84"/>
    <w:rsid w:val="6B421874"/>
    <w:rsid w:val="6B433182"/>
    <w:rsid w:val="6B4538C2"/>
    <w:rsid w:val="6B454EC0"/>
    <w:rsid w:val="6B4D6993"/>
    <w:rsid w:val="6B4E304B"/>
    <w:rsid w:val="6B515E8F"/>
    <w:rsid w:val="6B594E10"/>
    <w:rsid w:val="6B5B6012"/>
    <w:rsid w:val="6B611B4C"/>
    <w:rsid w:val="6B657311"/>
    <w:rsid w:val="6B680BAF"/>
    <w:rsid w:val="6B6905B2"/>
    <w:rsid w:val="6B715CB5"/>
    <w:rsid w:val="6B7B6CF5"/>
    <w:rsid w:val="6B8754D9"/>
    <w:rsid w:val="6B8C2AEF"/>
    <w:rsid w:val="6B8D6867"/>
    <w:rsid w:val="6B9120BE"/>
    <w:rsid w:val="6B942D3D"/>
    <w:rsid w:val="6B980468"/>
    <w:rsid w:val="6B981292"/>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E22552"/>
    <w:rsid w:val="6BE7241B"/>
    <w:rsid w:val="6BED1093"/>
    <w:rsid w:val="6BEE4FC6"/>
    <w:rsid w:val="6BF52DE2"/>
    <w:rsid w:val="6BF863D7"/>
    <w:rsid w:val="6BFB3638"/>
    <w:rsid w:val="6BFF7E7B"/>
    <w:rsid w:val="6C0E6A2D"/>
    <w:rsid w:val="6C107BF8"/>
    <w:rsid w:val="6C1D78D9"/>
    <w:rsid w:val="6C1E7857"/>
    <w:rsid w:val="6C2101A9"/>
    <w:rsid w:val="6C28360B"/>
    <w:rsid w:val="6C2B5B16"/>
    <w:rsid w:val="6C302ABE"/>
    <w:rsid w:val="6C3073D8"/>
    <w:rsid w:val="6C33669E"/>
    <w:rsid w:val="6C494E84"/>
    <w:rsid w:val="6C4A5B71"/>
    <w:rsid w:val="6C4B4758"/>
    <w:rsid w:val="6C532B1A"/>
    <w:rsid w:val="6C5630FD"/>
    <w:rsid w:val="6C5A499B"/>
    <w:rsid w:val="6C63290C"/>
    <w:rsid w:val="6C7066C8"/>
    <w:rsid w:val="6C716E95"/>
    <w:rsid w:val="6C77554D"/>
    <w:rsid w:val="6C8726F7"/>
    <w:rsid w:val="6C8A0385"/>
    <w:rsid w:val="6C9C6D62"/>
    <w:rsid w:val="6CA7022C"/>
    <w:rsid w:val="6CAB1B96"/>
    <w:rsid w:val="6CB2643C"/>
    <w:rsid w:val="6CB319F4"/>
    <w:rsid w:val="6CB775D6"/>
    <w:rsid w:val="6CBC783E"/>
    <w:rsid w:val="6CBF2773"/>
    <w:rsid w:val="6CC14A1B"/>
    <w:rsid w:val="6CC369E5"/>
    <w:rsid w:val="6CC4275D"/>
    <w:rsid w:val="6CC462B9"/>
    <w:rsid w:val="6CDE55CC"/>
    <w:rsid w:val="6CDF1345"/>
    <w:rsid w:val="6CE54BAD"/>
    <w:rsid w:val="6CEA21C3"/>
    <w:rsid w:val="6CEB1A97"/>
    <w:rsid w:val="6CEB70AA"/>
    <w:rsid w:val="6CF05300"/>
    <w:rsid w:val="6CF0610E"/>
    <w:rsid w:val="6CF22E26"/>
    <w:rsid w:val="6CF34F90"/>
    <w:rsid w:val="6CF43042"/>
    <w:rsid w:val="6CF51963"/>
    <w:rsid w:val="6CF76761"/>
    <w:rsid w:val="6CF807AC"/>
    <w:rsid w:val="6CF82125"/>
    <w:rsid w:val="6CFA66BC"/>
    <w:rsid w:val="6D093C1F"/>
    <w:rsid w:val="6D147240"/>
    <w:rsid w:val="6D1C1338"/>
    <w:rsid w:val="6D1E3C1B"/>
    <w:rsid w:val="6D234380"/>
    <w:rsid w:val="6D241DD6"/>
    <w:rsid w:val="6D261FE2"/>
    <w:rsid w:val="6D3A2C36"/>
    <w:rsid w:val="6D3B47CD"/>
    <w:rsid w:val="6D4C4C2C"/>
    <w:rsid w:val="6D4D62AE"/>
    <w:rsid w:val="6D5263BD"/>
    <w:rsid w:val="6D567859"/>
    <w:rsid w:val="6D5923AE"/>
    <w:rsid w:val="6D5B4E6F"/>
    <w:rsid w:val="6D657A9C"/>
    <w:rsid w:val="6D6655C2"/>
    <w:rsid w:val="6D6B4CAD"/>
    <w:rsid w:val="6D714693"/>
    <w:rsid w:val="6D72274B"/>
    <w:rsid w:val="6D7418F5"/>
    <w:rsid w:val="6D754438"/>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5433C"/>
    <w:rsid w:val="6DA700B4"/>
    <w:rsid w:val="6DB30807"/>
    <w:rsid w:val="6DB620A5"/>
    <w:rsid w:val="6DB73718"/>
    <w:rsid w:val="6DB77BCC"/>
    <w:rsid w:val="6DBB76BC"/>
    <w:rsid w:val="6DC01870"/>
    <w:rsid w:val="6DC26C9C"/>
    <w:rsid w:val="6DCE632D"/>
    <w:rsid w:val="6DD469CF"/>
    <w:rsid w:val="6DD87EEB"/>
    <w:rsid w:val="6DDB7D5E"/>
    <w:rsid w:val="6DE06A16"/>
    <w:rsid w:val="6DED20C4"/>
    <w:rsid w:val="6DEE7A91"/>
    <w:rsid w:val="6DF9597F"/>
    <w:rsid w:val="6DFB36A6"/>
    <w:rsid w:val="6DFD7CD4"/>
    <w:rsid w:val="6E0861F9"/>
    <w:rsid w:val="6E0F421C"/>
    <w:rsid w:val="6E0F7A08"/>
    <w:rsid w:val="6E11552E"/>
    <w:rsid w:val="6E1814DE"/>
    <w:rsid w:val="6E1F5E9D"/>
    <w:rsid w:val="6E2141BB"/>
    <w:rsid w:val="6E314C1B"/>
    <w:rsid w:val="6E33189B"/>
    <w:rsid w:val="6E3D33F0"/>
    <w:rsid w:val="6E42797D"/>
    <w:rsid w:val="6E4E66EF"/>
    <w:rsid w:val="6E511D65"/>
    <w:rsid w:val="6E563D5E"/>
    <w:rsid w:val="6E5773E2"/>
    <w:rsid w:val="6E5D0773"/>
    <w:rsid w:val="6E5E5C3B"/>
    <w:rsid w:val="6E602332"/>
    <w:rsid w:val="6E6040B1"/>
    <w:rsid w:val="6E6B2E90"/>
    <w:rsid w:val="6E786C73"/>
    <w:rsid w:val="6E7E5A33"/>
    <w:rsid w:val="6E8362CB"/>
    <w:rsid w:val="6E8607DF"/>
    <w:rsid w:val="6E8C25F2"/>
    <w:rsid w:val="6E8C5574"/>
    <w:rsid w:val="6E8E6B7E"/>
    <w:rsid w:val="6E900B48"/>
    <w:rsid w:val="6E9323E7"/>
    <w:rsid w:val="6E95110E"/>
    <w:rsid w:val="6E971216"/>
    <w:rsid w:val="6E9C65AE"/>
    <w:rsid w:val="6E9F5AF8"/>
    <w:rsid w:val="6EA662E7"/>
    <w:rsid w:val="6EC2024B"/>
    <w:rsid w:val="6ED400FB"/>
    <w:rsid w:val="6EE37AB3"/>
    <w:rsid w:val="6EE44D45"/>
    <w:rsid w:val="6EEC71C0"/>
    <w:rsid w:val="6EED60BF"/>
    <w:rsid w:val="6EF353C5"/>
    <w:rsid w:val="6EF52D06"/>
    <w:rsid w:val="6EFA5DC4"/>
    <w:rsid w:val="6EFE20A6"/>
    <w:rsid w:val="6F0D65D1"/>
    <w:rsid w:val="6F175262"/>
    <w:rsid w:val="6F273C43"/>
    <w:rsid w:val="6F2F65B3"/>
    <w:rsid w:val="6F3410B3"/>
    <w:rsid w:val="6F392F8E"/>
    <w:rsid w:val="6F40256E"/>
    <w:rsid w:val="6F417668"/>
    <w:rsid w:val="6F452BFB"/>
    <w:rsid w:val="6F4B0F13"/>
    <w:rsid w:val="6F4E4E29"/>
    <w:rsid w:val="6F526915"/>
    <w:rsid w:val="6F543924"/>
    <w:rsid w:val="6F5759DB"/>
    <w:rsid w:val="6F5A1B67"/>
    <w:rsid w:val="6F5A2F04"/>
    <w:rsid w:val="6F5B1156"/>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A7740"/>
    <w:rsid w:val="6FBB37E8"/>
    <w:rsid w:val="6FBD7A2F"/>
    <w:rsid w:val="6FC30AAA"/>
    <w:rsid w:val="6FC325D7"/>
    <w:rsid w:val="6FC838AA"/>
    <w:rsid w:val="6FCC5BB0"/>
    <w:rsid w:val="6FCD2ECB"/>
    <w:rsid w:val="6FD03BBF"/>
    <w:rsid w:val="6FD3649E"/>
    <w:rsid w:val="6FD44A65"/>
    <w:rsid w:val="6FD5533A"/>
    <w:rsid w:val="6FE06948"/>
    <w:rsid w:val="6FE86762"/>
    <w:rsid w:val="6FEA4497"/>
    <w:rsid w:val="6FEE6936"/>
    <w:rsid w:val="6FFE15F2"/>
    <w:rsid w:val="7000463E"/>
    <w:rsid w:val="7000585A"/>
    <w:rsid w:val="7008021A"/>
    <w:rsid w:val="700C41FF"/>
    <w:rsid w:val="70197B71"/>
    <w:rsid w:val="701A42EE"/>
    <w:rsid w:val="701D453F"/>
    <w:rsid w:val="701D6A70"/>
    <w:rsid w:val="70223A22"/>
    <w:rsid w:val="70225B6A"/>
    <w:rsid w:val="70231548"/>
    <w:rsid w:val="70247FB9"/>
    <w:rsid w:val="70254AB1"/>
    <w:rsid w:val="70275718"/>
    <w:rsid w:val="702811CF"/>
    <w:rsid w:val="70293112"/>
    <w:rsid w:val="702F640E"/>
    <w:rsid w:val="703665E2"/>
    <w:rsid w:val="70384FF4"/>
    <w:rsid w:val="703D260A"/>
    <w:rsid w:val="70411F4E"/>
    <w:rsid w:val="7045295A"/>
    <w:rsid w:val="704C6CF1"/>
    <w:rsid w:val="704E0CBB"/>
    <w:rsid w:val="705171D8"/>
    <w:rsid w:val="70521BC1"/>
    <w:rsid w:val="7053782B"/>
    <w:rsid w:val="705C2D66"/>
    <w:rsid w:val="705D2CAC"/>
    <w:rsid w:val="706752A1"/>
    <w:rsid w:val="70730722"/>
    <w:rsid w:val="70787AE6"/>
    <w:rsid w:val="70790109"/>
    <w:rsid w:val="707B1384"/>
    <w:rsid w:val="708446DD"/>
    <w:rsid w:val="70860455"/>
    <w:rsid w:val="708E757A"/>
    <w:rsid w:val="70936354"/>
    <w:rsid w:val="709366CE"/>
    <w:rsid w:val="70954D22"/>
    <w:rsid w:val="70980F19"/>
    <w:rsid w:val="709D70DA"/>
    <w:rsid w:val="709D754D"/>
    <w:rsid w:val="709F1517"/>
    <w:rsid w:val="70A5697A"/>
    <w:rsid w:val="70AC0354"/>
    <w:rsid w:val="70AD3C34"/>
    <w:rsid w:val="70B32F55"/>
    <w:rsid w:val="70C66EAD"/>
    <w:rsid w:val="70CA22A0"/>
    <w:rsid w:val="70CB3C99"/>
    <w:rsid w:val="70CC15AD"/>
    <w:rsid w:val="70CD3AA8"/>
    <w:rsid w:val="70D25448"/>
    <w:rsid w:val="70D95624"/>
    <w:rsid w:val="70DE203F"/>
    <w:rsid w:val="70E60EF4"/>
    <w:rsid w:val="70E81A42"/>
    <w:rsid w:val="70E87D2E"/>
    <w:rsid w:val="70EF0726"/>
    <w:rsid w:val="70EF120B"/>
    <w:rsid w:val="70F3716D"/>
    <w:rsid w:val="70F54131"/>
    <w:rsid w:val="70F90159"/>
    <w:rsid w:val="70FD13AF"/>
    <w:rsid w:val="70FF3D63"/>
    <w:rsid w:val="71007D30"/>
    <w:rsid w:val="7102506A"/>
    <w:rsid w:val="71035C4A"/>
    <w:rsid w:val="710571BE"/>
    <w:rsid w:val="710B095A"/>
    <w:rsid w:val="710D1811"/>
    <w:rsid w:val="710D5338"/>
    <w:rsid w:val="71153587"/>
    <w:rsid w:val="71184C00"/>
    <w:rsid w:val="711A50E8"/>
    <w:rsid w:val="711B76F1"/>
    <w:rsid w:val="711C2B67"/>
    <w:rsid w:val="711E678E"/>
    <w:rsid w:val="71220EF5"/>
    <w:rsid w:val="71237A52"/>
    <w:rsid w:val="71245815"/>
    <w:rsid w:val="71382182"/>
    <w:rsid w:val="71384BB7"/>
    <w:rsid w:val="71397275"/>
    <w:rsid w:val="7141437C"/>
    <w:rsid w:val="71436104"/>
    <w:rsid w:val="71444132"/>
    <w:rsid w:val="71694942"/>
    <w:rsid w:val="716C4B94"/>
    <w:rsid w:val="71710218"/>
    <w:rsid w:val="717F485B"/>
    <w:rsid w:val="71857445"/>
    <w:rsid w:val="71881F4A"/>
    <w:rsid w:val="718A7AD1"/>
    <w:rsid w:val="718B55F7"/>
    <w:rsid w:val="71926986"/>
    <w:rsid w:val="71940950"/>
    <w:rsid w:val="719641E7"/>
    <w:rsid w:val="71982C53"/>
    <w:rsid w:val="719C15B2"/>
    <w:rsid w:val="71A8020C"/>
    <w:rsid w:val="71AD47A1"/>
    <w:rsid w:val="71AE2899"/>
    <w:rsid w:val="71B27C0E"/>
    <w:rsid w:val="71B700C0"/>
    <w:rsid w:val="71BE59CD"/>
    <w:rsid w:val="71C402FF"/>
    <w:rsid w:val="71CB3EE2"/>
    <w:rsid w:val="71CC79D6"/>
    <w:rsid w:val="71CE64B7"/>
    <w:rsid w:val="71CF3736"/>
    <w:rsid w:val="71CF611B"/>
    <w:rsid w:val="71D3037A"/>
    <w:rsid w:val="71D451F0"/>
    <w:rsid w:val="71D64AC4"/>
    <w:rsid w:val="71D8720E"/>
    <w:rsid w:val="71D92806"/>
    <w:rsid w:val="71DC4440"/>
    <w:rsid w:val="71DD06C6"/>
    <w:rsid w:val="71DD4BB7"/>
    <w:rsid w:val="71E52F59"/>
    <w:rsid w:val="71E61550"/>
    <w:rsid w:val="71EF4549"/>
    <w:rsid w:val="71EF7BAE"/>
    <w:rsid w:val="71F65166"/>
    <w:rsid w:val="71FD64F5"/>
    <w:rsid w:val="72001C62"/>
    <w:rsid w:val="7203542C"/>
    <w:rsid w:val="72047104"/>
    <w:rsid w:val="720535FB"/>
    <w:rsid w:val="720C6738"/>
    <w:rsid w:val="72113D4E"/>
    <w:rsid w:val="721645D1"/>
    <w:rsid w:val="72165B9A"/>
    <w:rsid w:val="721D186F"/>
    <w:rsid w:val="72247F25"/>
    <w:rsid w:val="72253C9E"/>
    <w:rsid w:val="722A4E10"/>
    <w:rsid w:val="722C6DDA"/>
    <w:rsid w:val="723010BB"/>
    <w:rsid w:val="723143F0"/>
    <w:rsid w:val="7237488A"/>
    <w:rsid w:val="723D0FE7"/>
    <w:rsid w:val="723F1631"/>
    <w:rsid w:val="723F4635"/>
    <w:rsid w:val="724A0B97"/>
    <w:rsid w:val="724E763A"/>
    <w:rsid w:val="7250699E"/>
    <w:rsid w:val="72516841"/>
    <w:rsid w:val="725475CE"/>
    <w:rsid w:val="72600832"/>
    <w:rsid w:val="726F7E37"/>
    <w:rsid w:val="72785B7B"/>
    <w:rsid w:val="727B3360"/>
    <w:rsid w:val="727D7636"/>
    <w:rsid w:val="728C471B"/>
    <w:rsid w:val="72936F84"/>
    <w:rsid w:val="7294037B"/>
    <w:rsid w:val="72AD5867"/>
    <w:rsid w:val="72B33216"/>
    <w:rsid w:val="72B50B7E"/>
    <w:rsid w:val="72C07522"/>
    <w:rsid w:val="72C41B88"/>
    <w:rsid w:val="72CD4767"/>
    <w:rsid w:val="72CE0B34"/>
    <w:rsid w:val="72D4412C"/>
    <w:rsid w:val="72D85B7E"/>
    <w:rsid w:val="72D942B7"/>
    <w:rsid w:val="72E10121"/>
    <w:rsid w:val="72EB0A43"/>
    <w:rsid w:val="72F13B80"/>
    <w:rsid w:val="72F5398F"/>
    <w:rsid w:val="72FB0ADD"/>
    <w:rsid w:val="72FF67ED"/>
    <w:rsid w:val="73005B71"/>
    <w:rsid w:val="73063BC5"/>
    <w:rsid w:val="73064C79"/>
    <w:rsid w:val="7307181B"/>
    <w:rsid w:val="73190326"/>
    <w:rsid w:val="73263829"/>
    <w:rsid w:val="732857F3"/>
    <w:rsid w:val="7329156C"/>
    <w:rsid w:val="733028FA"/>
    <w:rsid w:val="73307239"/>
    <w:rsid w:val="73320420"/>
    <w:rsid w:val="733A5527"/>
    <w:rsid w:val="7344628D"/>
    <w:rsid w:val="734737A0"/>
    <w:rsid w:val="734A27AC"/>
    <w:rsid w:val="734B59A2"/>
    <w:rsid w:val="73520AC2"/>
    <w:rsid w:val="73650000"/>
    <w:rsid w:val="73665063"/>
    <w:rsid w:val="73740A39"/>
    <w:rsid w:val="73775AF2"/>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05D63"/>
    <w:rsid w:val="73B13A3B"/>
    <w:rsid w:val="73B34F06"/>
    <w:rsid w:val="73CB2DA5"/>
    <w:rsid w:val="73D414D7"/>
    <w:rsid w:val="73E13BF4"/>
    <w:rsid w:val="73E159A2"/>
    <w:rsid w:val="73F43927"/>
    <w:rsid w:val="73FA511F"/>
    <w:rsid w:val="73FB2F08"/>
    <w:rsid w:val="73FE4F2A"/>
    <w:rsid w:val="7405767D"/>
    <w:rsid w:val="740626E6"/>
    <w:rsid w:val="740F3DF9"/>
    <w:rsid w:val="740F42BD"/>
    <w:rsid w:val="74122000"/>
    <w:rsid w:val="74147B26"/>
    <w:rsid w:val="74161AF0"/>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03971"/>
    <w:rsid w:val="745109A1"/>
    <w:rsid w:val="74546174"/>
    <w:rsid w:val="74650604"/>
    <w:rsid w:val="74686F6C"/>
    <w:rsid w:val="746960C4"/>
    <w:rsid w:val="746F4A04"/>
    <w:rsid w:val="746F4CA9"/>
    <w:rsid w:val="7472182D"/>
    <w:rsid w:val="74760217"/>
    <w:rsid w:val="7478586B"/>
    <w:rsid w:val="747B7BA5"/>
    <w:rsid w:val="74844CAB"/>
    <w:rsid w:val="748A7A37"/>
    <w:rsid w:val="748E5B2A"/>
    <w:rsid w:val="749520B2"/>
    <w:rsid w:val="749A44CF"/>
    <w:rsid w:val="749D4A3B"/>
    <w:rsid w:val="74A23383"/>
    <w:rsid w:val="74A57C0F"/>
    <w:rsid w:val="74B17A6A"/>
    <w:rsid w:val="74B77C7F"/>
    <w:rsid w:val="74BD01BD"/>
    <w:rsid w:val="74C50E20"/>
    <w:rsid w:val="74C97804"/>
    <w:rsid w:val="74CE4179"/>
    <w:rsid w:val="74D02A9C"/>
    <w:rsid w:val="74E018B9"/>
    <w:rsid w:val="74E724EC"/>
    <w:rsid w:val="74E7348C"/>
    <w:rsid w:val="74E76FE8"/>
    <w:rsid w:val="74EA0887"/>
    <w:rsid w:val="74F10F89"/>
    <w:rsid w:val="74F8076B"/>
    <w:rsid w:val="74F811F5"/>
    <w:rsid w:val="74F86FE9"/>
    <w:rsid w:val="74FC15EE"/>
    <w:rsid w:val="75031FCE"/>
    <w:rsid w:val="750F5290"/>
    <w:rsid w:val="7514495A"/>
    <w:rsid w:val="75144CBB"/>
    <w:rsid w:val="75147228"/>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53BB6"/>
    <w:rsid w:val="759B1ACD"/>
    <w:rsid w:val="75A510B6"/>
    <w:rsid w:val="75A629FF"/>
    <w:rsid w:val="75A6486C"/>
    <w:rsid w:val="75AC0834"/>
    <w:rsid w:val="75AE25D4"/>
    <w:rsid w:val="75BA4D4F"/>
    <w:rsid w:val="75BC76D1"/>
    <w:rsid w:val="75BE5F9B"/>
    <w:rsid w:val="75C8506C"/>
    <w:rsid w:val="75D532E5"/>
    <w:rsid w:val="75D72323"/>
    <w:rsid w:val="75EF43A6"/>
    <w:rsid w:val="75F02645"/>
    <w:rsid w:val="75F74182"/>
    <w:rsid w:val="75F85CE9"/>
    <w:rsid w:val="76034F0D"/>
    <w:rsid w:val="76040FE2"/>
    <w:rsid w:val="760C0509"/>
    <w:rsid w:val="760D2A7F"/>
    <w:rsid w:val="760D6F22"/>
    <w:rsid w:val="760F2C9B"/>
    <w:rsid w:val="7614205F"/>
    <w:rsid w:val="76191155"/>
    <w:rsid w:val="76197675"/>
    <w:rsid w:val="762A53DF"/>
    <w:rsid w:val="762F092F"/>
    <w:rsid w:val="763B6BB8"/>
    <w:rsid w:val="763C007B"/>
    <w:rsid w:val="763E532E"/>
    <w:rsid w:val="76452218"/>
    <w:rsid w:val="7646530C"/>
    <w:rsid w:val="764A58FE"/>
    <w:rsid w:val="76530DD9"/>
    <w:rsid w:val="76550D87"/>
    <w:rsid w:val="76590928"/>
    <w:rsid w:val="76632DD8"/>
    <w:rsid w:val="766338BB"/>
    <w:rsid w:val="7681549E"/>
    <w:rsid w:val="768E1E11"/>
    <w:rsid w:val="769136B0"/>
    <w:rsid w:val="7693567A"/>
    <w:rsid w:val="76966F18"/>
    <w:rsid w:val="769E7691"/>
    <w:rsid w:val="769F401E"/>
    <w:rsid w:val="76A21419"/>
    <w:rsid w:val="76A2218F"/>
    <w:rsid w:val="76A6653C"/>
    <w:rsid w:val="76AA651F"/>
    <w:rsid w:val="76AF3B36"/>
    <w:rsid w:val="76B63116"/>
    <w:rsid w:val="76BB24DB"/>
    <w:rsid w:val="76BD26F7"/>
    <w:rsid w:val="76C23869"/>
    <w:rsid w:val="76C75323"/>
    <w:rsid w:val="76CE66B2"/>
    <w:rsid w:val="76D0133D"/>
    <w:rsid w:val="76D12A6B"/>
    <w:rsid w:val="76D35A76"/>
    <w:rsid w:val="76D4037D"/>
    <w:rsid w:val="76D65876"/>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957EF"/>
    <w:rsid w:val="771A5453"/>
    <w:rsid w:val="77253DF8"/>
    <w:rsid w:val="772A140E"/>
    <w:rsid w:val="772C33D8"/>
    <w:rsid w:val="772E53A2"/>
    <w:rsid w:val="772E58B5"/>
    <w:rsid w:val="773553C0"/>
    <w:rsid w:val="773D57FB"/>
    <w:rsid w:val="773E455F"/>
    <w:rsid w:val="773E756E"/>
    <w:rsid w:val="77400C32"/>
    <w:rsid w:val="774150D6"/>
    <w:rsid w:val="7745051E"/>
    <w:rsid w:val="77483836"/>
    <w:rsid w:val="7749680F"/>
    <w:rsid w:val="774C75D7"/>
    <w:rsid w:val="774F2D1B"/>
    <w:rsid w:val="774F6C2A"/>
    <w:rsid w:val="7758241F"/>
    <w:rsid w:val="775871DA"/>
    <w:rsid w:val="776345B3"/>
    <w:rsid w:val="77664B3C"/>
    <w:rsid w:val="777032C5"/>
    <w:rsid w:val="777127A0"/>
    <w:rsid w:val="777668F4"/>
    <w:rsid w:val="777B2589"/>
    <w:rsid w:val="778154D2"/>
    <w:rsid w:val="77844405"/>
    <w:rsid w:val="77862AE9"/>
    <w:rsid w:val="77880CC9"/>
    <w:rsid w:val="77903967"/>
    <w:rsid w:val="779C230C"/>
    <w:rsid w:val="77A06F50"/>
    <w:rsid w:val="77A2369A"/>
    <w:rsid w:val="77A80CB1"/>
    <w:rsid w:val="77AE0291"/>
    <w:rsid w:val="77B346BB"/>
    <w:rsid w:val="77B43AFA"/>
    <w:rsid w:val="77B47CCC"/>
    <w:rsid w:val="77B91110"/>
    <w:rsid w:val="77BA3D96"/>
    <w:rsid w:val="77BC650A"/>
    <w:rsid w:val="77C07A9F"/>
    <w:rsid w:val="77C11D73"/>
    <w:rsid w:val="77C26F8A"/>
    <w:rsid w:val="77C90C27"/>
    <w:rsid w:val="77CE623E"/>
    <w:rsid w:val="77D00208"/>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8047EB1"/>
    <w:rsid w:val="780600CD"/>
    <w:rsid w:val="78084CF2"/>
    <w:rsid w:val="780A196C"/>
    <w:rsid w:val="780A28F0"/>
    <w:rsid w:val="780A4000"/>
    <w:rsid w:val="780B324D"/>
    <w:rsid w:val="780F40A3"/>
    <w:rsid w:val="78121832"/>
    <w:rsid w:val="78132C93"/>
    <w:rsid w:val="781A76D5"/>
    <w:rsid w:val="781D0955"/>
    <w:rsid w:val="782A3DBC"/>
    <w:rsid w:val="78303AC8"/>
    <w:rsid w:val="783119C3"/>
    <w:rsid w:val="78341C0A"/>
    <w:rsid w:val="78353E77"/>
    <w:rsid w:val="783C3AEF"/>
    <w:rsid w:val="78480A2C"/>
    <w:rsid w:val="78542BE7"/>
    <w:rsid w:val="7857340C"/>
    <w:rsid w:val="78574485"/>
    <w:rsid w:val="785E00D6"/>
    <w:rsid w:val="78623556"/>
    <w:rsid w:val="786372CE"/>
    <w:rsid w:val="786F7A21"/>
    <w:rsid w:val="78776303"/>
    <w:rsid w:val="78787071"/>
    <w:rsid w:val="787A6483"/>
    <w:rsid w:val="788314D1"/>
    <w:rsid w:val="78852DA0"/>
    <w:rsid w:val="788A1513"/>
    <w:rsid w:val="788F4888"/>
    <w:rsid w:val="789206AF"/>
    <w:rsid w:val="789527BF"/>
    <w:rsid w:val="78960B3D"/>
    <w:rsid w:val="789B1E6A"/>
    <w:rsid w:val="78A2537A"/>
    <w:rsid w:val="78A53442"/>
    <w:rsid w:val="78AB274B"/>
    <w:rsid w:val="78AC657F"/>
    <w:rsid w:val="78B03568"/>
    <w:rsid w:val="78B43685"/>
    <w:rsid w:val="78B70B02"/>
    <w:rsid w:val="78B8748E"/>
    <w:rsid w:val="78B95140"/>
    <w:rsid w:val="78B96EEE"/>
    <w:rsid w:val="78C0522C"/>
    <w:rsid w:val="78CB121D"/>
    <w:rsid w:val="78CD162F"/>
    <w:rsid w:val="78D37FAF"/>
    <w:rsid w:val="78D73FB1"/>
    <w:rsid w:val="78E81581"/>
    <w:rsid w:val="78EC66B9"/>
    <w:rsid w:val="78EE16A1"/>
    <w:rsid w:val="78EF290C"/>
    <w:rsid w:val="78F341AE"/>
    <w:rsid w:val="78F61EF0"/>
    <w:rsid w:val="78FB12B4"/>
    <w:rsid w:val="78FE2B52"/>
    <w:rsid w:val="79004B1D"/>
    <w:rsid w:val="790463BB"/>
    <w:rsid w:val="790939D1"/>
    <w:rsid w:val="791A3E30"/>
    <w:rsid w:val="79230922"/>
    <w:rsid w:val="79246AEA"/>
    <w:rsid w:val="79256331"/>
    <w:rsid w:val="792702FB"/>
    <w:rsid w:val="79347FE5"/>
    <w:rsid w:val="7936673D"/>
    <w:rsid w:val="793A6280"/>
    <w:rsid w:val="793D1589"/>
    <w:rsid w:val="79464C25"/>
    <w:rsid w:val="794E7636"/>
    <w:rsid w:val="79584959"/>
    <w:rsid w:val="795A422D"/>
    <w:rsid w:val="795B1D53"/>
    <w:rsid w:val="795D33AB"/>
    <w:rsid w:val="79674631"/>
    <w:rsid w:val="796927C3"/>
    <w:rsid w:val="79722641"/>
    <w:rsid w:val="797352EE"/>
    <w:rsid w:val="79775734"/>
    <w:rsid w:val="797D43BF"/>
    <w:rsid w:val="797F5A41"/>
    <w:rsid w:val="797F76B6"/>
    <w:rsid w:val="798017B9"/>
    <w:rsid w:val="798236F1"/>
    <w:rsid w:val="79856DD0"/>
    <w:rsid w:val="798C15A3"/>
    <w:rsid w:val="799106C2"/>
    <w:rsid w:val="7997722F"/>
    <w:rsid w:val="79A06D15"/>
    <w:rsid w:val="79A90D10"/>
    <w:rsid w:val="79AB2CDA"/>
    <w:rsid w:val="79AB4A88"/>
    <w:rsid w:val="79AE6327"/>
    <w:rsid w:val="79AF6D5B"/>
    <w:rsid w:val="79B14B03"/>
    <w:rsid w:val="79B3185B"/>
    <w:rsid w:val="79B37261"/>
    <w:rsid w:val="79C14F8E"/>
    <w:rsid w:val="79C15E88"/>
    <w:rsid w:val="79C773E8"/>
    <w:rsid w:val="79CB1D59"/>
    <w:rsid w:val="79CB7CAB"/>
    <w:rsid w:val="79CE3312"/>
    <w:rsid w:val="79DC10E6"/>
    <w:rsid w:val="79DC699D"/>
    <w:rsid w:val="79DE65C0"/>
    <w:rsid w:val="79E545B6"/>
    <w:rsid w:val="79ED1354"/>
    <w:rsid w:val="79F309DD"/>
    <w:rsid w:val="79F3130E"/>
    <w:rsid w:val="79F747D4"/>
    <w:rsid w:val="79F9097C"/>
    <w:rsid w:val="7A01700C"/>
    <w:rsid w:val="7A030258"/>
    <w:rsid w:val="7A0D5DC8"/>
    <w:rsid w:val="7A106FE1"/>
    <w:rsid w:val="7A185906"/>
    <w:rsid w:val="7A19291C"/>
    <w:rsid w:val="7A1C7734"/>
    <w:rsid w:val="7A293BFF"/>
    <w:rsid w:val="7A2E492E"/>
    <w:rsid w:val="7A2F1528"/>
    <w:rsid w:val="7A326F58"/>
    <w:rsid w:val="7A382C18"/>
    <w:rsid w:val="7A3D4DD5"/>
    <w:rsid w:val="7A47009C"/>
    <w:rsid w:val="7A4844CA"/>
    <w:rsid w:val="7A4A27EB"/>
    <w:rsid w:val="7A520955"/>
    <w:rsid w:val="7A5A200A"/>
    <w:rsid w:val="7A5E1AFB"/>
    <w:rsid w:val="7A650AE9"/>
    <w:rsid w:val="7A770E0E"/>
    <w:rsid w:val="7A797175"/>
    <w:rsid w:val="7A80434E"/>
    <w:rsid w:val="7A885CD7"/>
    <w:rsid w:val="7A8C15C5"/>
    <w:rsid w:val="7A9814B1"/>
    <w:rsid w:val="7A9B107F"/>
    <w:rsid w:val="7A9D4FA6"/>
    <w:rsid w:val="7AA420E1"/>
    <w:rsid w:val="7AAA75E8"/>
    <w:rsid w:val="7AAD0C01"/>
    <w:rsid w:val="7AAD4830"/>
    <w:rsid w:val="7AB14320"/>
    <w:rsid w:val="7ABC51E6"/>
    <w:rsid w:val="7ABD2E68"/>
    <w:rsid w:val="7ABD507C"/>
    <w:rsid w:val="7ABF6B03"/>
    <w:rsid w:val="7AC31DEF"/>
    <w:rsid w:val="7AD522E8"/>
    <w:rsid w:val="7AD973D3"/>
    <w:rsid w:val="7ADF72B5"/>
    <w:rsid w:val="7AE06166"/>
    <w:rsid w:val="7AE71BD1"/>
    <w:rsid w:val="7AF470B9"/>
    <w:rsid w:val="7B034450"/>
    <w:rsid w:val="7B09415C"/>
    <w:rsid w:val="7B0D78D9"/>
    <w:rsid w:val="7B1256BC"/>
    <w:rsid w:val="7B262FC5"/>
    <w:rsid w:val="7B276391"/>
    <w:rsid w:val="7B297B05"/>
    <w:rsid w:val="7B322405"/>
    <w:rsid w:val="7B35774E"/>
    <w:rsid w:val="7B38234C"/>
    <w:rsid w:val="7B3C3E77"/>
    <w:rsid w:val="7B404852"/>
    <w:rsid w:val="7B5235EA"/>
    <w:rsid w:val="7B542EAC"/>
    <w:rsid w:val="7B5829EE"/>
    <w:rsid w:val="7B584A2A"/>
    <w:rsid w:val="7B590514"/>
    <w:rsid w:val="7B5C7324"/>
    <w:rsid w:val="7B5F3D7C"/>
    <w:rsid w:val="7B69190A"/>
    <w:rsid w:val="7B7A2964"/>
    <w:rsid w:val="7B81116A"/>
    <w:rsid w:val="7B825CBD"/>
    <w:rsid w:val="7B8F3F36"/>
    <w:rsid w:val="7B90370B"/>
    <w:rsid w:val="7B94686C"/>
    <w:rsid w:val="7BA2010D"/>
    <w:rsid w:val="7BA542BD"/>
    <w:rsid w:val="7BA774D1"/>
    <w:rsid w:val="7BAC6ABD"/>
    <w:rsid w:val="7BB51BEE"/>
    <w:rsid w:val="7BBE4BF1"/>
    <w:rsid w:val="7BBF481B"/>
    <w:rsid w:val="7BC167E5"/>
    <w:rsid w:val="7BC71395"/>
    <w:rsid w:val="7BCB7664"/>
    <w:rsid w:val="7BCE74FC"/>
    <w:rsid w:val="7BCF73F5"/>
    <w:rsid w:val="7BD00D11"/>
    <w:rsid w:val="7BD04C7A"/>
    <w:rsid w:val="7BDC4EEF"/>
    <w:rsid w:val="7BDD2C19"/>
    <w:rsid w:val="7BDE121C"/>
    <w:rsid w:val="7BDF1017"/>
    <w:rsid w:val="7BE10C35"/>
    <w:rsid w:val="7BE129E3"/>
    <w:rsid w:val="7BE2731E"/>
    <w:rsid w:val="7BE67FFA"/>
    <w:rsid w:val="7BEE5734"/>
    <w:rsid w:val="7BF72207"/>
    <w:rsid w:val="7BF73FB5"/>
    <w:rsid w:val="7BFB5ED4"/>
    <w:rsid w:val="7C0B3FA6"/>
    <w:rsid w:val="7C0C660D"/>
    <w:rsid w:val="7C0F691B"/>
    <w:rsid w:val="7C2823C0"/>
    <w:rsid w:val="7C2E19A1"/>
    <w:rsid w:val="7C324150"/>
    <w:rsid w:val="7C3A2CCD"/>
    <w:rsid w:val="7C3D6922"/>
    <w:rsid w:val="7C430D1C"/>
    <w:rsid w:val="7C442F72"/>
    <w:rsid w:val="7C4446F4"/>
    <w:rsid w:val="7C4C0D8D"/>
    <w:rsid w:val="7C4E5B9F"/>
    <w:rsid w:val="7C4F5666"/>
    <w:rsid w:val="7C551482"/>
    <w:rsid w:val="7C581E2C"/>
    <w:rsid w:val="7C5A0FE1"/>
    <w:rsid w:val="7C613B24"/>
    <w:rsid w:val="7C6313E0"/>
    <w:rsid w:val="7C63789C"/>
    <w:rsid w:val="7C7F3FAA"/>
    <w:rsid w:val="7C86434E"/>
    <w:rsid w:val="7C9525C4"/>
    <w:rsid w:val="7C9618B9"/>
    <w:rsid w:val="7C9A5D73"/>
    <w:rsid w:val="7C9D55C8"/>
    <w:rsid w:val="7CB225D2"/>
    <w:rsid w:val="7CC36B4B"/>
    <w:rsid w:val="7CC734A3"/>
    <w:rsid w:val="7CC77E2B"/>
    <w:rsid w:val="7CC90568"/>
    <w:rsid w:val="7CD12A58"/>
    <w:rsid w:val="7CD50A1F"/>
    <w:rsid w:val="7CD75B94"/>
    <w:rsid w:val="7CD81ACA"/>
    <w:rsid w:val="7CD83F79"/>
    <w:rsid w:val="7CD95C45"/>
    <w:rsid w:val="7CDC31AB"/>
    <w:rsid w:val="7CE16A13"/>
    <w:rsid w:val="7CE704CD"/>
    <w:rsid w:val="7CED7166"/>
    <w:rsid w:val="7CF16C56"/>
    <w:rsid w:val="7CF404F4"/>
    <w:rsid w:val="7CFA56EB"/>
    <w:rsid w:val="7CFE1373"/>
    <w:rsid w:val="7D04591E"/>
    <w:rsid w:val="7D0C4C05"/>
    <w:rsid w:val="7D1307C6"/>
    <w:rsid w:val="7D160A41"/>
    <w:rsid w:val="7D1B3CD3"/>
    <w:rsid w:val="7D1E3E51"/>
    <w:rsid w:val="7D221505"/>
    <w:rsid w:val="7D23702C"/>
    <w:rsid w:val="7D25327D"/>
    <w:rsid w:val="7D2A6A4D"/>
    <w:rsid w:val="7D2B7667"/>
    <w:rsid w:val="7D361B51"/>
    <w:rsid w:val="7D40198C"/>
    <w:rsid w:val="7D435A31"/>
    <w:rsid w:val="7D441F12"/>
    <w:rsid w:val="7D480840"/>
    <w:rsid w:val="7D53064C"/>
    <w:rsid w:val="7D6A4E7C"/>
    <w:rsid w:val="7D7358BD"/>
    <w:rsid w:val="7D77513A"/>
    <w:rsid w:val="7D823D52"/>
    <w:rsid w:val="7D841889"/>
    <w:rsid w:val="7D847EAC"/>
    <w:rsid w:val="7D8537D1"/>
    <w:rsid w:val="7D871368"/>
    <w:rsid w:val="7D8950E1"/>
    <w:rsid w:val="7D8F16AE"/>
    <w:rsid w:val="7D943A85"/>
    <w:rsid w:val="7D9A0BB6"/>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86B9F"/>
    <w:rsid w:val="7E0A7DB1"/>
    <w:rsid w:val="7E1231D5"/>
    <w:rsid w:val="7E152481"/>
    <w:rsid w:val="7E152E18"/>
    <w:rsid w:val="7E2B6198"/>
    <w:rsid w:val="7E301A00"/>
    <w:rsid w:val="7E33504C"/>
    <w:rsid w:val="7E39169C"/>
    <w:rsid w:val="7E3C46AB"/>
    <w:rsid w:val="7E406FB3"/>
    <w:rsid w:val="7E41193E"/>
    <w:rsid w:val="7E473768"/>
    <w:rsid w:val="7E4C1C3E"/>
    <w:rsid w:val="7E5A6F1A"/>
    <w:rsid w:val="7E5B0F45"/>
    <w:rsid w:val="7E5C09FE"/>
    <w:rsid w:val="7E5C7923"/>
    <w:rsid w:val="7E5F069C"/>
    <w:rsid w:val="7E6D4A02"/>
    <w:rsid w:val="7E722019"/>
    <w:rsid w:val="7E7E276B"/>
    <w:rsid w:val="7E8963FB"/>
    <w:rsid w:val="7E8A55B4"/>
    <w:rsid w:val="7E8D6E52"/>
    <w:rsid w:val="7E957AB5"/>
    <w:rsid w:val="7E966F3A"/>
    <w:rsid w:val="7E9977A1"/>
    <w:rsid w:val="7E9F09A1"/>
    <w:rsid w:val="7E9F10B2"/>
    <w:rsid w:val="7E9F26E2"/>
    <w:rsid w:val="7EA31E30"/>
    <w:rsid w:val="7EA36676"/>
    <w:rsid w:val="7EB77A2B"/>
    <w:rsid w:val="7EBB39C0"/>
    <w:rsid w:val="7EC20604"/>
    <w:rsid w:val="7EC30AC6"/>
    <w:rsid w:val="7EC53367"/>
    <w:rsid w:val="7EC94365"/>
    <w:rsid w:val="7ED54763"/>
    <w:rsid w:val="7EDB5E10"/>
    <w:rsid w:val="7EDC56E4"/>
    <w:rsid w:val="7EEB05D3"/>
    <w:rsid w:val="7EEC1DCB"/>
    <w:rsid w:val="7EEE26E0"/>
    <w:rsid w:val="7EF058D7"/>
    <w:rsid w:val="7EF070F5"/>
    <w:rsid w:val="7EF70770"/>
    <w:rsid w:val="7EF742CC"/>
    <w:rsid w:val="7EF81DA3"/>
    <w:rsid w:val="7F0374ED"/>
    <w:rsid w:val="7F044C6C"/>
    <w:rsid w:val="7F090CCE"/>
    <w:rsid w:val="7F0F7867"/>
    <w:rsid w:val="7F111831"/>
    <w:rsid w:val="7F165AB5"/>
    <w:rsid w:val="7F1B4D03"/>
    <w:rsid w:val="7F1D4C01"/>
    <w:rsid w:val="7F303D3B"/>
    <w:rsid w:val="7F3655AF"/>
    <w:rsid w:val="7F3C2FA7"/>
    <w:rsid w:val="7F4F4108"/>
    <w:rsid w:val="7F601E71"/>
    <w:rsid w:val="7F6A2CF0"/>
    <w:rsid w:val="7F6A763A"/>
    <w:rsid w:val="7F6B762D"/>
    <w:rsid w:val="7F703475"/>
    <w:rsid w:val="7F735A2D"/>
    <w:rsid w:val="7F736048"/>
    <w:rsid w:val="7F7362C1"/>
    <w:rsid w:val="7F787239"/>
    <w:rsid w:val="7F7E679B"/>
    <w:rsid w:val="7F7F471D"/>
    <w:rsid w:val="7F811290"/>
    <w:rsid w:val="7F8178E0"/>
    <w:rsid w:val="7F853C77"/>
    <w:rsid w:val="7F961D37"/>
    <w:rsid w:val="7F966C81"/>
    <w:rsid w:val="7F9D30C5"/>
    <w:rsid w:val="7FA154A9"/>
    <w:rsid w:val="7FA62DC9"/>
    <w:rsid w:val="7FBD034F"/>
    <w:rsid w:val="7FC34A28"/>
    <w:rsid w:val="7FCD479C"/>
    <w:rsid w:val="7FD124EE"/>
    <w:rsid w:val="7FD54AA6"/>
    <w:rsid w:val="7FDA7E75"/>
    <w:rsid w:val="7FDB3A46"/>
    <w:rsid w:val="7FDB3BED"/>
    <w:rsid w:val="7FDC1E3F"/>
    <w:rsid w:val="7FDD1714"/>
    <w:rsid w:val="7FE02FB2"/>
    <w:rsid w:val="7FE4033B"/>
    <w:rsid w:val="7FE87725"/>
    <w:rsid w:val="7FF67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autoRedefine/>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4">
    <w:name w:val="heading 3"/>
    <w:basedOn w:val="1"/>
    <w:next w:val="1"/>
    <w:autoRedefine/>
    <w:semiHidden/>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autoRedefine/>
    <w:semiHidden/>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autoRedefine/>
    <w:semiHidden/>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character" w:default="1" w:styleId="27">
    <w:name w:val="Default Paragraph Font"/>
    <w:autoRedefine/>
    <w:semiHidden/>
    <w:qFormat/>
    <w:uiPriority w:val="0"/>
  </w:style>
  <w:style w:type="table" w:default="1" w:styleId="25">
    <w:name w:val="Normal Table"/>
    <w:autoRedefine/>
    <w:semiHidden/>
    <w:qFormat/>
    <w:uiPriority w:val="0"/>
    <w:tblPr>
      <w:tblCellMar>
        <w:top w:w="0" w:type="dxa"/>
        <w:left w:w="108" w:type="dxa"/>
        <w:bottom w:w="0" w:type="dxa"/>
        <w:right w:w="108" w:type="dxa"/>
      </w:tblCellMar>
    </w:tblPr>
  </w:style>
  <w:style w:type="paragraph" w:styleId="7">
    <w:name w:val="Normal Indent"/>
    <w:basedOn w:val="1"/>
    <w:next w:val="1"/>
    <w:autoRedefine/>
    <w:qFormat/>
    <w:uiPriority w:val="0"/>
    <w:pPr>
      <w:ind w:firstLine="420"/>
    </w:pPr>
    <w:rPr>
      <w:szCs w:val="20"/>
    </w:rPr>
  </w:style>
  <w:style w:type="paragraph" w:styleId="8">
    <w:name w:val="toa heading"/>
    <w:basedOn w:val="1"/>
    <w:next w:val="1"/>
    <w:semiHidden/>
    <w:qFormat/>
    <w:uiPriority w:val="0"/>
    <w:pPr>
      <w:widowControl w:val="0"/>
      <w:spacing w:before="120"/>
      <w:jc w:val="both"/>
    </w:pPr>
    <w:rPr>
      <w:rFonts w:ascii="Arial" w:hAnsi="Arial" w:cs="Arial"/>
      <w:kern w:val="2"/>
      <w:sz w:val="24"/>
      <w:szCs w:val="24"/>
    </w:rPr>
  </w:style>
  <w:style w:type="paragraph" w:styleId="9">
    <w:name w:val="annotation text"/>
    <w:basedOn w:val="1"/>
    <w:autoRedefine/>
    <w:qFormat/>
    <w:uiPriority w:val="0"/>
    <w:pPr>
      <w:widowControl w:val="0"/>
      <w:adjustRightInd w:val="0"/>
      <w:spacing w:line="360" w:lineRule="atLeast"/>
      <w:textAlignment w:val="baseline"/>
    </w:pPr>
    <w:rPr>
      <w:sz w:val="24"/>
    </w:rPr>
  </w:style>
  <w:style w:type="paragraph" w:styleId="10">
    <w:name w:val="Body Text"/>
    <w:basedOn w:val="1"/>
    <w:next w:val="11"/>
    <w:autoRedefine/>
    <w:qFormat/>
    <w:uiPriority w:val="0"/>
    <w:pPr>
      <w:spacing w:after="120"/>
    </w:pPr>
  </w:style>
  <w:style w:type="paragraph" w:styleId="11">
    <w:name w:val="toc 5"/>
    <w:basedOn w:val="1"/>
    <w:next w:val="1"/>
    <w:qFormat/>
    <w:uiPriority w:val="0"/>
    <w:pPr>
      <w:ind w:left="840"/>
      <w:jc w:val="left"/>
    </w:pPr>
    <w:rPr>
      <w:sz w:val="18"/>
      <w:szCs w:val="18"/>
    </w:rPr>
  </w:style>
  <w:style w:type="paragraph" w:styleId="12">
    <w:name w:val="Body Text Indent"/>
    <w:basedOn w:val="1"/>
    <w:autoRedefine/>
    <w:qFormat/>
    <w:uiPriority w:val="0"/>
    <w:pPr>
      <w:spacing w:after="120" w:afterLines="0" w:afterAutospacing="0"/>
      <w:ind w:left="420" w:leftChars="200"/>
    </w:pPr>
  </w:style>
  <w:style w:type="paragraph" w:styleId="13">
    <w:name w:val="toc 3"/>
    <w:basedOn w:val="1"/>
    <w:next w:val="1"/>
    <w:qFormat/>
    <w:uiPriority w:val="0"/>
    <w:pPr>
      <w:ind w:left="840" w:leftChars="400"/>
    </w:pPr>
  </w:style>
  <w:style w:type="paragraph" w:styleId="14">
    <w:name w:val="Plain Text"/>
    <w:basedOn w:val="1"/>
    <w:autoRedefine/>
    <w:unhideWhenUsed/>
    <w:qFormat/>
    <w:uiPriority w:val="99"/>
    <w:rPr>
      <w:rFonts w:ascii="宋体"/>
    </w:rPr>
  </w:style>
  <w:style w:type="paragraph" w:styleId="15">
    <w:name w:val="footer"/>
    <w:basedOn w:val="1"/>
    <w:autoRedefine/>
    <w:qFormat/>
    <w:uiPriority w:val="0"/>
    <w:pPr>
      <w:tabs>
        <w:tab w:val="center" w:pos="4153"/>
        <w:tab w:val="right" w:pos="8306"/>
      </w:tabs>
      <w:snapToGrid w:val="0"/>
      <w:jc w:val="left"/>
    </w:pPr>
    <w:rPr>
      <w:sz w:val="18"/>
    </w:rPr>
  </w:style>
  <w:style w:type="paragraph" w:styleId="1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autoRedefine/>
    <w:qFormat/>
    <w:uiPriority w:val="0"/>
    <w:pPr>
      <w:tabs>
        <w:tab w:val="right" w:leader="dot" w:pos="9628"/>
      </w:tabs>
      <w:spacing w:before="120" w:after="120"/>
      <w:ind w:firstLine="74" w:firstLineChars="74"/>
      <w:jc w:val="left"/>
    </w:pPr>
    <w:rPr>
      <w:b/>
      <w:caps/>
      <w:sz w:val="20"/>
    </w:rPr>
  </w:style>
  <w:style w:type="paragraph" w:styleId="18">
    <w:name w:val="toc 2"/>
    <w:basedOn w:val="1"/>
    <w:next w:val="1"/>
    <w:qFormat/>
    <w:uiPriority w:val="0"/>
    <w:pPr>
      <w:ind w:left="420" w:leftChars="200"/>
    </w:pPr>
  </w:style>
  <w:style w:type="paragraph" w:styleId="19">
    <w:name w:val="Body Text 2"/>
    <w:basedOn w:val="1"/>
    <w:autoRedefine/>
    <w:qFormat/>
    <w:uiPriority w:val="0"/>
    <w:rPr>
      <w:rFonts w:ascii="仿宋_GB2312" w:eastAsia="仿宋_GB2312"/>
      <w:b/>
      <w:sz w:val="24"/>
    </w:rPr>
  </w:style>
  <w:style w:type="paragraph" w:styleId="20">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1">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22">
    <w:name w:val="Title"/>
    <w:basedOn w:val="1"/>
    <w:next w:val="1"/>
    <w:autoRedefine/>
    <w:qFormat/>
    <w:uiPriority w:val="10"/>
    <w:pPr>
      <w:spacing w:before="240" w:after="60"/>
      <w:jc w:val="center"/>
      <w:outlineLvl w:val="0"/>
    </w:pPr>
    <w:rPr>
      <w:rFonts w:asciiTheme="majorHAnsi" w:hAnsiTheme="majorHAnsi" w:eastAsiaTheme="majorEastAsia" w:cstheme="majorBidi"/>
      <w:b/>
      <w:bCs/>
      <w:sz w:val="32"/>
      <w:szCs w:val="32"/>
    </w:rPr>
  </w:style>
  <w:style w:type="paragraph" w:styleId="23">
    <w:name w:val="Body Text First Indent"/>
    <w:basedOn w:val="10"/>
    <w:autoRedefine/>
    <w:qFormat/>
    <w:uiPriority w:val="0"/>
    <w:pPr>
      <w:spacing w:line="312" w:lineRule="auto"/>
      <w:ind w:firstLine="420"/>
    </w:pPr>
    <w:rPr>
      <w:color w:val="000000"/>
      <w:szCs w:val="21"/>
    </w:rPr>
  </w:style>
  <w:style w:type="paragraph" w:styleId="24">
    <w:name w:val="Body Text First Indent 2"/>
    <w:basedOn w:val="12"/>
    <w:autoRedefine/>
    <w:unhideWhenUsed/>
    <w:qFormat/>
    <w:uiPriority w:val="99"/>
    <w:pPr>
      <w:ind w:firstLine="420" w:firstLineChars="200"/>
    </w:p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character" w:styleId="29">
    <w:name w:val="page number"/>
    <w:basedOn w:val="27"/>
    <w:autoRedefine/>
    <w:qFormat/>
    <w:uiPriority w:val="0"/>
  </w:style>
  <w:style w:type="character" w:styleId="30">
    <w:name w:val="Emphasis"/>
    <w:basedOn w:val="27"/>
    <w:autoRedefine/>
    <w:qFormat/>
    <w:uiPriority w:val="0"/>
    <w:rPr>
      <w:i/>
    </w:rPr>
  </w:style>
  <w:style w:type="character" w:styleId="31">
    <w:name w:val="Hyperlink"/>
    <w:basedOn w:val="27"/>
    <w:autoRedefine/>
    <w:qFormat/>
    <w:uiPriority w:val="0"/>
    <w:rPr>
      <w:color w:val="0000FF"/>
      <w:u w:val="single"/>
    </w:rPr>
  </w:style>
  <w:style w:type="character" w:styleId="32">
    <w:name w:val="annotation reference"/>
    <w:basedOn w:val="27"/>
    <w:autoRedefine/>
    <w:qFormat/>
    <w:uiPriority w:val="0"/>
    <w:rPr>
      <w:sz w:val="21"/>
      <w:szCs w:val="21"/>
    </w:rPr>
  </w:style>
  <w:style w:type="paragraph" w:customStyle="1" w:styleId="33">
    <w:name w:val="表格文字"/>
    <w:basedOn w:val="1"/>
    <w:next w:val="10"/>
    <w:autoRedefine/>
    <w:qFormat/>
    <w:uiPriority w:val="0"/>
    <w:pPr>
      <w:spacing w:before="25" w:after="25"/>
    </w:pPr>
    <w:rPr>
      <w:bCs/>
      <w:spacing w:val="10"/>
      <w:sz w:val="24"/>
      <w:szCs w:val="20"/>
    </w:rPr>
  </w:style>
  <w:style w:type="paragraph" w:customStyle="1" w:styleId="34">
    <w:name w:val="正文2"/>
    <w:basedOn w:val="1"/>
    <w:next w:val="1"/>
    <w:qFormat/>
    <w:uiPriority w:val="0"/>
    <w:pPr>
      <w:widowControl/>
      <w:tabs>
        <w:tab w:val="left" w:pos="900"/>
      </w:tabs>
      <w:ind w:left="900" w:hanging="420" w:firstLineChars="0"/>
    </w:pPr>
    <w:rPr>
      <w:rFonts w:ascii="宋体"/>
      <w:kern w:val="16"/>
      <w:szCs w:val="20"/>
    </w:rPr>
  </w:style>
  <w:style w:type="paragraph" w:customStyle="1" w:styleId="35">
    <w:name w:val="样式 正文文字缩进 + 小四 首行缩进:  2 字符"/>
    <w:basedOn w:val="1"/>
    <w:qFormat/>
    <w:uiPriority w:val="0"/>
    <w:pPr>
      <w:spacing w:line="600" w:lineRule="exact"/>
      <w:jc w:val="center"/>
    </w:pPr>
    <w:rPr>
      <w:rFonts w:ascii="宋体"/>
      <w:b/>
      <w:u w:val="doubl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19"/>
    <w:basedOn w:val="27"/>
    <w:autoRedefine/>
    <w:qFormat/>
    <w:uiPriority w:val="0"/>
    <w:rPr>
      <w:rFonts w:hint="eastAsia" w:ascii="Times New Roman" w:eastAsia="楷体_GB2312" w:cs="楷体_GB2312"/>
      <w:sz w:val="32"/>
      <w:szCs w:val="32"/>
    </w:rPr>
  </w:style>
  <w:style w:type="character" w:customStyle="1" w:styleId="38">
    <w:name w:val="NormalCharacter"/>
    <w:link w:val="1"/>
    <w:autoRedefine/>
    <w:semiHidden/>
    <w:qFormat/>
    <w:uiPriority w:val="0"/>
    <w:rPr>
      <w:rFonts w:ascii="Times New Roman" w:hAnsi="Times New Roman" w:eastAsia="宋体" w:cs="Times New Roman"/>
      <w:kern w:val="2"/>
      <w:sz w:val="21"/>
      <w:szCs w:val="24"/>
      <w:lang w:val="en-US" w:eastAsia="zh-CN" w:bidi="ar-SA"/>
    </w:rPr>
  </w:style>
  <w:style w:type="paragraph" w:customStyle="1" w:styleId="39">
    <w:name w:val=" Char"/>
    <w:basedOn w:val="1"/>
    <w:autoRedefine/>
    <w:qFormat/>
    <w:uiPriority w:val="0"/>
    <w:pPr>
      <w:spacing w:after="160" w:afterLines="0" w:line="240" w:lineRule="exact"/>
    </w:pPr>
    <w:rPr>
      <w:rFonts w:ascii="Verdana" w:hAnsi="Verdana" w:eastAsia="仿宋_GB2312"/>
      <w:sz w:val="24"/>
      <w:lang w:eastAsia="en-US"/>
    </w:rPr>
  </w:style>
  <w:style w:type="character" w:customStyle="1" w:styleId="40">
    <w:name w:val=" Char Char Char"/>
    <w:autoRedefine/>
    <w:qFormat/>
    <w:uiPriority w:val="0"/>
    <w:rPr>
      <w:rFonts w:ascii="Cambria" w:hAnsi="Cambria" w:eastAsia="宋体"/>
      <w:b/>
      <w:bCs/>
      <w:sz w:val="32"/>
      <w:szCs w:val="32"/>
      <w:lang w:val="en-US" w:eastAsia="zh-CN" w:bidi="ar-SA"/>
    </w:rPr>
  </w:style>
  <w:style w:type="paragraph" w:customStyle="1" w:styleId="41">
    <w:name w:val="报告正文"/>
    <w:autoRedefine/>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2">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43">
    <w:name w:val="List Paragraph"/>
    <w:basedOn w:val="1"/>
    <w:autoRedefine/>
    <w:qFormat/>
    <w:uiPriority w:val="34"/>
    <w:pPr>
      <w:ind w:firstLine="420" w:firstLineChars="200"/>
    </w:pPr>
  </w:style>
  <w:style w:type="paragraph" w:customStyle="1" w:styleId="44">
    <w:name w:val="Table Paragraph"/>
    <w:basedOn w:val="1"/>
    <w:autoRedefine/>
    <w:qFormat/>
    <w:uiPriority w:val="1"/>
    <w:pPr>
      <w:spacing w:before="43"/>
      <w:ind w:left="107"/>
    </w:pPr>
    <w:rPr>
      <w:rFonts w:ascii="宋体" w:hAnsi="宋体" w:cs="宋体"/>
      <w:lang w:eastAsia="en-US" w:bidi="en-US"/>
    </w:rPr>
  </w:style>
  <w:style w:type="paragraph" w:customStyle="1" w:styleId="45">
    <w:name w:val="List Paragraph1"/>
    <w:basedOn w:val="1"/>
    <w:autoRedefine/>
    <w:qFormat/>
    <w:uiPriority w:val="0"/>
    <w:pPr>
      <w:ind w:firstLine="420" w:firstLineChars="200"/>
    </w:pPr>
    <w:rPr>
      <w:rFonts w:ascii="Calibri" w:hAnsi="Calibri"/>
      <w:szCs w:val="22"/>
    </w:rPr>
  </w:style>
  <w:style w:type="paragraph" w:customStyle="1" w:styleId="46">
    <w:name w:val="标题2"/>
    <w:basedOn w:val="47"/>
    <w:autoRedefine/>
    <w:qFormat/>
    <w:uiPriority w:val="0"/>
    <w:rPr>
      <w:b w:val="0"/>
      <w:sz w:val="21"/>
    </w:rPr>
  </w:style>
  <w:style w:type="paragraph" w:customStyle="1" w:styleId="47">
    <w:name w:val="标题1"/>
    <w:basedOn w:val="48"/>
    <w:autoRedefine/>
    <w:qFormat/>
    <w:uiPriority w:val="0"/>
    <w:pPr>
      <w:ind w:right="100" w:rightChars="100" w:firstLine="0" w:firstLineChars="0"/>
    </w:pPr>
    <w:rPr>
      <w:b/>
      <w:bCs/>
      <w:sz w:val="24"/>
    </w:rPr>
  </w:style>
  <w:style w:type="paragraph" w:customStyle="1" w:styleId="48">
    <w:name w:val="列出段落1"/>
    <w:basedOn w:val="1"/>
    <w:autoRedefine/>
    <w:qFormat/>
    <w:uiPriority w:val="34"/>
    <w:pPr>
      <w:ind w:firstLine="420" w:firstLineChars="200"/>
    </w:pPr>
  </w:style>
  <w:style w:type="paragraph" w:customStyle="1" w:styleId="49">
    <w:name w:val="彩色列表 - 强调文字颜色 12"/>
    <w:basedOn w:val="1"/>
    <w:autoRedefine/>
    <w:qFormat/>
    <w:uiPriority w:val="34"/>
    <w:pPr>
      <w:ind w:firstLine="420" w:firstLineChars="200"/>
    </w:pPr>
    <w:rPr>
      <w:szCs w:val="22"/>
    </w:rPr>
  </w:style>
  <w:style w:type="paragraph" w:customStyle="1" w:styleId="50">
    <w:name w:val="正文 A"/>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51">
    <w:name w:val="_Style 4"/>
    <w:basedOn w:val="1"/>
    <w:qFormat/>
    <w:uiPriority w:val="0"/>
    <w:pPr>
      <w:ind w:firstLine="420" w:firstLineChars="200"/>
    </w:pPr>
    <w:rPr>
      <w:rFonts w:ascii="Calibri" w:hAnsi="Calibri"/>
      <w:szCs w:val="22"/>
    </w:rPr>
  </w:style>
  <w:style w:type="character" w:customStyle="1" w:styleId="52">
    <w:name w:val="font11"/>
    <w:basedOn w:val="27"/>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11499</Words>
  <Characters>12585</Characters>
  <Lines>0</Lines>
  <Paragraphs>0</Paragraphs>
  <TotalTime>121</TotalTime>
  <ScaleCrop>false</ScaleCrop>
  <LinksUpToDate>false</LinksUpToDate>
  <CharactersWithSpaces>12987</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2021-10-15T00:56:00Z</dcterms:created>
  <dc:creator>1</dc:creator>
  <cp:lastModifiedBy>临沧昆建投城市更新改造有限公司</cp:lastModifiedBy>
  <cp:lastPrinted>2025-09-08T04:47:00Z</cp:lastPrinted>
  <dcterms:modified xsi:type="dcterms:W3CDTF">2026-06-22T12:10:38Z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A07C642AD24541B99E1D738014D8D7FD_13</vt:lpwstr>
  </property>
  <property fmtid="{D5CDD505-2E9C-101B-9397-08002B2CF9AE}" pid="3" name="KSOProductBuildVer">
    <vt:lpwstr>2052-12.1.0.25865</vt:lpwstr>
  </property>
  <property fmtid="{D5CDD505-2E9C-101B-9397-08002B2CF9AE}" pid="4" name="KSOTemplateDocerSaveRecord">
    <vt:lpwstr>eyJoZGlkIjoiMTI4OTIzYTM4MmFjNDAzZWZiNGEyM2QwNjc2NTFmNWUiLCJ1c2VySWQiOiIzNzY3NjU0MzAifQ==</vt:lpwstr>
  </property>
</Properties>
</file>