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440001-2024-06760</w:t>
      </w:r>
    </w:p>
    <w:p>
      <w:pPr>
        <w:pStyle w:val="null3"/>
        <w:jc w:val="center"/>
        <w:outlineLvl w:val="3"/>
      </w:pPr>
      <w:r>
        <w:rPr>
          <w:b/>
          <w:sz w:val="24"/>
        </w:rPr>
        <w:t>采购项目编号：</w:t>
      </w:r>
      <w:r>
        <w:rPr>
          <w:b/>
          <w:sz w:val="24"/>
        </w:rPr>
        <w:t>QYZCZB-24ZB004</w:t>
      </w:r>
    </w:p>
    <w:p>
      <w:pPr>
        <w:pStyle w:val="null3"/>
        <w:jc w:val="center"/>
        <w:outlineLvl w:val="3"/>
      </w:pPr>
      <w:r>
        <w:rPr>
          <w:b/>
          <w:sz w:val="24"/>
        </w:rPr>
        <w:t>项目名称：</w:t>
      </w:r>
      <w:r>
        <w:rPr>
          <w:b/>
          <w:sz w:val="24"/>
        </w:rPr>
        <w:t>广东省连山林场2024年森林质量精准提升工程(二次)</w:t>
      </w:r>
    </w:p>
    <w:p>
      <w:pPr>
        <w:pStyle w:val="null3"/>
        <w:jc w:val="center"/>
        <w:outlineLvl w:val="3"/>
      </w:pPr>
      <w:r>
        <w:rPr>
          <w:b/>
          <w:sz w:val="24"/>
        </w:rPr>
        <w:t>采购人：</w:t>
      </w:r>
      <w:r>
        <w:rPr>
          <w:b/>
          <w:sz w:val="24"/>
        </w:rPr>
        <w:t>广东省连山林场（广东鹰扬关森林公园管理处）</w:t>
      </w:r>
    </w:p>
    <w:p>
      <w:pPr>
        <w:pStyle w:val="null3"/>
        <w:jc w:val="center"/>
        <w:outlineLvl w:val="3"/>
      </w:pPr>
      <w:r>
        <w:rPr>
          <w:b/>
          <w:sz w:val="24"/>
        </w:rPr>
        <w:t>采购代理机构：</w:t>
      </w:r>
      <w:r>
        <w:rPr>
          <w:b/>
          <w:sz w:val="24"/>
        </w:rPr>
        <w:t>清远市众诚招标代理有限公司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清远市众诚招标代理有限公司</w:t>
      </w:r>
      <w:r>
        <w:rPr/>
        <w:t>受</w:t>
      </w:r>
      <w:r>
        <w:rPr/>
        <w:t>广东省连山林场（广东鹰扬关森林公园管理处）</w:t>
      </w:r>
      <w:r>
        <w:rPr/>
        <w:t>的委托，采用</w:t>
      </w:r>
      <w:r>
        <w:rPr/>
        <w:t>公开招标</w:t>
      </w:r>
      <w:r>
        <w:rPr/>
        <w:t>方式组织采购</w:t>
      </w:r>
      <w:r>
        <w:rPr/>
        <w:t>广东省连山林场2024年森林质量精准提升工程(二次)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广东省连山林场2024年森林质量精准提升工程(二次)</w:t>
      </w:r>
    </w:p>
    <w:p>
      <w:pPr>
        <w:pStyle w:val="null3"/>
        <w:ind w:firstLine="480"/>
      </w:pPr>
      <w:r>
        <w:rPr/>
        <w:t>采购计划编号：</w:t>
      </w:r>
      <w:r>
        <w:rPr/>
        <w:t>440001-2024-06760</w:t>
      </w:r>
    </w:p>
    <w:p>
      <w:pPr>
        <w:pStyle w:val="null3"/>
        <w:ind w:firstLine="480"/>
      </w:pPr>
      <w:r>
        <w:rPr/>
        <w:t>采购项目编号：</w:t>
      </w:r>
      <w:r>
        <w:rPr/>
        <w:t>QYZCZB-24ZB004</w:t>
      </w:r>
    </w:p>
    <w:p>
      <w:pPr>
        <w:pStyle w:val="null3"/>
        <w:ind w:firstLine="480"/>
      </w:pPr>
      <w:r>
        <w:rPr/>
        <w:t>采购方式：</w:t>
      </w:r>
      <w:r>
        <w:rPr/>
        <w:t>公开招标</w:t>
      </w:r>
    </w:p>
    <w:p>
      <w:pPr>
        <w:pStyle w:val="null3"/>
        <w:ind w:firstLine="480"/>
      </w:pPr>
      <w:r>
        <w:rPr/>
        <w:t>预算金额：</w:t>
      </w:r>
      <w:r>
        <w:rPr/>
        <w:t>1,846,403.00</w:t>
      </w:r>
      <w:r>
        <w:rPr/>
        <w:t>元</w:t>
      </w:r>
    </w:p>
    <w:p>
      <w:pPr>
        <w:pStyle w:val="null3"/>
        <w:outlineLvl w:val="3"/>
      </w:pPr>
      <w:r>
        <w:rPr>
          <w:b/>
          <w:sz w:val="24"/>
        </w:rPr>
        <w:t>2.项目内容及需求情况（采购项目技术规格、参数及要求）</w:t>
      </w:r>
    </w:p>
    <w:p>
      <w:pPr>
        <w:pStyle w:val="null3"/>
      </w:pPr>
    </w:p>
    <w:p>
      <w:pPr>
        <w:pStyle w:val="null3"/>
      </w:pPr>
      <w:r>
        <w:rPr/>
        <w:t>采购包1(中幼林抚育):</w:t>
      </w:r>
    </w:p>
    <w:p>
      <w:pPr>
        <w:pStyle w:val="null3"/>
      </w:pPr>
      <w:r>
        <w:rPr/>
        <w:t>采购包预算金额：1,846,403.00元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林木抚育管理服务</w:t>
            </w:r>
          </w:p>
        </w:tc>
        <w:tc>
          <w:tcPr>
            <w:tcW w:type="dxa" w:w="2052"/>
          </w:tcPr>
          <w:p>
            <w:pPr>
              <w:pStyle w:val="null3"/>
            </w:pPr>
            <w:r>
              <w:rPr/>
              <w:t>中幼林抚育</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1,846,403.00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合同履行期限：2024年9月30日前完成</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境内注册的法人或其他组织的营业执照或事业单位法人证书或社会团体法人登记证书扫描件或复印件；如投标人为自然人的，提供自然人身份证明扫描件或复印件；如国家另有规定的，则从其规定【分公司投标，须取得具有法人资格的总公司（总所）出具给分公司的授权书，并提供总公司（总所）和分公司的营业执照（执业许可证）扫描件或复印件。已由总公司（总所）授权的，总公司（总所）取得的相关资质证书对分公司有效，法律法规或者行业另有规定的除外】。</w:t>
      </w:r>
    </w:p>
    <w:p>
      <w:pPr>
        <w:pStyle w:val="null3"/>
      </w:pPr>
    </w:p>
    <w:p>
      <w:pPr>
        <w:pStyle w:val="null3"/>
      </w:pPr>
      <w:r>
        <w:rPr/>
        <w:t>2）有依法缴纳税收和社会保障资金的良好记录：提供：①2023年12月份或之后任意一个月的依法缴纳税收的证明文件扫描件或复印件。【缴纳税收的证明文件是指：加盖银行业务章的税收回单，或加盖税务部门电子征税专用章的税收电子转账专用完税证，或加盖税务部门公章的纳税证明；如供应商在规定的时间段内没有发生业务的，则提供税务部门出具的纳税证明，或加盖税务部门公章的纳税申报表】；②2023年12月份或之后任意一个月的依法缴纳社会保险的证明（缴费凭证）扫描件或复印件，如依法不需要缴纳社会保险的，应提供相应文件证明其依法不需要缴纳社会保障资金。</w:t>
      </w:r>
    </w:p>
    <w:p>
      <w:pPr>
        <w:pStyle w:val="null3"/>
      </w:pPr>
    </w:p>
    <w:p>
      <w:pPr>
        <w:pStyle w:val="null3"/>
      </w:pPr>
      <w:r>
        <w:rPr/>
        <w:t>3）具有良好的商业信誉和健全的财务会计制度：提供2022年或2023年的年度财务报表扫描件或复印件，或2023年12月份或之后任意一个月的财务报表扫描件或复印件，或提供银行出具的资信证明材料扫描件或复印件。【财务报表须包含资产负债表、利润（或损益）表】。</w:t>
      </w:r>
    </w:p>
    <w:p>
      <w:pPr>
        <w:pStyle w:val="null3"/>
      </w:pPr>
    </w:p>
    <w:p>
      <w:pPr>
        <w:pStyle w:val="null3"/>
      </w:pPr>
      <w:r>
        <w:rPr/>
        <w:t>4）履行合同所必需的设备和专业技术能力：提供具备相关设备及专业技术能力的证明材料或承诺函(承诺函格式自定义)。</w:t>
      </w:r>
    </w:p>
    <w:p>
      <w:pPr>
        <w:pStyle w:val="null3"/>
      </w:pP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采购包1（中幼林抚育）：</w:t>
      </w:r>
      <w:r>
        <w:rPr/>
        <w:t>采购包整体专门面向中小企业，参与本项目的供应商全部为符合政策要求的中小企业，不能为大型企业。本项目中小企业划分标准所属行业须为农、林、牧、渔业。残疾人福利性单位和监狱企业视同小型、微型企业。【提供有效的《中小企业声明函》，若为残疾人福利性单位，则提供《残疾人福利性单位声明函》；若为监狱企业，则提供有效的监狱企业证明文件】。</w:t>
      </w:r>
    </w:p>
    <w:p>
      <w:pPr>
        <w:pStyle w:val="null3"/>
        <w:outlineLvl w:val="3"/>
      </w:pPr>
      <w:r>
        <w:rPr>
          <w:b/>
          <w:sz w:val="24"/>
        </w:rPr>
        <w:t>3.本项目特定的资格要求：</w:t>
      </w:r>
    </w:p>
    <w:p>
      <w:pPr>
        <w:pStyle w:val="null3"/>
      </w:pPr>
    </w:p>
    <w:p>
      <w:pPr>
        <w:pStyle w:val="null3"/>
      </w:pPr>
      <w:r>
        <w:rPr/>
        <w:t>采购包1（中幼林抚育）：</w:t>
      </w:r>
    </w:p>
    <w:p>
      <w:pPr>
        <w:pStyle w:val="null3"/>
      </w:pPr>
    </w:p>
    <w:p>
      <w:pPr>
        <w:pStyle w:val="null3"/>
      </w:pPr>
      <w:r>
        <w:rPr/>
        <w:t>1)供应商未被列入“信用中国”网站(www.creditchina.gov.cn)以下任何记录名单之一：①失信被执行人；②重大税收违法失信主体；③政府采购严重违法失信行为记录名单。同时，不处于“中国政府采购网”网站(www.ccgp.gov.cn)“政府采购严重违法失信行为信息记录”中被禁止参加政府采购活动的供应商（处罚期限届满的除外）。【采购代理机构于项目进行资格审查时通过“信用中国”网站（www.creditchina.gov.cn）、中国执行信息公开网（zxgk.court.gov.cn/shixin/）、“中国政府采购网”网站（www.ccgp.gov.cn）查询供应商信用记录，并对供应商信用记录进行甄别。同时对信用信息查询记录和证据截图存档。（如相关失信记录已失效，供应商需在投标截止时间前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p>
    <w:p>
      <w:pPr>
        <w:pStyle w:val="null3"/>
      </w:pPr>
      <w:r>
        <w:rPr/>
        <w:t>3)投标人必须具备有效的造林工程施工丙级或以上资质，或造林绿化施工丙级或以上资质【提供扫描件或复印件】。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广东省连山林场（广东鹰扬关森林公园管理处）</w:t>
      </w:r>
    </w:p>
    <w:p>
      <w:pPr>
        <w:pStyle w:val="null3"/>
        <w:ind w:firstLine="480"/>
      </w:pPr>
      <w:r>
        <w:rPr/>
        <w:t>地址：</w:t>
      </w:r>
      <w:r>
        <w:rPr/>
        <w:t>广东省清远市连山县吉田镇佛子村</w:t>
      </w:r>
    </w:p>
    <w:p>
      <w:pPr>
        <w:pStyle w:val="null3"/>
        <w:ind w:firstLine="480"/>
      </w:pPr>
      <w:r>
        <w:rPr/>
        <w:t>联系方式：</w:t>
      </w:r>
      <w:r>
        <w:rPr/>
        <w:t>0763-8716381（经办人：周先生）</w:t>
      </w:r>
    </w:p>
    <w:p>
      <w:pPr>
        <w:pStyle w:val="null3"/>
        <w:outlineLvl w:val="3"/>
      </w:pPr>
      <w:r>
        <w:rPr>
          <w:b/>
          <w:sz w:val="24"/>
        </w:rPr>
        <w:t>2.采购代理机构信息</w:t>
      </w:r>
    </w:p>
    <w:p>
      <w:pPr>
        <w:pStyle w:val="null3"/>
        <w:ind w:firstLine="480"/>
      </w:pPr>
      <w:r>
        <w:rPr/>
        <w:t>名称：</w:t>
      </w:r>
      <w:r>
        <w:rPr/>
        <w:t>清远市众诚招标代理有限公司</w:t>
      </w:r>
    </w:p>
    <w:p>
      <w:pPr>
        <w:pStyle w:val="null3"/>
        <w:ind w:firstLine="480"/>
      </w:pPr>
      <w:r>
        <w:rPr/>
        <w:t>地址：</w:t>
      </w:r>
      <w:r>
        <w:rPr/>
        <w:t>清远市清城区人民一路7号附1号凯晴公馆3层03号</w:t>
      </w:r>
    </w:p>
    <w:p>
      <w:pPr>
        <w:pStyle w:val="null3"/>
        <w:ind w:firstLine="480"/>
      </w:pPr>
      <w:r>
        <w:rPr/>
        <w:t>联系方式：</w:t>
      </w:r>
      <w:r>
        <w:rPr/>
        <w:t>0763-3889689-603</w:t>
      </w:r>
    </w:p>
    <w:p>
      <w:pPr>
        <w:pStyle w:val="null3"/>
        <w:outlineLvl w:val="3"/>
      </w:pPr>
      <w:r>
        <w:rPr>
          <w:b/>
          <w:sz w:val="24"/>
        </w:rPr>
        <w:t>3.项目联系方式</w:t>
      </w:r>
    </w:p>
    <w:p>
      <w:pPr>
        <w:pStyle w:val="null3"/>
        <w:ind w:firstLine="480"/>
      </w:pPr>
      <w:r>
        <w:rPr/>
        <w:t>项目联系人：</w:t>
      </w:r>
      <w:r>
        <w:rPr/>
        <w:t>杨小姐</w:t>
      </w:r>
    </w:p>
    <w:p>
      <w:pPr>
        <w:pStyle w:val="null3"/>
        <w:ind w:firstLine="480"/>
      </w:pPr>
      <w:r>
        <w:rPr/>
        <w:t>电话：</w:t>
      </w:r>
      <w:r>
        <w:rPr/>
        <w:t>0763-3889689-603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清远市众诚招标代理有限公司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p>
    <w:p>
      <w:pPr>
        <w:pStyle w:val="null3"/>
        <w:ind w:firstLine="480"/>
        <w:jc w:val="both"/>
      </w:pPr>
      <w:r>
        <w:rPr>
          <w:b/>
          <w:sz w:val="21"/>
        </w:rPr>
        <w:t>说明：</w:t>
      </w:r>
    </w:p>
    <w:p>
      <w:pPr>
        <w:pStyle w:val="null3"/>
        <w:ind w:firstLine="480"/>
        <w:jc w:val="both"/>
      </w:pPr>
      <w:r>
        <w:rPr>
          <w:b/>
          <w:sz w:val="21"/>
        </w:rPr>
        <w:t>1</w:t>
      </w:r>
      <w:r>
        <w:rPr>
          <w:b/>
          <w:sz w:val="21"/>
        </w:rPr>
        <w:t>、投标人须对本项目为单位的货物、服务进行整体响应，任何只对其中一部分内容进行的响应都被视为无效投标。</w:t>
      </w:r>
    </w:p>
    <w:p>
      <w:pPr>
        <w:pStyle w:val="null3"/>
        <w:ind w:firstLine="480"/>
        <w:jc w:val="both"/>
      </w:pPr>
      <w:r>
        <w:rPr>
          <w:b/>
          <w:sz w:val="21"/>
        </w:rPr>
        <w:t>2</w:t>
      </w:r>
      <w:r>
        <w:rPr>
          <w:b/>
          <w:sz w:val="21"/>
        </w:rPr>
        <w:t>、招标文件第六章中格式要求提供的证明文件与审查表或评审表不一致的，按第四章的“表一资格性审查表”、“表二符合性审查表”及“3.详细评审表”的要求提供即可。招标文件没有作出特定要求或格式要求的，投标人可根据自身实际情况自行提供。</w:t>
      </w:r>
    </w:p>
    <w:p>
      <w:pPr>
        <w:pStyle w:val="null3"/>
        <w:ind w:firstLine="480"/>
        <w:jc w:val="both"/>
      </w:pPr>
      <w:r>
        <w:rPr>
          <w:b/>
          <w:sz w:val="21"/>
        </w:rPr>
        <w:t>3</w:t>
      </w:r>
      <w:r>
        <w:rPr>
          <w:b/>
          <w:sz w:val="21"/>
        </w:rPr>
        <w:t>、</w:t>
      </w:r>
      <w:r>
        <w:rPr>
          <w:b/>
          <w:sz w:val="21"/>
        </w:rPr>
        <w:t>招标文件第四章中“3.详细评审表”：评审表要求提交的与评价指标体系相关的各类有效资料，投标人如未按要求提交或者提交不齐全的，该项评分为零分。</w:t>
      </w:r>
    </w:p>
    <w:p>
      <w:pPr>
        <w:pStyle w:val="null3"/>
        <w:ind w:firstLine="480"/>
        <w:jc w:val="both"/>
      </w:pPr>
      <w:r>
        <w:rPr>
          <w:b/>
          <w:sz w:val="21"/>
        </w:rPr>
        <w:t>4</w:t>
      </w:r>
      <w:r>
        <w:rPr>
          <w:b/>
          <w:sz w:val="21"/>
        </w:rPr>
        <w:t>、项目需求一览表：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1036"/>
        <w:gridCol w:w="1956"/>
        <w:gridCol w:w="2627"/>
        <w:gridCol w:w="2685"/>
      </w:tblGrid>
      <w:tr>
        <w:tc>
          <w:tcPr>
            <w:tcW w:type="dxa" w:w="103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tcPr>
          <w:p>
            <w:pPr>
              <w:pStyle w:val="null3"/>
              <w:ind w:firstLine="480"/>
              <w:jc w:val="center"/>
            </w:pPr>
            <w:r>
              <w:rPr>
                <w:b/>
                <w:color w:val="000000"/>
                <w:sz w:val="21"/>
              </w:rPr>
              <w:t>包组号</w:t>
            </w:r>
          </w:p>
        </w:tc>
        <w:tc>
          <w:tcPr>
            <w:tcW w:type="dxa" w:w="1956"/>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ind w:firstLine="480"/>
              <w:jc w:val="center"/>
            </w:pPr>
            <w:r>
              <w:rPr>
                <w:b/>
                <w:color w:val="000000"/>
                <w:sz w:val="21"/>
              </w:rPr>
              <w:t>采购内容</w:t>
            </w:r>
          </w:p>
        </w:tc>
        <w:tc>
          <w:tcPr>
            <w:tcW w:type="dxa" w:w="2627"/>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ind w:firstLine="480"/>
              <w:jc w:val="center"/>
            </w:pPr>
            <w:r>
              <w:rPr>
                <w:b/>
                <w:color w:val="000000"/>
                <w:sz w:val="21"/>
              </w:rPr>
              <w:t>完成期</w:t>
            </w:r>
          </w:p>
        </w:tc>
        <w:tc>
          <w:tcPr>
            <w:tcW w:type="dxa" w:w="2685"/>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ind w:firstLine="480"/>
              <w:jc w:val="center"/>
            </w:pPr>
            <w:r>
              <w:rPr>
                <w:b/>
                <w:color w:val="000000"/>
                <w:sz w:val="21"/>
              </w:rPr>
              <w:t>采购预算</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包组2</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中幼林抚育</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2024</w:t>
            </w:r>
            <w:r>
              <w:rPr>
                <w:sz w:val="21"/>
              </w:rPr>
              <w:t>年9月30日前完成</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人民币1,846,403.00元</w:t>
            </w: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rPr>
              <w:t>备注：</w:t>
            </w:r>
          </w:p>
          <w:p>
            <w:pPr>
              <w:pStyle w:val="null3"/>
            </w:pPr>
            <w:r>
              <w:rPr>
                <w:sz w:val="21"/>
              </w:rPr>
              <w:t>本项目为包组2重招，根据本项目第一次招标的定标原则规定，投标人已被推荐为包组1中标人的不能再参与本项目的投标。</w:t>
            </w:r>
          </w:p>
        </w:tc>
      </w:tr>
    </w:tbl>
    <w:p>
      <w:pPr>
        <w:pStyle w:val="null3"/>
        <w:ind w:firstLine="480"/>
        <w:jc w:val="both"/>
      </w:pPr>
      <w:r>
        <w:rPr>
          <w:b/>
          <w:sz w:val="21"/>
        </w:rPr>
        <w:t>5</w:t>
      </w:r>
      <w:r>
        <w:rPr>
          <w:b/>
          <w:sz w:val="21"/>
        </w:rPr>
        <w:t>、</w:t>
      </w:r>
      <w:r>
        <w:rPr>
          <w:b/>
          <w:sz w:val="21"/>
        </w:rPr>
        <w:t>项目概况：</w:t>
      </w:r>
    </w:p>
    <w:p>
      <w:pPr>
        <w:pStyle w:val="null3"/>
        <w:ind w:firstLine="480"/>
        <w:jc w:val="both"/>
      </w:pPr>
      <w:r>
        <w:rPr>
          <w:sz w:val="21"/>
        </w:rPr>
        <w:t>（1）作业地点：</w:t>
      </w:r>
    </w:p>
    <w:tbl>
      <w:tblPr>
        <w:tblW w:w="0" w:type="auto"/>
        <w:tblBorders>
          <w:top w:val="none" w:color="000000" w:sz="4"/>
          <w:left w:val="none" w:color="000000" w:sz="4"/>
          <w:bottom w:val="none" w:color="000000" w:sz="4"/>
          <w:right w:val="none" w:color="000000" w:sz="4"/>
          <w:insideH w:val="none"/>
          <w:insideV w:val="none"/>
        </w:tblBorders>
      </w:tblPr>
      <w:tblGrid>
        <w:gridCol w:w="862"/>
        <w:gridCol w:w="1414"/>
        <w:gridCol w:w="1414"/>
        <w:gridCol w:w="619"/>
        <w:gridCol w:w="942"/>
        <w:gridCol w:w="902"/>
        <w:gridCol w:w="767"/>
        <w:gridCol w:w="1387"/>
      </w:tblGrid>
      <w:tr>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包组号</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1"/>
              </w:rPr>
              <w:t>采购内容</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类别</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面积</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管护站</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林班</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面积（亩）</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作业小班（个）</w:t>
            </w:r>
          </w:p>
        </w:tc>
      </w:tr>
      <w:tr>
        <w:tc>
          <w:tcPr>
            <w:tcW w:type="dxa" w:w="8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包组2</w:t>
            </w:r>
          </w:p>
        </w:tc>
        <w:tc>
          <w:tcPr>
            <w:tcW w:type="dxa" w:w="1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中幼林抚育</w:t>
            </w:r>
          </w:p>
        </w:tc>
        <w:tc>
          <w:tcPr>
            <w:tcW w:type="dxa" w:w="1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森林抚育提升</w:t>
            </w:r>
          </w:p>
        </w:tc>
        <w:tc>
          <w:tcPr>
            <w:tcW w:type="dxa" w:w="6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3800</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上草</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密子坪</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821</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w:t>
            </w:r>
          </w:p>
        </w:tc>
      </w:tr>
      <w:tr>
        <w:tc>
          <w:tcPr>
            <w:tcW w:type="dxa" w:w="862"/>
            <w:vMerge/>
            <w:tcBorders>
              <w:top w:val="none" w:color="000000" w:sz="4"/>
              <w:left w:val="singl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巾子</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水头</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994</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8</w:t>
            </w:r>
          </w:p>
        </w:tc>
      </w:tr>
      <w:tr>
        <w:tc>
          <w:tcPr>
            <w:tcW w:type="dxa" w:w="862"/>
            <w:vMerge/>
            <w:tcBorders>
              <w:top w:val="none" w:color="000000" w:sz="4"/>
              <w:left w:val="singl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二〇七</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758</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w:t>
            </w:r>
          </w:p>
        </w:tc>
      </w:tr>
      <w:tr>
        <w:tc>
          <w:tcPr>
            <w:tcW w:type="dxa" w:w="862"/>
            <w:vMerge/>
            <w:tcBorders>
              <w:top w:val="none" w:color="000000" w:sz="4"/>
              <w:left w:val="singl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大富</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蒙洞</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49</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w:t>
            </w:r>
          </w:p>
        </w:tc>
      </w:tr>
      <w:tr>
        <w:tc>
          <w:tcPr>
            <w:tcW w:type="dxa" w:w="862"/>
            <w:vMerge/>
            <w:tcBorders>
              <w:top w:val="none" w:color="000000" w:sz="4"/>
              <w:left w:val="singl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山口</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旱田</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156</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w:t>
            </w:r>
          </w:p>
        </w:tc>
      </w:tr>
      <w:tr>
        <w:tc>
          <w:tcPr>
            <w:tcW w:type="dxa" w:w="862"/>
            <w:vMerge/>
            <w:tcBorders>
              <w:top w:val="none" w:color="000000" w:sz="4"/>
              <w:left w:val="singl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吉田</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西牛</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1022</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9</w:t>
            </w:r>
          </w:p>
        </w:tc>
      </w:tr>
    </w:tbl>
    <w:p>
      <w:pPr>
        <w:pStyle w:val="null3"/>
        <w:ind w:firstLine="480"/>
        <w:jc w:val="both"/>
      </w:pPr>
      <w:r>
        <w:rPr>
          <w:sz w:val="21"/>
        </w:rPr>
        <w:t>（2）项目建设内容及规模：</w:t>
      </w:r>
    </w:p>
    <w:tbl>
      <w:tblPr>
        <w:tblW w:w="0" w:type="auto"/>
        <w:tblBorders>
          <w:top w:val="none" w:color="000000" w:sz="4"/>
          <w:left w:val="none" w:color="000000" w:sz="4"/>
          <w:bottom w:val="none" w:color="000000" w:sz="4"/>
          <w:right w:val="none" w:color="000000" w:sz="4"/>
          <w:insideH w:val="none"/>
          <w:insideV w:val="none"/>
        </w:tblBorders>
      </w:tblPr>
      <w:tblGrid>
        <w:gridCol w:w="744"/>
        <w:gridCol w:w="1326"/>
        <w:gridCol w:w="1326"/>
        <w:gridCol w:w="1785"/>
        <w:gridCol w:w="1066"/>
        <w:gridCol w:w="2058"/>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包组号</w:t>
            </w:r>
          </w:p>
        </w:tc>
        <w:tc>
          <w:tcPr>
            <w:tcW w:type="dxa" w:w="1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1"/>
              </w:rPr>
              <w:t>采购内容</w:t>
            </w:r>
          </w:p>
        </w:tc>
        <w:tc>
          <w:tcPr>
            <w:tcW w:type="dxa" w:w="13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类别</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小类</w:t>
            </w:r>
          </w:p>
        </w:tc>
        <w:tc>
          <w:tcPr>
            <w:tcW w:type="dxa" w:w="10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面积（亩）</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备注</w:t>
            </w: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包组2</w:t>
            </w:r>
          </w:p>
        </w:tc>
        <w:tc>
          <w:tcPr>
            <w:tcW w:type="dxa" w:w="1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中幼林抚育</w:t>
            </w:r>
          </w:p>
        </w:tc>
        <w:tc>
          <w:tcPr>
            <w:tcW w:type="dxa" w:w="1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森林抚育提升</w:t>
            </w:r>
          </w:p>
          <w:p>
            <w:pPr>
              <w:pStyle w:val="null3"/>
              <w:ind w:firstLine="480"/>
              <w:jc w:val="center"/>
            </w:pPr>
            <w:r>
              <w:rPr>
                <w:sz w:val="21"/>
              </w:rPr>
              <w:t>（中幼林抚育）</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大径材培育示范建设（抚育，含疏伐）</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650</w:t>
            </w:r>
          </w:p>
        </w:tc>
        <w:tc>
          <w:tcPr>
            <w:tcW w:type="dxa" w:w="20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含大径材培育示范建设抚育提升1752亩，其中疏伐650亩</w:t>
            </w:r>
          </w:p>
        </w:tc>
      </w:tr>
      <w:tr>
        <w:tc>
          <w:tcPr>
            <w:tcW w:type="dxa" w:w="744"/>
            <w:vMerge/>
            <w:tcBorders>
              <w:top w:val="none" w:color="000000" w:sz="4"/>
              <w:left w:val="single" w:color="000000" w:sz="4"/>
              <w:bottom w:val="single" w:color="000000" w:sz="4"/>
              <w:right w:val="single" w:color="000000" w:sz="4"/>
            </w:tcBorders>
          </w:tcPr>
          <w:p/>
        </w:tc>
        <w:tc>
          <w:tcPr>
            <w:tcW w:type="dxa" w:w="1326"/>
            <w:vMerge/>
            <w:tcBorders>
              <w:top w:val="none" w:color="000000" w:sz="4"/>
              <w:left w:val="none" w:color="000000" w:sz="4"/>
              <w:bottom w:val="single" w:color="000000" w:sz="4"/>
              <w:right w:val="single" w:color="000000" w:sz="4"/>
            </w:tcBorders>
          </w:tcPr>
          <w:p/>
        </w:tc>
        <w:tc>
          <w:tcPr>
            <w:tcW w:type="dxa" w:w="1326"/>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大径材培育示范建设（抚育，不含疏伐）</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1102</w:t>
            </w:r>
          </w:p>
        </w:tc>
        <w:tc>
          <w:tcPr>
            <w:tcW w:type="dxa" w:w="2058"/>
            <w:vMerge/>
            <w:tcBorders>
              <w:top w:val="none" w:color="000000" w:sz="4"/>
              <w:left w:val="single" w:color="000000" w:sz="4"/>
              <w:bottom w:val="single" w:color="000000" w:sz="4"/>
              <w:right w:val="single" w:color="000000" w:sz="4"/>
            </w:tcBorders>
          </w:tcPr>
          <w:p/>
        </w:tc>
      </w:tr>
      <w:tr>
        <w:tc>
          <w:tcPr>
            <w:tcW w:type="dxa" w:w="744"/>
            <w:vMerge/>
            <w:tcBorders>
              <w:top w:val="none" w:color="000000" w:sz="4"/>
              <w:left w:val="single" w:color="000000" w:sz="4"/>
              <w:bottom w:val="single" w:color="000000" w:sz="4"/>
              <w:right w:val="single" w:color="000000" w:sz="4"/>
            </w:tcBorders>
          </w:tcPr>
          <w:p/>
        </w:tc>
        <w:tc>
          <w:tcPr>
            <w:tcW w:type="dxa" w:w="1326"/>
            <w:vMerge/>
            <w:tcBorders>
              <w:top w:val="none" w:color="000000" w:sz="4"/>
              <w:left w:val="none" w:color="000000" w:sz="4"/>
              <w:bottom w:val="single" w:color="000000" w:sz="4"/>
              <w:right w:val="single" w:color="000000" w:sz="4"/>
            </w:tcBorders>
          </w:tcPr>
          <w:p/>
        </w:tc>
        <w:tc>
          <w:tcPr>
            <w:tcW w:type="dxa" w:w="1326"/>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森林抚育</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2048</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w:t>
            </w:r>
          </w:p>
        </w:tc>
      </w:tr>
    </w:tbl>
    <w:p>
      <w:pPr>
        <w:pStyle w:val="null3"/>
        <w:ind w:firstLine="480"/>
        <w:jc w:val="both"/>
      </w:pPr>
      <w:r>
        <w:rPr>
          <w:b/>
          <w:sz w:val="21"/>
        </w:rPr>
        <w:t>6.</w:t>
      </w:r>
      <w:r>
        <w:rPr>
          <w:b/>
          <w:sz w:val="21"/>
        </w:rPr>
        <w:t>物资需要量：</w:t>
      </w:r>
    </w:p>
    <w:p>
      <w:pPr>
        <w:pStyle w:val="null3"/>
        <w:ind w:firstLine="480"/>
        <w:jc w:val="both"/>
      </w:pPr>
      <w:r>
        <w:rPr>
          <w:sz w:val="21"/>
        </w:rPr>
        <w:t>肥料需要量：追肥要求统一选用N、P、K有效含量45%以上复合肥，本项目共需追肥81972千克。详见《作业设计》。</w:t>
      </w:r>
    </w:p>
    <w:p>
      <w:pPr>
        <w:pStyle w:val="null3"/>
        <w:ind w:firstLine="480"/>
        <w:jc w:val="both"/>
      </w:pPr>
    </w:p>
    <w:p>
      <w:pPr>
        <w:pStyle w:val="null3"/>
        <w:ind w:firstLine="480"/>
        <w:jc w:val="both"/>
      </w:pPr>
    </w:p>
    <w:p>
      <w:pPr>
        <w:pStyle w:val="null3"/>
      </w:pPr>
    </w:p>
    <w:p>
      <w:pPr>
        <w:pStyle w:val="null3"/>
      </w:pPr>
      <w:r>
        <w:rPr/>
        <w:t>采购包1（中幼林抚育）</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2024年9月30日前完成</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1期：支付比例40%,签订合同后5个工作日内，采购人支付合同价款的40%为预付款。</w:t>
            </w:r>
          </w:p>
          <w:p>
            <w:pPr>
              <w:pStyle w:val="null3"/>
            </w:pPr>
          </w:p>
          <w:p>
            <w:pPr>
              <w:pStyle w:val="null3"/>
            </w:pPr>
            <w:r>
              <w:rPr/>
              <w:t>2期：支付比例30%,当完成抚育任务60%后，经采购人和监理单位实地核查，完成合格面积核实率达100%后，凭监理单位出具的监理报告经采购人相关验收部门验收合格后，采购人支付合同总价的30%。</w:t>
            </w:r>
          </w:p>
          <w:p>
            <w:pPr>
              <w:pStyle w:val="null3"/>
            </w:pPr>
          </w:p>
          <w:p>
            <w:pPr>
              <w:pStyle w:val="null3"/>
            </w:pPr>
            <w:r>
              <w:rPr/>
              <w:t>3期：支付比例30%,当项目全面完成后，经采购人和监理单位实地核查，完成合格面积核实率达100%后，凭监理单位出具的监理报告经采购人相关验收部门验收合格后，采购人支付合同总价的30%。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1期：抚育阶段检查验收主要抚育面积核实、成活率（要求达90%以上）、抚育施肥质量等抚育措施检查。</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商务要求，（一）投标要求： 1.承包方式：实行合同价款总承包，按中标价包工程量、包质量、包工期，并要求中标人确保安全文明施工。 2.投标报价包括人工费、肥料和除草剂材料费、投标和项目管理费用及为完成项目投入的生产工具、运输、安全保险、生活费、税费等。 （二）质量要求： 由采购人及邀请的监理公司对本项目进行全程监督及检查验收，中标人严格把控项目建设、项目质量，项目施工过程中明确分工，责任到人，本项目实行总承包，按成交价包工程量、包质量、包工期，并要求中标人确保安全文明施工。 1.采用GPS(卫星定位系统)定位作业小班地点。采用1:10000地形图调绘、GPS实测或罗盘仪导线测量面积。实测作业面积与上报面积误差在±5%之间时，认可小班上报面积，否则以实测作业面积作为核实面积。 2.检查影响目的树种生长的灌木、杂草是否割除，草头要低于10cm，是否林地裸露造成水土流失，是否保护珍稀物种及有生长潜力的幼苗、幼树。 3.检查是否按照病虫害防治、森林防火等要求进行了场地处理，抚育剩余物是否按一定间距均匀堆放。 （三）结算方式： 1.中标人凭以下有效文件与采购人结算： （1）有效合同； （2）中标人开具的正式发票； （3）中标（或成交）通知书； （4）验收报告（竣工报告或监理报告）（加盖采购人公章）。 2.因采购人使用的是财政资金，采购人在前款规定的付款时间为向政府采购支付部门提出办理财政支付申请手续的时间（不含政府财政支付部门审核的时间）。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林木抚育管理服务</w:t>
            </w:r>
          </w:p>
        </w:tc>
        <w:tc>
          <w:tcPr>
            <w:tcW w:type="dxa" w:w="933"/>
          </w:tcPr>
          <w:p>
            <w:pPr>
              <w:pStyle w:val="null3"/>
              <w:jc w:val="left"/>
            </w:pPr>
            <w:r>
              <w:rPr/>
              <w:t>中幼林抚育</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1,846,403.00</w:t>
            </w:r>
          </w:p>
        </w:tc>
        <w:tc>
          <w:tcPr>
            <w:tcW w:type="dxa" w:w="933"/>
          </w:tcPr>
          <w:p>
            <w:pPr>
              <w:pStyle w:val="null3"/>
              <w:jc w:val="right"/>
            </w:pPr>
            <w:r>
              <w:rPr/>
              <w:t>1,846,403.00</w:t>
            </w:r>
          </w:p>
        </w:tc>
        <w:tc>
          <w:tcPr>
            <w:tcW w:type="dxa" w:w="840"/>
          </w:tcPr>
          <w:p>
            <w:pPr>
              <w:pStyle w:val="null3"/>
            </w:pPr>
            <w:r>
              <w:rPr/>
              <w:t>农、林、牧、渔业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中幼林抚育</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森林抚育提升（中幼林抚育）主要技术措施：</w:t>
            </w:r>
          </w:p>
          <w:p>
            <w:pPr>
              <w:pStyle w:val="null3"/>
            </w:pPr>
            <w:r>
              <w:rPr>
                <w:sz w:val="21"/>
              </w:rPr>
              <w:t>（一）大径材培育示范建设（抚育，含疏伐）：</w:t>
            </w:r>
          </w:p>
          <w:p>
            <w:pPr>
              <w:pStyle w:val="null3"/>
            </w:pPr>
            <w:r>
              <w:rPr>
                <w:sz w:val="21"/>
              </w:rPr>
              <w:t>1</w:t>
            </w:r>
            <w:r>
              <w:rPr>
                <w:sz w:val="21"/>
              </w:rPr>
              <w:t>、割灌除草：</w:t>
            </w:r>
          </w:p>
          <w:p>
            <w:pPr>
              <w:pStyle w:val="null3"/>
              <w:ind w:firstLine="420"/>
            </w:pPr>
            <w:r>
              <w:rPr>
                <w:sz w:val="21"/>
              </w:rPr>
              <w:t>要求采用机割或人工劈割方式，全面割除林地上妨碍目的林木、幼树、幼苗生长的大芒、杂草、杂灌、藤蔓和非目的树种，伐根低于10厘米，所割除的杂草、杂物等随机平铺在林地上，任其腐烂，以增加土壤腐殖质，提高土壤肥力。</w:t>
            </w:r>
          </w:p>
          <w:p>
            <w:pPr>
              <w:pStyle w:val="null3"/>
            </w:pPr>
            <w:r>
              <w:rPr>
                <w:sz w:val="21"/>
              </w:rPr>
              <w:t>2</w:t>
            </w:r>
            <w:r>
              <w:rPr>
                <w:sz w:val="21"/>
              </w:rPr>
              <w:t>、修枝除萌：</w:t>
            </w:r>
          </w:p>
          <w:p>
            <w:pPr>
              <w:pStyle w:val="null3"/>
              <w:ind w:firstLine="420"/>
            </w:pPr>
            <w:r>
              <w:rPr>
                <w:sz w:val="21"/>
              </w:rPr>
              <w:t>主要针对自然整枝不良、通风透光不畅的目的树种和目标树种进行修枝，修枝重点是消灭死节、减少活节，以加大树干饱满度，提高木材质量，改善林内通风与光照状况及林木生长条件，减少树冠火、雪压和风害的发生程度，防止病虫害蔓延。修枝要求采取平切法，重点修去每一株活立木枯死枝和树冠下部1</w:t>
            </w:r>
            <w:r>
              <w:rPr>
                <w:sz w:val="21"/>
              </w:rPr>
              <w:t>~</w:t>
            </w:r>
            <w:r>
              <w:rPr>
                <w:sz w:val="21"/>
              </w:rPr>
              <w:t>2</w:t>
            </w:r>
            <w:r>
              <w:rPr>
                <w:sz w:val="21"/>
              </w:rPr>
              <w:t>轮活枝；修枝时要求切口平滑，剪口不能伤及树干韧皮部和木质部，防止树皮撕裂。一般情况下，幼龄林（林下更新的有培育价值的幼树）的修枝高度不超过树高的1/3，中龄林的修枝高度不超过树高的1/2。</w:t>
            </w:r>
          </w:p>
          <w:p>
            <w:pPr>
              <w:pStyle w:val="null3"/>
              <w:ind w:firstLine="420"/>
            </w:pPr>
            <w:r>
              <w:rPr>
                <w:sz w:val="21"/>
              </w:rPr>
              <w:t>主要伐除过密的胸径小于5cm的杉木萌芽条和自然下种苗。施工时结合保留密度，适当保留有培育潜力的林下苗木，同时伐除生长不良的萌芽条和实生苗。伐桩不高于20cm。伐除的林木剩余物均匀平铺于林地内，以便其自然腐烂和释放肥效。</w:t>
            </w:r>
          </w:p>
          <w:p>
            <w:pPr>
              <w:pStyle w:val="null3"/>
            </w:pPr>
            <w:r>
              <w:rPr>
                <w:sz w:val="21"/>
              </w:rPr>
              <w:t>3</w:t>
            </w:r>
            <w:r>
              <w:rPr>
                <w:sz w:val="21"/>
              </w:rPr>
              <w:t>、施肥：</w:t>
            </w:r>
          </w:p>
          <w:p>
            <w:pPr>
              <w:pStyle w:val="null3"/>
              <w:ind w:firstLine="420"/>
            </w:pPr>
            <w:r>
              <w:rPr>
                <w:sz w:val="21"/>
              </w:rPr>
              <w:t>修枝除萌完毕后，为保留林木进行施肥。采用穴状方式，按照110穴/亩在林地内均匀施放。施肥穴规格为长宽深：35cm×25cm×20cm。施放肥料后及时用土覆严。</w:t>
            </w:r>
          </w:p>
          <w:p>
            <w:pPr>
              <w:pStyle w:val="null3"/>
              <w:ind w:firstLine="420"/>
            </w:pPr>
            <w:r>
              <w:rPr>
                <w:sz w:val="21"/>
              </w:rPr>
              <w:t>肥料品种：根据本地区土壤情况，以及林木生长需要，选择氮磷含量较高的肥料，要求N、P、K总含量45%以上，因此拟施放氮磷钾含量分别15-15-15的复合肥，施肥量0.25kg/株（为加快培育进度、提高示范效果，每穴由0.15kg提高到0.25kg）。</w:t>
            </w:r>
          </w:p>
          <w:p>
            <w:pPr>
              <w:pStyle w:val="null3"/>
            </w:pPr>
            <w:r>
              <w:rPr>
                <w:sz w:val="21"/>
              </w:rPr>
              <w:t>4</w:t>
            </w:r>
            <w:r>
              <w:rPr>
                <w:sz w:val="21"/>
              </w:rPr>
              <w:t>、疏伐（为加快培育进度、提高示范效果，对密度过大的650亩林分进行疏伐。）：</w:t>
            </w:r>
          </w:p>
          <w:p>
            <w:pPr>
              <w:pStyle w:val="null3"/>
              <w:ind w:firstLine="420"/>
            </w:pPr>
            <w:r>
              <w:rPr>
                <w:sz w:val="21"/>
              </w:rPr>
              <w:t>选择树干圆满通直、树冠发育正常、生长旺盛，有培育前途的林木作为培育目标树，其余的被压木、病腐木以及影响目标树生长的林木伐去，同时照顾均匀。选好目标树后，严格按设计间伐，去除目标树之外的树木，杜绝误砍滥伐现象出现。同时按照林木采伐要求，办齐采伐手续。及时将伐倒木清理出作业林区，保持森林卫生、防止病虫害和消除森林火灾隐患。初步估计亩疏伐蓄积为1m</w:t>
            </w:r>
            <w:r>
              <w:rPr>
                <w:sz w:val="21"/>
                <w:vertAlign w:val="superscript"/>
              </w:rPr>
              <w:t>3</w:t>
            </w:r>
            <w:r>
              <w:rPr>
                <w:sz w:val="21"/>
              </w:rPr>
              <w:t>~</w:t>
            </w:r>
            <w:r>
              <w:rPr>
                <w:sz w:val="21"/>
              </w:rPr>
              <w:t>2m</w:t>
            </w:r>
            <w:r>
              <w:rPr>
                <w:sz w:val="21"/>
                <w:vertAlign w:val="superscript"/>
              </w:rPr>
              <w:t>3</w:t>
            </w:r>
            <w:r>
              <w:rPr>
                <w:sz w:val="21"/>
              </w:rPr>
              <w:t>，出材为0.5m</w:t>
            </w:r>
            <w:r>
              <w:rPr>
                <w:sz w:val="21"/>
                <w:vertAlign w:val="superscript"/>
              </w:rPr>
              <w:t>3</w:t>
            </w:r>
            <w:r>
              <w:rPr>
                <w:sz w:val="21"/>
              </w:rPr>
              <w:t>~</w:t>
            </w:r>
            <w:r>
              <w:rPr>
                <w:sz w:val="21"/>
              </w:rPr>
              <w:t>1m</w:t>
            </w:r>
            <w:r>
              <w:rPr>
                <w:sz w:val="21"/>
                <w:vertAlign w:val="superscript"/>
              </w:rPr>
              <w:t>3</w:t>
            </w:r>
            <w:r>
              <w:rPr>
                <w:sz w:val="21"/>
              </w:rPr>
              <w:t>。</w:t>
            </w:r>
          </w:p>
          <w:p>
            <w:pPr>
              <w:pStyle w:val="null3"/>
            </w:pPr>
            <w:r>
              <w:rPr>
                <w:sz w:val="21"/>
              </w:rPr>
              <w:t>（二）大径材培育示范建设（抚育，不含疏伐）：</w:t>
            </w:r>
          </w:p>
          <w:p>
            <w:pPr>
              <w:pStyle w:val="null3"/>
            </w:pPr>
            <w:r>
              <w:rPr>
                <w:sz w:val="21"/>
              </w:rPr>
              <w:t>1</w:t>
            </w:r>
            <w:r>
              <w:rPr>
                <w:sz w:val="21"/>
              </w:rPr>
              <w:t>、割灌除草：</w:t>
            </w:r>
          </w:p>
          <w:p>
            <w:pPr>
              <w:pStyle w:val="null3"/>
              <w:ind w:firstLine="420"/>
            </w:pPr>
            <w:r>
              <w:rPr>
                <w:sz w:val="21"/>
              </w:rPr>
              <w:t>要求采用机割或人工劈割方式，全面割除林地上妨碍目的林木、幼树、幼苗生长的大芒、杂草、杂灌、藤蔓和非目的树种，伐根低于10厘米，所割除的杂草、杂物等随机平铺在林地上，任其腐烂，以增加土壤腐殖质，提高土壤肥力。</w:t>
            </w:r>
          </w:p>
          <w:p>
            <w:pPr>
              <w:pStyle w:val="null3"/>
            </w:pPr>
            <w:r>
              <w:rPr>
                <w:sz w:val="21"/>
              </w:rPr>
              <w:t>2</w:t>
            </w:r>
            <w:r>
              <w:rPr>
                <w:sz w:val="21"/>
              </w:rPr>
              <w:t>、修枝除萌：</w:t>
            </w:r>
          </w:p>
          <w:p>
            <w:pPr>
              <w:pStyle w:val="null3"/>
              <w:ind w:firstLine="420"/>
            </w:pPr>
            <w:r>
              <w:rPr>
                <w:sz w:val="21"/>
              </w:rPr>
              <w:t>主要针对自然整枝不良、通风透光不畅的目的树种和目标树种进行修枝，修枝重点是消灭死节、减少活节，以加大树干饱满度，提高木材质量，改善林内通风与光照状况及林木生长条件，减少树冠火、雪压和风害的发生程度，防止病虫害蔓延。修枝要求采取平切法，重点修去每一株活立木枯死枝和树冠下部1-2轮活枝；修枝时要求切口平滑，剪口不能伤及树干韧皮部和木质部，防止树皮撕裂。一般情况下，幼龄林（林下更新的有培育价值的幼树）的修枝高度不超过树高的1/3，中龄林的修枝高度不超过树高的1/2。</w:t>
            </w:r>
          </w:p>
          <w:p>
            <w:pPr>
              <w:pStyle w:val="null3"/>
              <w:ind w:firstLine="420"/>
            </w:pPr>
            <w:r>
              <w:rPr>
                <w:sz w:val="21"/>
              </w:rPr>
              <w:t>主要伐除过密的胸径小于5cm的杉木萌芽条和自然下种苗。施工时结合保留密度，适当保留有培育潜力的林下苗木，同时伐除生长不良的萌芽条和实生苗。伐桩不高于20cm。伐除的林木剩余物均匀平铺于林地内，以便其自然腐烂和释放肥效。</w:t>
            </w:r>
          </w:p>
          <w:p>
            <w:pPr>
              <w:pStyle w:val="null3"/>
            </w:pPr>
            <w:r>
              <w:rPr>
                <w:sz w:val="21"/>
              </w:rPr>
              <w:t>3</w:t>
            </w:r>
            <w:r>
              <w:rPr>
                <w:sz w:val="21"/>
              </w:rPr>
              <w:t>、施肥：</w:t>
            </w:r>
          </w:p>
          <w:p>
            <w:pPr>
              <w:pStyle w:val="null3"/>
              <w:ind w:firstLine="420"/>
            </w:pPr>
            <w:r>
              <w:rPr>
                <w:sz w:val="21"/>
              </w:rPr>
              <w:t>修枝除萌完毕后，为保留林木进行施肥。采用穴状方式，按照110穴/亩在林地内均匀施放。施肥穴规格为长宽深：35cm×25cm×20cm。施放肥料后及时用土覆严。</w:t>
            </w:r>
          </w:p>
          <w:p>
            <w:pPr>
              <w:pStyle w:val="null3"/>
              <w:ind w:firstLine="420"/>
            </w:pPr>
            <w:r>
              <w:rPr>
                <w:sz w:val="21"/>
              </w:rPr>
              <w:t>肥料品种：根据本地区土壤情况，以及林木生长需要，选择氮磷含量较高的肥料，要求NPK总含量45%以上，因此拟施放氮磷钾含量分别15-15-15的复合肥，施肥量0.25kg/株（为加快培育进度、提高示范效果，每穴由0.15kg提高到0.25kg）。</w:t>
            </w:r>
          </w:p>
          <w:p>
            <w:pPr>
              <w:pStyle w:val="null3"/>
            </w:pPr>
            <w:r>
              <w:rPr>
                <w:sz w:val="21"/>
              </w:rPr>
              <w:t>（三）森林抚育：</w:t>
            </w:r>
          </w:p>
          <w:p>
            <w:pPr>
              <w:pStyle w:val="null3"/>
            </w:pPr>
            <w:r>
              <w:rPr>
                <w:sz w:val="21"/>
              </w:rPr>
              <w:t>1</w:t>
            </w:r>
            <w:r>
              <w:rPr>
                <w:sz w:val="21"/>
              </w:rPr>
              <w:t>、割灌除草：</w:t>
            </w:r>
          </w:p>
          <w:p>
            <w:pPr>
              <w:pStyle w:val="null3"/>
              <w:ind w:firstLine="420"/>
            </w:pPr>
            <w:r>
              <w:rPr>
                <w:sz w:val="21"/>
              </w:rPr>
              <w:t>要求采用机割或人工劈割方式，全面割除林地上的大芒、杂草、杂灌和藤蔓，所割除的杂草、杂物等随机平铺在林地上，任其腐烂，以增加土壤腐殖质，提高土壤肥力。</w:t>
            </w:r>
          </w:p>
          <w:p>
            <w:pPr>
              <w:pStyle w:val="null3"/>
            </w:pPr>
            <w:r>
              <w:rPr>
                <w:sz w:val="21"/>
              </w:rPr>
              <w:t>2</w:t>
            </w:r>
            <w:r>
              <w:rPr>
                <w:sz w:val="21"/>
              </w:rPr>
              <w:t>、修枝除萌：</w:t>
            </w:r>
          </w:p>
          <w:p>
            <w:pPr>
              <w:pStyle w:val="null3"/>
              <w:ind w:firstLine="420"/>
            </w:pPr>
            <w:r>
              <w:rPr>
                <w:sz w:val="21"/>
              </w:rPr>
              <w:t>主要针对自然整枝不良、通风透光不畅的目的树种和目标树种进行修枝，修枝重点是消灭死节、减少活节，以加大树干饱满度，提高木材质量，改善林内通风与光照状况及林木生长条件，减少树冠火、雪压和风害的发生程度，防止病虫害蔓延。修枝要求采取平切法，重点修去每一株活立木枯死枝和树冠下部1-2轮活枝；修枝时要求切口平滑，剪口不能伤及树干韧皮部和木质部，防止树皮撕裂。一般情况下，幼龄林的修枝高度不超过树高的1/3，中龄林的修枝高度不超过树高的1/2。</w:t>
            </w:r>
          </w:p>
          <w:p>
            <w:pPr>
              <w:pStyle w:val="null3"/>
              <w:ind w:firstLine="420"/>
            </w:pPr>
            <w:r>
              <w:rPr>
                <w:sz w:val="21"/>
              </w:rPr>
              <w:t>伐除过密的胸径小于5cm的杉木萌芽条和自然下种苗。</w:t>
            </w:r>
          </w:p>
          <w:p>
            <w:pPr>
              <w:pStyle w:val="null3"/>
            </w:pPr>
            <w:r>
              <w:rPr>
                <w:sz w:val="21"/>
              </w:rPr>
              <w:t>3</w:t>
            </w:r>
            <w:r>
              <w:rPr>
                <w:sz w:val="21"/>
              </w:rPr>
              <w:t>、施肥：</w:t>
            </w:r>
          </w:p>
          <w:p>
            <w:pPr>
              <w:pStyle w:val="null3"/>
              <w:ind w:firstLine="420"/>
              <w:jc w:val="both"/>
            </w:pPr>
            <w:r>
              <w:rPr>
                <w:sz w:val="21"/>
              </w:rPr>
              <w:t>采用穴状方式，每亩选取110株目的树种和辅助树施肥。施肥时在距离树冠幅投影外缘左上或右上坡位挖施肥沟，长宽深为35cm×25cm×20cm。将复合肥施放于沟内，每株施放0.15kg，施后要求覆盖土壤，平整好地面。</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1.采购代理机构：本项目是指清远市众诚招标代理有限公司，负责整个采购活动的组织，依法负责编制和发布招标文件，对招标文件拥有最终的解释权，不以任何身份出任评标委员会成员。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广东省连山林场（广东鹰扬关森林公园管理处）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兼投不兼中：本项目为包组2重招，根据本项目第一次招标的定标原则规定，投标人已被推荐为包组1中标人的不能再参与本项目的投标。</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采购机构代理服务收费标准：按采购文件要求。</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其他，（一）中标服务费： 1．中标人须于收到采购代理机构结果通知之日起三个工作日内向采购代理机构按如下标准和规定缴纳招标代理服务费： （1）本项目中标人须向采购代理机构缴纳招标代理服务费：RMB29725.00（人民币贰万玖仟柒佰贰拾伍元整）(如经评审后招标失败再重新招标的项目服务费需上浮20%）。 （2）招标代理服务费的缴纳形式： 1）向采购代理机构直接缴纳招标代理服务费。可用支票或银行转账付款方式； 2）招标代理服务费付至： 收款人名称：清远市众诚招标代理有限公司 开户银行：东莞银行股份有限公司清远分行（行号313601092014） 账号：500009201001684 2．投标人应签署第六章所附格式的采购代理服务费支付承诺书，作为投标文件的一部分。 3．中标人须向采购代理机构缴纳招标代理服务费后，凭领取人身份证和招标代理服务费缴费凭证复印件并加盖公章领取《中标通知书》。 （二）纸质投标文件递交：中标人须于中标公告发出之日起3个工作日内递交纸质投标文件1套给采购人存档。 （三）投标说明： 1.本项目采用电子系统进行招投标，请在投标前详细阅读供应商操作手册，手册获取网址：https://gdgpo.czt.gd.gov.cn/help/transaction/download.html。投标供应商在使用过程中遇到涉及系统使用的问题，可通过400-1832-999进行咨询或通过广东政府采购智慧云平台运维服务说明中提供的其他服务方式获取帮助。 2.供应商参加本项目投标，需要提前办理CA和电子签章，办理方式和注意事项详见供应商操作手册与CA办理指南，指南获取地址：https://gdgpo.czt.gd.gov.cn/help/problem/。 3.如需缴纳保证金，供应商可通过"广东政府采购智慧云平台金融服务中心"(http://gdgpo.czt.gd.gov.cn/zcdservice/zcd/guangdong/)，申请办理投标（响应）担保函、保险（保证）保函。 4.云平台操作过程中如有相关问题可通过广东省政府采购网（http://gdgpc.czt.gd.gov.cn）下载操作手册查询，或通过云平台公布的在线客服、微信/QQ群、专线电话等方式咨询。 5.请投标/报价人按“远程开标”有关要求，在投标/报价截止时间前上传加密的电子投标/报价文件，未按要求上传的将视为自动放弃投标/报价。 6.在开标/唱价截止时间前，请各投标/报价人核实并确认填写授权代表的姓名与手机号码，若因填写的授权代表信息有误而导致的不良后果，由供应商自行承担。 7.开标/唱价时，供应商应当使用编制本项目（采购包）电子投标/报价文件时加密所用数字证书开始解密，具体解密时限以开标时现场代理机构人员设置为准。因技术问题导致在规定的时间内无法解密的，可以通过特殊通道上传备用的电子投标/报价文件，投标/报价人需保证上传的备用电子投标/报价文件与加密的电子投标/报价文件版本一致（即两份文件为投标客户端同时生成）。各供应商在参加开标/唱价之前须自行对使用电脑的网络环境、驱动安装、客户端安装以及数字证书的有效性等进行检测，确保可以正常使用。</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清远市众诚招标代理有限公司</w:t>
      </w:r>
      <w:r>
        <w:rPr/>
        <w:t>代收。具体操作要求详见</w:t>
      </w:r>
      <w:r>
        <w:rPr/>
        <w:t>清远市众诚招标代理有限公司</w:t>
      </w:r>
      <w:r>
        <w:rPr/>
        <w:t>有关指引，递交事宜请自行咨询</w:t>
      </w:r>
      <w:r>
        <w:rPr/>
        <w:t>清远市众诚招标代理有限公司</w:t>
      </w:r>
      <w:r>
        <w:rPr/>
        <w:t>；请各投标人在投标文件递交截止时间前按须知前附表规定的金额递交至</w:t>
      </w:r>
      <w:r>
        <w:rPr/>
        <w:t>清远市众诚招标代理有限公司</w:t>
      </w:r>
      <w:r>
        <w:rPr/>
        <w:t>，到账情况以开标时</w:t>
      </w:r>
      <w:r>
        <w:rPr/>
        <w:t>清远市众诚招标代理有限公司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杨颖晖</w:t>
      </w:r>
    </w:p>
    <w:p>
      <w:pPr>
        <w:pStyle w:val="null3"/>
        <w:ind w:firstLine="480"/>
      </w:pPr>
      <w:r>
        <w:rPr/>
        <w:t>电话：</w:t>
      </w:r>
      <w:r>
        <w:rPr/>
        <w:t>0763-3889689</w:t>
      </w:r>
    </w:p>
    <w:p>
      <w:pPr>
        <w:pStyle w:val="null3"/>
        <w:ind w:firstLine="480"/>
      </w:pPr>
      <w:r>
        <w:rPr/>
        <w:t>传真：</w:t>
      </w:r>
      <w:r>
        <w:rPr/>
        <w:t>0763-3920228</w:t>
      </w:r>
    </w:p>
    <w:p>
      <w:pPr>
        <w:pStyle w:val="null3"/>
        <w:ind w:firstLine="480"/>
      </w:pPr>
      <w:r>
        <w:rPr/>
        <w:t>邮箱：</w:t>
      </w:r>
      <w:r>
        <w:rPr/>
        <w:t>qyzc3889689@163.com</w:t>
      </w:r>
    </w:p>
    <w:p>
      <w:pPr>
        <w:pStyle w:val="null3"/>
        <w:ind w:firstLine="480"/>
      </w:pPr>
      <w:r>
        <w:rPr/>
        <w:t>地址：</w:t>
      </w:r>
      <w:r>
        <w:rPr/>
        <w:t>清远市清城区人民一路7号附1号凯晴公馆3层03号</w:t>
      </w:r>
    </w:p>
    <w:p>
      <w:pPr>
        <w:pStyle w:val="null3"/>
        <w:ind w:firstLine="480"/>
      </w:pPr>
      <w:r>
        <w:rPr/>
        <w:t>邮编：</w:t>
      </w:r>
      <w:r>
        <w:rPr/>
        <w:t>511500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采购包1(中幼林抚育)：综合评分法,是指投标文件满足招标文件全部实质性要求，且按照评审因素的量化指标评审得分最高的投标人为中标候选人的评标方法。（最低报价不是中标的唯一依据。）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清远市众诚招标代理有限公司</w:t>
      </w:r>
      <w:r>
        <w:rPr/>
        <w:t>统一对外发布。</w:t>
      </w:r>
    </w:p>
    <w:p>
      <w:pPr>
        <w:pStyle w:val="null3"/>
        <w:ind w:firstLine="480"/>
      </w:pPr>
      <w:r>
        <w:rPr/>
        <w:t>（2）对</w:t>
      </w:r>
      <w:r>
        <w:rPr/>
        <w:t>清远市众诚招标代理有限公司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采购包1（中幼林抚育）：</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采购包1（中幼林抚育）：</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扫描件或复印件；如投标人为自然人的，提供自然人身份证明扫描件或复印件；如国家另有规定的，则从其规定【分公司投标，须取得具有法人资格的总公司（总所）出具给分公司的授权书，并提供总公司（总所）和分公司的营业执照（执业许可证）扫描件或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①2023年12月份或之后任意一个月的依法缴纳税收的证明文件扫描件或复印件。【缴纳税收的证明文件是指：加盖银行业务章的税收回单，或加盖税务部门电子征税专用章的税收电子转账专用完税证，或加盖税务部门公章的纳税证明；如供应商在规定的时间段内没有发生业务的，则提供税务部门出具的纳税证明，或加盖税务部门公章的纳税申报表】；②2023年12月份或之后任意一个月的依法缴纳社会保险的证明（缴费凭证）扫描件或复印件，如依法不需要缴纳社会保险的，应提供相应文件证明其依法不需要缴纳社会保障资金。</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或2023年的年度财务报表扫描件或复印件，或2023年12月份或之后任意一个月的财务报表扫描件或复印件，或提供银行出具的资信证明材料扫描件或复印件。【财务报表须包含资产负债表、利润（或损益）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提供具备相关设备及专业技术能力的证明材料或承诺函(承诺函格式自定义)。</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网站(www.ccgp.gov.cn)“政府采购严重违法失信行为信息记录”中被禁止参加政府采购活动的供应商（处罚期限届满的除外）。【采购代理机构于项目进行资格审查时通过“信用中国”网站（www.creditchina.gov.cn）、中国执行信息公开网（zxgk.court.gov.cn/shixin/）、“中国政府采购网”网站（www.ccgp.gov.cn）查询供应商信用记录，并对供应商信用记录进行甄别。同时对信用信息查询记录和证据截图存档。（如相关失信记录已失效，供应商需在投标截止时间前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投标人必须具备有效的造林工程施工丙级或以上资质，或造林绿化施工丙级或以上资质【提供扫描件或复印件】。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参与本项目的供应商全部为符合政策要求的中小企业，不能为大型企业。本项目中小企业划分标准所属行业须为农、林、牧、渔业。残疾人福利性单位和监狱企业视同小型、微型企业。【提供有效的《中小企业声明函》，若为残疾人福利性单位，则提供《残疾人福利性单位声明函》；若为监狱企业，则提供有效的监狱企业证明文件】。</w:t>
            </w:r>
          </w:p>
        </w:tc>
      </w:tr>
    </w:tbl>
    <w:p>
      <w:pPr>
        <w:pStyle w:val="null3"/>
        <w:ind w:firstLine="480"/>
      </w:pPr>
      <w:r>
        <w:rPr/>
        <w:t>表二符合性审查表：</w:t>
      </w:r>
    </w:p>
    <w:p>
      <w:pPr>
        <w:pStyle w:val="null3"/>
      </w:pPr>
    </w:p>
    <w:p>
      <w:pPr>
        <w:pStyle w:val="null3"/>
      </w:pPr>
      <w:r>
        <w:rPr/>
        <w:t>采购包1（中幼林抚育）：</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投标函已提交并符合招标文件要求，且内容无错误的。</w:t>
            </w:r>
          </w:p>
        </w:tc>
      </w:tr>
      <w:tr>
        <w:tc>
          <w:tcPr>
            <w:tcW w:type="dxa" w:w="890"/>
          </w:tcPr>
          <w:p>
            <w:pPr>
              <w:pStyle w:val="null3"/>
            </w:pPr>
            <w:r>
              <w:rPr/>
              <w:t>2</w:t>
            </w:r>
          </w:p>
        </w:tc>
        <w:tc>
          <w:tcPr>
            <w:tcW w:type="dxa" w:w="3178"/>
          </w:tcPr>
          <w:p>
            <w:pPr>
              <w:pStyle w:val="null3"/>
            </w:pPr>
            <w:r>
              <w:rPr/>
              <w:t>法定代表人证明书和授权委托书</w:t>
            </w:r>
          </w:p>
        </w:tc>
        <w:tc>
          <w:tcPr>
            <w:tcW w:type="dxa" w:w="4238"/>
          </w:tcPr>
          <w:p>
            <w:pPr>
              <w:pStyle w:val="null3"/>
            </w:pPr>
            <w:r>
              <w:rPr/>
              <w:t>投标文件中有法定代表人证明书，如投标文件为委托代理人签署应同时附上法定代表人证明书和授权委托书。【须提供人员的身份证（正反面）扫描件或复印件】</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投标文件按照招标文件规定要求签署和盖章的。【上传整本投标文件】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投标报价未超过本包组的采购预算金额的； 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tc>
          <w:tcPr>
            <w:tcW w:type="dxa" w:w="890"/>
          </w:tcPr>
          <w:p>
            <w:pPr>
              <w:pStyle w:val="null3"/>
            </w:pPr>
            <w:r>
              <w:rPr/>
              <w:t>5</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投标文件没有招标文件中规定的其它无效投标条款的。【上传整本投标文件】</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按有关法律、法规、规章不属于投标无效的。参照投标（报价）函相关承诺格式内容。</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采购包1(中幼林抚育):</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技术部分51.0分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项目实施组织方案 (15.0分)</w:t>
            </w:r>
            <w:r>
              <w:rPr/>
              <w:t>，（等次分值选择：</w:t>
            </w:r>
            <w:r>
              <w:rPr/>
              <w:t>0.0;</w:t>
            </w:r>
            <w:r>
              <w:rPr/>
              <w:t>3.0;</w:t>
            </w:r>
            <w:r>
              <w:rPr/>
              <w:t>7.0;</w:t>
            </w:r>
            <w:r>
              <w:rPr/>
              <w:t>11.0;</w:t>
            </w:r>
            <w:r>
              <w:rPr/>
              <w:t>15.0;</w:t>
            </w:r>
            <w:r>
              <w:rPr/>
              <w:t>）</w:t>
            </w:r>
          </w:p>
        </w:tc>
        <w:tc>
          <w:tcPr>
            <w:tcW w:type="dxa" w:w="5076"/>
          </w:tcPr>
          <w:p>
            <w:pPr>
              <w:pStyle w:val="null3"/>
              <w:jc w:val="left"/>
            </w:pPr>
            <w:r>
              <w:rPr/>
              <w:t>根据投标人的方案（包括技术、物资、劳动组织准备，开工到竣工验收等）进行评分： （1）项目实施组织方案（包括上述所列内容）安排合理、可行，对实施难点有先进和合理的建议，得15分； （2）项目实施组织方案（包括上述所列内容）安排较合理、可行，对实施难点的建议较合理，得11分； （3）项目实施组织方案（包括上述所列内容）合理、可行性一般，对实施难点的建议合理性一般，得7分； （4）项目实施组织方案（上述所列内容缺少一项或以上）合理、可行性较差，对实施难点的建议不够合理，得3分； （5）无相关描述得0分。</w:t>
            </w:r>
          </w:p>
        </w:tc>
      </w:tr>
      <w:tr>
        <w:tc>
          <w:tcPr>
            <w:tcW w:type="dxa" w:w="922"/>
            <w:gridSpan w:val="2"/>
            <w:vMerge/>
          </w:tcPr>
          <w:p/>
        </w:tc>
        <w:tc>
          <w:tcPr>
            <w:tcW w:type="dxa" w:w="2307"/>
          </w:tcPr>
          <w:p>
            <w:pPr>
              <w:pStyle w:val="null3"/>
              <w:jc w:val="left"/>
            </w:pPr>
            <w:r>
              <w:rPr/>
              <w:t>项目实施进度计划 (12.0分)</w:t>
            </w:r>
            <w:r>
              <w:rPr/>
              <w:t>，（等次分值选择：</w:t>
            </w:r>
            <w:r>
              <w:rPr/>
              <w:t>0.0;</w:t>
            </w:r>
            <w:r>
              <w:rPr/>
              <w:t>3.0;</w:t>
            </w:r>
            <w:r>
              <w:rPr/>
              <w:t>6.0;</w:t>
            </w:r>
            <w:r>
              <w:rPr/>
              <w:t>9.0;</w:t>
            </w:r>
            <w:r>
              <w:rPr/>
              <w:t>12.0;</w:t>
            </w:r>
            <w:r>
              <w:rPr/>
              <w:t>）</w:t>
            </w:r>
          </w:p>
        </w:tc>
        <w:tc>
          <w:tcPr>
            <w:tcW w:type="dxa" w:w="5076"/>
          </w:tcPr>
          <w:p>
            <w:pPr>
              <w:pStyle w:val="null3"/>
              <w:jc w:val="left"/>
            </w:pPr>
            <w:r>
              <w:rPr/>
              <w:t>根据投标人的项目实施进度计划（包括实施过程、完成期计划安排和保障措施等）进行评分： （1）项目实施进度计划优于招标文件的完成期要求，保障措施（包括上述所列内容）合理性、可行性高，得12分； （2）项目实施进度计划满足招标文件的完成期要求，保障措施（包括上述所列内容）较合理可行，得9分； （3）项目实施进度计划较一般，保障措施（包括上述所列内容）有一定的合理性、可行性，得6分； （4）项目实施进度计划较差，保障措施（上述所列内容缺少一项或以上）合理、可行性较差，得3分； （5）无相关描述得0分。</w:t>
            </w:r>
          </w:p>
        </w:tc>
      </w:tr>
      <w:tr>
        <w:tc>
          <w:tcPr>
            <w:tcW w:type="dxa" w:w="922"/>
            <w:gridSpan w:val="2"/>
            <w:vMerge/>
          </w:tcPr>
          <w:p/>
        </w:tc>
        <w:tc>
          <w:tcPr>
            <w:tcW w:type="dxa" w:w="2307"/>
          </w:tcPr>
          <w:p>
            <w:pPr>
              <w:pStyle w:val="null3"/>
              <w:jc w:val="left"/>
            </w:pPr>
            <w:r>
              <w:rPr/>
              <w:t>质量保证措施 (12.0分)</w:t>
            </w:r>
            <w:r>
              <w:rPr/>
              <w:t>，（等次分值选择：</w:t>
            </w:r>
            <w:r>
              <w:rPr/>
              <w:t>0.0;</w:t>
            </w:r>
            <w:r>
              <w:rPr/>
              <w:t>3.0;</w:t>
            </w:r>
            <w:r>
              <w:rPr/>
              <w:t>6.0;</w:t>
            </w:r>
            <w:r>
              <w:rPr/>
              <w:t>9.0;</w:t>
            </w:r>
            <w:r>
              <w:rPr/>
              <w:t>12.0;</w:t>
            </w:r>
            <w:r>
              <w:rPr/>
              <w:t>）</w:t>
            </w:r>
          </w:p>
        </w:tc>
        <w:tc>
          <w:tcPr>
            <w:tcW w:type="dxa" w:w="5076"/>
          </w:tcPr>
          <w:p>
            <w:pPr>
              <w:pStyle w:val="null3"/>
              <w:jc w:val="left"/>
            </w:pPr>
            <w:r>
              <w:rPr/>
              <w:t>根据投标人的质量保证措施（包括工程技术管理、实施管理等）进行评分： （1）质量保证措施（包括上述所列内容）详细合理，可行性为优的，得12分； （2）质量保证措施（包括上述所列内容）较详细合理，可行性为良的，得9分； （3）质量保证措施（包括上述所列内容）一般，可行性一般的，得6分； （4）质量保证措施（上述所列内容缺少一项或以上）的合理性和可行性较差的，得3分； （5）无相关描述得0分。</w:t>
            </w:r>
          </w:p>
        </w:tc>
      </w:tr>
      <w:tr>
        <w:tc>
          <w:tcPr>
            <w:tcW w:type="dxa" w:w="922"/>
            <w:gridSpan w:val="2"/>
            <w:vMerge/>
          </w:tcPr>
          <w:p/>
        </w:tc>
        <w:tc>
          <w:tcPr>
            <w:tcW w:type="dxa" w:w="2307"/>
          </w:tcPr>
          <w:p>
            <w:pPr>
              <w:pStyle w:val="null3"/>
              <w:jc w:val="left"/>
            </w:pPr>
            <w:r>
              <w:rPr/>
              <w:t>安全文明施工保证措施 (12.0分)</w:t>
            </w:r>
            <w:r>
              <w:rPr/>
              <w:t>，（等次分值选择：</w:t>
            </w:r>
            <w:r>
              <w:rPr/>
              <w:t>0.0;</w:t>
            </w:r>
            <w:r>
              <w:rPr/>
              <w:t>3.0;</w:t>
            </w:r>
            <w:r>
              <w:rPr/>
              <w:t>6.0;</w:t>
            </w:r>
            <w:r>
              <w:rPr/>
              <w:t>9.0;</w:t>
            </w:r>
            <w:r>
              <w:rPr/>
              <w:t>12.0;</w:t>
            </w:r>
            <w:r>
              <w:rPr/>
              <w:t>）</w:t>
            </w:r>
          </w:p>
        </w:tc>
        <w:tc>
          <w:tcPr>
            <w:tcW w:type="dxa" w:w="5076"/>
          </w:tcPr>
          <w:p>
            <w:pPr>
              <w:pStyle w:val="null3"/>
              <w:jc w:val="left"/>
            </w:pPr>
            <w:r>
              <w:rPr/>
              <w:t>根据投标人的措施（包括施工的各工序环节、安全管理制度和操作规程、现场管控等）进行评分： （1）管理措施和规章制度（包括上述所列内容）规范、完善，实用性与可行性好，得12分； （2）管理措施和规章制度（包括上述所列内容）较规范、完善，实用性与可行性较好，得9分； （3）管理措施和规章制度（包括上述所列内容）的规范性、完善度一般，有一定的实用性与可行性，得6分； （4）管理措施和规章制度（上述所列内容缺少一项或以上）的规范性、完善度较差，实用性与可行性较差，得3分； （5）无相关描述得0分。</w:t>
            </w:r>
          </w:p>
        </w:tc>
      </w:tr>
      <w:tr>
        <w:tc>
          <w:tcPr>
            <w:tcW w:type="dxa" w:w="922"/>
            <w:gridSpan w:val="2"/>
            <w:vMerge w:val="restart"/>
          </w:tcPr>
          <w:p>
            <w:pPr>
              <w:pStyle w:val="null3"/>
              <w:jc w:val="center"/>
            </w:pPr>
            <w:r>
              <w:rPr/>
              <w:t>商务部分</w:t>
            </w:r>
          </w:p>
        </w:tc>
        <w:tc>
          <w:tcPr>
            <w:tcW w:type="dxa" w:w="2307"/>
          </w:tcPr>
          <w:p>
            <w:pPr>
              <w:pStyle w:val="null3"/>
              <w:jc w:val="left"/>
            </w:pPr>
            <w:r>
              <w:rPr/>
              <w:t>技术负责人情况 (6.0分)</w:t>
            </w:r>
          </w:p>
        </w:tc>
        <w:tc>
          <w:tcPr>
            <w:tcW w:type="dxa" w:w="5076"/>
          </w:tcPr>
          <w:p>
            <w:pPr>
              <w:pStyle w:val="null3"/>
              <w:jc w:val="left"/>
            </w:pPr>
            <w:r>
              <w:rPr/>
              <w:t>（1）具有林业专业高级职称或以上的，得6分； （2）具有林业专业中级职称的，得4分； （3）具有林业专业初级职称的，得2分。 （4）本项最高得6分。 【同时提供以上相关人员的：①职称证书扫描件或复印件；②投标人为其购买2023年12月或之后任意1个月的社会保险证明文件[如依法不需要缴纳社会保险的，应提供相应文件证明其依法不需要缴纳社会保障资金；如聘请离退人员无法购买社保的，则须提供退休证明、聘书（或劳动合同）及2023年12月份或之后任意一个月的工资证明或支付工资的电子回单]扫描件或复印件作为评审依据，不提供或提供不全的不得分。】</w:t>
            </w:r>
          </w:p>
        </w:tc>
      </w:tr>
      <w:tr>
        <w:tc>
          <w:tcPr>
            <w:tcW w:type="dxa" w:w="922"/>
            <w:gridSpan w:val="2"/>
            <w:vMerge/>
          </w:tcPr>
          <w:p/>
        </w:tc>
        <w:tc>
          <w:tcPr>
            <w:tcW w:type="dxa" w:w="2307"/>
          </w:tcPr>
          <w:p>
            <w:pPr>
              <w:pStyle w:val="null3"/>
              <w:jc w:val="left"/>
            </w:pPr>
            <w:r>
              <w:rPr/>
              <w:t>其他人员情况（技术负责人除外） (9.0分)</w:t>
            </w:r>
          </w:p>
        </w:tc>
        <w:tc>
          <w:tcPr>
            <w:tcW w:type="dxa" w:w="5076"/>
          </w:tcPr>
          <w:p>
            <w:pPr>
              <w:pStyle w:val="null3"/>
              <w:jc w:val="left"/>
            </w:pPr>
            <w:r>
              <w:rPr/>
              <w:t>具有林业专业或园林专业中级（或以上）职称的，每提供1名人员得3分；本项最高得9分。 【同时提供以上相关人员的：①职称证书扫描件或复印件；②投标人为其购买2023年12月或之后任意1个月的社会保险证明文件[如依法不需要缴纳社会保险的，应提供相应文件证明其依法不需要缴纳社会保障资金；如聘请离退人员无法购买社保的，则须提供退休证明、聘书（或劳动合同）及2023年12月份或之后任意一个月的工资证明或支付工资的电子回单]扫描件或复印件作为评审依据，不提供或提供不全的不得分。】</w:t>
            </w:r>
          </w:p>
        </w:tc>
      </w:tr>
      <w:tr>
        <w:tc>
          <w:tcPr>
            <w:tcW w:type="dxa" w:w="922"/>
            <w:gridSpan w:val="2"/>
            <w:vMerge/>
          </w:tcPr>
          <w:p/>
        </w:tc>
        <w:tc>
          <w:tcPr>
            <w:tcW w:type="dxa" w:w="2307"/>
          </w:tcPr>
          <w:p>
            <w:pPr>
              <w:pStyle w:val="null3"/>
              <w:jc w:val="left"/>
            </w:pPr>
            <w:r>
              <w:rPr/>
              <w:t>地域便利服务支撑能力 (9.0分)</w:t>
            </w:r>
          </w:p>
        </w:tc>
        <w:tc>
          <w:tcPr>
            <w:tcW w:type="dxa" w:w="5076"/>
          </w:tcPr>
          <w:p>
            <w:pPr>
              <w:pStyle w:val="null3"/>
              <w:jc w:val="left"/>
            </w:pPr>
            <w:r>
              <w:rPr/>
              <w:t>（1）服务点距离采购人处≤20公里，得9分； （2）20公里＜服务点距离采购人处≤50公里，得6分； （3）50公里＜服务点距离采购人处≤100公里，得3分； （4）服务点距离采购人处＞100公里，得1分； 【服务点（投标人或其分支机构）须同时提供：①为自有的：提供产权证明扫描件或复印件；为非自有的：提供委托协议（或租赁合同）与服务点的产权证明扫描件或复印件；②服务点的地址距离采购人的电子地图截图（截图内容需显示公里数）；③服务点图片；以上资料加盖投标人公章作为评审依据，不提供或提供不全的不得分。】</w:t>
            </w:r>
          </w:p>
        </w:tc>
      </w:tr>
      <w:tr>
        <w:tc>
          <w:tcPr>
            <w:tcW w:type="dxa" w:w="922"/>
            <w:gridSpan w:val="2"/>
            <w:vMerge/>
          </w:tcPr>
          <w:p/>
        </w:tc>
        <w:tc>
          <w:tcPr>
            <w:tcW w:type="dxa" w:w="2307"/>
          </w:tcPr>
          <w:p>
            <w:pPr>
              <w:pStyle w:val="null3"/>
              <w:jc w:val="left"/>
            </w:pPr>
            <w:r>
              <w:rPr/>
              <w:t>同类业绩情况 (15.0分)</w:t>
            </w:r>
          </w:p>
        </w:tc>
        <w:tc>
          <w:tcPr>
            <w:tcW w:type="dxa" w:w="5076"/>
          </w:tcPr>
          <w:p>
            <w:pPr>
              <w:pStyle w:val="null3"/>
              <w:jc w:val="left"/>
            </w:pPr>
            <w:r>
              <w:rPr/>
              <w:t>自2020年1月1日以来投标人承接过同类造林抚育项目业绩的：每提供1个项目业绩得2.5分，本项最高得15分； 【同时提供：①中标（或成交）通知书；②中标（或成交）公告网页截图；③合同关键页（必须包含：项目内容、签约时间、双方盖章）；以上资料加盖投标人公章作为评审依据，不提供或提供不全的不得分。业绩时间以合同为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p>
    <w:p>
      <w:pPr>
        <w:pStyle w:val="null3"/>
        <w:spacing w:before="105" w:after="105"/>
        <w:ind w:left="-150" w:right="-150" w:firstLine="420"/>
        <w:jc w:val="center"/>
      </w:pPr>
    </w:p>
    <w:p>
      <w:pPr>
        <w:pStyle w:val="null3"/>
        <w:spacing w:before="105" w:after="105"/>
        <w:ind w:left="-150" w:right="-150" w:firstLine="420"/>
        <w:jc w:val="center"/>
      </w:pPr>
    </w:p>
    <w:p>
      <w:pPr>
        <w:pStyle w:val="null3"/>
        <w:spacing w:before="105" w:after="105"/>
        <w:ind w:left="-150" w:right="-150" w:firstLine="420"/>
        <w:jc w:val="center"/>
      </w:pPr>
    </w:p>
    <w:p>
      <w:pPr>
        <w:pStyle w:val="null3"/>
        <w:spacing w:before="105" w:after="105"/>
        <w:ind w:left="-150" w:right="-150" w:firstLine="420"/>
        <w:jc w:val="center"/>
      </w:pPr>
      <w:r>
        <w:rPr>
          <w:b/>
          <w:color w:val="000000"/>
          <w:sz w:val="48"/>
          <w:shd w:fill="FFFFFF" w:val="clear"/>
        </w:rPr>
        <w:t>广东省政府采购</w:t>
      </w:r>
    </w:p>
    <w:p>
      <w:pPr>
        <w:pStyle w:val="null3"/>
        <w:spacing w:before="105" w:after="105"/>
        <w:ind w:left="-150" w:right="-150" w:firstLine="420"/>
        <w:jc w:val="center"/>
      </w:pPr>
      <w:r>
        <w:rPr/>
        <w:t xml:space="preserve"> </w:t>
      </w:r>
    </w:p>
    <w:p>
      <w:pPr>
        <w:pStyle w:val="null3"/>
        <w:spacing w:before="105" w:after="105"/>
        <w:ind w:left="-150" w:right="-150" w:firstLine="420"/>
        <w:jc w:val="center"/>
      </w:pPr>
      <w:r>
        <w:rPr/>
        <w:t xml:space="preserve"> </w:t>
      </w:r>
    </w:p>
    <w:p>
      <w:pPr>
        <w:pStyle w:val="null3"/>
        <w:spacing w:before="105" w:after="105"/>
        <w:ind w:left="-150" w:right="-150" w:firstLine="420"/>
        <w:jc w:val="both"/>
      </w:pPr>
    </w:p>
    <w:p>
      <w:pPr>
        <w:pStyle w:val="null3"/>
        <w:spacing w:before="105" w:after="105"/>
        <w:ind w:left="-150" w:right="-150" w:firstLine="420"/>
        <w:jc w:val="center"/>
      </w:pPr>
      <w:r>
        <w:rPr>
          <w:b/>
          <w:color w:val="000000"/>
          <w:sz w:val="48"/>
          <w:shd w:fill="FFFFFF" w:val="clear"/>
        </w:rPr>
        <w:t>合　同　书</w:t>
      </w:r>
    </w:p>
    <w:p>
      <w:pPr>
        <w:pStyle w:val="null3"/>
        <w:spacing w:before="105" w:after="105"/>
        <w:ind w:left="-150" w:right="-150" w:firstLine="420"/>
        <w:jc w:val="center"/>
      </w:pPr>
      <w:r>
        <w:br/>
      </w:r>
      <w:r>
        <w:rPr/>
        <w:t xml:space="preserve"> </w:t>
      </w:r>
    </w:p>
    <w:p>
      <w:pPr>
        <w:pStyle w:val="null3"/>
        <w:spacing w:before="105" w:after="105"/>
        <w:ind w:left="-150" w:right="-150" w:firstLine="420"/>
        <w:jc w:val="center"/>
      </w:pPr>
      <w:r>
        <w:rPr/>
        <w:t xml:space="preserve"> </w:t>
      </w:r>
    </w:p>
    <w:p>
      <w:pPr>
        <w:pStyle w:val="null3"/>
        <w:spacing w:before="105" w:after="105"/>
        <w:ind w:left="-150" w:right="-150" w:firstLine="420"/>
        <w:jc w:val="center"/>
      </w:pPr>
      <w:r>
        <w:rPr/>
        <w:t xml:space="preserve"> </w:t>
      </w:r>
    </w:p>
    <w:p>
      <w:pPr>
        <w:pStyle w:val="null3"/>
        <w:spacing w:before="105" w:after="105"/>
        <w:ind w:left="-150" w:right="-150" w:firstLine="420"/>
        <w:jc w:val="center"/>
      </w:pPr>
      <w:r>
        <w:rPr/>
        <w:t xml:space="preserve"> </w:t>
      </w:r>
    </w:p>
    <w:p>
      <w:pPr>
        <w:pStyle w:val="null3"/>
        <w:spacing w:before="105" w:after="105"/>
        <w:ind w:left="-150" w:right="-150" w:firstLine="420"/>
        <w:jc w:val="center"/>
      </w:pPr>
      <w:r>
        <w:rPr/>
        <w:t xml:space="preserve"> </w:t>
      </w:r>
    </w:p>
    <w:p>
      <w:pPr>
        <w:pStyle w:val="null3"/>
        <w:spacing w:before="105" w:after="105"/>
        <w:ind w:left="-150" w:right="-150" w:firstLine="420"/>
        <w:jc w:val="center"/>
      </w:pPr>
      <w:r>
        <w:br/>
      </w:r>
      <w:r>
        <w:br/>
      </w:r>
      <w:r>
        <w:br/>
      </w:r>
      <w:r>
        <w:br/>
      </w:r>
      <w:r>
        <w:br/>
      </w:r>
      <w:r>
        <w:br/>
      </w:r>
    </w:p>
    <w:p>
      <w:pPr>
        <w:pStyle w:val="null3"/>
        <w:spacing w:before="150" w:after="150"/>
        <w:ind w:left="-150" w:right="-150" w:firstLine="420"/>
        <w:jc w:val="both"/>
      </w:pPr>
    </w:p>
    <w:p>
      <w:pPr>
        <w:pStyle w:val="null3"/>
        <w:spacing w:before="105" w:after="105"/>
        <w:ind w:left="-150" w:right="-150" w:firstLine="1568"/>
      </w:pPr>
      <w:r>
        <w:rPr>
          <w:color w:val="000000"/>
          <w:sz w:val="28"/>
          <w:shd w:fill="FFFFFF" w:val="clear"/>
        </w:rPr>
        <w:t>项目编号：</w:t>
      </w:r>
      <w:r>
        <w:rPr>
          <w:color w:val="000000"/>
          <w:sz w:val="28"/>
          <w:u w:val="single"/>
          <w:shd w:fill="FFFFFF" w:val="clear"/>
        </w:rPr>
        <w:t>QYZCZB-24ZB004</w:t>
      </w:r>
    </w:p>
    <w:p>
      <w:pPr>
        <w:pStyle w:val="null3"/>
        <w:spacing w:before="105" w:after="105"/>
        <w:ind w:left="-150" w:right="-150" w:firstLine="1568"/>
      </w:pPr>
      <w:r>
        <w:rPr/>
        <w:t xml:space="preserve"> </w:t>
      </w:r>
    </w:p>
    <w:p>
      <w:pPr>
        <w:pStyle w:val="null3"/>
        <w:spacing w:before="150" w:after="150"/>
        <w:ind w:left="-150" w:right="-150" w:firstLine="1568"/>
        <w:jc w:val="both"/>
      </w:pPr>
    </w:p>
    <w:p>
      <w:pPr>
        <w:pStyle w:val="null3"/>
        <w:spacing w:before="105" w:after="105"/>
        <w:ind w:left="-150" w:right="-150" w:firstLine="1568"/>
      </w:pPr>
      <w:r>
        <w:rPr>
          <w:color w:val="000000"/>
          <w:sz w:val="28"/>
          <w:shd w:fill="FFFFFF" w:val="clear"/>
        </w:rPr>
        <w:t>项目名称：</w:t>
      </w:r>
      <w:r>
        <w:rPr>
          <w:color w:val="000000"/>
          <w:sz w:val="28"/>
          <w:u w:val="single"/>
          <w:shd w:fill="FFFFFF" w:val="clear"/>
        </w:rPr>
        <w:t>广东省连山林场2024年森林质量精准提升工程</w:t>
      </w:r>
    </w:p>
    <w:p>
      <w:pPr>
        <w:pStyle w:val="null3"/>
        <w:spacing w:before="105" w:after="105"/>
        <w:ind w:left="-150" w:right="-150" w:firstLine="1568"/>
      </w:pPr>
      <w:r>
        <w:rPr/>
        <w:t xml:space="preserve"> </w:t>
      </w:r>
    </w:p>
    <w:p>
      <w:pPr>
        <w:pStyle w:val="null3"/>
        <w:spacing w:before="105" w:after="105"/>
        <w:ind w:left="-150" w:right="-150" w:firstLine="1568"/>
      </w:pPr>
    </w:p>
    <w:p>
      <w:pPr>
        <w:pStyle w:val="null3"/>
        <w:spacing w:before="105" w:after="105"/>
        <w:ind w:left="-150" w:right="-150" w:firstLine="1568"/>
      </w:pPr>
      <w:r>
        <w:rPr>
          <w:color w:val="000000"/>
          <w:sz w:val="28"/>
          <w:shd w:fill="FFFFFF" w:val="clear"/>
        </w:rPr>
        <w:t xml:space="preserve">包组号：   </w:t>
      </w:r>
    </w:p>
    <w:p>
      <w:pPr>
        <w:pStyle w:val="null3"/>
        <w:spacing w:before="105" w:after="105"/>
        <w:ind w:left="-150" w:right="-150" w:firstLine="1568"/>
      </w:pPr>
      <w:r>
        <w:rPr/>
        <w:t xml:space="preserve"> </w:t>
      </w:r>
    </w:p>
    <w:p>
      <w:pPr>
        <w:pStyle w:val="null3"/>
        <w:spacing w:before="105" w:after="105"/>
        <w:ind w:left="-150" w:right="-150" w:firstLine="1568"/>
      </w:pPr>
      <w:r>
        <w:rPr/>
        <w:t xml:space="preserve"> </w:t>
      </w:r>
    </w:p>
    <w:p>
      <w:pPr>
        <w:pStyle w:val="null3"/>
        <w:spacing w:before="105" w:after="105"/>
        <w:ind w:left="-150" w:right="-150" w:firstLine="1568"/>
      </w:pPr>
      <w:r>
        <w:rPr/>
        <w:t xml:space="preserve"> </w:t>
      </w:r>
    </w:p>
    <w:p>
      <w:pPr>
        <w:pStyle w:val="null3"/>
        <w:spacing w:before="105" w:after="105"/>
        <w:ind w:left="-150" w:right="-150" w:firstLine="1568"/>
      </w:pPr>
      <w:r>
        <w:rPr/>
        <w:t xml:space="preserve"> </w:t>
      </w:r>
    </w:p>
    <w:p>
      <w:pPr>
        <w:pStyle w:val="null3"/>
        <w:spacing w:before="105" w:after="105"/>
        <w:ind w:left="-150" w:right="-150" w:firstLine="1568"/>
      </w:pPr>
      <w:r>
        <w:rPr/>
        <w:t xml:space="preserve"> </w:t>
      </w:r>
    </w:p>
    <w:p>
      <w:pPr>
        <w:pStyle w:val="null3"/>
        <w:spacing w:before="105" w:after="105"/>
        <w:ind w:left="-150" w:right="-150" w:firstLine="1568"/>
      </w:pPr>
      <w:r>
        <w:rPr/>
        <w:t xml:space="preserve"> </w:t>
      </w:r>
    </w:p>
    <w:p>
      <w:pPr>
        <w:pStyle w:val="null3"/>
        <w:spacing w:before="105" w:after="105"/>
        <w:ind w:left="-150" w:right="-150" w:firstLine="1568"/>
      </w:pPr>
      <w:r>
        <w:rPr/>
        <w:t xml:space="preserve"> </w:t>
      </w:r>
    </w:p>
    <w:p>
      <w:pPr>
        <w:pStyle w:val="null3"/>
      </w:pPr>
    </w:p>
    <w:p>
      <w:pPr>
        <w:pStyle w:val="null3"/>
        <w:ind w:right="-150" w:firstLine="480"/>
        <w:jc w:val="both"/>
      </w:pPr>
      <w:r>
        <w:rPr>
          <w:b/>
          <w:color w:val="000000"/>
          <w:sz w:val="21"/>
          <w:shd w:fill="FFFFFF" w:val="clear"/>
        </w:rPr>
        <w:t>甲方：</w:t>
      </w:r>
      <w:r>
        <w:rPr>
          <w:color w:val="000000"/>
          <w:sz w:val="21"/>
          <w:shd w:fill="FFFFFF" w:val="clear"/>
        </w:rPr>
        <w:t>_____________</w:t>
      </w:r>
    </w:p>
    <w:p>
      <w:pPr>
        <w:pStyle w:val="null3"/>
        <w:ind w:firstLine="480"/>
        <w:jc w:val="both"/>
      </w:pPr>
      <w:r>
        <w:rPr>
          <w:color w:val="000000"/>
          <w:sz w:val="21"/>
          <w:shd w:fill="FFFFFF" w:val="clear"/>
        </w:rPr>
        <w:t>电话：_____________传真：_____________地址：_____________</w:t>
      </w:r>
    </w:p>
    <w:p>
      <w:pPr>
        <w:pStyle w:val="null3"/>
        <w:ind w:firstLine="480"/>
        <w:jc w:val="both"/>
      </w:pPr>
      <w:r>
        <w:rPr>
          <w:b/>
          <w:color w:val="000000"/>
          <w:sz w:val="21"/>
          <w:shd w:fill="FFFFFF" w:val="clear"/>
        </w:rPr>
        <w:t>乙方：</w:t>
      </w:r>
      <w:r>
        <w:rPr>
          <w:color w:val="000000"/>
          <w:sz w:val="21"/>
          <w:shd w:fill="FFFFFF" w:val="clear"/>
        </w:rPr>
        <w:t>_____________</w:t>
      </w:r>
    </w:p>
    <w:p>
      <w:pPr>
        <w:pStyle w:val="null3"/>
        <w:ind w:firstLine="480"/>
        <w:jc w:val="both"/>
      </w:pPr>
      <w:r>
        <w:rPr>
          <w:color w:val="000000"/>
          <w:sz w:val="21"/>
          <w:shd w:fill="FFFFFF" w:val="clear"/>
        </w:rPr>
        <w:t>电话：_____________传真：_____________地址：_____________</w:t>
      </w:r>
    </w:p>
    <w:p>
      <w:pPr>
        <w:pStyle w:val="null3"/>
        <w:ind w:left="-150" w:right="-150" w:firstLine="420"/>
        <w:jc w:val="both"/>
      </w:pPr>
    </w:p>
    <w:p>
      <w:pPr>
        <w:pStyle w:val="null3"/>
        <w:ind w:firstLine="420"/>
        <w:jc w:val="both"/>
      </w:pPr>
      <w:r>
        <w:rPr>
          <w:color w:val="000000"/>
          <w:sz w:val="21"/>
          <w:shd w:fill="FFFFFF" w:val="clear"/>
        </w:rPr>
        <w:t>根据</w:t>
      </w:r>
      <w:r>
        <w:rPr>
          <w:color w:val="000000"/>
          <w:sz w:val="21"/>
          <w:u w:val="single"/>
          <w:shd w:fill="FFFFFF" w:val="clear"/>
        </w:rPr>
        <w:t>广东省连山林场2024年森林质量精准提升工程</w:t>
      </w:r>
      <w:r>
        <w:rPr>
          <w:color w:val="000000"/>
          <w:sz w:val="21"/>
          <w:shd w:fill="FFFFFF" w:val="clear"/>
        </w:rPr>
        <w:t>的采购结果，按照《中华人民共和国政府采购法》，《中华人民共和国民法典》的规定，经双方协商，本着平等互利和诚实信用的原则，一致同意遵守本合同如下。</w:t>
      </w:r>
    </w:p>
    <w:p>
      <w:pPr>
        <w:pStyle w:val="null3"/>
        <w:ind w:firstLine="480"/>
        <w:jc w:val="both"/>
      </w:pPr>
      <w:r>
        <w:rPr>
          <w:b/>
          <w:color w:val="000000"/>
          <w:sz w:val="21"/>
          <w:shd w:fill="FFFFFF" w:val="clear"/>
        </w:rPr>
        <w:t>一、合同金额</w:t>
      </w:r>
    </w:p>
    <w:p>
      <w:pPr>
        <w:pStyle w:val="null3"/>
        <w:ind w:firstLine="420"/>
        <w:jc w:val="both"/>
      </w:pPr>
      <w:r>
        <w:rPr>
          <w:color w:val="000000"/>
          <w:sz w:val="21"/>
          <w:shd w:fill="FFFFFF" w:val="clear"/>
        </w:rPr>
        <w:t>合同金额为（大写）：人民币_____________元（￥_________元）。</w:t>
      </w:r>
    </w:p>
    <w:p>
      <w:pPr>
        <w:pStyle w:val="null3"/>
        <w:ind w:firstLine="480"/>
        <w:jc w:val="both"/>
      </w:pPr>
      <w:r>
        <w:rPr>
          <w:b/>
          <w:color w:val="000000"/>
          <w:sz w:val="21"/>
          <w:shd w:fill="FFFFFF" w:val="clear"/>
        </w:rPr>
        <w:t>二、</w:t>
      </w:r>
      <w:r>
        <w:rPr>
          <w:b/>
          <w:sz w:val="21"/>
        </w:rPr>
        <w:t>项目概况：</w:t>
      </w:r>
    </w:p>
    <w:p>
      <w:pPr>
        <w:pStyle w:val="null3"/>
        <w:ind w:firstLine="480"/>
        <w:jc w:val="both"/>
      </w:pPr>
      <w:r>
        <w:rPr>
          <w:sz w:val="21"/>
        </w:rPr>
        <w:t>（1）作业地点：</w:t>
      </w:r>
    </w:p>
    <w:p>
      <w:pPr>
        <w:pStyle w:val="null3"/>
        <w:ind w:firstLine="420"/>
        <w:jc w:val="both"/>
      </w:pPr>
      <w:r>
        <w:rPr>
          <w:sz w:val="21"/>
        </w:rPr>
        <w:t>主要分布在上草、巾子、大富、山口、吉田和太保6个管护站，涉及密子坪、万里坪、冷水冲、铜锣塘、水头、二〇七、天堂、横梁、蒙洞、白石、旱田、西牛和大地13个林班，共计55个作业小班。</w:t>
      </w:r>
    </w:p>
    <w:tbl>
      <w:tblPr>
        <w:tblW w:w="0" w:type="auto"/>
        <w:tblBorders>
          <w:top w:val="none" w:color="000000" w:sz="4"/>
          <w:left w:val="none" w:color="000000" w:sz="4"/>
          <w:bottom w:val="none" w:color="000000" w:sz="4"/>
          <w:right w:val="none" w:color="000000" w:sz="4"/>
          <w:insideH w:val="none"/>
          <w:insideV w:val="none"/>
        </w:tblBorders>
      </w:tblPr>
      <w:tblGrid>
        <w:gridCol w:w="863"/>
        <w:gridCol w:w="1416"/>
        <w:gridCol w:w="1416"/>
        <w:gridCol w:w="620"/>
        <w:gridCol w:w="944"/>
        <w:gridCol w:w="903"/>
        <w:gridCol w:w="755"/>
        <w:gridCol w:w="1389"/>
      </w:tblGrid>
      <w:tr>
        <w:tc>
          <w:tcPr>
            <w:tcW w:type="dxa" w:w="86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包组号</w:t>
            </w:r>
          </w:p>
        </w:tc>
        <w:tc>
          <w:tcPr>
            <w:tcW w:type="dxa" w:w="1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1"/>
              </w:rPr>
              <w:t>采购内容</w:t>
            </w:r>
          </w:p>
        </w:tc>
        <w:tc>
          <w:tcPr>
            <w:tcW w:type="dxa" w:w="14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类别</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面积</w:t>
            </w:r>
          </w:p>
        </w:tc>
        <w:tc>
          <w:tcPr>
            <w:tcW w:type="dxa" w:w="9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管护站</w:t>
            </w:r>
          </w:p>
        </w:tc>
        <w:tc>
          <w:tcPr>
            <w:tcW w:type="dxa" w:w="9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林班</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面积（亩）</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作业小班（个）</w:t>
            </w:r>
          </w:p>
        </w:tc>
      </w:tr>
      <w:tr>
        <w:tc>
          <w:tcPr>
            <w:tcW w:type="dxa" w:w="8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包组1</w:t>
            </w:r>
          </w:p>
        </w:tc>
        <w:tc>
          <w:tcPr>
            <w:tcW w:type="dxa" w:w="1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造林及新造林抚育</w:t>
            </w:r>
          </w:p>
        </w:tc>
        <w:tc>
          <w:tcPr>
            <w:tcW w:type="dxa" w:w="1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林分优化提升</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700</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上草</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万里坪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185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山口</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白石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515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3</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新造林抚育</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1400</w:t>
            </w:r>
          </w:p>
        </w:tc>
        <w:tc>
          <w:tcPr>
            <w:tcW w:type="dxa" w:w="9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上草</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铜锣塘</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68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vMerge/>
            <w:tcBorders>
              <w:top w:val="none" w:color="000000" w:sz="4"/>
              <w:left w:val="none" w:color="000000" w:sz="4"/>
              <w:bottom w:val="single" w:color="000000" w:sz="4"/>
              <w:right w:val="single" w:color="000000" w:sz="4"/>
            </w:tcBorders>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冷水冲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9</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大富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天堂</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500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3</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vMerge/>
            <w:tcBorders>
              <w:top w:val="none" w:color="000000" w:sz="4"/>
              <w:left w:val="none" w:color="000000" w:sz="4"/>
              <w:bottom w:val="single" w:color="000000" w:sz="4"/>
              <w:right w:val="single" w:color="000000" w:sz="4"/>
            </w:tcBorders>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横梁</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111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6</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vMerge/>
            <w:tcBorders>
              <w:top w:val="none" w:color="000000" w:sz="4"/>
              <w:left w:val="none" w:color="000000" w:sz="4"/>
              <w:bottom w:val="single" w:color="000000" w:sz="4"/>
              <w:right w:val="single" w:color="000000" w:sz="4"/>
            </w:tcBorders>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蒙洞</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32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3</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山口</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白石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140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4</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吉田</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西牛</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500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3</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太保</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大地</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40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w:t>
            </w:r>
          </w:p>
        </w:tc>
      </w:tr>
      <w:tr>
        <w:tc>
          <w:tcPr>
            <w:tcW w:type="dxa" w:w="8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包组2</w:t>
            </w:r>
          </w:p>
        </w:tc>
        <w:tc>
          <w:tcPr>
            <w:tcW w:type="dxa" w:w="1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中幼林抚育</w:t>
            </w:r>
          </w:p>
        </w:tc>
        <w:tc>
          <w:tcPr>
            <w:tcW w:type="dxa" w:w="1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森林抚育提升</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3800</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上草</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密子坪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821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巾子</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水头</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994</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8</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vMerge/>
            <w:tcBorders>
              <w:top w:val="none" w:color="000000" w:sz="4"/>
              <w:left w:val="none" w:color="000000" w:sz="4"/>
              <w:bottom w:val="single" w:color="000000" w:sz="4"/>
              <w:right w:val="single" w:color="000000" w:sz="4"/>
            </w:tcBorders>
          </w:tc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二〇七</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758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大富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蒙洞</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49</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山口</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旱田</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156</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w:t>
            </w:r>
          </w:p>
        </w:tc>
      </w:tr>
      <w:tr>
        <w:tc>
          <w:tcPr>
            <w:tcW w:type="dxa" w:w="863"/>
            <w:vMerge/>
            <w:tcBorders>
              <w:top w:val="none" w:color="000000" w:sz="4"/>
              <w:left w:val="singl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1416"/>
            <w:vMerge/>
            <w:tcBorders>
              <w:top w:val="none" w:color="000000" w:sz="4"/>
              <w:left w:val="non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吉田</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西牛</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1022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9</w:t>
            </w:r>
          </w:p>
        </w:tc>
      </w:tr>
    </w:tbl>
    <w:p>
      <w:pPr>
        <w:pStyle w:val="null3"/>
        <w:ind w:firstLine="480"/>
        <w:jc w:val="both"/>
      </w:pPr>
      <w:r>
        <w:rPr>
          <w:sz w:val="21"/>
        </w:rPr>
        <w:t>（2）项目建设内容及规模：</w:t>
      </w:r>
    </w:p>
    <w:tbl>
      <w:tblPr>
        <w:tblW w:w="0" w:type="auto"/>
        <w:tblBorders>
          <w:top w:val="none" w:color="000000" w:sz="4"/>
          <w:left w:val="none" w:color="000000" w:sz="4"/>
          <w:bottom w:val="none" w:color="000000" w:sz="4"/>
          <w:right w:val="none" w:color="000000" w:sz="4"/>
          <w:insideH w:val="none"/>
          <w:insideV w:val="none"/>
        </w:tblBorders>
      </w:tblPr>
      <w:tblGrid>
        <w:gridCol w:w="744"/>
        <w:gridCol w:w="1326"/>
        <w:gridCol w:w="1326"/>
        <w:gridCol w:w="1785"/>
        <w:gridCol w:w="1066"/>
        <w:gridCol w:w="2058"/>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包组号</w:t>
            </w:r>
          </w:p>
        </w:tc>
        <w:tc>
          <w:tcPr>
            <w:tcW w:type="dxa" w:w="1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b/>
                <w:sz w:val="21"/>
              </w:rPr>
              <w:t>采购内容</w:t>
            </w:r>
          </w:p>
        </w:tc>
        <w:tc>
          <w:tcPr>
            <w:tcW w:type="dxa" w:w="13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类别</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小类</w:t>
            </w:r>
          </w:p>
        </w:tc>
        <w:tc>
          <w:tcPr>
            <w:tcW w:type="dxa" w:w="10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面积（亩）</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备注</w:t>
            </w: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包组1</w:t>
            </w:r>
          </w:p>
        </w:tc>
        <w:tc>
          <w:tcPr>
            <w:tcW w:type="dxa" w:w="1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造林及新造林抚育</w:t>
            </w:r>
          </w:p>
        </w:tc>
        <w:tc>
          <w:tcPr>
            <w:tcW w:type="dxa" w:w="1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林分优化提升</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大径材培育示范建设（造林）</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185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含大径材培育示范建设造林185亩</w:t>
            </w:r>
          </w:p>
        </w:tc>
      </w:tr>
      <w:tr>
        <w:tc>
          <w:tcPr>
            <w:tcW w:type="dxa" w:w="744"/>
            <w:vMerge/>
            <w:tcBorders>
              <w:top w:val="none" w:color="000000" w:sz="4"/>
              <w:left w:val="single" w:color="000000" w:sz="4"/>
              <w:bottom w:val="single" w:color="000000" w:sz="4"/>
              <w:right w:val="single" w:color="000000" w:sz="4"/>
            </w:tcBorders>
          </w:tcPr>
          <w:p/>
        </w:tc>
        <w:tc>
          <w:tcPr>
            <w:tcW w:type="dxa" w:w="1326"/>
            <w:vMerge/>
            <w:tcBorders>
              <w:top w:val="none" w:color="000000" w:sz="4"/>
              <w:left w:val="none" w:color="000000" w:sz="4"/>
              <w:bottom w:val="single" w:color="000000" w:sz="4"/>
              <w:right w:val="single" w:color="000000" w:sz="4"/>
            </w:tcBorders>
          </w:tcPr>
          <w:p/>
        </w:tc>
        <w:tc>
          <w:tcPr>
            <w:tcW w:type="dxa" w:w="1326"/>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林分优化</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515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w:t>
            </w:r>
          </w:p>
        </w:tc>
      </w:tr>
      <w:tr>
        <w:tc>
          <w:tcPr>
            <w:tcW w:type="dxa" w:w="744"/>
            <w:vMerge/>
            <w:tcBorders>
              <w:top w:val="none" w:color="000000" w:sz="4"/>
              <w:left w:val="single" w:color="000000" w:sz="4"/>
              <w:bottom w:val="single" w:color="000000" w:sz="4"/>
              <w:right w:val="single" w:color="000000" w:sz="4"/>
            </w:tcBorders>
          </w:tcPr>
          <w:p/>
        </w:tc>
        <w:tc>
          <w:tcPr>
            <w:tcW w:type="dxa" w:w="1326"/>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新造林抚育</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新造林抚育</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1400</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2022</w:t>
            </w:r>
            <w:r>
              <w:rPr>
                <w:sz w:val="21"/>
              </w:rPr>
              <w:t>年、2023年新造林分别为400亩、1000亩</w:t>
            </w: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1"/>
              </w:rPr>
              <w:t>包组2</w:t>
            </w:r>
          </w:p>
        </w:tc>
        <w:tc>
          <w:tcPr>
            <w:tcW w:type="dxa" w:w="1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中幼林抚育</w:t>
            </w:r>
          </w:p>
        </w:tc>
        <w:tc>
          <w:tcPr>
            <w:tcW w:type="dxa" w:w="1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森林抚育提升</w:t>
            </w:r>
          </w:p>
          <w:p>
            <w:pPr>
              <w:pStyle w:val="null3"/>
              <w:ind w:firstLine="480"/>
              <w:jc w:val="center"/>
            </w:pPr>
            <w:r>
              <w:rPr>
                <w:sz w:val="21"/>
              </w:rPr>
              <w:t>（中幼林抚育）</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大径材培育示范建设（抚育，含疏伐）</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650</w:t>
            </w:r>
          </w:p>
        </w:tc>
        <w:tc>
          <w:tcPr>
            <w:tcW w:type="dxa" w:w="20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含大径材培育示范建设抚育提升1752亩，其中疏伐650亩</w:t>
            </w:r>
          </w:p>
        </w:tc>
      </w:tr>
      <w:tr>
        <w:tc>
          <w:tcPr>
            <w:tcW w:type="dxa" w:w="744"/>
            <w:vMerge/>
            <w:tcBorders>
              <w:top w:val="none" w:color="000000" w:sz="4"/>
              <w:left w:val="single" w:color="000000" w:sz="4"/>
              <w:bottom w:val="single" w:color="000000" w:sz="4"/>
              <w:right w:val="single" w:color="000000" w:sz="4"/>
            </w:tcBorders>
          </w:tcPr>
          <w:p/>
        </w:tc>
        <w:tc>
          <w:tcPr>
            <w:tcW w:type="dxa" w:w="1326"/>
            <w:vMerge/>
            <w:tcBorders>
              <w:top w:val="none" w:color="000000" w:sz="4"/>
              <w:left w:val="none" w:color="000000" w:sz="4"/>
              <w:bottom w:val="single" w:color="000000" w:sz="4"/>
              <w:right w:val="single" w:color="000000" w:sz="4"/>
            </w:tcBorders>
          </w:tcPr>
          <w:p/>
        </w:tc>
        <w:tc>
          <w:tcPr>
            <w:tcW w:type="dxa" w:w="1326"/>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大径材培育示范建设（抚育，不含疏伐）</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1102</w:t>
            </w:r>
          </w:p>
        </w:tc>
        <w:tc>
          <w:tcPr>
            <w:tcW w:type="dxa" w:w="2058"/>
            <w:vMerge/>
            <w:tcBorders>
              <w:top w:val="none" w:color="000000" w:sz="4"/>
              <w:left w:val="single" w:color="000000" w:sz="4"/>
              <w:bottom w:val="single" w:color="000000" w:sz="4"/>
              <w:right w:val="single" w:color="000000" w:sz="4"/>
            </w:tcBorders>
          </w:tcPr>
          <w:p/>
        </w:tc>
      </w:tr>
      <w:tr>
        <w:tc>
          <w:tcPr>
            <w:tcW w:type="dxa" w:w="744"/>
            <w:vMerge/>
            <w:tcBorders>
              <w:top w:val="none" w:color="000000" w:sz="4"/>
              <w:left w:val="single" w:color="000000" w:sz="4"/>
              <w:bottom w:val="single" w:color="000000" w:sz="4"/>
              <w:right w:val="single" w:color="000000" w:sz="4"/>
            </w:tcBorders>
          </w:tcPr>
          <w:p/>
        </w:tc>
        <w:tc>
          <w:tcPr>
            <w:tcW w:type="dxa" w:w="1326"/>
            <w:vMerge/>
            <w:tcBorders>
              <w:top w:val="none" w:color="000000" w:sz="4"/>
              <w:left w:val="none" w:color="000000" w:sz="4"/>
              <w:bottom w:val="single" w:color="000000" w:sz="4"/>
              <w:right w:val="single" w:color="000000" w:sz="4"/>
            </w:tcBorders>
          </w:tcPr>
          <w:p/>
        </w:tc>
        <w:tc>
          <w:tcPr>
            <w:tcW w:type="dxa" w:w="1326"/>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森林抚育</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2048</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w:t>
            </w:r>
          </w:p>
        </w:tc>
      </w:tr>
    </w:tbl>
    <w:p>
      <w:pPr>
        <w:pStyle w:val="null3"/>
        <w:ind w:firstLine="480"/>
        <w:jc w:val="both"/>
      </w:pPr>
    </w:p>
    <w:p>
      <w:pPr>
        <w:pStyle w:val="null3"/>
        <w:ind w:firstLine="480"/>
        <w:jc w:val="both"/>
      </w:pPr>
      <w:r>
        <w:rPr>
          <w:b/>
          <w:color w:val="000000"/>
          <w:sz w:val="21"/>
          <w:shd w:fill="FFFFFF" w:val="clear"/>
        </w:rPr>
        <w:t>三、甲方乙方的权利和义务</w:t>
      </w:r>
    </w:p>
    <w:p>
      <w:pPr>
        <w:pStyle w:val="null3"/>
        <w:ind w:firstLine="420"/>
        <w:jc w:val="both"/>
      </w:pPr>
      <w:r>
        <w:rPr>
          <w:sz w:val="21"/>
        </w:rPr>
        <w:t>1</w:t>
      </w:r>
      <w:r>
        <w:rPr>
          <w:sz w:val="21"/>
        </w:rPr>
        <w:t>、甲方有按招标文件内容监督乙方实施的权利，乙方须接收甲方对造林、抚育质量进度等方面的监督和验收。</w:t>
      </w:r>
    </w:p>
    <w:p>
      <w:pPr>
        <w:pStyle w:val="null3"/>
        <w:ind w:firstLine="420"/>
        <w:jc w:val="both"/>
      </w:pPr>
      <w:r>
        <w:rPr>
          <w:sz w:val="21"/>
        </w:rPr>
        <w:t>2</w:t>
      </w:r>
      <w:r>
        <w:rPr>
          <w:sz w:val="21"/>
        </w:rPr>
        <w:t>、甲方应协助乙方做好作业小班的范围、界线的划分工作，确保项目按计划完成。</w:t>
      </w:r>
    </w:p>
    <w:p>
      <w:pPr>
        <w:pStyle w:val="null3"/>
        <w:ind w:firstLine="420"/>
        <w:jc w:val="both"/>
      </w:pPr>
      <w:r>
        <w:rPr>
          <w:sz w:val="21"/>
        </w:rPr>
        <w:t>3</w:t>
      </w:r>
      <w:r>
        <w:rPr>
          <w:sz w:val="21"/>
        </w:rPr>
        <w:t>、乙方负责安全生产工作，在项目实施过程中，防治技术人员蚊虫蜂蛇叮咬等，注意山林防火。乙方负责处理好与当地的民事工作。</w:t>
      </w:r>
    </w:p>
    <w:p>
      <w:pPr>
        <w:pStyle w:val="null3"/>
        <w:ind w:firstLine="480"/>
        <w:jc w:val="both"/>
      </w:pPr>
      <w:r>
        <w:rPr>
          <w:b/>
          <w:color w:val="000000"/>
          <w:sz w:val="21"/>
          <w:shd w:fill="FFFFFF" w:val="clear"/>
        </w:rPr>
        <w:t>四、服务期间（项目完成期限）</w:t>
      </w:r>
    </w:p>
    <w:p>
      <w:pPr>
        <w:pStyle w:val="null3"/>
        <w:ind w:firstLine="420"/>
        <w:jc w:val="both"/>
      </w:pPr>
      <w:r>
        <w:rPr>
          <w:color w:val="000000"/>
          <w:sz w:val="21"/>
          <w:shd w:fill="FFFFFF" w:val="clear"/>
        </w:rPr>
        <w:t>委托服务期间自______年______月至______年______月止。</w:t>
      </w:r>
    </w:p>
    <w:p>
      <w:pPr>
        <w:pStyle w:val="null3"/>
        <w:ind w:firstLine="480"/>
        <w:jc w:val="both"/>
      </w:pPr>
      <w:r>
        <w:rPr>
          <w:b/>
          <w:color w:val="000000"/>
          <w:sz w:val="21"/>
          <w:shd w:fill="FFFFFF" w:val="clear"/>
        </w:rPr>
        <w:t>五、质量要求：</w:t>
      </w:r>
    </w:p>
    <w:p>
      <w:pPr>
        <w:pStyle w:val="null3"/>
        <w:ind w:firstLine="420"/>
        <w:jc w:val="both"/>
      </w:pPr>
      <w:r>
        <w:rPr>
          <w:color w:val="000000"/>
          <w:sz w:val="21"/>
          <w:shd w:fill="FFFFFF" w:val="clear"/>
        </w:rPr>
        <w:t>由甲方及邀请的监理公司对本项目进行全程监督及检查验收，乙方严格把控项目建设、项目质量，项目施工过程中明确分工，责任到人，本项目实行总承包，按成交价包工程量、包质量、包工期，并要求乙方确保安全文明施工。</w:t>
      </w:r>
    </w:p>
    <w:p>
      <w:pPr>
        <w:pStyle w:val="null3"/>
        <w:ind w:firstLine="420"/>
        <w:jc w:val="both"/>
      </w:pPr>
      <w:r>
        <w:rPr>
          <w:color w:val="000000"/>
          <w:sz w:val="21"/>
          <w:shd w:fill="FFFFFF" w:val="clear"/>
        </w:rPr>
        <w:t>1.</w:t>
      </w:r>
      <w:r>
        <w:rPr>
          <w:color w:val="000000"/>
          <w:sz w:val="21"/>
          <w:shd w:fill="FFFFFF" w:val="clear"/>
        </w:rPr>
        <w:t>采用GPS(卫星定位系统)定位作业小班地点。采用1:10000地形图调绘、GPS实测或罗盘仪导线测量面积。实测作业面积与上报面积误差在±5%之间时，认可小班上报面积，否则以实测作业面积作为核实面积。</w:t>
      </w:r>
    </w:p>
    <w:p>
      <w:pPr>
        <w:pStyle w:val="null3"/>
        <w:ind w:firstLine="420"/>
        <w:jc w:val="both"/>
      </w:pPr>
      <w:r>
        <w:rPr>
          <w:color w:val="000000"/>
          <w:sz w:val="21"/>
          <w:shd w:fill="FFFFFF" w:val="clear"/>
        </w:rPr>
        <w:t>2.</w:t>
      </w:r>
      <w:r>
        <w:rPr>
          <w:color w:val="000000"/>
          <w:sz w:val="21"/>
          <w:shd w:fill="FFFFFF" w:val="clear"/>
        </w:rPr>
        <w:t>检查影响目的树种生长的灌木、杂草是否割除，草头要低于10cm，是否林地裸露造成水土流失，是否保护珍稀物种及有生长潜力的幼苗、幼树。</w:t>
      </w:r>
    </w:p>
    <w:p>
      <w:pPr>
        <w:pStyle w:val="null3"/>
        <w:ind w:firstLine="420"/>
        <w:jc w:val="both"/>
      </w:pPr>
      <w:r>
        <w:rPr>
          <w:color w:val="000000"/>
          <w:sz w:val="21"/>
          <w:shd w:fill="FFFFFF" w:val="clear"/>
        </w:rPr>
        <w:t>3.</w:t>
      </w:r>
      <w:r>
        <w:rPr>
          <w:color w:val="000000"/>
          <w:sz w:val="21"/>
          <w:shd w:fill="FFFFFF" w:val="clear"/>
        </w:rPr>
        <w:t>检查是否按照病虫害防治、森林防火等要求进行了场地处理，抚育剩余物是否按一定间距均匀堆放。</w:t>
      </w:r>
    </w:p>
    <w:p>
      <w:pPr>
        <w:pStyle w:val="null3"/>
        <w:ind w:firstLine="480"/>
        <w:jc w:val="both"/>
      </w:pPr>
      <w:r>
        <w:rPr>
          <w:b/>
          <w:color w:val="000000"/>
          <w:sz w:val="21"/>
          <w:shd w:fill="FFFFFF" w:val="clear"/>
        </w:rPr>
        <w:t>六、验收要求</w:t>
      </w:r>
    </w:p>
    <w:p>
      <w:pPr>
        <w:pStyle w:val="null3"/>
        <w:ind w:firstLine="422"/>
        <w:jc w:val="both"/>
      </w:pPr>
      <w:r>
        <w:rPr>
          <w:b/>
          <w:color w:val="000000"/>
          <w:sz w:val="21"/>
          <w:shd w:fill="FFFFFF" w:val="clear"/>
        </w:rPr>
        <w:t>包组1：</w:t>
      </w:r>
    </w:p>
    <w:p>
      <w:pPr>
        <w:pStyle w:val="null3"/>
        <w:ind w:firstLine="420"/>
        <w:jc w:val="both"/>
      </w:pPr>
      <w:r>
        <w:rPr>
          <w:color w:val="000000"/>
          <w:sz w:val="21"/>
          <w:shd w:fill="FFFFFF" w:val="clear"/>
        </w:rPr>
        <w:t>乙方在完成种植一个月内进行一次自查补植，补植时应尽量使用同龄苗。完成补植后一个月和当年抚育完成后甲方要组织监理单位、乙方进行全面检查验收。种植阶段检查验收主要检查造林面积、造林密度、造林苗木质量、成活率（要求达95%以上）、施肥质量等要素。抚育阶段检查验收主要抚育面积核实、成活率（要求达90%以上）、抚育施肥质量等抚育措施检查。</w:t>
      </w:r>
    </w:p>
    <w:p>
      <w:pPr>
        <w:pStyle w:val="null3"/>
        <w:ind w:firstLine="422"/>
        <w:jc w:val="both"/>
      </w:pPr>
      <w:r>
        <w:rPr>
          <w:b/>
          <w:color w:val="000000"/>
          <w:sz w:val="21"/>
          <w:shd w:fill="FFFFFF" w:val="clear"/>
        </w:rPr>
        <w:t>包组2：</w:t>
      </w:r>
    </w:p>
    <w:p>
      <w:pPr>
        <w:pStyle w:val="null3"/>
        <w:ind w:firstLine="420"/>
        <w:jc w:val="both"/>
      </w:pPr>
      <w:r>
        <w:rPr>
          <w:color w:val="000000"/>
          <w:sz w:val="21"/>
          <w:shd w:fill="FFFFFF" w:val="clear"/>
        </w:rPr>
        <w:t>抚育阶段检查验收主要抚育面积核实、成活率（要求达90%以上）、抚育施肥质量等抚育措施检查。</w:t>
      </w:r>
    </w:p>
    <w:p>
      <w:pPr>
        <w:pStyle w:val="null3"/>
        <w:ind w:firstLine="480"/>
        <w:jc w:val="both"/>
      </w:pPr>
      <w:r>
        <w:rPr>
          <w:b/>
          <w:color w:val="000000"/>
          <w:sz w:val="21"/>
          <w:shd w:fill="FFFFFF" w:val="clear"/>
        </w:rPr>
        <w:t>七、付款方式</w:t>
      </w:r>
    </w:p>
    <w:p>
      <w:pPr>
        <w:pStyle w:val="null3"/>
        <w:ind w:left="420" w:firstLine="480"/>
      </w:pPr>
      <w:r>
        <w:rPr>
          <w:color w:val="000000"/>
          <w:sz w:val="21"/>
        </w:rPr>
        <w:t>1</w:t>
      </w:r>
      <w:r>
        <w:rPr>
          <w:color w:val="000000"/>
          <w:sz w:val="21"/>
        </w:rPr>
        <w:t>、由甲方按下列程序付款：</w:t>
      </w:r>
    </w:p>
    <w:p>
      <w:pPr>
        <w:pStyle w:val="null3"/>
        <w:ind w:firstLine="480"/>
        <w:jc w:val="left"/>
      </w:pPr>
      <w:r>
        <w:rPr>
          <w:b/>
          <w:color w:val="000000"/>
          <w:sz w:val="21"/>
        </w:rPr>
        <w:t>（1）包组1：</w:t>
      </w:r>
    </w:p>
    <w:p>
      <w:pPr>
        <w:pStyle w:val="null3"/>
        <w:ind w:firstLine="480"/>
        <w:jc w:val="left"/>
      </w:pPr>
      <w:r>
        <w:rPr>
          <w:color w:val="000000"/>
          <w:sz w:val="21"/>
        </w:rPr>
        <w:t>1</w:t>
      </w:r>
      <w:r>
        <w:rPr>
          <w:color w:val="000000"/>
          <w:sz w:val="21"/>
        </w:rPr>
        <w:t>期：支付比例40%，签订合同后5个工作日内，甲方支付合同价款的40%为预付款；</w:t>
      </w:r>
    </w:p>
    <w:p>
      <w:pPr>
        <w:pStyle w:val="null3"/>
        <w:ind w:firstLine="480"/>
        <w:jc w:val="left"/>
      </w:pPr>
      <w:r>
        <w:rPr>
          <w:color w:val="000000"/>
          <w:sz w:val="21"/>
        </w:rPr>
        <w:t>2</w:t>
      </w:r>
      <w:r>
        <w:rPr>
          <w:color w:val="000000"/>
          <w:sz w:val="21"/>
        </w:rPr>
        <w:t>期：支付比例30%，当完成造林任务后，经甲方和监理单位实地核查，完成合格面积核实率达100%后，凭监理单位出具的监理报告经甲方相关验收部门验收合格后，甲方支付合同总价的30%。</w:t>
      </w:r>
    </w:p>
    <w:p>
      <w:pPr>
        <w:pStyle w:val="null3"/>
      </w:pPr>
      <w:r>
        <w:rPr>
          <w:color w:val="000000"/>
          <w:sz w:val="21"/>
          <w:shd w:fill="FFFFFF" w:val="clear"/>
        </w:rPr>
        <w:t>3</w:t>
      </w:r>
      <w:r>
        <w:rPr>
          <w:color w:val="000000"/>
          <w:sz w:val="21"/>
          <w:shd w:fill="FFFFFF" w:val="clear"/>
        </w:rPr>
        <w:t>期：支付比例</w:t>
      </w:r>
      <w:r>
        <w:rPr>
          <w:color w:val="000000"/>
          <w:sz w:val="21"/>
          <w:shd w:fill="FFFFFF" w:val="clear"/>
        </w:rPr>
        <w:t>30%</w:t>
      </w:r>
      <w:r>
        <w:rPr>
          <w:color w:val="000000"/>
          <w:sz w:val="21"/>
          <w:shd w:fill="FFFFFF" w:val="clear"/>
        </w:rPr>
        <w:t>，当项目全面完成后，经甲方和监理单位实地核查，完成合格面积核实率达100%后，凭监理单位出具的监理报告经甲方相关验收部门验收合格后，甲方支付合同总价的30%。</w:t>
      </w:r>
    </w:p>
    <w:p>
      <w:pPr>
        <w:pStyle w:val="null3"/>
      </w:pPr>
      <w:r>
        <w:rPr>
          <w:b/>
          <w:color w:val="000000"/>
          <w:sz w:val="21"/>
        </w:rPr>
        <w:t>（2）包组2：</w:t>
      </w:r>
    </w:p>
    <w:p>
      <w:pPr>
        <w:pStyle w:val="null3"/>
        <w:ind w:firstLine="480"/>
        <w:jc w:val="left"/>
      </w:pPr>
      <w:r>
        <w:rPr>
          <w:color w:val="000000"/>
          <w:sz w:val="21"/>
        </w:rPr>
        <w:t>1</w:t>
      </w:r>
      <w:r>
        <w:rPr>
          <w:color w:val="000000"/>
          <w:sz w:val="21"/>
        </w:rPr>
        <w:t>期：支付比例40%，签订合同后5个工作日内，甲方支付合同价款的40%为预付款；</w:t>
      </w:r>
    </w:p>
    <w:p>
      <w:pPr>
        <w:pStyle w:val="null3"/>
        <w:ind w:firstLine="480"/>
        <w:jc w:val="left"/>
      </w:pPr>
      <w:r>
        <w:rPr>
          <w:color w:val="000000"/>
          <w:sz w:val="21"/>
        </w:rPr>
        <w:t>2</w:t>
      </w:r>
      <w:r>
        <w:rPr>
          <w:color w:val="000000"/>
          <w:sz w:val="21"/>
        </w:rPr>
        <w:t>期：支付比例30%，</w:t>
      </w:r>
      <w:r>
        <w:rPr>
          <w:color w:val="000000"/>
          <w:sz w:val="21"/>
        </w:rPr>
        <w:t>当完成抚育任务60%后</w:t>
      </w:r>
      <w:r>
        <w:rPr>
          <w:color w:val="000000"/>
          <w:sz w:val="21"/>
        </w:rPr>
        <w:t>，经甲方和监理单位实地核查，完成合格面积核实率达100%后，凭监理单位出具的监理报告经甲方相关验收部门验收合格后，甲方支付合同总价的30%。</w:t>
      </w:r>
    </w:p>
    <w:p>
      <w:pPr>
        <w:pStyle w:val="null3"/>
      </w:pPr>
      <w:r>
        <w:rPr>
          <w:color w:val="000000"/>
          <w:sz w:val="21"/>
          <w:shd w:fill="FFFFFF" w:val="clear"/>
        </w:rPr>
        <w:t>3</w:t>
      </w:r>
      <w:r>
        <w:rPr>
          <w:color w:val="000000"/>
          <w:sz w:val="21"/>
          <w:shd w:fill="FFFFFF" w:val="clear"/>
        </w:rPr>
        <w:t>期：支付比例</w:t>
      </w:r>
      <w:r>
        <w:rPr>
          <w:color w:val="000000"/>
          <w:sz w:val="21"/>
          <w:shd w:fill="FFFFFF" w:val="clear"/>
        </w:rPr>
        <w:t>30%</w:t>
      </w:r>
      <w:r>
        <w:rPr>
          <w:color w:val="000000"/>
          <w:sz w:val="21"/>
          <w:shd w:fill="FFFFFF" w:val="clear"/>
        </w:rPr>
        <w:t>，当项目全面完成后，经甲方和监理单位实地核查，完成合格面积核实率达100%后，凭监理单位出具的监理报告经甲方相关验收部门验收合格后，甲方支付合同总价的30%。</w:t>
      </w:r>
    </w:p>
    <w:p>
      <w:pPr>
        <w:pStyle w:val="null3"/>
        <w:ind w:left="420" w:firstLine="480"/>
      </w:pPr>
      <w:r>
        <w:rPr>
          <w:color w:val="000000"/>
          <w:sz w:val="21"/>
        </w:rPr>
        <w:t>2</w:t>
      </w:r>
      <w:r>
        <w:rPr>
          <w:color w:val="000000"/>
          <w:sz w:val="21"/>
        </w:rPr>
        <w:t>、乙方凭以下有效文件与甲方结算：</w:t>
      </w:r>
    </w:p>
    <w:p>
      <w:pPr>
        <w:pStyle w:val="null3"/>
        <w:ind w:left="420" w:firstLine="480"/>
      </w:pPr>
      <w:r>
        <w:rPr>
          <w:color w:val="000000"/>
          <w:sz w:val="21"/>
        </w:rPr>
        <w:t>（1）合同；</w:t>
      </w:r>
    </w:p>
    <w:p>
      <w:pPr>
        <w:pStyle w:val="null3"/>
        <w:ind w:left="420" w:firstLine="480"/>
      </w:pPr>
      <w:r>
        <w:rPr>
          <w:color w:val="000000"/>
          <w:sz w:val="21"/>
        </w:rPr>
        <w:t>（2）成交供应商开具的正式发票；</w:t>
      </w:r>
    </w:p>
    <w:p>
      <w:pPr>
        <w:pStyle w:val="null3"/>
        <w:ind w:left="420" w:firstLine="480"/>
      </w:pPr>
      <w:r>
        <w:rPr>
          <w:color w:val="000000"/>
          <w:sz w:val="21"/>
        </w:rPr>
        <w:t>（3）成交通知书；</w:t>
      </w:r>
    </w:p>
    <w:p>
      <w:pPr>
        <w:pStyle w:val="null3"/>
        <w:ind w:left="420" w:firstLine="480"/>
      </w:pPr>
      <w:r>
        <w:rPr>
          <w:color w:val="000000"/>
          <w:sz w:val="21"/>
        </w:rPr>
        <w:t>（4）竣工验收报告/竣工报告/监理报告（加盖甲方公章）。</w:t>
      </w:r>
    </w:p>
    <w:p>
      <w:pPr>
        <w:pStyle w:val="null3"/>
        <w:ind w:firstLine="420"/>
      </w:pPr>
      <w:r>
        <w:rPr>
          <w:color w:val="000000"/>
          <w:sz w:val="21"/>
        </w:rPr>
        <w:t>3</w:t>
      </w:r>
      <w:r>
        <w:rPr>
          <w:color w:val="000000"/>
          <w:sz w:val="21"/>
        </w:rPr>
        <w:t>、因甲方使用的是财政资金，甲方在前款规定的付款时间为向政府采购支付部门提出办理财政支付申请手续的时间（不含政府财政支付部门审核的时间）。</w:t>
      </w:r>
    </w:p>
    <w:p>
      <w:pPr>
        <w:pStyle w:val="null3"/>
        <w:ind w:firstLine="480"/>
        <w:jc w:val="both"/>
      </w:pPr>
      <w:r>
        <w:rPr>
          <w:b/>
          <w:color w:val="000000"/>
          <w:sz w:val="21"/>
          <w:shd w:fill="FFFFFF" w:val="clear"/>
        </w:rPr>
        <w:t>八、知识产权归属</w:t>
      </w:r>
    </w:p>
    <w:p>
      <w:pPr>
        <w:pStyle w:val="null3"/>
        <w:ind w:firstLine="420"/>
        <w:jc w:val="both"/>
      </w:pPr>
      <w:r>
        <w:rPr>
          <w:color w:val="000000"/>
          <w:sz w:val="21"/>
          <w:shd w:fill="FFFFFF" w:val="clear"/>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0"/>
        <w:jc w:val="both"/>
      </w:pPr>
      <w:r>
        <w:rPr>
          <w:b/>
          <w:color w:val="000000"/>
          <w:sz w:val="21"/>
          <w:shd w:fill="FFFFFF" w:val="clear"/>
        </w:rPr>
        <w:t>九、保密</w:t>
      </w:r>
    </w:p>
    <w:p>
      <w:pPr>
        <w:pStyle w:val="null3"/>
        <w:ind w:firstLine="420"/>
        <w:jc w:val="both"/>
      </w:pPr>
      <w:r>
        <w:rPr>
          <w:color w:val="000000"/>
          <w:sz w:val="21"/>
          <w:shd w:fill="FFFFFF" w:val="clear"/>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ind w:firstLine="420"/>
        <w:jc w:val="both"/>
      </w:pPr>
      <w:r>
        <w:rPr>
          <w:color w:val="000000"/>
          <w:sz w:val="21"/>
          <w:shd w:fill="FFFFFF" w:val="clear"/>
        </w:rPr>
        <w:t>1</w:t>
      </w:r>
      <w:r>
        <w:rPr>
          <w:color w:val="000000"/>
          <w:sz w:val="21"/>
          <w:shd w:fill="FFFFFF" w:val="clear"/>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color w:val="000000"/>
          <w:sz w:val="21"/>
          <w:shd w:fill="FFFFFF" w:val="clear"/>
        </w:rPr>
        <w:t>2</w:t>
      </w:r>
      <w:r>
        <w:rPr>
          <w:color w:val="000000"/>
          <w:sz w:val="21"/>
          <w:shd w:fill="FFFFFF" w:val="clear"/>
        </w:rPr>
        <w:t>、除了合同本身之外，上款所列举的任何物件均是乙方的财产。如果乙方有要求，甲方在完成合同后应将这些物件及全部复制件还给乙方。</w:t>
      </w:r>
    </w:p>
    <w:p>
      <w:pPr>
        <w:pStyle w:val="null3"/>
        <w:ind w:firstLine="480"/>
        <w:jc w:val="both"/>
      </w:pPr>
      <w:r>
        <w:rPr>
          <w:b/>
          <w:color w:val="000000"/>
          <w:sz w:val="21"/>
          <w:shd w:fill="FFFFFF" w:val="clear"/>
        </w:rPr>
        <w:t>十、违约责任与赔偿损失</w:t>
      </w:r>
    </w:p>
    <w:p>
      <w:pPr>
        <w:pStyle w:val="null3"/>
        <w:ind w:firstLine="420"/>
        <w:jc w:val="both"/>
      </w:pPr>
      <w:r>
        <w:rPr>
          <w:color w:val="000000"/>
          <w:sz w:val="21"/>
          <w:shd w:fill="FFFFFF" w:val="clear"/>
        </w:rPr>
        <w:t>1</w:t>
      </w:r>
      <w:r>
        <w:rPr>
          <w:color w:val="000000"/>
          <w:sz w:val="21"/>
          <w:shd w:fill="FFFFFF" w:val="clear"/>
        </w:rPr>
        <w:t>、乙方提供的服务不符合本合同规定的，甲方有权拒收，并且乙方须向甲方方支付本合同总价5%的违约金。</w:t>
      </w:r>
    </w:p>
    <w:p>
      <w:pPr>
        <w:pStyle w:val="null3"/>
        <w:ind w:firstLine="420"/>
        <w:jc w:val="both"/>
      </w:pPr>
      <w:r>
        <w:rPr>
          <w:color w:val="000000"/>
          <w:sz w:val="21"/>
          <w:shd w:fill="FFFFFF" w:val="clear"/>
        </w:rPr>
        <w:t>2</w:t>
      </w:r>
      <w:r>
        <w:rPr>
          <w:color w:val="000000"/>
          <w:sz w:val="21"/>
          <w:shd w:fill="FFFFFF" w:val="clear"/>
        </w:rPr>
        <w:t>、乙方未能按本合同规定的交货时间提供服务，从逾期之日起每日按本合同总价3‰的数额向甲方支付违约金；逾期半个月以上的，甲方有权终止合同，由此造成的甲方经济损失由乙方承担。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color w:val="000000"/>
          <w:sz w:val="21"/>
          <w:shd w:fill="FFFFFF" w:val="clear"/>
        </w:rPr>
        <w:t>3</w:t>
      </w:r>
      <w:r>
        <w:rPr>
          <w:color w:val="000000"/>
          <w:sz w:val="21"/>
          <w:shd w:fill="FFFFFF" w:val="clear"/>
        </w:rPr>
        <w:t>、甲方无正当理由拒收接受服务，到期拒付服务款项的，甲方向乙方偿付本合同总的5%的违约金。甲方人逾期付款，则每日按本合同总价的3‰向乙方偿付违约金。</w:t>
      </w:r>
    </w:p>
    <w:p>
      <w:pPr>
        <w:pStyle w:val="null3"/>
        <w:ind w:firstLine="420"/>
        <w:jc w:val="both"/>
      </w:pPr>
      <w:r>
        <w:rPr>
          <w:color w:val="000000"/>
          <w:sz w:val="21"/>
          <w:shd w:fill="FFFFFF" w:val="clear"/>
        </w:rPr>
        <w:t>4</w:t>
      </w:r>
      <w:r>
        <w:rPr>
          <w:color w:val="000000"/>
          <w:sz w:val="21"/>
          <w:shd w:fill="FFFFFF" w:val="clear"/>
        </w:rPr>
        <w:t>、对于因甲方原因导致变更、中止或者终止政府采购合同的，甲方应当依照以下合同约定对供应商受到的损失予以赔偿或者补偿：______________________________________________________________</w:t>
      </w:r>
    </w:p>
    <w:p>
      <w:pPr>
        <w:pStyle w:val="null3"/>
        <w:ind w:firstLine="420"/>
        <w:jc w:val="both"/>
      </w:pPr>
      <w:r>
        <w:rPr>
          <w:color w:val="000000"/>
          <w:sz w:val="21"/>
          <w:shd w:fill="FFFFFF" w:val="clear"/>
        </w:rPr>
        <w:t>5</w:t>
      </w:r>
      <w:r>
        <w:rPr>
          <w:color w:val="000000"/>
          <w:sz w:val="21"/>
          <w:shd w:fill="FFFFFF" w:val="clear"/>
        </w:rPr>
        <w:t>、其它违约责任按《中华人民共和国民法典(合同编)》处理。</w:t>
      </w:r>
    </w:p>
    <w:p>
      <w:pPr>
        <w:pStyle w:val="null3"/>
        <w:ind w:firstLine="480"/>
        <w:jc w:val="both"/>
      </w:pPr>
      <w:r>
        <w:rPr>
          <w:b/>
          <w:color w:val="000000"/>
          <w:sz w:val="21"/>
          <w:shd w:fill="FFFFFF" w:val="clear"/>
        </w:rPr>
        <w:t>十一、争议的解决</w:t>
      </w:r>
    </w:p>
    <w:p>
      <w:pPr>
        <w:pStyle w:val="null3"/>
        <w:ind w:firstLine="420"/>
        <w:jc w:val="both"/>
      </w:pPr>
      <w:r>
        <w:rPr>
          <w:color w:val="000000"/>
          <w:sz w:val="21"/>
          <w:shd w:fill="FFFFFF" w:val="clear"/>
        </w:rPr>
        <w:t>合同执行过程中发生的任何争议，如双方不能通过友好协商解决，按相关法律法规处理。</w:t>
      </w:r>
    </w:p>
    <w:p>
      <w:pPr>
        <w:pStyle w:val="null3"/>
        <w:ind w:firstLine="480"/>
        <w:jc w:val="both"/>
      </w:pPr>
      <w:r>
        <w:rPr>
          <w:b/>
          <w:color w:val="000000"/>
          <w:sz w:val="21"/>
          <w:shd w:fill="FFFFFF" w:val="clear"/>
        </w:rPr>
        <w:t>十二、不可抗力</w:t>
      </w:r>
    </w:p>
    <w:p>
      <w:pPr>
        <w:pStyle w:val="null3"/>
        <w:ind w:firstLine="420"/>
        <w:jc w:val="both"/>
      </w:pPr>
      <w:r>
        <w:rPr>
          <w:color w:val="000000"/>
          <w:sz w:val="21"/>
          <w:shd w:fill="FFFFFF" w:val="clear"/>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color w:val="000000"/>
          <w:sz w:val="21"/>
          <w:shd w:fill="FFFFFF" w:val="clear"/>
        </w:rPr>
        <w:t>十三、税费</w:t>
      </w:r>
    </w:p>
    <w:p>
      <w:pPr>
        <w:pStyle w:val="null3"/>
        <w:ind w:firstLine="420"/>
        <w:jc w:val="both"/>
      </w:pPr>
      <w:r>
        <w:rPr>
          <w:color w:val="000000"/>
          <w:sz w:val="21"/>
          <w:shd w:fill="FFFFFF" w:val="clear"/>
        </w:rPr>
        <w:t>在中国境内、外发生的与本合同执行有关的一切税费均由乙方负担。</w:t>
      </w:r>
    </w:p>
    <w:p>
      <w:pPr>
        <w:pStyle w:val="null3"/>
        <w:ind w:firstLine="480"/>
        <w:jc w:val="both"/>
      </w:pPr>
      <w:r>
        <w:rPr>
          <w:b/>
          <w:color w:val="000000"/>
          <w:sz w:val="21"/>
          <w:shd w:fill="FFFFFF" w:val="clear"/>
        </w:rPr>
        <w:t>十四、其它</w:t>
      </w:r>
    </w:p>
    <w:p>
      <w:pPr>
        <w:pStyle w:val="null3"/>
        <w:ind w:firstLine="420"/>
        <w:jc w:val="both"/>
      </w:pPr>
      <w:r>
        <w:rPr>
          <w:color w:val="000000"/>
          <w:sz w:val="21"/>
          <w:shd w:fill="FFFFFF" w:val="clear"/>
        </w:rPr>
        <w:t>1</w:t>
      </w:r>
      <w:r>
        <w:rPr>
          <w:color w:val="000000"/>
          <w:sz w:val="21"/>
          <w:shd w:fill="FFFFFF" w:val="clear"/>
        </w:rPr>
        <w:t>、本合同所有附件、招标文件、投标文件、中标通知书均为合同的有效组成部分，与本合同具有同等法律效力。</w:t>
      </w:r>
    </w:p>
    <w:p>
      <w:pPr>
        <w:pStyle w:val="null3"/>
        <w:ind w:firstLine="420"/>
        <w:jc w:val="both"/>
      </w:pPr>
      <w:r>
        <w:rPr>
          <w:color w:val="000000"/>
          <w:sz w:val="21"/>
          <w:shd w:fill="FFFFFF" w:val="clear"/>
        </w:rPr>
        <w:t>2</w:t>
      </w:r>
      <w:r>
        <w:rPr>
          <w:color w:val="000000"/>
          <w:sz w:val="21"/>
          <w:shd w:fill="FFFFFF" w:val="clear"/>
        </w:rPr>
        <w:t>、在执行本合同的过程中，所有经双方签署确认的文件（包括会议纪要、补充协议、往来信函）即成为本合同的有效组成部分。</w:t>
      </w:r>
    </w:p>
    <w:p>
      <w:pPr>
        <w:pStyle w:val="null3"/>
        <w:ind w:firstLine="420"/>
        <w:jc w:val="both"/>
      </w:pPr>
      <w:r>
        <w:rPr>
          <w:color w:val="000000"/>
          <w:sz w:val="21"/>
          <w:shd w:fill="FFFFFF" w:val="clear"/>
        </w:rPr>
        <w:t>3</w:t>
      </w:r>
      <w:r>
        <w:rPr>
          <w:color w:val="000000"/>
          <w:sz w:val="21"/>
          <w:shd w:fill="FFFFFF" w:val="clear"/>
        </w:rPr>
        <w:t>、如一方地址、电话、传真号码有变更，应在变更当日内书面通知对方，否则，应承担相应责任。</w:t>
      </w:r>
    </w:p>
    <w:p>
      <w:pPr>
        <w:pStyle w:val="null3"/>
        <w:ind w:firstLine="420"/>
        <w:jc w:val="both"/>
      </w:pPr>
      <w:r>
        <w:rPr>
          <w:color w:val="000000"/>
          <w:sz w:val="21"/>
          <w:shd w:fill="FFFFFF" w:val="clear"/>
        </w:rPr>
        <w:t>4</w:t>
      </w:r>
      <w:r>
        <w:rPr>
          <w:color w:val="000000"/>
          <w:sz w:val="21"/>
          <w:shd w:fill="FFFFFF" w:val="clear"/>
        </w:rPr>
        <w:t>、除甲方事先书面同意外，乙方不得部分或全部转让其应履行的合同项下的义务。</w:t>
      </w:r>
    </w:p>
    <w:p>
      <w:pPr>
        <w:pStyle w:val="null3"/>
        <w:ind w:firstLine="480"/>
        <w:jc w:val="both"/>
      </w:pPr>
      <w:r>
        <w:rPr>
          <w:b/>
          <w:color w:val="000000"/>
          <w:sz w:val="21"/>
          <w:shd w:fill="FFFFFF" w:val="clear"/>
        </w:rPr>
        <w:t>十五、合同生效</w:t>
      </w:r>
    </w:p>
    <w:p>
      <w:pPr>
        <w:pStyle w:val="null3"/>
        <w:ind w:firstLine="420"/>
        <w:jc w:val="both"/>
      </w:pPr>
      <w:r>
        <w:rPr>
          <w:color w:val="000000"/>
          <w:sz w:val="21"/>
          <w:shd w:fill="FFFFFF" w:val="clear"/>
        </w:rPr>
        <w:t>1</w:t>
      </w:r>
      <w:r>
        <w:rPr>
          <w:color w:val="000000"/>
          <w:sz w:val="21"/>
          <w:shd w:fill="FFFFFF" w:val="clear"/>
        </w:rPr>
        <w:t>、本合同在甲乙双方法人代表或其授权代表签字盖章后生效。</w:t>
      </w:r>
    </w:p>
    <w:p>
      <w:pPr>
        <w:pStyle w:val="null3"/>
        <w:ind w:firstLine="420"/>
        <w:jc w:val="both"/>
      </w:pPr>
      <w:r>
        <w:rPr>
          <w:color w:val="000000"/>
          <w:sz w:val="21"/>
          <w:shd w:fill="FFFFFF" w:val="clear"/>
        </w:rPr>
        <w:t>2</w:t>
      </w:r>
      <w:r>
        <w:rPr>
          <w:color w:val="000000"/>
          <w:sz w:val="21"/>
          <w:shd w:fill="FFFFFF" w:val="clear"/>
        </w:rPr>
        <w:t>、合同一式_____________份。</w:t>
      </w:r>
    </w:p>
    <w:p>
      <w:pPr>
        <w:pStyle w:val="null3"/>
        <w:spacing w:before="45"/>
        <w:ind w:firstLine="420"/>
      </w:pPr>
    </w:p>
    <w:tbl>
      <w:tblPr>
        <w:tblW w:w="0" w:type="auto"/>
        <w:tblBorders>
          <w:top w:val="single"/>
          <w:left w:val="single"/>
          <w:bottom w:val="single"/>
          <w:right w:val="single"/>
          <w:insideH w:val="single"/>
          <w:insideV w:val="single"/>
        </w:tblBorders>
      </w:tblPr>
      <w:tblGrid>
        <w:gridCol w:w="4043"/>
        <w:gridCol w:w="4275"/>
      </w:tblGrid>
      <w:tr>
        <w:tc>
          <w:tcPr>
            <w:tcW w:type="dxa" w:w="4043"/>
            <w:tcMar>
              <w:top w:type="dxa" w:w="0"/>
              <w:left w:type="dxa" w:w="105"/>
              <w:bottom w:type="dxa" w:w="0"/>
              <w:right w:type="dxa" w:w="105"/>
            </w:tcMar>
            <w:vAlign w:val="top"/>
          </w:tcPr>
          <w:p>
            <w:pPr>
              <w:pStyle w:val="null3"/>
            </w:pPr>
            <w:r>
              <w:rPr>
                <w:b/>
                <w:sz w:val="21"/>
              </w:rPr>
              <w:t>甲方（盖章）：</w:t>
            </w:r>
          </w:p>
        </w:tc>
        <w:tc>
          <w:tcPr>
            <w:tcW w:type="dxa" w:w="4275"/>
            <w:tcMar>
              <w:top w:type="dxa" w:w="0"/>
              <w:left w:type="dxa" w:w="105"/>
              <w:bottom w:type="dxa" w:w="0"/>
              <w:right w:type="dxa" w:w="105"/>
            </w:tcMar>
            <w:vAlign w:val="top"/>
          </w:tcPr>
          <w:p>
            <w:pPr>
              <w:pStyle w:val="null3"/>
            </w:pPr>
            <w:r>
              <w:rPr>
                <w:b/>
                <w:sz w:val="21"/>
              </w:rPr>
              <w:t>乙方（盖章）：</w:t>
            </w:r>
          </w:p>
        </w:tc>
      </w:tr>
      <w:tr>
        <w:tc>
          <w:tcPr>
            <w:tcW w:type="dxa" w:w="4043"/>
            <w:tcMar>
              <w:top w:type="dxa" w:w="0"/>
              <w:left w:type="dxa" w:w="105"/>
              <w:bottom w:type="dxa" w:w="0"/>
              <w:right w:type="dxa" w:w="105"/>
            </w:tcMar>
            <w:vAlign w:val="top"/>
          </w:tcPr>
          <w:p>
            <w:pPr>
              <w:pStyle w:val="null3"/>
            </w:pPr>
            <w:r>
              <w:rPr>
                <w:b/>
                <w:sz w:val="21"/>
              </w:rPr>
              <w:t>代表：</w:t>
            </w:r>
          </w:p>
        </w:tc>
        <w:tc>
          <w:tcPr>
            <w:tcW w:type="dxa" w:w="4275"/>
            <w:tcMar>
              <w:top w:type="dxa" w:w="0"/>
              <w:left w:type="dxa" w:w="105"/>
              <w:bottom w:type="dxa" w:w="0"/>
              <w:right w:type="dxa" w:w="105"/>
            </w:tcMar>
            <w:vAlign w:val="top"/>
          </w:tcPr>
          <w:p>
            <w:pPr>
              <w:pStyle w:val="null3"/>
            </w:pPr>
            <w:r>
              <w:rPr>
                <w:b/>
                <w:sz w:val="21"/>
              </w:rPr>
              <w:t>代表：</w:t>
            </w:r>
          </w:p>
        </w:tc>
      </w:tr>
      <w:tr>
        <w:tc>
          <w:tcPr>
            <w:tcW w:type="dxa" w:w="8318"/>
            <w:gridSpan w:val="2"/>
            <w:tcMar>
              <w:top w:type="dxa" w:w="0"/>
              <w:left w:type="dxa" w:w="105"/>
              <w:bottom w:type="dxa" w:w="0"/>
              <w:right w:type="dxa" w:w="105"/>
            </w:tcMar>
            <w:vAlign w:val="top"/>
          </w:tcPr>
          <w:p>
            <w:pPr>
              <w:pStyle w:val="null3"/>
            </w:pPr>
            <w:r>
              <w:rPr>
                <w:sz w:val="21"/>
              </w:rPr>
              <w:t>签订地点：</w:t>
            </w:r>
          </w:p>
        </w:tc>
      </w:tr>
      <w:tr>
        <w:tc>
          <w:tcPr>
            <w:tcW w:type="dxa" w:w="4043"/>
            <w:tcMar>
              <w:top w:type="dxa" w:w="0"/>
              <w:left w:type="dxa" w:w="105"/>
              <w:bottom w:type="dxa" w:w="0"/>
              <w:right w:type="dxa" w:w="105"/>
            </w:tcMar>
            <w:vAlign w:val="top"/>
          </w:tcPr>
          <w:p>
            <w:pPr>
              <w:pStyle w:val="null3"/>
            </w:pPr>
            <w:r>
              <w:rPr>
                <w:sz w:val="21"/>
              </w:rPr>
              <w:t>签订日期：        年     月    日</w:t>
            </w:r>
          </w:p>
        </w:tc>
        <w:tc>
          <w:tcPr>
            <w:tcW w:type="dxa" w:w="4275"/>
            <w:tcMar>
              <w:top w:type="dxa" w:w="0"/>
              <w:left w:type="dxa" w:w="105"/>
              <w:bottom w:type="dxa" w:w="0"/>
              <w:right w:type="dxa" w:w="105"/>
            </w:tcMar>
            <w:vAlign w:val="top"/>
          </w:tcPr>
          <w:p>
            <w:pPr>
              <w:pStyle w:val="null3"/>
            </w:pPr>
            <w:r>
              <w:rPr>
                <w:sz w:val="21"/>
              </w:rPr>
              <w:t>签订日期：    年    月    日</w:t>
            </w:r>
          </w:p>
        </w:tc>
      </w:tr>
      <w:tr>
        <w:tc>
          <w:tcPr>
            <w:tcW w:type="dxa" w:w="4043"/>
            <w:tcMar>
              <w:top w:type="dxa" w:w="0"/>
              <w:left w:type="dxa" w:w="105"/>
              <w:bottom w:type="dxa" w:w="0"/>
              <w:right w:type="dxa" w:w="105"/>
            </w:tcMar>
            <w:vAlign w:val="top"/>
          </w:tcPr>
          <w:p>
            <w:pPr>
              <w:pStyle w:val="null3"/>
            </w:pPr>
          </w:p>
        </w:tc>
        <w:tc>
          <w:tcPr>
            <w:tcW w:type="dxa" w:w="4275"/>
            <w:tcMar>
              <w:top w:type="dxa" w:w="0"/>
              <w:left w:type="dxa" w:w="105"/>
              <w:bottom w:type="dxa" w:w="0"/>
              <w:right w:type="dxa" w:w="105"/>
            </w:tcMar>
            <w:vAlign w:val="top"/>
          </w:tcPr>
          <w:p>
            <w:pPr>
              <w:pStyle w:val="null3"/>
            </w:pPr>
            <w:r>
              <w:rPr>
                <w:sz w:val="21"/>
              </w:rPr>
              <w:t>开户名称：</w:t>
            </w:r>
          </w:p>
        </w:tc>
      </w:tr>
      <w:tr>
        <w:tc>
          <w:tcPr>
            <w:tcW w:type="dxa" w:w="4043"/>
            <w:tcMar>
              <w:top w:type="dxa" w:w="0"/>
              <w:left w:type="dxa" w:w="105"/>
              <w:bottom w:type="dxa" w:w="0"/>
              <w:right w:type="dxa" w:w="105"/>
            </w:tcMar>
            <w:vAlign w:val="top"/>
          </w:tcPr>
          <w:p>
            <w:pPr>
              <w:pStyle w:val="null3"/>
            </w:pPr>
          </w:p>
        </w:tc>
        <w:tc>
          <w:tcPr>
            <w:tcW w:type="dxa" w:w="4275"/>
            <w:tcMar>
              <w:top w:type="dxa" w:w="0"/>
              <w:left w:type="dxa" w:w="105"/>
              <w:bottom w:type="dxa" w:w="0"/>
              <w:right w:type="dxa" w:w="105"/>
            </w:tcMar>
            <w:vAlign w:val="top"/>
          </w:tcPr>
          <w:p>
            <w:pPr>
              <w:pStyle w:val="null3"/>
            </w:pPr>
            <w:r>
              <w:rPr>
                <w:sz w:val="21"/>
              </w:rPr>
              <w:t>银行账号：</w:t>
            </w:r>
          </w:p>
        </w:tc>
      </w:tr>
      <w:tr>
        <w:tc>
          <w:tcPr>
            <w:tcW w:type="dxa" w:w="4043"/>
            <w:tcMar>
              <w:top w:type="dxa" w:w="0"/>
              <w:left w:type="dxa" w:w="105"/>
              <w:bottom w:type="dxa" w:w="0"/>
              <w:right w:type="dxa" w:w="105"/>
            </w:tcMar>
            <w:vAlign w:val="top"/>
          </w:tcPr>
          <w:p>
            <w:pPr>
              <w:pStyle w:val="null3"/>
            </w:pPr>
          </w:p>
        </w:tc>
        <w:tc>
          <w:tcPr>
            <w:tcW w:type="dxa" w:w="4275"/>
            <w:tcMar>
              <w:top w:type="dxa" w:w="0"/>
              <w:left w:type="dxa" w:w="105"/>
              <w:bottom w:type="dxa" w:w="0"/>
              <w:right w:type="dxa" w:w="105"/>
            </w:tcMar>
            <w:vAlign w:val="top"/>
          </w:tcPr>
          <w:p>
            <w:pPr>
              <w:pStyle w:val="null3"/>
            </w:pPr>
            <w:r>
              <w:rPr>
                <w:sz w:val="21"/>
              </w:rPr>
              <w:t>开 户 行：</w:t>
            </w:r>
          </w:p>
          <w:p>
            <w:pPr>
              <w:pStyle w:val="null3"/>
            </w:pPr>
          </w:p>
        </w:tc>
      </w:tr>
    </w:tbl>
    <w:p>
      <w:pPr>
        <w:pStyle w:val="null3"/>
      </w:pPr>
      <w:r>
        <w:rPr>
          <w:sz w:val="22"/>
        </w:rPr>
        <w:t xml:space="preserve">             </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440001-2024-06760</w:t>
      </w:r>
    </w:p>
    <w:p>
      <w:pPr>
        <w:pStyle w:val="null3"/>
        <w:ind w:firstLine="480"/>
        <w:jc w:val="center"/>
        <w:outlineLvl w:val="3"/>
      </w:pPr>
      <w:r>
        <w:rPr>
          <w:b/>
          <w:sz w:val="24"/>
        </w:rPr>
        <w:t>采购项目编号：</w:t>
      </w:r>
      <w:r>
        <w:rPr>
          <w:b/>
          <w:sz w:val="24"/>
        </w:rPr>
        <w:t>QYZCZB-24ZB004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清远市众诚招标代理有限公司</w:t>
      </w:r>
    </w:p>
    <w:p>
      <w:pPr>
        <w:pStyle w:val="null3"/>
        <w:ind w:firstLine="480"/>
      </w:pPr>
      <w:r>
        <w:rPr/>
        <w:t>你方组织的</w:t>
      </w:r>
      <w:r>
        <w:rPr>
          <w:u w:val="single"/>
        </w:rPr>
        <w:t>“</w:t>
      </w:r>
      <w:r>
        <w:rPr>
          <w:u w:val="single"/>
        </w:rPr>
        <w:t>广东省连山林场2024年森林质量精准提升工程(二次)</w:t>
      </w:r>
      <w:r>
        <w:rPr>
          <w:u w:val="single"/>
        </w:rPr>
        <w:t>”</w:t>
      </w:r>
      <w:r>
        <w:rPr/>
        <w:t>项目的招标[采购项目编号为：</w:t>
      </w:r>
      <w:r>
        <w:rPr>
          <w:u w:val="single"/>
        </w:rPr>
        <w:t>QYZCZB-24ZB004</w:t>
      </w:r>
      <w:r>
        <w:rPr/>
        <w:t>]，我方愿参与投标。</w:t>
      </w:r>
    </w:p>
    <w:p>
      <w:pPr>
        <w:pStyle w:val="null3"/>
        <w:ind w:firstLine="480"/>
      </w:pPr>
      <w:r>
        <w:rPr/>
        <w:t>我方确认收到贵方提供的</w:t>
      </w:r>
      <w:r>
        <w:rPr>
          <w:u w:val="single"/>
        </w:rPr>
        <w:t>“</w:t>
      </w:r>
      <w:r>
        <w:rPr>
          <w:u w:val="single"/>
        </w:rPr>
        <w:t>广东省连山林场2024年森林质量精准提升工程(二次)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清远市众诚招标代理有限公司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广东省连山林场2024年森林质量精准提升工程(二次)</w:t>
      </w:r>
      <w:r>
        <w:rPr/>
        <w:t>”项目采购[采购项目编号为</w:t>
      </w:r>
      <w:r>
        <w:rPr/>
        <w:t>QYZCZB-24ZB004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广东省连山林场（广东鹰扬关森林公园管理处）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清远市众诚招标代理有限公司</w:t>
      </w:r>
    </w:p>
    <w:p>
      <w:pPr>
        <w:pStyle w:val="null3"/>
        <w:ind w:firstLine="480"/>
      </w:pPr>
      <w:r>
        <w:rPr/>
        <w:t>如果我方在贵采购代理机构组织的</w:t>
      </w:r>
      <w:r>
        <w:rPr/>
        <w:t>广东省连山林场2024年森林质量精准提升工程(二次)</w:t>
      </w:r>
      <w:r>
        <w:rPr/>
        <w:t>招标中获中标（采购项目编号：</w:t>
      </w:r>
      <w:r>
        <w:rPr/>
        <w:t>QYZCZB-24ZB004</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清远市众诚招标代理有限公司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清远市众诚招标代理有限公司</w:t>
      </w:r>
    </w:p>
    <w:p>
      <w:pPr>
        <w:pStyle w:val="null3"/>
        <w:ind w:firstLine="480"/>
      </w:pPr>
      <w:r>
        <w:rPr/>
        <w:t>我单位已登记并准备参与“</w:t>
      </w:r>
      <w:r>
        <w:rPr/>
        <w:t>广东省连山林场2024年森林质量精准提升工程(二次)</w:t>
      </w:r>
      <w:r>
        <w:rPr/>
        <w:t>”项目（采购项目编号：</w:t>
      </w:r>
      <w:r>
        <w:rPr/>
        <w:t>QYZCZB-24ZB004</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