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版本号：N511001202600009320260609001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N5110012026000093</w:t>
      </w:r>
    </w:p>
    <w:p>
      <w:pPr>
        <w:pStyle w:val="null3"/>
        <w:jc w:val="left"/>
        <w:outlineLvl w:val="2"/>
      </w:pPr>
      <w:r>
        <w:rPr>
          <w:rFonts w:ascii="仿宋_GB2312" w:hAnsi="仿宋_GB2312" w:cs="仿宋_GB2312" w:eastAsia="仿宋_GB2312"/>
          <w:sz w:val="28"/>
          <w:b/>
        </w:rPr>
        <w:t>资中县人民法院</w:t>
      </w:r>
    </w:p>
    <w:p>
      <w:pPr>
        <w:pStyle w:val="null3"/>
        <w:jc w:val="center"/>
        <w:outlineLvl w:val="2"/>
      </w:pPr>
      <w:r>
        <w:rPr>
          <w:rFonts w:ascii="仿宋_GB2312" w:hAnsi="仿宋_GB2312" w:cs="仿宋_GB2312" w:eastAsia="仿宋_GB2312"/>
          <w:sz w:val="28"/>
          <w:b/>
        </w:rPr>
        <w:t>内江融汇招标代理有限公司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内江融汇招标代理有限公司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资中县人民法院</w:t>
      </w:r>
      <w:r>
        <w:rPr>
          <w:rFonts w:ascii="仿宋_GB2312" w:hAnsi="仿宋_GB2312" w:cs="仿宋_GB2312" w:eastAsia="仿宋_GB2312"/>
        </w:rPr>
        <w:t xml:space="preserve"> 委托，拟对 </w:t>
      </w:r>
      <w:r>
        <w:rPr>
          <w:rFonts w:ascii="仿宋_GB2312" w:hAnsi="仿宋_GB2312" w:cs="仿宋_GB2312" w:eastAsia="仿宋_GB2312"/>
        </w:rPr>
        <w:t>工勤服务采购项目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N5110012026000093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工勤服务采购项目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为保障资中县人民法院工勤服务工作正常开展，需提供工勤服务。本项目预算金额为468,000.00元/年，合同履约期限为365日。本轮采购签订3年履行期限政府采购合同(合同一年一签，)，3年合计金额为1,404,000.00元。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资中县人民法院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四川省内江市资中县资州大道南二段388号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0832-5615017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内江融汇招标代理有限公司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四川省内江市市中区甜城大道北段166号嘉宏未来城营销中心六楼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0832-8802009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采购包1：468,000.00元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项目预算金额作为计算基数，参照计价格【2002】1980号和发改办价格[2003]857号文件规定的收费标准计取后下浮10%收取代理服务费【因本轮采购签订3年政府采购合同(合同一年一签，故代理服务费用按三年的预算金额向成交供应商收取】。即向成交供应商收取人民币16,408.00元（大写：壹万陆仟肆佰零捌元整）代理服务费，以现金或转账方式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资中县人民法院</w:t>
      </w:r>
      <w:r>
        <w:rPr>
          <w:rFonts w:ascii="仿宋_GB2312" w:hAnsi="仿宋_GB2312" w:cs="仿宋_GB2312" w:eastAsia="仿宋_GB2312"/>
        </w:rPr>
        <w:t xml:space="preserve"> 和 </w:t>
      </w:r>
      <w:r>
        <w:rPr>
          <w:rFonts w:ascii="仿宋_GB2312" w:hAnsi="仿宋_GB2312" w:cs="仿宋_GB2312" w:eastAsia="仿宋_GB2312"/>
        </w:rPr>
        <w:t>内江融汇招标代理有限公司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资中县人民法院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内江融汇招标代理有限公司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由采购人组织验收，供应商配合。项目验收合格后，成交供应商向采购人提供等额发票，采购人按程序办理支付手续完成后支付费用</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审核项目中的要求与响应文件中内容的一致性；审查项目的规定及要求。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按照本项目的“商务条款”相关条款响应内容进行验收。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由采购人组织，供应商配合进行：验收标准按国家有关规定以及采购人采购文件的质量要求和技术指标、供应商的响应文件及承诺与本合同约定标准进行验收；采购人与供应商双方如对质量要求和技术指标的约定标准有相互抵触或异议的事项，由采购人在采购与响应文件中按质量要求和技术指标比较优胜的原则确定该项的约定标准进行验收；验收时如不能满足相关规范标准及采购人使用要求或其它不符合标准及本合同规定之情形者，采购人应做出详尽的现场记录，或由采购人与供应商双方签署备忘录，此现场记录或备忘录可用作有效证据，由此产生的时间延误与有关费用由供应商承担，验收期限相应顺延；如质量验收合格，双方签署验收报告。（2）如经供应商在采购人规定的范围内未完成或不能达到合同约定的质量标准，采购人视作供应商不能按照项目要求进行履约，须支付违约赔偿金给采购人，采购人还可依法追究供应商的违约责任。由采购人在采购与响应文件中按质量要求和技术指标比较优胜的原则确定该项的约定标准进行验收。（3）其他未尽事宜应严格按照财政部《关于进一步加强政府采购需求和履约验收管理的指导意见》财库〔2016〕205号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资中县人民法院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联系电话：0832-5615017</w:t>
      </w:r>
    </w:p>
    <w:p>
      <w:pPr>
        <w:pStyle w:val="null3"/>
        <w:jc w:val="left"/>
      </w:pPr>
      <w:r>
        <w:rPr>
          <w:rFonts w:ascii="仿宋_GB2312" w:hAnsi="仿宋_GB2312" w:cs="仿宋_GB2312" w:eastAsia="仿宋_GB2312"/>
        </w:rPr>
        <w:t>地址：四川省内江市资中县资州大道南二段388号</w:t>
      </w:r>
    </w:p>
    <w:p>
      <w:pPr>
        <w:pStyle w:val="null3"/>
        <w:jc w:val="left"/>
      </w:pPr>
      <w:r>
        <w:rPr>
          <w:rFonts w:ascii="仿宋_GB2312" w:hAnsi="仿宋_GB2312" w:cs="仿宋_GB2312" w:eastAsia="仿宋_GB2312"/>
        </w:rPr>
        <w:t>邮编：641200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联系电话：0832-8802005</w:t>
      </w:r>
    </w:p>
    <w:p>
      <w:pPr>
        <w:pStyle w:val="null3"/>
        <w:jc w:val="left"/>
      </w:pPr>
      <w:r>
        <w:rPr>
          <w:rFonts w:ascii="仿宋_GB2312" w:hAnsi="仿宋_GB2312" w:cs="仿宋_GB2312" w:eastAsia="仿宋_GB2312"/>
        </w:rPr>
        <w:t>地址：四川省内江市市中区甜城大道北段166号嘉宏未来城营销中心六楼</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468,000.00</w:t>
      </w:r>
    </w:p>
    <w:p>
      <w:pPr>
        <w:pStyle w:val="null3"/>
        <w:jc w:val="left"/>
      </w:pPr>
      <w:r>
        <w:rPr>
          <w:rFonts w:ascii="仿宋_GB2312" w:hAnsi="仿宋_GB2312" w:cs="仿宋_GB2312" w:eastAsia="仿宋_GB2312"/>
        </w:rPr>
        <w:t>采购包最高限价（元）: 468,000.00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工勤服务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工勤服务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★1、供应商的报价超过竞争性磋商文件的最高限价的作无效响应处理。 2、本项目报价表中的“服务期限”栏，应按照竞争性磋商文件第三章3.3.2商务要求中规定的“服务期限”要求填写。 ★3、供应商按照竞争性磋商文件的要求，应当在报价表中载明服务范围、服务期限。</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标的名称：工勤服务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（一）项目要求</w:t>
            </w:r>
          </w:p>
        </w:tc>
        <w:tc>
          <w:tcPr>
            <w:tcW w:type="dxa" w:w="5814"/>
          </w:tcPr>
          <w:p>
            <w:pPr>
              <w:pStyle w:val="null3"/>
              <w:jc w:val="left"/>
            </w:pPr>
            <w:r>
              <w:rPr>
                <w:rFonts w:ascii="仿宋_GB2312" w:hAnsi="仿宋_GB2312" w:cs="仿宋_GB2312" w:eastAsia="仿宋_GB2312"/>
                <w:sz w:val="24"/>
                <w:b/>
              </w:rPr>
              <w:t>（一）项目要求</w:t>
            </w:r>
          </w:p>
          <w:p>
            <w:pPr>
              <w:pStyle w:val="null3"/>
              <w:jc w:val="left"/>
            </w:pPr>
            <w:r>
              <w:rPr>
                <w:rFonts w:ascii="仿宋_GB2312" w:hAnsi="仿宋_GB2312" w:cs="仿宋_GB2312" w:eastAsia="仿宋_GB2312"/>
                <w:sz w:val="24"/>
              </w:rPr>
              <w:t>★1.服务范围：资中县人民法院及所属7个乡镇人民法庭。</w:t>
            </w:r>
          </w:p>
          <w:p>
            <w:pPr>
              <w:pStyle w:val="null3"/>
              <w:jc w:val="left"/>
            </w:pPr>
            <w:r>
              <w:rPr>
                <w:rFonts w:ascii="仿宋_GB2312" w:hAnsi="仿宋_GB2312" w:cs="仿宋_GB2312" w:eastAsia="仿宋_GB2312"/>
                <w:sz w:val="24"/>
              </w:rPr>
              <w:t>★2.服务内容：</w:t>
            </w:r>
          </w:p>
          <w:p>
            <w:pPr>
              <w:pStyle w:val="null3"/>
              <w:jc w:val="left"/>
            </w:pPr>
            <w:r>
              <w:rPr>
                <w:rFonts w:ascii="仿宋_GB2312" w:hAnsi="仿宋_GB2312" w:cs="仿宋_GB2312" w:eastAsia="仿宋_GB2312"/>
                <w:sz w:val="24"/>
              </w:rPr>
              <w:t>为保障资中县人民法院及所属</w:t>
            </w:r>
            <w:r>
              <w:rPr>
                <w:rFonts w:ascii="仿宋_GB2312" w:hAnsi="仿宋_GB2312" w:cs="仿宋_GB2312" w:eastAsia="仿宋_GB2312"/>
                <w:sz w:val="24"/>
              </w:rPr>
              <w:t>7个乡镇人民法庭工作正常开展，提供的工勤服务内容至少包括：</w:t>
            </w:r>
          </w:p>
          <w:p>
            <w:pPr>
              <w:pStyle w:val="null3"/>
              <w:jc w:val="left"/>
            </w:pPr>
            <w:r>
              <w:rPr>
                <w:rFonts w:ascii="仿宋_GB2312" w:hAnsi="仿宋_GB2312" w:cs="仿宋_GB2312" w:eastAsia="仿宋_GB2312"/>
                <w:sz w:val="24"/>
              </w:rPr>
              <w:t>来人来访登记与查验：负责门禁守护及院内日常巡查；协助完成办公楼区域来人来访的登记、通报及证件查验，严格执行人员验证、登记流程，杜绝闲杂人员进入，维护良好环境秩序。</w:t>
            </w:r>
          </w:p>
          <w:p>
            <w:pPr>
              <w:pStyle w:val="null3"/>
              <w:jc w:val="left"/>
            </w:pPr>
            <w:r>
              <w:rPr>
                <w:rFonts w:ascii="仿宋_GB2312" w:hAnsi="仿宋_GB2312" w:cs="仿宋_GB2312" w:eastAsia="仿宋_GB2312"/>
                <w:sz w:val="24"/>
              </w:rPr>
              <w:t>办公区及车库秩序维护：负责道路交通管理，以及机动车、非机动车停放管理。</w:t>
            </w:r>
          </w:p>
          <w:p>
            <w:pPr>
              <w:pStyle w:val="null3"/>
              <w:jc w:val="left"/>
            </w:pPr>
            <w:r>
              <w:rPr>
                <w:rFonts w:ascii="仿宋_GB2312" w:hAnsi="仿宋_GB2312" w:cs="仿宋_GB2312" w:eastAsia="仿宋_GB2312"/>
                <w:sz w:val="24"/>
              </w:rPr>
              <w:t>秩序维护：在执勤区域内维护秩序，制止滋事行为，防范暴力事件发生。</w:t>
            </w:r>
          </w:p>
          <w:p>
            <w:pPr>
              <w:pStyle w:val="null3"/>
              <w:jc w:val="left"/>
            </w:pPr>
            <w:r>
              <w:rPr>
                <w:rFonts w:ascii="仿宋_GB2312" w:hAnsi="仿宋_GB2312" w:cs="仿宋_GB2312" w:eastAsia="仿宋_GB2312"/>
                <w:sz w:val="24"/>
              </w:rPr>
              <w:t>环境与内务整理：负责各法院（法庭）日常内务整理，确保环境整洁有序。</w:t>
            </w:r>
          </w:p>
          <w:p>
            <w:pPr>
              <w:pStyle w:val="null3"/>
              <w:jc w:val="left"/>
            </w:pPr>
            <w:r>
              <w:rPr>
                <w:rFonts w:ascii="仿宋_GB2312" w:hAnsi="仿宋_GB2312" w:cs="仿宋_GB2312" w:eastAsia="仿宋_GB2312"/>
                <w:sz w:val="24"/>
              </w:rPr>
              <w:t>消防和电梯管理：协助开展消防、电梯管理等工作。</w:t>
            </w:r>
          </w:p>
          <w:p>
            <w:pPr>
              <w:pStyle w:val="null3"/>
              <w:jc w:val="left"/>
            </w:pPr>
            <w:r>
              <w:rPr>
                <w:rFonts w:ascii="仿宋_GB2312" w:hAnsi="仿宋_GB2312" w:cs="仿宋_GB2312" w:eastAsia="仿宋_GB2312"/>
                <w:sz w:val="24"/>
              </w:rPr>
              <w:t>完成采购人安排的其他相关服务工作。</w:t>
            </w:r>
          </w:p>
          <w:p>
            <w:pPr>
              <w:pStyle w:val="null3"/>
              <w:jc w:val="both"/>
            </w:pPr>
            <w:r>
              <w:rPr>
                <w:rFonts w:ascii="仿宋_GB2312" w:hAnsi="仿宋_GB2312" w:cs="仿宋_GB2312" w:eastAsia="仿宋_GB2312"/>
                <w:sz w:val="24"/>
              </w:rPr>
              <w:t>3.服务人员具备应对“无序”来访、秩序扰乱、治安突发事件、火灾险情等情况的处置能力，确保办公秩序井然、公共场所秩序良好，保障采购人工作人员、来访群众及办事人员的人身与财产安全。</w:t>
            </w:r>
          </w:p>
          <w:p>
            <w:pPr>
              <w:pStyle w:val="null3"/>
              <w:jc w:val="both"/>
            </w:pPr>
            <w:r>
              <w:rPr>
                <w:rFonts w:ascii="仿宋_GB2312" w:hAnsi="仿宋_GB2312" w:cs="仿宋_GB2312" w:eastAsia="仿宋_GB2312"/>
                <w:sz w:val="24"/>
              </w:rPr>
              <w:t>4.供应商建立办公楼区域公共秩序、车辆及道路等管理制度并严格落实，保障办公区安全与正常工作环境。</w:t>
            </w:r>
          </w:p>
          <w:p>
            <w:pPr>
              <w:pStyle w:val="null3"/>
              <w:jc w:val="both"/>
            </w:pPr>
            <w:r>
              <w:rPr>
                <w:rFonts w:ascii="仿宋_GB2312" w:hAnsi="仿宋_GB2312" w:cs="仿宋_GB2312" w:eastAsia="仿宋_GB2312"/>
                <w:sz w:val="24"/>
              </w:rPr>
              <w:t>5.在本项目履约期限内，供应商及服务人员确保防盗、防火等报警监控设备正常运行；若设备出现故障，应及时联系维保单位排查修复，并做好安全防范与日常巡查工作，及时发现并处置各类安全隐患与事故苗头，快速有效应对突发事件，同时保障道路畅通、车辆停放有序。</w:t>
            </w:r>
          </w:p>
          <w:p>
            <w:pPr>
              <w:pStyle w:val="null3"/>
              <w:jc w:val="both"/>
            </w:pPr>
            <w:r>
              <w:rPr>
                <w:rFonts w:ascii="仿宋_GB2312" w:hAnsi="仿宋_GB2312" w:cs="仿宋_GB2312" w:eastAsia="仿宋_GB2312"/>
                <w:sz w:val="24"/>
              </w:rPr>
              <w:t>6.法院（法庭）内各办公区域、审判庭及公共区域不得随意堆放杂物，不得留存废弃物、污渍；卫生间需洁净无异味，责任区容貌保持整洁。</w:t>
            </w:r>
          </w:p>
          <w:p>
            <w:pPr>
              <w:pStyle w:val="null3"/>
              <w:spacing w:before="105" w:after="105"/>
              <w:jc w:val="both"/>
            </w:pPr>
            <w:r>
              <w:rPr>
                <w:rFonts w:ascii="仿宋_GB2312" w:hAnsi="仿宋_GB2312" w:cs="仿宋_GB2312" w:eastAsia="仿宋_GB2312"/>
                <w:sz w:val="24"/>
              </w:rPr>
              <w:t>7.服务人员要求</w:t>
            </w:r>
          </w:p>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rPr>
              <w:t>7.1本项目服务人员配置不少于10人，其中，资中县人民法院服务人员不少于3人；所属7个乡镇人民法庭，每个法庭服务人员不少于1人。</w:t>
            </w:r>
          </w:p>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rPr>
              <w:t>7.2供应商配置的服务人员应满足本项目服务要求，上岗后不得随意更换；确需更换服务人员（含项目管理负责人）的，须经采购人同意后方可进行。供应商应按照采购人要求及时更换不能胜任工作的服务人员。服务人员需统一着装，年龄均在国家法律规定的劳动年龄范围内；身体健康、五官端正、工作态度积极、责任心强，无传染病、吸毒史及不良行为，能胜任工作；言语规范，做到文明上岗、礼貌待人。本项目管理人员需具备良好职业素养和综合素质，且具有管理工作经验。</w:t>
            </w:r>
          </w:p>
          <w:p>
            <w:pPr>
              <w:pStyle w:val="null3"/>
              <w:spacing w:before="105" w:after="105"/>
              <w:jc w:val="both"/>
            </w:pPr>
            <w:r>
              <w:rPr>
                <w:rFonts w:ascii="仿宋_GB2312" w:hAnsi="仿宋_GB2312" w:cs="仿宋_GB2312" w:eastAsia="仿宋_GB2312"/>
                <w:sz w:val="24"/>
              </w:rPr>
              <w:t>★7.3本项目履约期间，若因特殊情况或实际工作需要调整人员，须经采购人和供应商双方协商一致后方可进行，供应商不得擅自调整人员配置。</w:t>
            </w:r>
          </w:p>
          <w:p>
            <w:pPr>
              <w:pStyle w:val="null3"/>
              <w:spacing w:before="105" w:after="105"/>
              <w:jc w:val="both"/>
            </w:pPr>
            <w:r>
              <w:rPr>
                <w:rFonts w:ascii="仿宋_GB2312" w:hAnsi="仿宋_GB2312" w:cs="仿宋_GB2312" w:eastAsia="仿宋_GB2312"/>
                <w:sz w:val="24"/>
              </w:rPr>
              <w:t>★7.4供应商为本项目提供的全部人员，其劳动人事关系均隶属于供应商。供应商须按照国家规定为本项目全部人员缴纳保险，并对人员在服务过程中的人身安全负责。若因劳动关系、保险缴纳或人员工资（含加班费及相关费用）等问题发生劳动纠纷，均由供应商全部负责和承担，采购人不承担任何费用和责任。若因供应商拖欠服务人员工资、社保等导致服务人员上访、闹访，给采购人造成损失或不良影响的，均由供应商全部负责和承担，采购人可解除合同且不承担任何责任。</w:t>
            </w:r>
          </w:p>
          <w:p>
            <w:pPr>
              <w:pStyle w:val="null3"/>
              <w:spacing w:before="105" w:after="105"/>
              <w:jc w:val="both"/>
            </w:pPr>
            <w:r>
              <w:rPr>
                <w:rFonts w:ascii="仿宋_GB2312" w:hAnsi="仿宋_GB2312" w:cs="仿宋_GB2312" w:eastAsia="仿宋_GB2312"/>
                <w:sz w:val="24"/>
              </w:rPr>
              <w:t>★7.5供应商及服务人员须严格遵守采购人工作纪律、保密规定及各项规章制度。若在履约过程中未按上述要求履约或存在违纪违法情况，采购人有权终止本项目合同，供应商及服务人员承担由此产生的一切法律责任，涉及赔偿的由供应商全部承担。</w:t>
            </w:r>
          </w:p>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rPr>
              <w:t>8.供应商在本项目履约期间应做好各项安全及管理工作，若因供应商或其服务人员原因导致采购人或其他人员人身伤害或财产损失的，相关法律责任及由此产生的经济损失均由供应商承担，采购人不承担任何责任。</w:t>
            </w:r>
          </w:p>
          <w:p>
            <w:pPr>
              <w:pStyle w:val="null3"/>
              <w:spacing w:before="105" w:after="105"/>
              <w:jc w:val="both"/>
            </w:pPr>
            <w:r>
              <w:rPr>
                <w:rFonts w:ascii="仿宋_GB2312" w:hAnsi="仿宋_GB2312" w:cs="仿宋_GB2312" w:eastAsia="仿宋_GB2312"/>
                <w:sz w:val="24"/>
              </w:rPr>
              <w:t>9.供应商对所有员工进行必要的安全知识培训、职业道德培训及相关岗位技术培训、岗前培训，确保其保持良好技术水平和工作状态。</w:t>
            </w:r>
          </w:p>
          <w:p>
            <w:pPr>
              <w:pStyle w:val="null3"/>
              <w:jc w:val="both"/>
            </w:pPr>
            <w:r>
              <w:rPr>
                <w:rFonts w:ascii="仿宋_GB2312" w:hAnsi="仿宋_GB2312" w:cs="仿宋_GB2312" w:eastAsia="仿宋_GB2312"/>
                <w:sz w:val="24"/>
              </w:rPr>
              <w:t>10.本项目履约期限内，值班室固定设施、内部通讯费用、水电费用以及设施设备的保养和维修由采购人承担。</w:t>
            </w:r>
          </w:p>
          <w:p>
            <w:pPr>
              <w:pStyle w:val="null3"/>
              <w:jc w:val="both"/>
            </w:pPr>
            <w:r>
              <w:rPr>
                <w:rFonts w:ascii="仿宋_GB2312" w:hAnsi="仿宋_GB2312" w:cs="仿宋_GB2312" w:eastAsia="仿宋_GB2312"/>
                <w:sz w:val="24"/>
              </w:rPr>
              <w:t>★11.供应商完成本项目所涉及的全部费用均已包含在本项目报价中，至少包括人员工资、社会保险、服装费、培训费、管理费、加班费、税费、合理利润，以及完成本项目相关的工作用具和执勤工具（至少含对讲机、手电等）。</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12.服务考核</w:t>
            </w:r>
          </w:p>
          <w:p>
            <w:pPr>
              <w:pStyle w:val="null3"/>
              <w:jc w:val="both"/>
            </w:pPr>
            <w:r>
              <w:rPr>
                <w:rFonts w:ascii="仿宋_GB2312" w:hAnsi="仿宋_GB2312" w:cs="仿宋_GB2312" w:eastAsia="仿宋_GB2312"/>
                <w:sz w:val="24"/>
              </w:rPr>
              <w:t>12.1采购人按照《考核标准》（月考核总分为 100 分）的要求，每月对供应商开展考核工作。在项目的实施过程中，采购人可结合项目实际情况，根据工作实情对考核标准持续完善与细化，也能够合理调整考核内容。在不违背本项目采购要求的前提下，经双方达成一致后，将相关内容纳入考核办法。</w:t>
            </w:r>
          </w:p>
          <w:p>
            <w:pPr>
              <w:pStyle w:val="null3"/>
              <w:jc w:val="center"/>
            </w:pPr>
            <w:r>
              <w:rPr>
                <w:rFonts w:ascii="仿宋_GB2312" w:hAnsi="仿宋_GB2312" w:cs="仿宋_GB2312" w:eastAsia="仿宋_GB2312"/>
                <w:sz w:val="24"/>
              </w:rPr>
              <w:t>《考核标准》</w:t>
            </w:r>
          </w:p>
          <w:tbl>
            <w:tblPr>
              <w:tblBorders>
                <w:top w:val="none" w:color="000000" w:sz="4"/>
                <w:left w:val="none" w:color="000000" w:sz="4"/>
                <w:bottom w:val="none" w:color="000000" w:sz="4"/>
                <w:right w:val="none" w:color="000000" w:sz="4"/>
                <w:insideH w:val="none"/>
                <w:insideV w:val="none"/>
              </w:tblBorders>
            </w:tblPr>
            <w:tblGrid>
              <w:gridCol w:w="507"/>
              <w:gridCol w:w="2498"/>
              <w:gridCol w:w="1584"/>
              <w:gridCol w:w="727"/>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考核具体内容</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扣分标准</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考核扣分</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供应商及服务人员在本项目履约期间遵守国家的各项法律法规，并遵守采购单位的规章制度。并自觉接受采购人的监督、检查。</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每出现一次未遵守要求的，扣</w:t>
                  </w:r>
                  <w:r>
                    <w:rPr>
                      <w:rFonts w:ascii="仿宋_GB2312" w:hAnsi="仿宋_GB2312" w:cs="仿宋_GB2312" w:eastAsia="仿宋_GB2312"/>
                      <w:sz w:val="24"/>
                    </w:rPr>
                    <w:t>10分/次。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人员着装规范、佩戴标志，行为规范，品行端正、工作态度积极、无不良行为，言行规范，沟通和谐，举止文明，待人礼貌，文明上岗，不得出现粗暴无礼或者其行为有损采购人形象。</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2分/人/次。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服务人员不得出现缺岗、迟到、早退。</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缺岗：每有一个岗位缺岗的，扣</w:t>
                  </w:r>
                  <w:r>
                    <w:rPr>
                      <w:rFonts w:ascii="仿宋_GB2312" w:hAnsi="仿宋_GB2312" w:cs="仿宋_GB2312" w:eastAsia="仿宋_GB2312"/>
                      <w:sz w:val="24"/>
                    </w:rPr>
                    <w:t>5分/日/次；</w:t>
                  </w:r>
                </w:p>
                <w:p>
                  <w:pPr>
                    <w:pStyle w:val="null3"/>
                    <w:jc w:val="both"/>
                  </w:pPr>
                  <w:r>
                    <w:rPr>
                      <w:rFonts w:ascii="仿宋_GB2312" w:hAnsi="仿宋_GB2312" w:cs="仿宋_GB2312" w:eastAsia="仿宋_GB2312"/>
                      <w:sz w:val="24"/>
                    </w:rPr>
                    <w:t>迟到、早退：扣</w:t>
                  </w:r>
                  <w:r>
                    <w:rPr>
                      <w:rFonts w:ascii="仿宋_GB2312" w:hAnsi="仿宋_GB2312" w:cs="仿宋_GB2312" w:eastAsia="仿宋_GB2312"/>
                      <w:sz w:val="24"/>
                    </w:rPr>
                    <w:t>2分/人/次。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在工作时间做与工作无关的事，如抽烟、吃东西，看与工作无关的书报、玩手机、串岗聊天、嬉戏打闹、打瞌睡等行为。</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每出现一次，扣</w:t>
                  </w:r>
                  <w:r>
                    <w:rPr>
                      <w:rFonts w:ascii="仿宋_GB2312" w:hAnsi="仿宋_GB2312" w:cs="仿宋_GB2312" w:eastAsia="仿宋_GB2312"/>
                      <w:sz w:val="24"/>
                    </w:rPr>
                    <w:t>2分/人/次。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服务举止不当，与群众发生冲突，发生打架斗殴。不得出现言语、行为过激等不良行为，不得出现不良引导导致其他不良行为的发生。</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每出现一次，扣</w:t>
                  </w:r>
                  <w:r>
                    <w:rPr>
                      <w:rFonts w:ascii="仿宋_GB2312" w:hAnsi="仿宋_GB2312" w:cs="仿宋_GB2312" w:eastAsia="仿宋_GB2312"/>
                      <w:sz w:val="24"/>
                    </w:rPr>
                    <w:t>5分/人/次。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主动服务意识差，存在慵懒散漫现象，态度冷淡。</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每出现一次，扣</w:t>
                  </w:r>
                  <w:r>
                    <w:rPr>
                      <w:rFonts w:ascii="仿宋_GB2312" w:hAnsi="仿宋_GB2312" w:cs="仿宋_GB2312" w:eastAsia="仿宋_GB2312"/>
                      <w:sz w:val="24"/>
                    </w:rPr>
                    <w:t>2分/人/次。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当群众出现误解、语言过激时，不得与其争吵和争辩，解释无效时及时向上级汇报。</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每出现一次，扣</w:t>
                  </w:r>
                  <w:r>
                    <w:rPr>
                      <w:rFonts w:ascii="仿宋_GB2312" w:hAnsi="仿宋_GB2312" w:cs="仿宋_GB2312" w:eastAsia="仿宋_GB2312"/>
                      <w:sz w:val="24"/>
                    </w:rPr>
                    <w:t>2分/人/次。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在突发性事件或出现安全隐患（含人员）或紧急情况下，及时上报或处理。</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10分/次。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岗位保持干净、整洁；工具摆放整齐、齐全、完好；不得存放违规物品。</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对进出的人员实行出入登记管理。</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做好巡查管理、车辆引导、秩序维护工作，院内通道车辆、人员发生拥堵，及时进行疏导。</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做好安全（含人员）防范工作，存在安全隐患的，定期开展安全教育培训。</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未按规定开展培训或培训未能达到要求。</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工作上报及时性</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发现重大事件未及时上报，扣</w:t>
                  </w:r>
                  <w:r>
                    <w:rPr>
                      <w:rFonts w:ascii="仿宋_GB2312" w:hAnsi="仿宋_GB2312" w:cs="仿宋_GB2312" w:eastAsia="仿宋_GB2312"/>
                      <w:sz w:val="24"/>
                    </w:rPr>
                    <w:t>5分/次。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发生突发事件时，服务人员响应时间不得超过</w:t>
                  </w:r>
                  <w:r>
                    <w:rPr>
                      <w:rFonts w:ascii="仿宋_GB2312" w:hAnsi="仿宋_GB2312" w:cs="仿宋_GB2312" w:eastAsia="仿宋_GB2312"/>
                      <w:sz w:val="24"/>
                    </w:rPr>
                    <w:t>2分钟。</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每出现一次不符合要求的，扣</w:t>
                  </w:r>
                  <w:r>
                    <w:rPr>
                      <w:rFonts w:ascii="仿宋_GB2312" w:hAnsi="仿宋_GB2312" w:cs="仿宋_GB2312" w:eastAsia="仿宋_GB2312"/>
                      <w:sz w:val="24"/>
                    </w:rPr>
                    <w:t>2分/次。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8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总得分：</w:t>
                  </w:r>
                  <w:r>
                    <w:rPr>
                      <w:rFonts w:ascii="仿宋_GB2312" w:hAnsi="仿宋_GB2312" w:cs="仿宋_GB2312" w:eastAsia="仿宋_GB2312"/>
                      <w:sz w:val="24"/>
                      <w:u w:val="single"/>
                    </w:rPr>
                    <w:t xml:space="preserve">        </w:t>
                  </w:r>
                  <w:r>
                    <w:rPr>
                      <w:rFonts w:ascii="仿宋_GB2312" w:hAnsi="仿宋_GB2312" w:cs="仿宋_GB2312" w:eastAsia="仿宋_GB2312"/>
                      <w:sz w:val="24"/>
                    </w:rPr>
                    <w:t>分。</w:t>
                  </w:r>
                </w:p>
                <w:p>
                  <w:pPr>
                    <w:pStyle w:val="null3"/>
                    <w:jc w:val="both"/>
                  </w:pPr>
                  <w:r>
                    <w:rPr>
                      <w:rFonts w:ascii="仿宋_GB2312" w:hAnsi="仿宋_GB2312" w:cs="仿宋_GB2312" w:eastAsia="仿宋_GB2312"/>
                      <w:sz w:val="24"/>
                    </w:rPr>
                    <w:t>（注：总得分</w:t>
                  </w:r>
                  <w:r>
                    <w:rPr>
                      <w:rFonts w:ascii="仿宋_GB2312" w:hAnsi="仿宋_GB2312" w:cs="仿宋_GB2312" w:eastAsia="仿宋_GB2312"/>
                      <w:sz w:val="24"/>
                    </w:rPr>
                    <w:t>=100分-考核扣分。）</w:t>
                  </w:r>
                </w:p>
              </w:tc>
            </w:tr>
          </w:tbl>
          <w:p>
            <w:pPr>
              <w:pStyle w:val="null3"/>
              <w:jc w:val="both"/>
            </w:pPr>
            <w:r>
              <w:rPr>
                <w:rFonts w:ascii="仿宋_GB2312" w:hAnsi="仿宋_GB2312" w:cs="仿宋_GB2312" w:eastAsia="仿宋_GB2312"/>
                <w:sz w:val="24"/>
              </w:rPr>
              <w:t>12.2考核结果：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1）合格：当月考核得分≥90分；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2）不合格：当月考核得分＜90分。</w:t>
            </w:r>
          </w:p>
          <w:p>
            <w:pPr>
              <w:pStyle w:val="null3"/>
              <w:jc w:val="both"/>
            </w:pPr>
            <w:r>
              <w:rPr>
                <w:rFonts w:ascii="仿宋_GB2312" w:hAnsi="仿宋_GB2312" w:cs="仿宋_GB2312" w:eastAsia="仿宋_GB2312"/>
                <w:sz w:val="24"/>
              </w:rPr>
              <w:t>12.3在当年合同约定的履约期限内在服务履行过程中，若成交供应商的服务考核累计出现两次考核不合格或出现重大责任事故的，采购人将以书面形式通知成交供应商，并要求其在规定期限内进行整改。若成交供应商拒绝进行整改或整改后仍然无法满足采购人要求的，采购人有权终止合同，且不承担任何违约责任及赔偿责任。</w:t>
            </w:r>
          </w:p>
          <w:p>
            <w:pPr>
              <w:pStyle w:val="null3"/>
              <w:jc w:val="both"/>
            </w:pPr>
            <w:r>
              <w:rPr>
                <w:rFonts w:ascii="仿宋_GB2312" w:hAnsi="仿宋_GB2312" w:cs="仿宋_GB2312" w:eastAsia="仿宋_GB2312"/>
                <w:sz w:val="24"/>
                <w:b/>
              </w:rPr>
              <w:t>注：以上带</w:t>
            </w:r>
            <w:r>
              <w:rPr>
                <w:rFonts w:ascii="仿宋_GB2312" w:hAnsi="仿宋_GB2312" w:cs="仿宋_GB2312" w:eastAsia="仿宋_GB2312"/>
                <w:sz w:val="24"/>
                <w:b/>
              </w:rPr>
              <w:t>“★”的条款为实质性要求，实质性要求供应商必须完全响应并满足，不响应或不满足视为负偏离，负偏离作无效响应处理。</w:t>
            </w:r>
          </w:p>
          <w:p>
            <w:pPr>
              <w:pStyle w:val="null3"/>
              <w:spacing w:before="105" w:after="105"/>
              <w:jc w:val="both"/>
            </w:pPr>
            <w:r>
              <w:rPr>
                <w:rFonts w:ascii="仿宋_GB2312" w:hAnsi="仿宋_GB2312" w:cs="仿宋_GB2312" w:eastAsia="仿宋_GB2312"/>
                <w:sz w:val="24"/>
                <w:b/>
              </w:rPr>
              <w:t>以上未带</w:t>
            </w:r>
            <w:r>
              <w:rPr>
                <w:rFonts w:ascii="仿宋_GB2312" w:hAnsi="仿宋_GB2312" w:cs="仿宋_GB2312" w:eastAsia="仿宋_GB2312"/>
                <w:sz w:val="24"/>
                <w:b/>
              </w:rPr>
              <w:t>“★”的条款为一般条款，一般条款供应商不响应或不满足视为负偏离，负偏离将影响供应商得分。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资中县人民法院及所属7个乡镇人民法庭。</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由采购人组织，供应商配合进行：验收标准按国家有关规定以及采购人采购文件的质量要求和技术指标、供应商的响应文件及承诺与本合同约定标准进行验收；采购人与供应商双方如对质量要求和技术指标的约定标准有相互抵触或异议的事项，由采购人在采购与响应文件中按质量要求和技术指标比较优胜的原则确定该项的约定标准进行验收；验收时如不能满足相关规范标准及采购人使用要求或其它不符合标准及本合同规定之情形者，采购人应做出详尽的现场记录，或由采购人与供应商双方签署备忘录，此现场记录或备忘录可用作有效证据，由此产生的时间延误与有关费用由供应商承担，验收期限相应顺延；如质量验收合格，双方签署验收报告。（2）如经供应商在采购人规定的范围内未完成或不能达到合同约定的质量标准，采购人视作供应商不能按照项目要求进行履约，须支付违约赔偿金给采购人，采购人还可依法追究供应商的违约责任。由采购人在采购与响应文件中按质量要求和技术指标比较优胜的原则确定该项的约定标准进行验收。（3）其他未尽事宜应严格按照财政部《关于进一步加强政府采购需求和履约验收管理的指导意见》财库〔2016〕205号的要求进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预付款，合同签订后成交供应商向采购人提供等额的发票，采购人按程序办理支付手续完成后向成交供应商支付预付款，达到付款条件起5个工作日内，支付合同总金额的50.0%</w:t>
            </w:r>
            <w:r>
              <w:br/>
            </w:r>
            <w:r>
              <w:rPr>
                <w:rFonts w:ascii="仿宋_GB2312" w:hAnsi="仿宋_GB2312" w:cs="仿宋_GB2312" w:eastAsia="仿宋_GB2312"/>
              </w:rPr>
              <w:t>2、</w:t>
            </w:r>
            <w:r>
              <w:rPr>
                <w:rFonts w:ascii="仿宋_GB2312" w:hAnsi="仿宋_GB2312" w:cs="仿宋_GB2312" w:eastAsia="仿宋_GB2312"/>
              </w:rPr>
              <w:t>进度款，（1）本项目采取按月付款方式支付当月服务费，月服务费金额=合同总金额÷12个月。（2）月服务费付款要求：预付款将在首月应支付的服务费中相应扣除，剩余未扣部分顺延至次月管理服务费中继续扣除，直至预付款全部扣完后，再支付当月服务费。②成交供应商向采购人提供等额的发票，采购人按程序办理支付手续完成后向成交供应商支付当月服务费。（3）因成交供应商造成本项目合同终止或解除的，成交供应商应当将采购人已支付但未产生的费用全额退还，达到付款条件起5个工作日内，支付合同总金额的50.0%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采购人与供应商双方必须遵守并执行合同中的各项规定，保证本合同的正常履行。采购人与供应商任何一方违约的，违约方应当承担违约责任并赔偿守约方损失。 （一）违约责任： 1、采购人违约责任：（1）因采购人原因造成合同变更、终止的，采购人向供应商偿付合同价的5％的违约金；（2）采购人无正当理由拒绝验收的，采购人向供应商偿付合同价的5％的违约金，以此作为赔偿或者补偿。（3）采购人逾期支付费用的，除应及时付款外，应向供应商偿付欠款总额万分之一/天的违约金；（4）采购人偿付的违约金不足以弥补供应商损失的，还应按供应商损失尚未弥补的部分，支付赔偿金给供应商。 2、供应商违约责任：（1）供应商提供的技术、服务质量不符合合同规定的，供应商应向采购人支付合同价的5％的违约金，并须在采购人要求的整改时限内完成整改，否则，视作供应商不能履约而违约，按本条本款下述第“（2）”项规定由供应商偿付违约赔偿金给采购人。（2）供应商不能履约而违约的，采购人有权终止合同，供应商则应按合同价的5％的款额向采购人偿付赔偿金，并须全额退还采购人已经付给供应商的服务款及其利息。（3）供应商偿付的违约金不足以弥补采购人损失的，还应按采购人损失尚未弥补的部分，支付赔偿金给采购人。 （二）争议解决办法：合同履行期间,若双方发生争议，可协商或由有关部门调解解决，协商或调解不成的，由当事人依法维护其合法权益，并由向有管辖权的法院提起诉讼。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供应商提供符合本项目要求的项目方案，内容包括：①项目管理方案；②项目服务质量保障措施；③项目应急方案；④项目安全保障措施；⑤项目保密方案；⑥项目培训方案等。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-2025年度（任意一年）供应商经审计的完整有效的财务报告复印件；②也可提供2023-2025年度（任意一年）供应商内部的财务报表复印件（至少应包含资产负债表、现金流量表、利润表）；③也可提供距文件递交截止日一年内银行出具的资信证明（复印件）；④供应商注册时间至文件递交截止日不足一年的，也可提供在国家行政部门备案的公司章程（复印件）；⑤非营利性单位或者社会团体或者其他机关事业单位提供的证明材料以符合财务会计制度为准。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体现健全的财务制度的证明材料.docx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竞争性磋商文件规定的实质性要求。</w:t>
            </w:r>
          </w:p>
        </w:tc>
        <w:tc>
          <w:tcPr>
            <w:tcW w:type="dxa" w:w="3322"/>
          </w:tcPr>
          <w:p>
            <w:pPr>
              <w:pStyle w:val="null3"/>
              <w:jc w:val="left"/>
            </w:pPr>
            <w:r>
              <w:rPr>
                <w:rFonts w:ascii="仿宋_GB2312" w:hAnsi="仿宋_GB2312" w:cs="仿宋_GB2312" w:eastAsia="仿宋_GB2312"/>
              </w:rPr>
              <w:t>响应报价超过采购预算金额或限价或不符合竞争性磋商文件其他报价规定的，作无效响应处理；服务要求应答表、商务要求应答表内容没有完全响应竞争性磋商文件对应实质性要求的，作无效响应处理；不满足竞争性磋商文件规定的其他实质性内容的，作无效响应处理。</w:t>
            </w:r>
          </w:p>
        </w:tc>
        <w:tc>
          <w:tcPr>
            <w:tcW w:type="dxa" w:w="1661"/>
          </w:tcPr>
          <w:p>
            <w:pPr>
              <w:pStyle w:val="null3"/>
              <w:jc w:val="left"/>
            </w:pPr>
            <w:r>
              <w:rPr>
                <w:rFonts w:ascii="仿宋_GB2312" w:hAnsi="仿宋_GB2312" w:cs="仿宋_GB2312" w:eastAsia="仿宋_GB2312"/>
              </w:rPr>
              <w:t>服务要求应答表.docx,商务要求应答表.docx,报价表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第五章5.4.2.评审细则及标准中“项目方案”内容</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项目要求响应</w:t>
            </w:r>
          </w:p>
        </w:tc>
        <w:tc>
          <w:tcPr>
            <w:tcW w:type="dxa" w:w="2575"/>
          </w:tcPr>
          <w:p>
            <w:pPr>
              <w:pStyle w:val="null3"/>
              <w:jc w:val="left"/>
            </w:pPr>
            <w:r>
              <w:rPr>
                <w:rFonts w:ascii="仿宋_GB2312" w:hAnsi="仿宋_GB2312" w:cs="仿宋_GB2312" w:eastAsia="仿宋_GB2312"/>
              </w:rPr>
              <w:t>供应商响应文件完全满足竞争性磋商文件第三章3.3.1服务内容要求中“（一）项目要求”非实质性要求得36分，供应商响应文件与竞争性磋商文件第三章3.3.1服务内容要求“（一）项目要求”中非实质性要求有负偏离的，按以下方式计算供应商得分： 一般条款得分=（供应商满足一般条款的数量÷一般条款的总数量）×36分。 注：本项所述的条款按以下原则计算： 1.无子项的条款：以每项条款为1项进行计算； 2.有子项的条款：以最末级的子项为1项进行计算。 说明：供应商在响应文件中进行响应，不响应或不满足视为负偏离。</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供应商提供符合本项目要求的项目方案，内容包括：①项目管理方案得9分，未提供方案或方案仅有标题大纲无正文内容阐述的该项不得分；②项目服务质量保障措施得9分，未提供方案或方案仅有标题大纲无正文内容阐述的该项不得分；③项目应急方案得9分，未提供方案或方案仅有标题大纲无正文内容阐述的该项不得分；④项目安全保障措施得9分，未提供方案或方案仅有标题大纲无正文内容阐述的该项不得分；⑤项目保密方案得9分，未提供方案或方案仅有标题大纲无正文内容阐述的该项不得分；⑥项目培训方案得9分，未提供方案或方案仅有标题大纲无正文内容阐述的该项不得分。前述“①②③④⑤⑥”项方案内容，每一项方案内容每存在一类“错误或缺陷”情形的扣3分,每一项方案内容累计扣分最多扣9分。本项满分54分。 注： （1）以上所称的“错误或缺陷”情形，具体分为以下三类： 类别一：方案内容存在以复制粘贴本项目技术或服务要求替代方案内容的情况。 类别二：方案内容与本项目技术要求或服务要求不相适应。 类别三：方案内容中载明的项目实施地点与本项目要求不一致。 （2）每一项方案出现同一类“错误或缺陷”情形的，不重复扣分。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经评标委员会评审，通过资格和符合性审查，且有效报价最低的为评审基准价。报价得分=(评审基准价／响应报价)×分值。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详见附件：体现健全的财务制度的证明材料.docx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详见附件：项目方案.docx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