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440101-2025-13182</w:t>
      </w:r>
    </w:p>
    <w:p>
      <w:pPr>
        <w:pStyle w:val="null3"/>
        <w:jc w:val="center"/>
        <w:outlineLvl w:val="3"/>
      </w:pPr>
      <w:r>
        <w:rPr>
          <w:sz w:val="24"/>
          <w:b/>
        </w:rPr>
        <w:t>采购项目编号：</w:t>
      </w:r>
      <w:r>
        <w:rPr>
          <w:sz w:val="24"/>
          <w:b/>
        </w:rPr>
        <w:t>ZYGZ-25-017</w:t>
      </w:r>
    </w:p>
    <w:p>
      <w:pPr>
        <w:pStyle w:val="null3"/>
        <w:jc w:val="center"/>
        <w:outlineLvl w:val="3"/>
      </w:pPr>
      <w:r>
        <w:rPr>
          <w:sz w:val="24"/>
          <w:b/>
        </w:rPr>
        <w:t>项目名称：</w:t>
      </w:r>
      <w:r>
        <w:rPr>
          <w:sz w:val="24"/>
          <w:b/>
        </w:rPr>
        <w:t>柴油车排气检验数据质量控制专项项目</w:t>
      </w:r>
    </w:p>
    <w:p>
      <w:pPr>
        <w:pStyle w:val="null3"/>
        <w:jc w:val="center"/>
        <w:outlineLvl w:val="3"/>
      </w:pPr>
      <w:r>
        <w:rPr>
          <w:sz w:val="24"/>
          <w:b/>
        </w:rPr>
        <w:t>采购人：</w:t>
      </w:r>
      <w:r>
        <w:rPr>
          <w:sz w:val="24"/>
          <w:b/>
        </w:rPr>
        <w:t>广东省广州生态环境监测中心站</w:t>
      </w:r>
    </w:p>
    <w:p>
      <w:pPr>
        <w:pStyle w:val="null3"/>
        <w:jc w:val="center"/>
        <w:outlineLvl w:val="3"/>
      </w:pPr>
      <w:r>
        <w:rPr>
          <w:sz w:val="24"/>
          <w:b/>
        </w:rPr>
        <w:t>采购代理机构：</w:t>
      </w:r>
      <w:r>
        <w:rPr>
          <w:sz w:val="24"/>
          <w:b/>
        </w:rPr>
        <w:t>广东中元招标代理有限公司广州分公司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广东中元招标代理有限公司广州分公司</w:t>
      </w:r>
      <w:r>
        <w:rPr/>
        <w:t>受</w:t>
      </w:r>
      <w:r>
        <w:rPr/>
        <w:t>广东省广州生态环境监测中心站</w:t>
      </w:r>
      <w:r>
        <w:rPr/>
        <w:t>的委托，采用</w:t>
      </w:r>
      <w:r>
        <w:rPr/>
        <w:t>公开招标</w:t>
      </w:r>
      <w:r>
        <w:rPr/>
        <w:t>方式组织采购</w:t>
      </w:r>
      <w:r>
        <w:rPr/>
        <w:t>柴油车排气检验数据质量控制专项项目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柴油车排气检验数据质量控制专项项目</w:t>
      </w:r>
    </w:p>
    <w:p>
      <w:pPr>
        <w:pStyle w:val="null3"/>
        <w:ind w:firstLine="480"/>
      </w:pPr>
      <w:r>
        <w:rPr/>
        <w:t>采购计划编号：</w:t>
      </w:r>
      <w:r>
        <w:rPr/>
        <w:t>440101-2025-13182</w:t>
      </w:r>
    </w:p>
    <w:p>
      <w:pPr>
        <w:pStyle w:val="null3"/>
        <w:ind w:firstLine="480"/>
      </w:pPr>
      <w:r>
        <w:rPr/>
        <w:t>采购项目编号：</w:t>
      </w:r>
      <w:r>
        <w:rPr/>
        <w:t>ZYGZ-25-017</w:t>
      </w:r>
    </w:p>
    <w:p>
      <w:pPr>
        <w:pStyle w:val="null3"/>
        <w:ind w:firstLine="480"/>
      </w:pPr>
      <w:r>
        <w:rPr/>
        <w:t>采购方式：</w:t>
      </w:r>
      <w:r>
        <w:rPr/>
        <w:t>公开招标</w:t>
      </w:r>
    </w:p>
    <w:p>
      <w:pPr>
        <w:pStyle w:val="null3"/>
        <w:ind w:firstLine="480"/>
      </w:pPr>
      <w:r>
        <w:rPr/>
        <w:t>预算金额：</w:t>
      </w:r>
      <w:r>
        <w:rPr/>
        <w:t>2,100,000.00</w:t>
      </w:r>
      <w:r>
        <w:rPr/>
        <w:t>元</w:t>
      </w:r>
    </w:p>
    <w:p>
      <w:pPr>
        <w:pStyle w:val="null3"/>
        <w:outlineLvl w:val="3"/>
      </w:pPr>
      <w:r>
        <w:rPr>
          <w:sz w:val="24"/>
          <w:b/>
        </w:rPr>
        <w:t>2.项目内容及需求情况（采购项目技术规格、参数及要求）</w:t>
      </w:r>
    </w:p>
    <w:p>
      <w:pPr>
        <w:pStyle w:val="null3"/>
      </w:pPr>
      <w:r>
        <w:rPr/>
        <w:t>采购包1(柴油车排气检验数据质量控制专项项目):</w:t>
      </w:r>
    </w:p>
    <w:p>
      <w:pPr>
        <w:pStyle w:val="null3"/>
      </w:pPr>
      <w:r>
        <w:rPr/>
        <w:t>采购包预算金额：2,100,000.00元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其他专业技术服务</w:t>
            </w:r>
          </w:p>
        </w:tc>
        <w:tc>
          <w:tcPr>
            <w:tcW w:type="dxa" w:w="2136"/>
          </w:tcPr>
          <w:p>
            <w:pPr>
              <w:pStyle w:val="null3"/>
            </w:pPr>
            <w:r>
              <w:rPr/>
              <w:t>柴油车排气检验数据质量控制专项项目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合同履行期限：自合同签订之日起2年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副本扫描件。分支机构投标的，须提供总公司和分公司营业执照副本扫描件，总公司出具给分支机构的授权书。</w:t>
      </w:r>
    </w:p>
    <w:p>
      <w:pPr>
        <w:pStyle w:val="null3"/>
      </w:pPr>
      <w:r>
        <w:rPr/>
        <w:t>2）有依法缴纳税收和社会保障资金的良好记录：提供书面声明。</w:t>
      </w:r>
    </w:p>
    <w:p>
      <w:pPr>
        <w:pStyle w:val="null3"/>
      </w:pPr>
      <w:r>
        <w:rPr/>
        <w:t>3）具有良好的商业信誉和健全的财务会计制度：提供书面声明。</w:t>
      </w:r>
    </w:p>
    <w:p>
      <w:pPr>
        <w:pStyle w:val="null3"/>
      </w:pPr>
      <w:r>
        <w:rPr/>
        <w:t>4）履行合同所必需的设备和专业技术能力：提供书面声明。</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采购包1（柴油车排气检验数据质量控制专项项目）：</w:t>
      </w:r>
      <w:r>
        <w:rPr/>
        <w:t>供应商须为符合本项目对应行业（所属行业：其他未列明行业）政策划分标准的中小企业。监狱企业、残疾人福利单位视同小型、微型企业。 注1：中小企业以供应商填写的《中小企业声明函》（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注2：《中小企业声明函》的填写要求见《广东省财政厅关于进一步规范政府采购活动中落实促进中小企业发展政策的通知》（粤财采购〔2024〕11号）的规定，供应商可登陆https://gdgpo.czt.gd.gov.cn/freecms/site/guangdong/tz/info/2024/15000058.html查阅。</w:t>
      </w:r>
    </w:p>
    <w:p>
      <w:pPr>
        <w:pStyle w:val="null3"/>
        <w:outlineLvl w:val="3"/>
      </w:pPr>
      <w:r>
        <w:rPr>
          <w:sz w:val="24"/>
          <w:b/>
        </w:rPr>
        <w:t>3.本项目特定的资格要求：</w:t>
      </w:r>
    </w:p>
    <w:p>
      <w:pPr>
        <w:pStyle w:val="null3"/>
      </w:pPr>
      <w:r>
        <w:rPr/>
        <w:t>采购包1（柴油车排气检验数据质量控制专项项目）：</w:t>
      </w:r>
    </w:p>
    <w:p>
      <w:pPr>
        <w:pStyle w:val="null3"/>
      </w:pPr>
      <w:r>
        <w:rPr/>
        <w:t>1)供应商未被列入“信用中国”网站(www.creditchina.gov.cn)“记录失信被执行人或重大税收违法失信主体或严重失信主体”记录名单；不处于中国政府采购网(www.ccgp.gov.cn)“政府采购严重违法失信行为信息记录”中的禁止参加政府采购活动期间。（①以资格审查人员于投标（响应）截止时间当天在“信用中国”网站（www.creditchina.gov.cn）及中国政府采购网（http://www.ccgp.gov.cn/）查询结果为准，②投标（响应）供应商为分公司的，同时对该分公司所属总公司（总所） 进行信用记录查询，该分公司所属总公司（总所） 存在不良信用记录的，视同投标（响应）供应商存在不良信用记录； ③如相关失信记录已失效，供应商需提供相关证明资料）属总公司（总所） 存在不良信用记录的，视同投标人存在不良信用记录； ③如相关失信记录已失效，投标人必须提供相关证明资料。）</w:t>
      </w:r>
    </w:p>
    <w:p>
      <w:pPr>
        <w:pStyle w:val="null3"/>
      </w:pPr>
      <w:r>
        <w:rPr/>
        <w:t>2)单位负责人为同一人或者存在直接控股、管理关系的不同供应商，不得同时参加本采购项目（或采购包）投标（响应）。为本项目提供整体设计、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广东中元招标网（www.zhongyuanzb.com)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广东省广州生态环境监测中心站</w:t>
      </w:r>
    </w:p>
    <w:p>
      <w:pPr>
        <w:pStyle w:val="null3"/>
        <w:ind w:firstLine="480"/>
      </w:pPr>
      <w:r>
        <w:rPr/>
        <w:t xml:space="preserve"> 地址：</w:t>
      </w:r>
      <w:r>
        <w:rPr/>
        <w:t>广州市番禺区大学城中心南大街19号</w:t>
      </w:r>
    </w:p>
    <w:p>
      <w:pPr>
        <w:pStyle w:val="null3"/>
        <w:ind w:firstLine="480"/>
      </w:pPr>
      <w:r>
        <w:rPr/>
        <w:t xml:space="preserve"> 联系方式：</w:t>
      </w:r>
      <w:r>
        <w:rPr/>
        <w:t>叶工020-32662151</w:t>
      </w:r>
    </w:p>
    <w:p>
      <w:pPr>
        <w:pStyle w:val="null3"/>
        <w:outlineLvl w:val="3"/>
      </w:pPr>
      <w:r>
        <w:rPr>
          <w:sz w:val="24"/>
          <w:b/>
        </w:rPr>
        <w:t xml:space="preserve"> 2.采购代理机构信息</w:t>
      </w:r>
    </w:p>
    <w:p>
      <w:pPr>
        <w:pStyle w:val="null3"/>
        <w:ind w:firstLine="480"/>
      </w:pPr>
      <w:r>
        <w:rPr/>
        <w:t xml:space="preserve"> 名称：</w:t>
      </w:r>
      <w:r>
        <w:rPr/>
        <w:t>广东中元招标代理有限公司广州分公司</w:t>
      </w:r>
    </w:p>
    <w:p>
      <w:pPr>
        <w:pStyle w:val="null3"/>
        <w:ind w:firstLine="480"/>
      </w:pPr>
      <w:r>
        <w:rPr/>
        <w:t xml:space="preserve"> 地址：</w:t>
      </w:r>
      <w:r>
        <w:rPr/>
        <w:t>广州市天河区金穗路8号星汇国际大厦西塔2801房</w:t>
      </w:r>
    </w:p>
    <w:p>
      <w:pPr>
        <w:pStyle w:val="null3"/>
        <w:ind w:firstLine="480"/>
      </w:pPr>
      <w:r>
        <w:rPr/>
        <w:t xml:space="preserve"> 联系方式：</w:t>
      </w:r>
      <w:r>
        <w:rPr/>
        <w:t>020-83525673</w:t>
      </w:r>
    </w:p>
    <w:p>
      <w:pPr>
        <w:pStyle w:val="null3"/>
        <w:outlineLvl w:val="3"/>
      </w:pPr>
      <w:r>
        <w:rPr>
          <w:sz w:val="24"/>
          <w:b/>
        </w:rPr>
        <w:t xml:space="preserve"> 3.项目联系方式</w:t>
      </w:r>
    </w:p>
    <w:p>
      <w:pPr>
        <w:pStyle w:val="null3"/>
        <w:ind w:firstLine="480"/>
      </w:pPr>
      <w:r>
        <w:rPr/>
        <w:t xml:space="preserve"> 项目联系人：</w:t>
      </w:r>
      <w:r>
        <w:rPr/>
        <w:t>董先生、周小姐</w:t>
      </w:r>
    </w:p>
    <w:p>
      <w:pPr>
        <w:pStyle w:val="null3"/>
        <w:ind w:firstLine="480"/>
      </w:pPr>
      <w:r>
        <w:rPr/>
        <w:t xml:space="preserve"> 电话：</w:t>
      </w:r>
      <w:r>
        <w:rPr/>
        <w:t>020-83525673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广东中元招标代理有限公司广州分公司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1.本项目为共2年期跨年度项目，总预算为210万元。费用包含检测数据采集加密、解析、数据分析预警、数据对接传输、项目验收等项目全过程产生的所有费用。</w:t>
      </w:r>
    </w:p>
    <w:p>
      <w:pPr>
        <w:pStyle w:val="null3"/>
        <w:ind w:firstLine="480"/>
        <w:jc w:val="both"/>
      </w:pPr>
      <w:r>
        <w:rPr>
          <w:sz w:val="24"/>
        </w:rPr>
        <w:t>2.对不低于250套在线运行的不透光烟度计和轻型柴油车加载减速工况法氮氧化物分析仪的检验过程数据加密、数据验签解析、异常数据预警、数据对接等专业技术服务，同时在合同期内对新增的柴油车检测线不透光烟度计和氮氧化物分析仪提供相同的技术服务，合计</w:t>
      </w:r>
      <w:r>
        <w:rPr>
          <w:sz w:val="24"/>
        </w:rPr>
        <w:t>不超过</w:t>
      </w:r>
      <w:r>
        <w:rPr>
          <w:sz w:val="24"/>
        </w:rPr>
        <w:t>300套。加密监控的过程数据应至少包含但不限于柴油车加载减速工况法、自由加速法检测的烟度、二氧化碳（CO2）和氮氧化物（NOx）排放浓度。每一年（连续12个月）的服务周期内，有效加密监控的检测车辆数不低于20万辆次，期间按要求提供数据分析报告，保障排气检验数据质量，防止窜改检验数据行为。</w:t>
      </w:r>
    </w:p>
    <w:p>
      <w:pPr>
        <w:pStyle w:val="null3"/>
        <w:ind w:firstLine="480"/>
        <w:jc w:val="both"/>
      </w:pPr>
      <w:r>
        <w:rPr>
          <w:sz w:val="24"/>
        </w:rPr>
        <w:t>3.本章中主要商务要求中的“标的提供的时间”、“标的提供的地点”、“付款方式”、“验收要求”内容均为实质性的条款，投标供应商必须对此响应并完全满足或优于这些条款，否则将按无效投标处理。</w:t>
      </w:r>
    </w:p>
    <w:p>
      <w:pPr>
        <w:pStyle w:val="null3"/>
      </w:pPr>
      <w:r>
        <w:rPr/>
        <w:t xml:space="preserve"> </w:t>
      </w:r>
    </w:p>
    <w:p>
      <w:pPr>
        <w:pStyle w:val="null3"/>
      </w:pPr>
      <w:r>
        <w:rPr/>
        <w:t>采购包1（柴油车排气检验数据质量控制专项项目）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1期：支付比例30%,自合同签订后，采购人于5个工作日内向中标人支付合同总额30%</w:t>
            </w:r>
          </w:p>
          <w:p>
            <w:pPr>
              <w:pStyle w:val="null3"/>
            </w:pPr>
            <w:r>
              <w:rPr/>
              <w:t>2期：支付比例20%,项目调试完成并经专家验收投入运行，且采购人收到中标人开具的等额有效发票后于5个工作日内向中标人支付合同总额20%</w:t>
            </w:r>
          </w:p>
          <w:p>
            <w:pPr>
              <w:pStyle w:val="null3"/>
            </w:pPr>
            <w:r>
              <w:rPr/>
              <w:t>3期：支付比例20%,2025年11月，项目正常运行，中标方提供数据质量控制技术报告，且采购人收到中标人开具的等额有效发票后于5个工作日内向中标人支付合同总额20%</w:t>
            </w:r>
          </w:p>
          <w:p>
            <w:pPr>
              <w:pStyle w:val="null3"/>
            </w:pPr>
            <w:r>
              <w:rPr/>
              <w:t>4期：支付比例20%,2026年5月，中标人按规定提供数据质量控制技术报告，且采购人收到中标人开具的等额有效发票后于5个工作日内向中标人支付合同总额20%</w:t>
            </w:r>
          </w:p>
          <w:p>
            <w:pPr>
              <w:pStyle w:val="null3"/>
            </w:pPr>
            <w:r>
              <w:rPr/>
              <w:t>5期：支付比例10%,技术服务期满，项目通过专家验收，且采购人收到中标人开具的等额有效发票后于5个工作日内向中标人支付合同总额10%。 注：乙方凭以下有效的文件向甲方提出支付申请： （1）项目合同； （2）按法律规定开具相应的发票； （3）项目中标（成交）通知书； （4）服务进度成果材料。 关于款项支付的其他说明： （1）乙方有义务向甲方提供申请财政付款所需文件材料。除了证明服务进度成果材料之外，乙方还必须向甲方相应的款项发票作为请款凭据。如对申请材料有其他要求的，乙方也应配合及时提供。如乙方未按本合同约定及时提供请款所需材料和发票的，甲方有权延缓申请支付，直至收到乙方提供的材料和发票时止，而不视为甲方违约。 （2）由于甲方使用的是财政性资金，甲方向财政部门申请支付即视为履行了付款义务，乙方不得因财政部门审核需要时间、拨款迟延等原因要求甲方承担迟延付款的责任，更不得因此怠于履行合同义务</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1期：根据招标文件、投标人的投标承诺及行业标准、国家标准验收。 1.验收方式：由采购人组织分两次进行验收，第一次为项目首次验收，项目签订合同起3个月内完成项目功能调试，经验收后方能投入运行；第二次为项目期满验收。 2.验收标准： （1）首次验收：项目完成功能调试时，需提供项目技术报告，包含但不限于项目规模、数据质量控制内容及运行情况。 （2）期满验收：项目投入运行后，项目周期内每3个月提交一期数据质量控制技术报告，合计7期，最后1期技术报告纳入项目期满时的总报告中。</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项目安全要求：本项目提供的数据安全加密服务必须保证检测机构环保检测数据和信息的安全，提供的数据安全设备产品质量必须符合相关国家规定及行业要求。未按相关规定或产品质量不符要求，造成损失或人身伤害的，由中标人全责承担。 2.软件版权要求：项目中所使用的系统软件、通用软件须具有在中国境内的合法使用权或版权的正版软件；软件的版权涉及到第三方提出侵权或知识产权的起诉及支付版税等费用由中标人承担所有责任及费用。 3. 本项目使用的数据安全设备归中标人所有，在原始合同技术服务期内由中标人负责进行维修或更换，确保检测数据质量控制功能正常运行并传输数据。在原始合同约定技术服务期满后，若甲方继续机动车排气检验数据质量控制工作，由新中标方与中标人协商已安装到排气检测站的数据安全设备继续使用的相关费用；若甲方不再继续开展排气检验数据质量控制工作，中标人可自行决定数据安全设备是否拆除或继续给排气检测站使用。 4.柴油车数据质量控制技术运行要求：项目技术运行包括数据安全平台及数据安全加密技术支持。中标人需为本项目设立项目技术服务中心，组建项目技术服务团队，跟踪排气检测数据安全设备的运行状态和数据传输状态，对于出现的异常问题，及时采取相应的措施。提供1名驻点服务，提供7*24小时服务支持，在接到故障通知并确认后2小时内响应，查找原因，提出解决方案，至故障消除，完全恢复正常服务为止，修复时间一般应不超过1个工作日。 5.数据保密要求：中标人应承担项目涉及检测数据的保密责任，保密期限永久。中标人除按照采购人的要求进行报告和传输有关的检测数据外，不得向第三方传递其它任何检测数据。中标人不得利用本项目的所有资料对外开展技术交流、业务联系、数据交换等。如存在上述情况，将按严重违约行为依法追究中标人相关责任。 6.根据资金支付进度，在运行中，发现中标人未按合同完成技术服务要求的，采购人有权即刻中止合同，并处以合同总额的10%罚款，给他人造成损失的，中标人依法承担赔偿责任。</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柴油车排气检验数据质量控制专项项目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2,100,000.00</w:t>
            </w:r>
          </w:p>
        </w:tc>
        <w:tc>
          <w:tcPr>
            <w:tcW w:type="dxa" w:w="933"/>
          </w:tcPr>
          <w:p>
            <w:pPr>
              <w:pStyle w:val="null3"/>
              <w:jc w:val="right"/>
            </w:pPr>
            <w:r>
              <w:rPr/>
              <w:t>2,100,000.00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柴油车排气检验数据质量控制专项项目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数据安全加密服务</w:t>
            </w:r>
            <w:r>
              <w:rPr>
                <w:sz w:val="24"/>
              </w:rPr>
              <w:t>:具体详见本附表序号2-序号13的内容</w:t>
            </w:r>
          </w:p>
        </w:tc>
      </w:tr>
      <w:tr>
        <w:tc>
          <w:tcPr>
            <w:tcW w:type="dxa" w:w="2076"/>
          </w:tcPr>
          <w:p/>
        </w:tc>
        <w:tc>
          <w:tcPr>
            <w:tcW w:type="dxa" w:w="415"/>
          </w:tcPr>
          <w:p>
            <w:pPr>
              <w:pStyle w:val="null3"/>
            </w:pPr>
            <w:r>
              <w:rPr/>
              <w:t>2</w:t>
            </w:r>
          </w:p>
        </w:tc>
        <w:tc>
          <w:tcPr>
            <w:tcW w:type="dxa" w:w="5814"/>
          </w:tcPr>
          <w:p>
            <w:pPr>
              <w:pStyle w:val="null3"/>
              <w:jc w:val="both"/>
            </w:pPr>
            <w:r>
              <w:rPr>
                <w:sz w:val="24"/>
              </w:rPr>
              <w:t>功能需求</w:t>
            </w:r>
            <w:r>
              <w:rPr>
                <w:sz w:val="24"/>
              </w:rPr>
              <w:t>:提供数据安全设备，用于数据安全加密服务。数据安全设备适用于《柴油车污染物排放限值及测量方法（自由加速法及加载减速法）》（GB 3847-2018）的相关检测分析仪RS232串口通信的数据硬件加密，防止仪器输出数据被</w:t>
            </w:r>
            <w:r>
              <w:rPr>
                <w:sz w:val="24"/>
              </w:rPr>
              <w:t>窜改</w:t>
            </w:r>
            <w:r>
              <w:rPr>
                <w:sz w:val="24"/>
              </w:rPr>
              <w:t>。</w:t>
            </w:r>
          </w:p>
        </w:tc>
      </w:tr>
      <w:tr>
        <w:tc>
          <w:tcPr>
            <w:tcW w:type="dxa" w:w="2076"/>
          </w:tcPr>
          <w:p/>
        </w:tc>
        <w:tc>
          <w:tcPr>
            <w:tcW w:type="dxa" w:w="415"/>
          </w:tcPr>
          <w:p>
            <w:pPr>
              <w:pStyle w:val="null3"/>
            </w:pPr>
            <w:r>
              <w:rPr/>
              <w:t>3</w:t>
            </w:r>
          </w:p>
        </w:tc>
        <w:tc>
          <w:tcPr>
            <w:tcW w:type="dxa" w:w="5814"/>
          </w:tcPr>
          <w:p>
            <w:pPr>
              <w:pStyle w:val="null3"/>
            </w:pPr>
            <w:r>
              <w:rPr>
                <w:sz w:val="24"/>
              </w:rPr>
              <w:t>设备主要功能如下：具体详见本附表序号</w:t>
            </w:r>
            <w:r>
              <w:rPr>
                <w:sz w:val="24"/>
              </w:rPr>
              <w:t>4-序号11的内容</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4"/>
              </w:rPr>
              <w:t>支持废气仪、烟度计等设备数据加密验证（投标人须提供具有</w:t>
            </w:r>
            <w:r>
              <w:rPr>
                <w:sz w:val="24"/>
              </w:rPr>
              <w:t>CMA资质的第三方检测机构出具的检测报告或承诺函，签订合同时需提供有效的检测报告）</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sz w:val="24"/>
              </w:rPr>
              <w:t>支持数据硬件加密，采用</w:t>
            </w:r>
            <w:r>
              <w:rPr>
                <w:sz w:val="24"/>
              </w:rPr>
              <w:t>SM2非对称算法（投标人须提供具有CMA资质的第三方检测机构出具的检测报告或承诺函，签订合同时需提供有效的检测报告）</w:t>
            </w:r>
          </w:p>
        </w:tc>
      </w:tr>
      <w:tr>
        <w:tc>
          <w:tcPr>
            <w:tcW w:type="dxa" w:w="2076"/>
          </w:tcPr>
          <w:p>
            <w:pPr>
              <w:pStyle w:val="null3"/>
            </w:pPr>
            <w:r>
              <w:rPr/>
              <w:t>▲</w:t>
            </w:r>
          </w:p>
        </w:tc>
        <w:tc>
          <w:tcPr>
            <w:tcW w:type="dxa" w:w="415"/>
          </w:tcPr>
          <w:p>
            <w:pPr>
              <w:pStyle w:val="null3"/>
            </w:pPr>
            <w:r>
              <w:rPr/>
              <w:t>6</w:t>
            </w:r>
          </w:p>
        </w:tc>
        <w:tc>
          <w:tcPr>
            <w:tcW w:type="dxa" w:w="5814"/>
          </w:tcPr>
          <w:p>
            <w:pPr>
              <w:pStyle w:val="null3"/>
              <w:jc w:val="both"/>
            </w:pPr>
            <w:r>
              <w:rPr>
                <w:sz w:val="24"/>
              </w:rPr>
              <w:t>支持防拆报警，拆卸后设备显示报警状态，并向安全平台发送拆卸报警；内置电池，采用低功耗设计，设备断电后仍可支持防拆报警（投标人须提供具有</w:t>
            </w:r>
            <w:r>
              <w:rPr>
                <w:sz w:val="24"/>
              </w:rPr>
              <w:t>CMA资质的第三方检测机构出具的检测报告或承诺函，签订合同时需提供有效的检测报告）</w:t>
            </w:r>
          </w:p>
        </w:tc>
      </w:tr>
      <w:tr>
        <w:tc>
          <w:tcPr>
            <w:tcW w:type="dxa" w:w="2076"/>
          </w:tcPr>
          <w:p>
            <w:pPr>
              <w:pStyle w:val="null3"/>
            </w:pPr>
            <w:r>
              <w:rPr/>
              <w:t>▲</w:t>
            </w:r>
          </w:p>
        </w:tc>
        <w:tc>
          <w:tcPr>
            <w:tcW w:type="dxa" w:w="415"/>
          </w:tcPr>
          <w:p>
            <w:pPr>
              <w:pStyle w:val="null3"/>
            </w:pPr>
            <w:r>
              <w:rPr/>
              <w:t>7</w:t>
            </w:r>
          </w:p>
        </w:tc>
        <w:tc>
          <w:tcPr>
            <w:tcW w:type="dxa" w:w="5814"/>
          </w:tcPr>
          <w:p>
            <w:pPr>
              <w:pStyle w:val="null3"/>
              <w:jc w:val="both"/>
            </w:pPr>
            <w:r>
              <w:rPr>
                <w:sz w:val="24"/>
              </w:rPr>
              <w:t>支持在线生成密钥（发行），支持在线认证启用（激活）（投标人须提供具有</w:t>
            </w:r>
            <w:r>
              <w:rPr>
                <w:sz w:val="24"/>
              </w:rPr>
              <w:t>CMA资质的第三方检测机构出具的检测报告或承诺函，签订合同时需提供有效的检测报告）</w:t>
            </w:r>
          </w:p>
        </w:tc>
      </w:tr>
      <w:tr>
        <w:tc>
          <w:tcPr>
            <w:tcW w:type="dxa" w:w="2076"/>
          </w:tcPr>
          <w:p/>
        </w:tc>
        <w:tc>
          <w:tcPr>
            <w:tcW w:type="dxa" w:w="415"/>
          </w:tcPr>
          <w:p>
            <w:pPr>
              <w:pStyle w:val="null3"/>
            </w:pPr>
            <w:r>
              <w:rPr/>
              <w:t>8</w:t>
            </w:r>
          </w:p>
        </w:tc>
        <w:tc>
          <w:tcPr>
            <w:tcW w:type="dxa" w:w="5814"/>
          </w:tcPr>
          <w:p>
            <w:pPr>
              <w:pStyle w:val="null3"/>
              <w:jc w:val="both"/>
            </w:pPr>
            <w:r>
              <w:rPr>
                <w:sz w:val="24"/>
              </w:rPr>
              <w:t>具有唯一序列号，支持与检测仪器认证绑定使用</w:t>
            </w:r>
          </w:p>
        </w:tc>
      </w:tr>
      <w:tr>
        <w:tc>
          <w:tcPr>
            <w:tcW w:type="dxa" w:w="2076"/>
          </w:tcPr>
          <w:p/>
        </w:tc>
        <w:tc>
          <w:tcPr>
            <w:tcW w:type="dxa" w:w="415"/>
          </w:tcPr>
          <w:p>
            <w:pPr>
              <w:pStyle w:val="null3"/>
            </w:pPr>
            <w:r>
              <w:rPr/>
              <w:t>9</w:t>
            </w:r>
          </w:p>
        </w:tc>
        <w:tc>
          <w:tcPr>
            <w:tcW w:type="dxa" w:w="5814"/>
          </w:tcPr>
          <w:p>
            <w:pPr>
              <w:pStyle w:val="null3"/>
              <w:jc w:val="both"/>
            </w:pPr>
            <w:r>
              <w:rPr>
                <w:sz w:val="24"/>
              </w:rPr>
              <w:t>支持</w:t>
            </w:r>
            <w:r>
              <w:rPr>
                <w:sz w:val="24"/>
              </w:rPr>
              <w:t>100个字节/秒通信数据签名</w:t>
            </w:r>
          </w:p>
        </w:tc>
      </w:tr>
      <w:tr>
        <w:tc>
          <w:tcPr>
            <w:tcW w:type="dxa" w:w="2076"/>
          </w:tcPr>
          <w:p/>
        </w:tc>
        <w:tc>
          <w:tcPr>
            <w:tcW w:type="dxa" w:w="415"/>
          </w:tcPr>
          <w:p>
            <w:pPr>
              <w:pStyle w:val="null3"/>
            </w:pPr>
            <w:r>
              <w:rPr/>
              <w:t>10</w:t>
            </w:r>
          </w:p>
        </w:tc>
        <w:tc>
          <w:tcPr>
            <w:tcW w:type="dxa" w:w="5814"/>
          </w:tcPr>
          <w:p>
            <w:pPr>
              <w:pStyle w:val="null3"/>
            </w:pPr>
            <w:r>
              <w:rPr>
                <w:sz w:val="24"/>
              </w:rPr>
              <w:t>配备工作指示灯</w:t>
            </w:r>
          </w:p>
        </w:tc>
      </w:tr>
      <w:tr>
        <w:tc>
          <w:tcPr>
            <w:tcW w:type="dxa" w:w="2076"/>
          </w:tcPr>
          <w:p/>
        </w:tc>
        <w:tc>
          <w:tcPr>
            <w:tcW w:type="dxa" w:w="415"/>
          </w:tcPr>
          <w:p>
            <w:pPr>
              <w:pStyle w:val="null3"/>
            </w:pPr>
            <w:r>
              <w:rPr/>
              <w:t>11</w:t>
            </w:r>
          </w:p>
        </w:tc>
        <w:tc>
          <w:tcPr>
            <w:tcW w:type="dxa" w:w="5814"/>
          </w:tcPr>
          <w:p>
            <w:pPr>
              <w:pStyle w:val="null3"/>
              <w:jc w:val="both"/>
            </w:pPr>
            <w:r>
              <w:rPr>
                <w:sz w:val="24"/>
              </w:rPr>
              <w:t>支持目前串口仪器设备</w:t>
            </w:r>
            <w:r>
              <w:rPr>
                <w:sz w:val="24"/>
              </w:rPr>
              <w:t>100个字节/秒通信数据签名</w:t>
            </w:r>
          </w:p>
        </w:tc>
      </w:tr>
      <w:tr>
        <w:tc>
          <w:tcPr>
            <w:tcW w:type="dxa" w:w="2076"/>
          </w:tcPr>
          <w:p/>
        </w:tc>
        <w:tc>
          <w:tcPr>
            <w:tcW w:type="dxa" w:w="415"/>
          </w:tcPr>
          <w:p>
            <w:pPr>
              <w:pStyle w:val="null3"/>
            </w:pPr>
            <w:r>
              <w:rPr/>
              <w:t>12</w:t>
            </w:r>
          </w:p>
        </w:tc>
        <w:tc>
          <w:tcPr>
            <w:tcW w:type="dxa" w:w="5814"/>
          </w:tcPr>
          <w:p>
            <w:pPr>
              <w:pStyle w:val="null3"/>
              <w:jc w:val="left"/>
            </w:pPr>
            <w:r>
              <w:rPr>
                <w:sz w:val="24"/>
              </w:rPr>
              <w:t>工作环境：</w:t>
            </w:r>
          </w:p>
          <w:p>
            <w:pPr>
              <w:pStyle w:val="null3"/>
              <w:jc w:val="left"/>
            </w:pPr>
            <w:r>
              <w:rPr>
                <w:sz w:val="24"/>
              </w:rPr>
              <w:t>（</w:t>
            </w:r>
            <w:r>
              <w:rPr>
                <w:sz w:val="24"/>
              </w:rPr>
              <w:t>1）工作温度：-10℃～60℃</w:t>
            </w:r>
          </w:p>
          <w:p>
            <w:pPr>
              <w:pStyle w:val="null3"/>
              <w:jc w:val="left"/>
            </w:pPr>
            <w:r>
              <w:rPr>
                <w:sz w:val="24"/>
              </w:rPr>
              <w:t>（</w:t>
            </w:r>
            <w:r>
              <w:rPr>
                <w:sz w:val="24"/>
              </w:rPr>
              <w:t>2）存储温度：-30℃～70℃</w:t>
            </w:r>
          </w:p>
          <w:p>
            <w:pPr>
              <w:pStyle w:val="null3"/>
              <w:jc w:val="left"/>
            </w:pPr>
            <w:r>
              <w:rPr>
                <w:sz w:val="24"/>
              </w:rPr>
              <w:t>（</w:t>
            </w:r>
            <w:r>
              <w:rPr>
                <w:sz w:val="24"/>
              </w:rPr>
              <w:t>3）环境湿度：≤90％（非冷凝）</w:t>
            </w:r>
          </w:p>
          <w:p>
            <w:pPr>
              <w:pStyle w:val="null3"/>
              <w:jc w:val="both"/>
            </w:pPr>
            <w:r>
              <w:rPr>
                <w:sz w:val="24"/>
              </w:rPr>
              <w:t>（</w:t>
            </w:r>
            <w:r>
              <w:rPr>
                <w:sz w:val="24"/>
              </w:rPr>
              <w:t>4）大气压力：70Kpa～110Kpa</w:t>
            </w:r>
          </w:p>
        </w:tc>
      </w:tr>
      <w:tr>
        <w:tc>
          <w:tcPr>
            <w:tcW w:type="dxa" w:w="2076"/>
          </w:tcPr>
          <w:p/>
        </w:tc>
        <w:tc>
          <w:tcPr>
            <w:tcW w:type="dxa" w:w="415"/>
          </w:tcPr>
          <w:p>
            <w:pPr>
              <w:pStyle w:val="null3"/>
            </w:pPr>
            <w:r>
              <w:rPr/>
              <w:t>13</w:t>
            </w:r>
          </w:p>
        </w:tc>
        <w:tc>
          <w:tcPr>
            <w:tcW w:type="dxa" w:w="5814"/>
          </w:tcPr>
          <w:p>
            <w:pPr>
              <w:pStyle w:val="null3"/>
              <w:jc w:val="left"/>
            </w:pPr>
            <w:r>
              <w:rPr>
                <w:sz w:val="24"/>
              </w:rPr>
              <w:t>性能要求</w:t>
            </w:r>
            <w:r>
              <w:rPr>
                <w:sz w:val="24"/>
              </w:rPr>
              <w:t>:</w:t>
            </w:r>
          </w:p>
          <w:tbl>
            <w:tblPr>
              <w:tblBorders>
                <w:top w:val="none" w:color="000000" w:sz="4"/>
                <w:left w:val="none" w:color="000000" w:sz="4"/>
                <w:bottom w:val="none" w:color="000000" w:sz="4"/>
                <w:right w:val="none" w:color="000000" w:sz="4"/>
                <w:insideH w:val="none"/>
                <w:insideV w:val="none"/>
              </w:tblBorders>
            </w:tblPr>
            <w:tblGrid>
              <w:gridCol w:w="682"/>
              <w:gridCol w:w="1002"/>
              <w:gridCol w:w="3914"/>
            </w:tblGrid>
            <w:tr>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0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内容</w:t>
                  </w:r>
                </w:p>
              </w:tc>
              <w:tc>
                <w:tcPr>
                  <w:tcW w:type="dxa" w:w="3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要求</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工作电压</w:t>
                  </w:r>
                </w:p>
              </w:tc>
              <w:tc>
                <w:tcPr>
                  <w:tcW w:type="dxa" w:w="3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DC 5V</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通讯方式</w:t>
                  </w:r>
                </w:p>
              </w:tc>
              <w:tc>
                <w:tcPr>
                  <w:tcW w:type="dxa" w:w="3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RS232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数据加密</w:t>
                  </w:r>
                </w:p>
              </w:tc>
              <w:tc>
                <w:tcPr>
                  <w:tcW w:type="dxa" w:w="3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硬件加密，国密</w:t>
                  </w:r>
                  <w:r>
                    <w:rPr>
                      <w:sz w:val="24"/>
                    </w:rPr>
                    <w:t>SM2非对称算法</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一次发行</w:t>
                  </w:r>
                </w:p>
              </w:tc>
              <w:tc>
                <w:tcPr>
                  <w:tcW w:type="dxa" w:w="3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加密</w:t>
                  </w:r>
                  <w:r>
                    <w:rPr>
                      <w:sz w:val="24"/>
                    </w:rPr>
                    <w:t>功能需</w:t>
                  </w:r>
                  <w:r>
                    <w:rPr>
                      <w:sz w:val="24"/>
                    </w:rPr>
                    <w:t>认证</w:t>
                  </w:r>
                  <w:r>
                    <w:rPr>
                      <w:sz w:val="24"/>
                    </w:rPr>
                    <w:t>发行，</w:t>
                  </w:r>
                  <w:r>
                    <w:rPr>
                      <w:sz w:val="24"/>
                    </w:rPr>
                    <w:t>数据安全设备的安全芯片产生设备公、私钥对，私钥保存在芯片内部数据签名世使用，公钥发送到安全平台保存，验签时使用。</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安装激活</w:t>
                  </w:r>
                </w:p>
              </w:tc>
              <w:tc>
                <w:tcPr>
                  <w:tcW w:type="dxa" w:w="3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设备在安装现场认证激活，授权人员操作数据安全设备启用数据签名功能，保证数据签名功能启用时的可控性</w:t>
                  </w:r>
                </w:p>
              </w:tc>
            </w:tr>
          </w:tbl>
          <w:p/>
        </w:tc>
      </w:tr>
      <w:tr>
        <w:tc>
          <w:tcPr>
            <w:tcW w:type="dxa" w:w="2076"/>
          </w:tcPr>
          <w:p/>
        </w:tc>
        <w:tc>
          <w:tcPr>
            <w:tcW w:type="dxa" w:w="415"/>
          </w:tcPr>
          <w:p>
            <w:pPr>
              <w:pStyle w:val="null3"/>
            </w:pPr>
            <w:r>
              <w:rPr/>
              <w:t>14</w:t>
            </w:r>
          </w:p>
        </w:tc>
        <w:tc>
          <w:tcPr>
            <w:tcW w:type="dxa" w:w="5814"/>
          </w:tcPr>
          <w:p>
            <w:pPr>
              <w:pStyle w:val="null3"/>
            </w:pPr>
            <w:r>
              <w:rPr>
                <w:sz w:val="24"/>
              </w:rPr>
              <w:t>安全管理平台服务:具体详见本附表序号15-序号24的内容</w:t>
            </w:r>
          </w:p>
        </w:tc>
      </w:tr>
      <w:tr>
        <w:tc>
          <w:tcPr>
            <w:tcW w:type="dxa" w:w="2076"/>
          </w:tcPr>
          <w:p/>
        </w:tc>
        <w:tc>
          <w:tcPr>
            <w:tcW w:type="dxa" w:w="415"/>
          </w:tcPr>
          <w:p>
            <w:pPr>
              <w:pStyle w:val="null3"/>
            </w:pPr>
            <w:r>
              <w:rPr/>
              <w:t>15</w:t>
            </w:r>
          </w:p>
        </w:tc>
        <w:tc>
          <w:tcPr>
            <w:tcW w:type="dxa" w:w="5814"/>
          </w:tcPr>
          <w:p>
            <w:pPr>
              <w:pStyle w:val="null3"/>
              <w:jc w:val="both"/>
            </w:pPr>
            <w:r>
              <w:rPr>
                <w:sz w:val="24"/>
              </w:rPr>
              <w:t>系统管理：需提供用户管理功能，提供系统用户、安装人员管理功能，支持对用户按照不同角色进行用户分组管理，支持对平台用户、现场软件用户、管理人员等不同角色用户进行组织和权限管理。</w:t>
            </w:r>
          </w:p>
        </w:tc>
      </w:tr>
      <w:tr>
        <w:tc>
          <w:tcPr>
            <w:tcW w:type="dxa" w:w="2076"/>
          </w:tcPr>
          <w:p/>
        </w:tc>
        <w:tc>
          <w:tcPr>
            <w:tcW w:type="dxa" w:w="415"/>
          </w:tcPr>
          <w:p>
            <w:pPr>
              <w:pStyle w:val="null3"/>
            </w:pPr>
            <w:r>
              <w:rPr/>
              <w:t>16</w:t>
            </w:r>
          </w:p>
        </w:tc>
        <w:tc>
          <w:tcPr>
            <w:tcW w:type="dxa" w:w="5814"/>
          </w:tcPr>
          <w:p>
            <w:pPr>
              <w:pStyle w:val="null3"/>
              <w:jc w:val="both"/>
            </w:pPr>
            <w:r>
              <w:rPr>
                <w:sz w:val="24"/>
              </w:rPr>
              <w:t>系统维护：需提供日志管理，支持对用户的登录、访问、软件操作、系统运行等日志进行管理。提供服务包括：用户管理、权限管理、访问控制、登录记录、安全策略配置</w:t>
            </w:r>
            <w:r>
              <w:rPr>
                <w:sz w:val="24"/>
              </w:rPr>
              <w:t>。</w:t>
            </w:r>
          </w:p>
        </w:tc>
      </w:tr>
      <w:tr>
        <w:tc>
          <w:tcPr>
            <w:tcW w:type="dxa" w:w="2076"/>
          </w:tcPr>
          <w:p/>
        </w:tc>
        <w:tc>
          <w:tcPr>
            <w:tcW w:type="dxa" w:w="415"/>
          </w:tcPr>
          <w:p>
            <w:pPr>
              <w:pStyle w:val="null3"/>
            </w:pPr>
            <w:r>
              <w:rPr/>
              <w:t>17</w:t>
            </w:r>
          </w:p>
        </w:tc>
        <w:tc>
          <w:tcPr>
            <w:tcW w:type="dxa" w:w="5814"/>
          </w:tcPr>
          <w:p>
            <w:pPr>
              <w:pStyle w:val="null3"/>
              <w:jc w:val="both"/>
            </w:pPr>
            <w:r>
              <w:rPr>
                <w:sz w:val="24"/>
              </w:rPr>
              <w:t>数据安全设备管理服务：需提供安全模块及其相关仪器设备信息管理和设备密钥管理功能。</w:t>
            </w:r>
          </w:p>
        </w:tc>
      </w:tr>
      <w:tr>
        <w:tc>
          <w:tcPr>
            <w:tcW w:type="dxa" w:w="2076"/>
          </w:tcPr>
          <w:p/>
        </w:tc>
        <w:tc>
          <w:tcPr>
            <w:tcW w:type="dxa" w:w="415"/>
          </w:tcPr>
          <w:p>
            <w:pPr>
              <w:pStyle w:val="null3"/>
            </w:pPr>
            <w:r>
              <w:rPr/>
              <w:t>18</w:t>
            </w:r>
          </w:p>
        </w:tc>
        <w:tc>
          <w:tcPr>
            <w:tcW w:type="dxa" w:w="5814"/>
          </w:tcPr>
          <w:p>
            <w:pPr>
              <w:pStyle w:val="null3"/>
              <w:jc w:val="both"/>
            </w:pPr>
            <w:r>
              <w:rPr>
                <w:sz w:val="24"/>
              </w:rPr>
              <w:t>设备信息管理：管理已在系统备案登记的加密设备信息，包括：设备序列号、发行时间、发行用户、激活时间、激活用户、绑定的检测站、检测线、检测仪器信息。</w:t>
            </w:r>
          </w:p>
        </w:tc>
      </w:tr>
      <w:tr>
        <w:tc>
          <w:tcPr>
            <w:tcW w:type="dxa" w:w="2076"/>
          </w:tcPr>
          <w:p/>
        </w:tc>
        <w:tc>
          <w:tcPr>
            <w:tcW w:type="dxa" w:w="415"/>
          </w:tcPr>
          <w:p>
            <w:pPr>
              <w:pStyle w:val="null3"/>
            </w:pPr>
            <w:r>
              <w:rPr/>
              <w:t>19</w:t>
            </w:r>
          </w:p>
        </w:tc>
        <w:tc>
          <w:tcPr>
            <w:tcW w:type="dxa" w:w="5814"/>
          </w:tcPr>
          <w:p>
            <w:pPr>
              <w:pStyle w:val="null3"/>
              <w:jc w:val="both"/>
            </w:pPr>
            <w:r>
              <w:rPr>
                <w:sz w:val="24"/>
              </w:rPr>
              <w:t>设备密钥管理：管理所有已在系统发行成功的加密设备信息，包括：设备序列号、最新发行时间、发行用户、公钥信息、发行次数。</w:t>
            </w:r>
          </w:p>
        </w:tc>
      </w:tr>
      <w:tr>
        <w:tc>
          <w:tcPr>
            <w:tcW w:type="dxa" w:w="2076"/>
          </w:tcPr>
          <w:p/>
        </w:tc>
        <w:tc>
          <w:tcPr>
            <w:tcW w:type="dxa" w:w="415"/>
          </w:tcPr>
          <w:p>
            <w:pPr>
              <w:pStyle w:val="null3"/>
            </w:pPr>
            <w:r>
              <w:rPr/>
              <w:t>20</w:t>
            </w:r>
          </w:p>
        </w:tc>
        <w:tc>
          <w:tcPr>
            <w:tcW w:type="dxa" w:w="5814"/>
          </w:tcPr>
          <w:p>
            <w:pPr>
              <w:pStyle w:val="null3"/>
              <w:jc w:val="both"/>
            </w:pPr>
            <w:r>
              <w:rPr>
                <w:sz w:val="24"/>
              </w:rPr>
              <w:t>认证服务：安全平台需提供登录认证和注销登录服务，访问安全平台的接口服务前需要、先进行基于</w:t>
            </w:r>
            <w:r>
              <w:rPr>
                <w:sz w:val="24"/>
              </w:rPr>
              <w:t>TLS+HTTPS的身份认证，认证通过后发放身份令牌Token，以进行下一步的数据服务访问。</w:t>
            </w:r>
          </w:p>
        </w:tc>
      </w:tr>
      <w:tr>
        <w:tc>
          <w:tcPr>
            <w:tcW w:type="dxa" w:w="2076"/>
          </w:tcPr>
          <w:p>
            <w:pPr>
              <w:pStyle w:val="null3"/>
            </w:pPr>
            <w:r>
              <w:rPr/>
              <w:t>▲</w:t>
            </w:r>
          </w:p>
        </w:tc>
        <w:tc>
          <w:tcPr>
            <w:tcW w:type="dxa" w:w="415"/>
          </w:tcPr>
          <w:p>
            <w:pPr>
              <w:pStyle w:val="null3"/>
            </w:pPr>
            <w:r>
              <w:rPr/>
              <w:t>21</w:t>
            </w:r>
          </w:p>
        </w:tc>
        <w:tc>
          <w:tcPr>
            <w:tcW w:type="dxa" w:w="5814"/>
          </w:tcPr>
          <w:p>
            <w:pPr>
              <w:pStyle w:val="null3"/>
              <w:jc w:val="both"/>
            </w:pPr>
            <w:r>
              <w:rPr>
                <w:sz w:val="24"/>
              </w:rPr>
              <w:t>数据验签服务：安全平台提供基于</w:t>
            </w:r>
            <w:r>
              <w:rPr>
                <w:sz w:val="24"/>
              </w:rPr>
              <w:t>SM2国密算法的数据签名校验服务，使用安全设备发行流程中生成的公钥来校验签名是否正确，判断数据是否被篡改。（须提供数据报文接收、解析及验签结果相关的系统截图并加盖投标人公章）</w:t>
            </w:r>
          </w:p>
        </w:tc>
      </w:tr>
      <w:tr>
        <w:tc>
          <w:tcPr>
            <w:tcW w:type="dxa" w:w="2076"/>
          </w:tcPr>
          <w:p>
            <w:pPr>
              <w:pStyle w:val="null3"/>
            </w:pPr>
            <w:r>
              <w:rPr/>
              <w:t>▲</w:t>
            </w:r>
          </w:p>
        </w:tc>
        <w:tc>
          <w:tcPr>
            <w:tcW w:type="dxa" w:w="415"/>
          </w:tcPr>
          <w:p>
            <w:pPr>
              <w:pStyle w:val="null3"/>
            </w:pPr>
            <w:r>
              <w:rPr/>
              <w:t>22</w:t>
            </w:r>
          </w:p>
        </w:tc>
        <w:tc>
          <w:tcPr>
            <w:tcW w:type="dxa" w:w="5814"/>
          </w:tcPr>
          <w:p>
            <w:pPr>
              <w:pStyle w:val="null3"/>
              <w:jc w:val="both"/>
            </w:pPr>
            <w:r>
              <w:rPr>
                <w:sz w:val="24"/>
              </w:rPr>
              <w:t>发行激活服务：安全平台提供支持安全设备发行和激活的接口服务，可调用发行接口完成安全设备的发行流程，将安全设备的公钥下发到安全平台；可调用激活接口服务完成安全设备的激活流程，完成设备信息与检测站信息的登记与绑定操作。（须提供发行激活客户端软件及安全管理平台关于发行激活界面及日志相关的系统截图并加盖投标人公章）</w:t>
            </w:r>
          </w:p>
        </w:tc>
      </w:tr>
      <w:tr>
        <w:tc>
          <w:tcPr>
            <w:tcW w:type="dxa" w:w="2076"/>
          </w:tcPr>
          <w:p>
            <w:pPr>
              <w:pStyle w:val="null3"/>
            </w:pPr>
            <w:r>
              <w:rPr/>
              <w:t>▲</w:t>
            </w:r>
          </w:p>
        </w:tc>
        <w:tc>
          <w:tcPr>
            <w:tcW w:type="dxa" w:w="415"/>
          </w:tcPr>
          <w:p>
            <w:pPr>
              <w:pStyle w:val="null3"/>
            </w:pPr>
            <w:r>
              <w:rPr/>
              <w:t>23</w:t>
            </w:r>
          </w:p>
        </w:tc>
        <w:tc>
          <w:tcPr>
            <w:tcW w:type="dxa" w:w="5814"/>
          </w:tcPr>
          <w:p>
            <w:pPr>
              <w:pStyle w:val="null3"/>
              <w:jc w:val="left"/>
            </w:pPr>
            <w:r>
              <w:rPr>
                <w:sz w:val="24"/>
              </w:rPr>
              <w:t>数据分析仪表板：安全平台提供数据分析仪表板功能，支持多维度的系统信息统计汇总和分析展示。（须提供至少</w:t>
            </w:r>
            <w:r>
              <w:rPr>
                <w:sz w:val="24"/>
              </w:rPr>
              <w:t>10项不同的数据分析功能相关的系统截图并加盖投标人公章）</w:t>
            </w:r>
          </w:p>
          <w:p>
            <w:pPr>
              <w:pStyle w:val="null3"/>
              <w:jc w:val="left"/>
            </w:pPr>
            <w:r>
              <w:rPr>
                <w:sz w:val="24"/>
              </w:rPr>
              <w:t>1.基本数据统计：</w:t>
            </w:r>
          </w:p>
          <w:p>
            <w:pPr>
              <w:pStyle w:val="null3"/>
              <w:jc w:val="left"/>
            </w:pPr>
            <w:r>
              <w:rPr>
                <w:sz w:val="24"/>
              </w:rPr>
              <w:t>（</w:t>
            </w:r>
            <w:r>
              <w:rPr>
                <w:sz w:val="24"/>
              </w:rPr>
              <w:t>1）设备总数：截止当前，已在系统备案登记的设备数量。</w:t>
            </w:r>
          </w:p>
          <w:p>
            <w:pPr>
              <w:pStyle w:val="null3"/>
              <w:jc w:val="left"/>
            </w:pPr>
            <w:r>
              <w:rPr>
                <w:sz w:val="24"/>
              </w:rPr>
              <w:t>（</w:t>
            </w:r>
            <w:r>
              <w:rPr>
                <w:sz w:val="24"/>
              </w:rPr>
              <w:t>2）已经发行：截止当前，已发行的设备数量。</w:t>
            </w:r>
          </w:p>
          <w:p>
            <w:pPr>
              <w:pStyle w:val="null3"/>
              <w:jc w:val="left"/>
            </w:pPr>
            <w:r>
              <w:rPr>
                <w:sz w:val="24"/>
              </w:rPr>
              <w:t>（</w:t>
            </w:r>
            <w:r>
              <w:rPr>
                <w:sz w:val="24"/>
              </w:rPr>
              <w:t>3）已经激活：截止当前，已激活的设备数量。</w:t>
            </w:r>
          </w:p>
          <w:p>
            <w:pPr>
              <w:pStyle w:val="null3"/>
              <w:jc w:val="left"/>
            </w:pPr>
            <w:r>
              <w:rPr>
                <w:sz w:val="24"/>
              </w:rPr>
              <w:t>（</w:t>
            </w:r>
            <w:r>
              <w:rPr>
                <w:sz w:val="24"/>
              </w:rPr>
              <w:t>4）验签数量：统计所选时间段的验签数据总计。</w:t>
            </w:r>
          </w:p>
          <w:p>
            <w:pPr>
              <w:pStyle w:val="null3"/>
              <w:jc w:val="left"/>
            </w:pPr>
            <w:r>
              <w:rPr>
                <w:sz w:val="24"/>
              </w:rPr>
              <w:t>（</w:t>
            </w:r>
            <w:r>
              <w:rPr>
                <w:sz w:val="24"/>
              </w:rPr>
              <w:t>5）失败设备数：统计所选时间段有验签失败记录的设备总数。</w:t>
            </w:r>
          </w:p>
          <w:p>
            <w:pPr>
              <w:pStyle w:val="null3"/>
              <w:jc w:val="left"/>
            </w:pPr>
            <w:r>
              <w:rPr>
                <w:sz w:val="24"/>
              </w:rPr>
              <w:t>（</w:t>
            </w:r>
            <w:r>
              <w:rPr>
                <w:sz w:val="24"/>
              </w:rPr>
              <w:t>6）设备在线数：统计所选时间段有验签记录的设备总数。</w:t>
            </w:r>
          </w:p>
          <w:p>
            <w:pPr>
              <w:pStyle w:val="null3"/>
              <w:jc w:val="left"/>
            </w:pPr>
            <w:r>
              <w:rPr>
                <w:sz w:val="24"/>
              </w:rPr>
              <w:t>2.检测站验签统计：按照检测站维度，在指定时间范围内统计各检测站的数据验签流水数量。</w:t>
            </w:r>
          </w:p>
          <w:p>
            <w:pPr>
              <w:pStyle w:val="null3"/>
              <w:jc w:val="left"/>
            </w:pPr>
            <w:r>
              <w:rPr>
                <w:sz w:val="24"/>
              </w:rPr>
              <w:t>3.总体验签统计：按日期维度统计每天/小时的验签数量，支持多种时间粒度统计，当选择查询粒度为周或者月时，统计每天的验签数据的数量；当选择查询粒度为日时，统计每小时的验签数据数量。</w:t>
            </w:r>
          </w:p>
          <w:p>
            <w:pPr>
              <w:pStyle w:val="null3"/>
              <w:jc w:val="left"/>
            </w:pPr>
            <w:r>
              <w:rPr>
                <w:sz w:val="24"/>
              </w:rPr>
              <w:t>4.验签通过率统计：按日期维度统计每天时间范围内总体的验签通过率和不通过率。</w:t>
            </w:r>
          </w:p>
          <w:p>
            <w:pPr>
              <w:pStyle w:val="null3"/>
              <w:jc w:val="left"/>
            </w:pPr>
            <w:r>
              <w:rPr>
                <w:sz w:val="24"/>
              </w:rPr>
              <w:t>5.验签失败设备统计：按日期纬度统计每天/小时的验签失败的设备数量，支持多种时间粒度统计，当选择查询粒度为周或者月时，统计每天的验签失败设备数量；当选择查询粒度为日时，统计每小时的验签失败设备数量。</w:t>
            </w:r>
          </w:p>
          <w:p>
            <w:pPr>
              <w:pStyle w:val="null3"/>
              <w:jc w:val="left"/>
            </w:pPr>
            <w:r>
              <w:rPr>
                <w:sz w:val="24"/>
              </w:rPr>
              <w:t>6.检测站验签失败设备统计：按照检测站维度，在指定时间范围内统计各检测站的验签失败设备数量，按有验签失败记录的设备数量从高到低进行排序。</w:t>
            </w:r>
          </w:p>
          <w:p>
            <w:pPr>
              <w:pStyle w:val="null3"/>
              <w:jc w:val="left"/>
            </w:pPr>
            <w:r>
              <w:rPr>
                <w:sz w:val="24"/>
              </w:rPr>
              <w:t>7.验签失败数据统计：按日期纬度，统计每天/小时的验签失败的数据数量，支持多种时间粒度统计，当选择查询粒度为周或者月时，统计的是每天的验签失败数据数量；当选择按日、时粒度查询统计每小时的验签失败数据数量。</w:t>
            </w:r>
          </w:p>
          <w:p>
            <w:pPr>
              <w:pStyle w:val="null3"/>
              <w:jc w:val="left"/>
            </w:pPr>
            <w:r>
              <w:rPr>
                <w:sz w:val="24"/>
              </w:rPr>
              <w:t>8.在线设备数统计：按天/小时统计在线设备的数量，支持多种时间粒度统计，当选择查询粒度为周或者月时，统计每天的在线设备数；当选择按日、时粒度查询统计每小时的在线设备数。</w:t>
            </w:r>
          </w:p>
          <w:p>
            <w:pPr>
              <w:pStyle w:val="null3"/>
              <w:jc w:val="left"/>
            </w:pPr>
            <w:r>
              <w:rPr>
                <w:sz w:val="24"/>
              </w:rPr>
              <w:t>9.检测站验签失败占比分析：按照检测站维度，在指定时间范围内的各检测站验签失败数量与总体验签数量的数据占比，并对各检测站占比情况进行排序，可根据分布情况检索更多检测站验签失败明细信息。</w:t>
            </w:r>
          </w:p>
          <w:p>
            <w:pPr>
              <w:pStyle w:val="null3"/>
              <w:jc w:val="left"/>
            </w:pPr>
            <w:r>
              <w:rPr>
                <w:sz w:val="24"/>
              </w:rPr>
              <w:t>10.防拆状态分布分析：统计所有已激活的设备，不同防拆状态数据分布比例情况，包括：防拆正常（正常工作设备，没有被拆卸）、防拆（加密设备部件被拆卸）等统计。</w:t>
            </w:r>
          </w:p>
          <w:p>
            <w:pPr>
              <w:pStyle w:val="null3"/>
              <w:jc w:val="both"/>
            </w:pPr>
            <w:r>
              <w:rPr>
                <w:sz w:val="24"/>
              </w:rPr>
              <w:t>11.激活次数分布分析：按照时间维度，统计设备发生过的激活事件次数，进行汇总统计并分析不同激活次数的设备数量分布情况</w:t>
            </w:r>
          </w:p>
        </w:tc>
      </w:tr>
      <w:tr>
        <w:tc>
          <w:tcPr>
            <w:tcW w:type="dxa" w:w="2076"/>
          </w:tcPr>
          <w:p/>
        </w:tc>
        <w:tc>
          <w:tcPr>
            <w:tcW w:type="dxa" w:w="415"/>
          </w:tcPr>
          <w:p>
            <w:pPr>
              <w:pStyle w:val="null3"/>
            </w:pPr>
            <w:r>
              <w:rPr/>
              <w:t>24</w:t>
            </w:r>
          </w:p>
        </w:tc>
        <w:tc>
          <w:tcPr>
            <w:tcW w:type="dxa" w:w="5814"/>
          </w:tcPr>
          <w:p>
            <w:pPr>
              <w:pStyle w:val="null3"/>
              <w:jc w:val="left"/>
            </w:pPr>
            <w:r>
              <w:rPr>
                <w:sz w:val="24"/>
              </w:rPr>
              <w:t>数据报表服务：按照多种时间范围维度，自动生成数据统计分析报表服务，包括：日报、周报、月报等数据报告。</w:t>
            </w:r>
          </w:p>
          <w:p>
            <w:pPr>
              <w:pStyle w:val="null3"/>
              <w:jc w:val="left"/>
            </w:pPr>
            <w:r>
              <w:rPr>
                <w:sz w:val="24"/>
              </w:rPr>
              <w:t>1.日报：</w:t>
            </w:r>
          </w:p>
          <w:p>
            <w:pPr>
              <w:pStyle w:val="null3"/>
              <w:jc w:val="left"/>
            </w:pPr>
            <w:r>
              <w:rPr>
                <w:sz w:val="24"/>
              </w:rPr>
              <w:t>（</w:t>
            </w:r>
            <w:r>
              <w:rPr>
                <w:sz w:val="24"/>
              </w:rPr>
              <w:t>1）防拆报警设备报表：基于当天验签数据情况，自动统计分析导出存在防拆失效的设备情况报表，报表内容包括：设备序列号、检测站名称、检测线信息、仪器类型、最新激活时间、累计激活次数、失效类型、设备版本号等。</w:t>
            </w:r>
          </w:p>
          <w:p>
            <w:pPr>
              <w:pStyle w:val="null3"/>
              <w:jc w:val="left"/>
            </w:pPr>
            <w:r>
              <w:rPr>
                <w:sz w:val="24"/>
              </w:rPr>
              <w:t>（</w:t>
            </w:r>
            <w:r>
              <w:rPr>
                <w:sz w:val="24"/>
              </w:rPr>
              <w:t>2）激活后设备情况报表：基于当天验签数据情况，自动统计分析导出存在激活事件的设备情况报表，报表内容包括：设备序列号、检测站名称、检测线信息、仪器类型、激活时间、激活后报警时间、激活后上传数据时间、设备版本号、设备升级时间等。</w:t>
            </w:r>
          </w:p>
          <w:p>
            <w:pPr>
              <w:pStyle w:val="null3"/>
              <w:jc w:val="left"/>
            </w:pPr>
            <w:r>
              <w:rPr>
                <w:sz w:val="24"/>
              </w:rPr>
              <w:t>（</w:t>
            </w:r>
            <w:r>
              <w:rPr>
                <w:sz w:val="24"/>
              </w:rPr>
              <w:t>3）验签失败设备报表：基于当天验签数据情况，自动统计分析导出存在验签失败设备报表，报表内容包括：设备序列号、检测站名称、检测线信息、仪器类型、验签失败类型、验签失败数量、设备版本号等。</w:t>
            </w:r>
          </w:p>
          <w:p>
            <w:pPr>
              <w:pStyle w:val="null3"/>
              <w:jc w:val="left"/>
            </w:pPr>
            <w:r>
              <w:rPr>
                <w:sz w:val="24"/>
              </w:rPr>
              <w:t>2.周报：</w:t>
            </w:r>
          </w:p>
          <w:p>
            <w:pPr>
              <w:pStyle w:val="null3"/>
              <w:jc w:val="left"/>
            </w:pPr>
            <w:r>
              <w:rPr>
                <w:sz w:val="24"/>
              </w:rPr>
              <w:t>（</w:t>
            </w:r>
            <w:r>
              <w:rPr>
                <w:sz w:val="24"/>
              </w:rPr>
              <w:t>1）防拆报警设备报表：基于当周验签数据情况，自动统计分析导出存在防拆失效的设备情况报表，报表内容包括：设备序列号、检测站名称、检测线信息、仪器类型、最新激活时间、累计激活次数、失效类型、设备版本号等。</w:t>
            </w:r>
          </w:p>
          <w:p>
            <w:pPr>
              <w:pStyle w:val="null3"/>
              <w:jc w:val="left"/>
            </w:pPr>
            <w:r>
              <w:rPr>
                <w:sz w:val="24"/>
              </w:rPr>
              <w:t>（</w:t>
            </w:r>
            <w:r>
              <w:rPr>
                <w:sz w:val="24"/>
              </w:rPr>
              <w:t>2）读数停止上传设备报表：基于当周验签数据情况，自动统计分析导出存在读数停止上传的设备报表，报表内容包括：设备序列号、检测站名称、检测线信息、仪器类型、最后读数时间、停止后恢复读数时间、停止读数时长、设备版本号等。</w:t>
            </w:r>
          </w:p>
          <w:p>
            <w:pPr>
              <w:pStyle w:val="null3"/>
              <w:jc w:val="left"/>
            </w:pPr>
            <w:r>
              <w:rPr>
                <w:sz w:val="24"/>
              </w:rPr>
              <w:t>（</w:t>
            </w:r>
            <w:r>
              <w:rPr>
                <w:sz w:val="24"/>
              </w:rPr>
              <w:t>3）验签失败设备报表：基于当周验签数据情况，自动统计分析导出存在验签失败设备报表，报表内容包括：设备序列号、检测站名称、检测线信息、仪器类型、验签失败类型、验签失败数量、设备版本号等。</w:t>
            </w:r>
          </w:p>
          <w:p>
            <w:pPr>
              <w:pStyle w:val="null3"/>
              <w:jc w:val="left"/>
            </w:pPr>
            <w:r>
              <w:rPr>
                <w:sz w:val="24"/>
              </w:rPr>
              <w:t>3.月报：</w:t>
            </w:r>
          </w:p>
          <w:p>
            <w:pPr>
              <w:pStyle w:val="null3"/>
              <w:jc w:val="left"/>
            </w:pPr>
            <w:r>
              <w:rPr>
                <w:sz w:val="24"/>
              </w:rPr>
              <w:t>（</w:t>
            </w:r>
            <w:r>
              <w:rPr>
                <w:sz w:val="24"/>
              </w:rPr>
              <w:t>1）防拆报警设备报表：基于当月验签数据情况，自动统计分析导出存在防拆失效的设备情况报表，报表内容包括：设备序列号、检测站名称、检测线信息、仪器类型、最新激活时间、累计激活次数、失效类型、设备版本号等。</w:t>
            </w:r>
          </w:p>
          <w:p>
            <w:pPr>
              <w:pStyle w:val="null3"/>
              <w:jc w:val="left"/>
            </w:pPr>
            <w:r>
              <w:rPr>
                <w:sz w:val="24"/>
              </w:rPr>
              <w:t>（</w:t>
            </w:r>
            <w:r>
              <w:rPr>
                <w:sz w:val="24"/>
              </w:rPr>
              <w:t>2）检测站验签月度变化报表：基于近几个月验签数据情况，自动统计分析导出存在验签异常变化幅度较大的检测站情况报表，报表内容包括：检测站名称、检测线信息、仪器类型、近几月份的验签变化情况等。</w:t>
            </w:r>
          </w:p>
          <w:p>
            <w:pPr>
              <w:pStyle w:val="null3"/>
              <w:jc w:val="both"/>
            </w:pPr>
            <w:r>
              <w:rPr>
                <w:sz w:val="24"/>
              </w:rPr>
              <w:t>（</w:t>
            </w:r>
            <w:r>
              <w:rPr>
                <w:sz w:val="24"/>
              </w:rPr>
              <w:t>3）验签失败设备报表：基于当月验签数据情况，自动统计分析导出存在验签失败设备报表，报表内容包括：设备序列号、检测站名称、检测线信息、仪器类型、验签失败类型、验签失败数量、设备版本号等。</w:t>
            </w:r>
          </w:p>
        </w:tc>
      </w:tr>
      <w:tr>
        <w:tc>
          <w:tcPr>
            <w:tcW w:type="dxa" w:w="2076"/>
          </w:tcPr>
          <w:p/>
        </w:tc>
        <w:tc>
          <w:tcPr>
            <w:tcW w:type="dxa" w:w="415"/>
          </w:tcPr>
          <w:p>
            <w:pPr>
              <w:pStyle w:val="null3"/>
            </w:pPr>
            <w:r>
              <w:rPr/>
              <w:t>25</w:t>
            </w:r>
          </w:p>
        </w:tc>
        <w:tc>
          <w:tcPr>
            <w:tcW w:type="dxa" w:w="5814"/>
          </w:tcPr>
          <w:p>
            <w:pPr>
              <w:pStyle w:val="null3"/>
              <w:jc w:val="left"/>
            </w:pPr>
            <w:r>
              <w:rPr>
                <w:sz w:val="24"/>
              </w:rPr>
              <w:t>人员资质要求：</w:t>
            </w:r>
          </w:p>
          <w:p>
            <w:pPr>
              <w:pStyle w:val="null3"/>
              <w:jc w:val="left"/>
            </w:pPr>
            <w:r>
              <w:rPr>
                <w:sz w:val="24"/>
              </w:rPr>
              <w:t>1.人员配置：</w:t>
            </w:r>
          </w:p>
          <w:p>
            <w:pPr>
              <w:pStyle w:val="null3"/>
              <w:jc w:val="left"/>
            </w:pPr>
            <w:r>
              <w:rPr>
                <w:sz w:val="24"/>
              </w:rPr>
              <w:t>（</w:t>
            </w:r>
            <w:r>
              <w:rPr>
                <w:sz w:val="24"/>
              </w:rPr>
              <w:t>1）根据本项目数据质量控制要求，应配备技术服务工程师及运维服务工程师，负责项目的日常维护、数据统计分析、定期巡查、设备维护等工作。技术服务人员应配备笔记本电脑等配套工具，用于日常维护及应急响应。</w:t>
            </w:r>
          </w:p>
          <w:p>
            <w:pPr>
              <w:pStyle w:val="null3"/>
              <w:jc w:val="left"/>
            </w:pPr>
            <w:r>
              <w:rPr>
                <w:sz w:val="24"/>
              </w:rPr>
              <w:t>2.配备后备技术团队进行保障和提供支持，遇到特殊疑难问题和故障时应做到及时响应排查，并提供全年365天，每天24小时的热线和紧急支持。</w:t>
            </w:r>
          </w:p>
          <w:p>
            <w:pPr>
              <w:pStyle w:val="null3"/>
              <w:jc w:val="left"/>
            </w:pPr>
            <w:r>
              <w:rPr>
                <w:sz w:val="24"/>
              </w:rPr>
              <w:t>3.人员资质：</w:t>
            </w:r>
          </w:p>
          <w:p>
            <w:pPr>
              <w:pStyle w:val="null3"/>
              <w:jc w:val="left"/>
            </w:pPr>
            <w:r>
              <w:rPr>
                <w:sz w:val="24"/>
              </w:rPr>
              <w:t>（</w:t>
            </w:r>
            <w:r>
              <w:rPr>
                <w:sz w:val="24"/>
              </w:rPr>
              <w:t>1）项目经理应具有信息技术类（包含计算机技术与应用、网络与信息安全、电子信息技术等专业）高级工程师或以上职称证书且承担过与本项目类似的服务项目经验；</w:t>
            </w:r>
          </w:p>
          <w:p>
            <w:pPr>
              <w:pStyle w:val="null3"/>
              <w:jc w:val="left"/>
            </w:pPr>
            <w:r>
              <w:rPr>
                <w:sz w:val="24"/>
              </w:rPr>
              <w:t>（</w:t>
            </w:r>
            <w:r>
              <w:rPr>
                <w:sz w:val="24"/>
              </w:rPr>
              <w:t>2）技术服务人员应具有信息技术类（包含计算机技术与应用、网络与信息安全、电子信息技术等专业）中级工程师或以上职称证书</w:t>
            </w:r>
          </w:p>
          <w:p>
            <w:pPr>
              <w:pStyle w:val="null3"/>
              <w:jc w:val="left"/>
            </w:pPr>
            <w:r>
              <w:rPr>
                <w:sz w:val="24"/>
              </w:rPr>
              <w:t>（</w:t>
            </w:r>
            <w:r>
              <w:rPr>
                <w:sz w:val="24"/>
              </w:rPr>
              <w:t>3）项目服务人员应具有环境类中级工程师或以上职称证书。</w:t>
            </w:r>
          </w:p>
          <w:p>
            <w:pPr>
              <w:pStyle w:val="null3"/>
              <w:jc w:val="both"/>
            </w:pPr>
            <w:r>
              <w:rPr>
                <w:sz w:val="24"/>
              </w:rPr>
              <w:t>（</w:t>
            </w:r>
            <w:r>
              <w:rPr>
                <w:sz w:val="24"/>
              </w:rPr>
              <w:t>4）</w:t>
            </w:r>
            <w:r>
              <w:rPr>
                <w:sz w:val="24"/>
              </w:rPr>
              <w:t>项目服务人员应具有信息安全保障人员认证证书。</w:t>
            </w:r>
          </w:p>
        </w:tc>
      </w:tr>
      <w:tr>
        <w:tc>
          <w:tcPr>
            <w:tcW w:type="dxa" w:w="2076"/>
          </w:tcPr>
          <w:p/>
        </w:tc>
        <w:tc>
          <w:tcPr>
            <w:tcW w:type="dxa" w:w="415"/>
          </w:tcPr>
          <w:p>
            <w:pPr>
              <w:pStyle w:val="null3"/>
            </w:pPr>
            <w:r>
              <w:rPr/>
              <w:t>26</w:t>
            </w:r>
          </w:p>
        </w:tc>
        <w:tc>
          <w:tcPr>
            <w:tcW w:type="dxa" w:w="5814"/>
          </w:tcPr>
          <w:p>
            <w:pPr>
              <w:pStyle w:val="null3"/>
              <w:jc w:val="both"/>
            </w:pPr>
            <w:r>
              <w:rPr>
                <w:sz w:val="24"/>
              </w:rPr>
              <w:t>数据对接传输要求：中标人负责项目所采集加密、解析、分析预警所产生的数据与</w:t>
            </w:r>
            <w:r>
              <w:rPr>
                <w:sz w:val="24"/>
              </w:rPr>
              <w:t>“广州市机动车污染排放监管系统”实时对接传输，并承担由此产生的费用。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1.采购代理机构：本项目是指广东中元招标代理有限公司广州分公司，负责整个采购活动的组织，依法负责编制和发布招标文件，对招标文件拥有最终的解释权，不以任何身份出任评标委员会成员。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广东省广州生态环境监测中心站</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招标代理服务费收费标准按广州市工程招标代理行业协会关于印发《广州市招标代理服务费计费规则》的通知（穗招代理协[2017]号）执行，以中标金额为基准按差额定率累进法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其他，1.《第三章 投标人须知》一、名词解释中第11点修改为“投标人代表签字”及“授权代表”：在电子投标（响应）文件及相关的其他电子资料中，涉及“投标人代表签字”或“授权代表”应在纸质投标（响应）文件进行手写签名或签章，或通过投标客户端使用电子签名完成。 2.根据《广州市财政局关于进一步提升政府采购效率和透明度的通知》（穗财采〔2024〕106号）“二、提升政府采购合同签订和资金支付效率：（一）我市各级采购人原则上应在中标、成交通知书发出之日起10个工作日内，按照采购文件确定的事项与中标、成交供应商签订政府采购合同。”</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广东中元招标网（www.zhongyuanzb.com)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广东中元招标网（www.zhongyuanzb.com)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董先生、周小姐</w:t>
      </w:r>
    </w:p>
    <w:p>
      <w:pPr>
        <w:pStyle w:val="null3"/>
        <w:ind w:firstLine="480"/>
      </w:pPr>
      <w:r>
        <w:rPr/>
        <w:t>电话：</w:t>
      </w:r>
      <w:r>
        <w:rPr/>
        <w:t>020-83525673</w:t>
      </w:r>
    </w:p>
    <w:p>
      <w:pPr>
        <w:pStyle w:val="null3"/>
        <w:ind w:firstLine="480"/>
      </w:pPr>
      <w:r>
        <w:rPr/>
        <w:t>传真：</w:t>
      </w:r>
      <w:r>
        <w:rPr/>
        <w:t>020-83525673</w:t>
      </w:r>
    </w:p>
    <w:p>
      <w:pPr>
        <w:pStyle w:val="null3"/>
        <w:ind w:firstLine="480"/>
      </w:pPr>
      <w:r>
        <w:rPr/>
        <w:t>邮箱：</w:t>
      </w:r>
      <w:r>
        <w:rPr/>
        <w:t>zyzb_gz@163.com</w:t>
      </w:r>
    </w:p>
    <w:p>
      <w:pPr>
        <w:pStyle w:val="null3"/>
        <w:ind w:firstLine="480"/>
      </w:pPr>
      <w:r>
        <w:rPr/>
        <w:t>地址：</w:t>
      </w:r>
      <w:r>
        <w:rPr/>
        <w:t>广州市天河区金穗路8号星汇国际大厦西塔2801房</w:t>
      </w:r>
    </w:p>
    <w:p>
      <w:pPr>
        <w:pStyle w:val="null3"/>
        <w:ind w:firstLine="480"/>
      </w:pPr>
      <w:r>
        <w:rPr/>
        <w:t>邮编：</w:t>
      </w:r>
      <w:r>
        <w:rPr/>
        <w:t>510623</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柴油车排气检验数据质量控制专项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广东中元招标代理有限公司广州分公司</w:t>
      </w:r>
      <w:r>
        <w:rPr/>
        <w:t>统一对外发布。</w:t>
      </w:r>
    </w:p>
    <w:p>
      <w:pPr>
        <w:pStyle w:val="null3"/>
        <w:ind w:firstLine="480"/>
      </w:pPr>
      <w:r>
        <w:rPr/>
        <w:t>（2）对</w:t>
      </w:r>
      <w:r>
        <w:rPr/>
        <w:t>广东中元招标代理有限公司广州分公司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采购包1（柴油车排气检验数据质量控制专项项目）：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采购包1（柴油车排气检验数据质量控制专项项目）：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提供书面声明。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提供书面声明。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严重失信主体”记录名单；不处于中国政府采购网(www.ccgp.gov.cn)“政府采购严重违法失信行为信息记录”中的禁止参加政府采购活动期间。（①以资格审查人员于投标（响应）截止时间当天在“信用中国”网站（www.creditchina.gov.cn）及中国政府采购网（http://www.ccgp.gov.cn/）查询结果为准，②投标（响应）供应商为分公司的，同时对该分公司所属总公司（总所） 进行信用记录查询，该分公司所属总公司（总所） 存在不良信用记录的，视同投标（响应）供应商存在不良信用记录； ③如相关失信记录已失效，供应商需提供相关证明资料）属总公司（总所） 存在不良信用记录的，视同投标人存在不良信用记录； ③如相关失信记录已失效，投标人必须提供相关证明资料。）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供应商须为符合本项目对应行业（所属行业：其他未列明行业）政策划分标准的中小企业。监狱企业、残疾人福利单位视同小型、微型企业。 注1：中小企业以供应商填写的《中小企业声明函》（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注2：《中小企业声明函》的填写要求见《广东省财政厅关于进一步规范政府采购活动中落实促进中小企业发展政策的通知》（粤财采购〔2024〕11号）的规定，供应商可登陆https://gdgpo.czt.gd.gov.cn/freecms/site/guangdong/tz/info/2024/15000058.html查阅。</w:t>
            </w:r>
          </w:p>
        </w:tc>
      </w:tr>
    </w:tbl>
    <w:p>
      <w:pPr>
        <w:pStyle w:val="null3"/>
        <w:ind w:firstLine="480"/>
      </w:pPr>
      <w:r>
        <w:rPr/>
        <w:t>表二符合性审查表：</w:t>
      </w:r>
    </w:p>
    <w:p>
      <w:pPr>
        <w:pStyle w:val="null3"/>
      </w:pPr>
      <w:r>
        <w:rPr/>
        <w:t>采购包1（柴油车排气检验数据质量控制专项项目）：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签署与盖章</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法定代表人证明书/法定代表人证明书及法定代表人授权书（投标签字代表为授权代表时）有效，按对应格式文件签署、盖章</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4</w:t>
            </w:r>
          </w:p>
        </w:tc>
        <w:tc>
          <w:tcPr>
            <w:tcW w:type="dxa" w:w="3178"/>
          </w:tcPr>
          <w:p>
            <w:pPr>
              <w:pStyle w:val="null3"/>
            </w:pPr>
            <w:r>
              <w:rPr/>
              <w:t>报价要求</w:t>
            </w:r>
          </w:p>
        </w:tc>
        <w:tc>
          <w:tcPr>
            <w:tcW w:type="dxa" w:w="4238"/>
          </w:tcPr>
          <w:p>
            <w:pPr>
              <w:pStyle w:val="null3"/>
            </w:pPr>
            <w:r>
              <w:rPr/>
              <w:t>①投标报价是固定价且是唯一的，投标总价未超出最高限价。②投标文件未出现选择性报价或有附加条件报价的情形。</w:t>
            </w:r>
          </w:p>
        </w:tc>
      </w:tr>
      <w:tr>
        <w:tc>
          <w:tcPr>
            <w:tcW w:type="dxa" w:w="890"/>
          </w:tcPr>
          <w:p>
            <w:pPr>
              <w:pStyle w:val="null3"/>
            </w:pPr>
            <w:r>
              <w:rPr/>
              <w:t>5</w:t>
            </w:r>
          </w:p>
        </w:tc>
        <w:tc>
          <w:tcPr>
            <w:tcW w:type="dxa" w:w="3178"/>
          </w:tcPr>
          <w:p>
            <w:pPr>
              <w:pStyle w:val="null3"/>
            </w:pPr>
            <w:r>
              <w:rPr/>
              <w:t>带“★”条款</w:t>
            </w:r>
          </w:p>
        </w:tc>
        <w:tc>
          <w:tcPr>
            <w:tcW w:type="dxa" w:w="4238"/>
          </w:tcPr>
          <w:p>
            <w:pPr>
              <w:pStyle w:val="null3"/>
            </w:pPr>
            <w:r>
              <w:rPr/>
              <w:t>投标人文件完全满足招标文件以“★”标明的实质性条款要求。</w:t>
            </w:r>
          </w:p>
        </w:tc>
      </w:tr>
      <w:tr>
        <w:tc>
          <w:tcPr>
            <w:tcW w:type="dxa" w:w="890"/>
          </w:tcPr>
          <w:p>
            <w:pPr>
              <w:pStyle w:val="null3"/>
            </w:pPr>
            <w:r>
              <w:rPr/>
              <w:t>6</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7</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采购包1(柴油车排气检验数据质量控制专项项目):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重要技术(参数)响应情况 (14.0分)</w:t>
            </w:r>
          </w:p>
        </w:tc>
        <w:tc>
          <w:tcPr>
            <w:tcW w:type="dxa" w:w="5076"/>
          </w:tcPr>
          <w:p>
            <w:pPr>
              <w:pStyle w:val="null3"/>
              <w:jc w:val="left"/>
            </w:pPr>
            <w:r>
              <w:rPr/>
              <w:t>根据投标人对《第二章 采购需求》的“附表一”中打“▲”号的重要技术(参数)条款（共7条）响应情况进行评审：完全满足或优于招标文件要求的得14分，每负偏离一项扣2分，满分14分。 注：采购需求中要求提供相关证明材料的，必须按采购需求要求提供相关证明材料，如未按要求提供相关证明材料的，则视为“负偏离”。若采购需求中无明确要求提供证明材料的，以投标人投标文件中的《技术和服务要求响应表》响应情况为准。</w:t>
            </w:r>
          </w:p>
        </w:tc>
      </w:tr>
      <w:tr>
        <w:tc>
          <w:tcPr>
            <w:tcW w:type="dxa" w:w="922"/>
            <w:gridSpan w:val="2"/>
            <w:vMerge/>
          </w:tcPr>
          <w:p/>
        </w:tc>
        <w:tc>
          <w:tcPr>
            <w:tcW w:type="dxa" w:w="2307"/>
          </w:tcPr>
          <w:p>
            <w:pPr>
              <w:pStyle w:val="null3"/>
              <w:jc w:val="left"/>
            </w:pPr>
            <w:r>
              <w:rPr/>
              <w:t>一般技术(参数)响应情况 (6.0分)</w:t>
            </w:r>
          </w:p>
        </w:tc>
        <w:tc>
          <w:tcPr>
            <w:tcW w:type="dxa" w:w="5076"/>
          </w:tcPr>
          <w:p>
            <w:pPr>
              <w:pStyle w:val="null3"/>
              <w:jc w:val="left"/>
            </w:pPr>
            <w:r>
              <w:rPr/>
              <w:t>根据投标人对《第二章 采购需求》的“附表一”中未打“★”号及未打“▲”号的技术(参数)条款（除下文已设置为评分项的条款外）响应情况进行评审： 1.完全满足或优于招标文件要求的得6分； 2.有1条负偏离，得5分； 3.有2条负偏离，得4分； 4.有3条负偏离，得3分； 5.有4条负偏离，得2分； 6.有5条负偏离，得1分； 7.有6条及以上负偏离的不得分。 注：采购需求中要求提供相关证明材料的，必须按采购需求要求提供相关证明材料，如未按要求提供相关证明材料的，则视为“负偏离”。若采购需求中无明确要求提供证明材料的，以投标人投标文件中的《技术和服务要求响应表》响应情况为准。</w:t>
            </w:r>
          </w:p>
        </w:tc>
      </w:tr>
      <w:tr>
        <w:tc>
          <w:tcPr>
            <w:tcW w:type="dxa" w:w="922"/>
            <w:gridSpan w:val="2"/>
            <w:vMerge/>
          </w:tcPr>
          <w:p/>
        </w:tc>
        <w:tc>
          <w:tcPr>
            <w:tcW w:type="dxa" w:w="2307"/>
          </w:tcPr>
          <w:p>
            <w:pPr>
              <w:pStyle w:val="null3"/>
              <w:jc w:val="left"/>
            </w:pPr>
            <w:r>
              <w:rPr/>
              <w:t>实施技术方案1 (2.0分)</w:t>
            </w:r>
          </w:p>
        </w:tc>
        <w:tc>
          <w:tcPr>
            <w:tcW w:type="dxa" w:w="5076"/>
          </w:tcPr>
          <w:p>
            <w:pPr>
              <w:pStyle w:val="null3"/>
              <w:jc w:val="left"/>
            </w:pPr>
            <w:r>
              <w:rPr/>
              <w:t>根据投标人提供的实施技术方案进行评审，方案应包括①总体框架设计②项目需求理解③数据处理流程④数据交互接口及协议⑤系统图表分析⑥异常告警提示⑦系统运行保障方案。投标人提供的实施技术方案可涵盖上述内容的，得2分；不提供实施技术方案或实施技术方案未涵盖上述内容，本项及实施技术方案2均不得分。</w:t>
            </w:r>
          </w:p>
        </w:tc>
      </w:tr>
      <w:tr>
        <w:tc>
          <w:tcPr>
            <w:tcW w:type="dxa" w:w="922"/>
            <w:gridSpan w:val="2"/>
            <w:vMerge/>
          </w:tcPr>
          <w:p/>
        </w:tc>
        <w:tc>
          <w:tcPr>
            <w:tcW w:type="dxa" w:w="2307"/>
          </w:tcPr>
          <w:p>
            <w:pPr>
              <w:pStyle w:val="null3"/>
              <w:jc w:val="left"/>
            </w:pPr>
            <w:r>
              <w:rPr/>
              <w:t>实施技术方案2 (8.0分)</w:t>
            </w:r>
          </w:p>
        </w:tc>
        <w:tc>
          <w:tcPr>
            <w:tcW w:type="dxa" w:w="5076"/>
          </w:tcPr>
          <w:p>
            <w:pPr>
              <w:pStyle w:val="null3"/>
              <w:jc w:val="left"/>
            </w:pPr>
            <w:r>
              <w:rPr/>
              <w:t>根据投标人提供的实施技术方案1对实施技术方案2进行评审（实施技术方案1不得分的，本项均不得分）： 1.方案整体内容优于项目需求的得8分； 2.方案整体内容满足项目需求的得5分； 3.方案整体内容部分满足项目需求的得2分； 4.其他情况或不响应，得0分。</w:t>
            </w:r>
          </w:p>
        </w:tc>
      </w:tr>
      <w:tr>
        <w:tc>
          <w:tcPr>
            <w:tcW w:type="dxa" w:w="922"/>
            <w:gridSpan w:val="2"/>
            <w:vMerge/>
          </w:tcPr>
          <w:p/>
        </w:tc>
        <w:tc>
          <w:tcPr>
            <w:tcW w:type="dxa" w:w="2307"/>
          </w:tcPr>
          <w:p>
            <w:pPr>
              <w:pStyle w:val="null3"/>
              <w:jc w:val="left"/>
            </w:pPr>
            <w:r>
              <w:rPr/>
              <w:t>服务质量保证措施方案1 (2.0分)</w:t>
            </w:r>
          </w:p>
        </w:tc>
        <w:tc>
          <w:tcPr>
            <w:tcW w:type="dxa" w:w="5076"/>
          </w:tcPr>
          <w:p>
            <w:pPr>
              <w:pStyle w:val="null3"/>
              <w:jc w:val="left"/>
            </w:pPr>
            <w:r>
              <w:rPr/>
              <w:t>根据投标人提供的服务质量保证措施方案进行评审，方案应包括①针对本项目设立项目技术服务中心、安全设备的运行管理②针对本项目设立项目技术服务中心、安全设备出现异常问题的相应措施等。投标人提供的服务质量保证措施方案可涵盖上述内容的，得2分；不提供服务质量保证措施方案或服务质量保证措施方案未涵盖上述内容的，本项及服务质量保证措施方案2均不得分。</w:t>
            </w:r>
          </w:p>
        </w:tc>
      </w:tr>
      <w:tr>
        <w:tc>
          <w:tcPr>
            <w:tcW w:type="dxa" w:w="922"/>
            <w:gridSpan w:val="2"/>
            <w:vMerge/>
          </w:tcPr>
          <w:p/>
        </w:tc>
        <w:tc>
          <w:tcPr>
            <w:tcW w:type="dxa" w:w="2307"/>
          </w:tcPr>
          <w:p>
            <w:pPr>
              <w:pStyle w:val="null3"/>
              <w:jc w:val="left"/>
            </w:pPr>
            <w:r>
              <w:rPr/>
              <w:t>服务质量保证措施方案2 (7.0分)</w:t>
            </w:r>
          </w:p>
        </w:tc>
        <w:tc>
          <w:tcPr>
            <w:tcW w:type="dxa" w:w="5076"/>
          </w:tcPr>
          <w:p>
            <w:pPr>
              <w:pStyle w:val="null3"/>
              <w:jc w:val="left"/>
            </w:pPr>
            <w:r>
              <w:rPr/>
              <w:t>根据投标人提供的服务质量保证措施方案1进行综合评审： 1.方案整体内容优于项目需求的得7分； 2.方案整体内容满足项目需求的得4分； 3.方案整体内容部分满足项目需求的得1分； 4.其他情况或不响应，得0分。</w:t>
            </w:r>
          </w:p>
        </w:tc>
      </w:tr>
      <w:tr>
        <w:tc>
          <w:tcPr>
            <w:tcW w:type="dxa" w:w="922"/>
            <w:gridSpan w:val="2"/>
            <w:vMerge/>
          </w:tcPr>
          <w:p/>
        </w:tc>
        <w:tc>
          <w:tcPr>
            <w:tcW w:type="dxa" w:w="2307"/>
          </w:tcPr>
          <w:p>
            <w:pPr>
              <w:pStyle w:val="null3"/>
              <w:jc w:val="left"/>
            </w:pPr>
            <w:r>
              <w:rPr/>
              <w:t>保密方案1 (2.0分)</w:t>
            </w:r>
          </w:p>
        </w:tc>
        <w:tc>
          <w:tcPr>
            <w:tcW w:type="dxa" w:w="5076"/>
          </w:tcPr>
          <w:p>
            <w:pPr>
              <w:pStyle w:val="null3"/>
              <w:jc w:val="left"/>
            </w:pPr>
            <w:r>
              <w:rPr/>
              <w:t>根据投标人提供的保密方案进行评审，方案应包括①保密承诺书②保密岗位责任措施等。投标人提供的保密方案可涵盖上述内容的，得2分；不提供保密方案或保密方案未涵盖上述内容的，本项及保密方案2均不得分。</w:t>
            </w:r>
          </w:p>
        </w:tc>
      </w:tr>
      <w:tr>
        <w:tc>
          <w:tcPr>
            <w:tcW w:type="dxa" w:w="922"/>
            <w:gridSpan w:val="2"/>
            <w:vMerge/>
          </w:tcPr>
          <w:p/>
        </w:tc>
        <w:tc>
          <w:tcPr>
            <w:tcW w:type="dxa" w:w="2307"/>
          </w:tcPr>
          <w:p>
            <w:pPr>
              <w:pStyle w:val="null3"/>
              <w:jc w:val="left"/>
            </w:pPr>
            <w:r>
              <w:rPr/>
              <w:t>保密方案2 (4.0分)</w:t>
            </w:r>
          </w:p>
        </w:tc>
        <w:tc>
          <w:tcPr>
            <w:tcW w:type="dxa" w:w="5076"/>
          </w:tcPr>
          <w:p>
            <w:pPr>
              <w:pStyle w:val="null3"/>
              <w:jc w:val="left"/>
            </w:pPr>
            <w:r>
              <w:rPr/>
              <w:t>根据投标人提供的保密方案1进行综合评审： 1.方案整体内容优于项目需求的得4分； 2.方案整体内容满足项目需求的得2分； 3.方案整体内容部分满足项目需求的得1分； 4.其他情况或不响应，得0分。</w:t>
            </w:r>
          </w:p>
        </w:tc>
      </w:tr>
      <w:tr>
        <w:tc>
          <w:tcPr>
            <w:tcW w:type="dxa" w:w="922"/>
            <w:gridSpan w:val="2"/>
            <w:vMerge w:val="restart"/>
          </w:tcPr>
          <w:p>
            <w:pPr>
              <w:pStyle w:val="null3"/>
              <w:jc w:val="center"/>
            </w:pPr>
            <w:r>
              <w:rPr/>
              <w:t>商务部分</w:t>
            </w:r>
          </w:p>
        </w:tc>
        <w:tc>
          <w:tcPr>
            <w:tcW w:type="dxa" w:w="2307"/>
          </w:tcPr>
          <w:p>
            <w:pPr>
              <w:pStyle w:val="null3"/>
              <w:jc w:val="left"/>
            </w:pPr>
            <w:r>
              <w:rPr/>
              <w:t>项目经验 (5.0分)</w:t>
            </w:r>
          </w:p>
        </w:tc>
        <w:tc>
          <w:tcPr>
            <w:tcW w:type="dxa" w:w="5076"/>
          </w:tcPr>
          <w:p>
            <w:pPr>
              <w:pStyle w:val="null3"/>
              <w:jc w:val="left"/>
            </w:pPr>
            <w:r>
              <w:rPr/>
              <w:t>因本项目机动车排气检验数据质量控制工作后续涉及行政执法取证，投标人2022年1月1日（以合同签订时间为准）以来承担过类似（如机动车检测数据加密或机动车检测数据安全）项目的，提供一个得5分，满分5分。 注：须提供合同复印件（包含：合同首页、服务内容页、双方签字盖章页）、招标公告时间前开具的项目发票及项目验收报告，并加盖投标人公章，未能提供证明材料或材料不完整的，其合同不予认定。</w:t>
            </w:r>
          </w:p>
        </w:tc>
      </w:tr>
      <w:tr>
        <w:tc>
          <w:tcPr>
            <w:tcW w:type="dxa" w:w="922"/>
            <w:gridSpan w:val="2"/>
            <w:vMerge/>
          </w:tcPr>
          <w:p/>
        </w:tc>
        <w:tc>
          <w:tcPr>
            <w:tcW w:type="dxa" w:w="2307"/>
          </w:tcPr>
          <w:p>
            <w:pPr>
              <w:pStyle w:val="null3"/>
              <w:jc w:val="left"/>
            </w:pPr>
            <w:r>
              <w:rPr/>
              <w:t>投标人信誉与资质 (16.0分)</w:t>
            </w:r>
          </w:p>
        </w:tc>
        <w:tc>
          <w:tcPr>
            <w:tcW w:type="dxa" w:w="5076"/>
          </w:tcPr>
          <w:p>
            <w:pPr>
              <w:pStyle w:val="null3"/>
              <w:jc w:val="left"/>
            </w:pPr>
            <w:r>
              <w:rPr/>
              <w:t>1、投标人承接的与本项目内容相关的项目获得政府或者第三方机构颁发或发布的与本项目服务内容相关的（如机动车检测数据加密、机动车检测数据安全）等方面的正面评价，包含：信誉、荣誉、奖项证书、表彰函、感谢信或媒体报道等，每提供1份得2分，本项最高得6分，不提供不得分。 注：须提供信誉、荣誉、奖项证书、表彰函、感谢信或媒体报道等扫描件或网页截图，并加盖投标人公章。 2、投标人具有有效的质量管理体系认证证书、环境管理体系认证证书、职业健康安全管理体系认证证书，每提供1个证书得2分，最高得6分。 注：提供证书扫描件及全国认可认证信息公共服务平台（https://www.cnca.gov.cn/）查询截图，不提供不得分。如因投标人（供应商）成立时间不足三个月，导致未能取得相关认证且能提供有效书面说明的，对应证书可得分。 3、因本项目机动车排气检验数据质量控制工作后续涉及行政执法取证，为防止人为干扰、窜改检验行为，投标人需掌握用于本项目的相关软件代码防止出现漏洞。投标人具有由国家版权局颁发的与本项目内容相关（如机动车检测数据加密、数据安全类等）的软件著作权，每提供1个得2分，最高得4分。 注：须提供有效期内证书扫描件并加盖投标人公章，不提供不得分。</w:t>
            </w:r>
          </w:p>
        </w:tc>
      </w:tr>
      <w:tr>
        <w:tc>
          <w:tcPr>
            <w:tcW w:type="dxa" w:w="922"/>
            <w:gridSpan w:val="2"/>
            <w:vMerge/>
          </w:tcPr>
          <w:p/>
        </w:tc>
        <w:tc>
          <w:tcPr>
            <w:tcW w:type="dxa" w:w="2307"/>
          </w:tcPr>
          <w:p>
            <w:pPr>
              <w:pStyle w:val="null3"/>
              <w:jc w:val="left"/>
            </w:pPr>
            <w:r>
              <w:rPr/>
              <w:t>项目经理 (3.0分)</w:t>
            </w:r>
          </w:p>
        </w:tc>
        <w:tc>
          <w:tcPr>
            <w:tcW w:type="dxa" w:w="5076"/>
          </w:tcPr>
          <w:p>
            <w:pPr>
              <w:pStyle w:val="null3"/>
              <w:jc w:val="left"/>
            </w:pPr>
            <w:r>
              <w:rPr/>
              <w:t>根据投标人拟投入本项目的项目经理情况进行评审：具有信息技术类（包含计算机技术与应用、网络与信息安全、电子信息技术等专业）高级工程师（含）以上职称证书的，得3分。 注：须同时提供：①人员的提交相关证书的原件扫描件；②该人员在投标人服务的外部证明材料扫描件，如投标截止日之前六个月以内任意一个月份的参加社会保险的《投保单》或《社会保险参保人员证明》；③提供在中华人民共和国人力资源和社会保障部全国人力资源和社会保障政务服务平台（http://12333.gov.cn）人才人事--全国职称评审信息查询中查询截图并加盖投标人公章。</w:t>
            </w:r>
          </w:p>
        </w:tc>
      </w:tr>
      <w:tr>
        <w:tc>
          <w:tcPr>
            <w:tcW w:type="dxa" w:w="922"/>
            <w:gridSpan w:val="2"/>
            <w:vMerge/>
          </w:tcPr>
          <w:p/>
        </w:tc>
        <w:tc>
          <w:tcPr>
            <w:tcW w:type="dxa" w:w="2307"/>
          </w:tcPr>
          <w:p>
            <w:pPr>
              <w:pStyle w:val="null3"/>
              <w:jc w:val="left"/>
            </w:pPr>
            <w:r>
              <w:rPr/>
              <w:t>项目团队人员 (12.0分)</w:t>
            </w:r>
          </w:p>
        </w:tc>
        <w:tc>
          <w:tcPr>
            <w:tcW w:type="dxa" w:w="5076"/>
          </w:tcPr>
          <w:p>
            <w:pPr>
              <w:pStyle w:val="null3"/>
              <w:jc w:val="left"/>
            </w:pPr>
            <w:r>
              <w:rPr/>
              <w:t>根据投标人拟投入本项目的项目团队人员(不含项目经理）情况进行评审： 1、技术服务人员：具有信息技术类（包含计算机技术与应用、网络与信息安全、电子信息技术等专业）中级工程师（含）以上职称证书，每人得2分，本项最高得4分； 2、项目服务人员：具有环境类中级工程师（含）以上职称证书的，每人得2分，本项最高得2分； 3.信息安全保障人员：具有信息安全保障人员认证证书的，每人得1.5分，本项最高得6分。 注：（1）以上人员不得兼任，同一个人员具有多个证书的不重复得分。 （2）须同时提供①相关人员证书扫描件；②相关人员在投标人处服务的外部证明材料扫描件，如投标截止日之前六个月以内任意一个月份的参加社会保险的《投保单》或《社会保险参保人员证明》； （3）第1、2小点评分项须提供在中华人民共和国人力资源和社会保障部全国人力资源和社会保障政务服务平台（http://12333.gov.cn）人才人事--全国职称评审信息查询中查询截图并加盖投标人公章；第3小点评分项须提供在中国网络安全审查认证和市场监管大数据中心（https://www.isccc.gov.cn）查询专区--人员认证与培训证书查询中查询截图并加盖投标人公章。 （4）其他情况或不提供的，不得分。</w:t>
            </w:r>
          </w:p>
        </w:tc>
      </w:tr>
      <w:tr>
        <w:tc>
          <w:tcPr>
            <w:tcW w:type="dxa" w:w="922"/>
            <w:gridSpan w:val="2"/>
            <w:vMerge/>
          </w:tcPr>
          <w:p/>
        </w:tc>
        <w:tc>
          <w:tcPr>
            <w:tcW w:type="dxa" w:w="2307"/>
          </w:tcPr>
          <w:p>
            <w:pPr>
              <w:pStyle w:val="null3"/>
              <w:jc w:val="left"/>
            </w:pPr>
            <w:r>
              <w:rPr/>
              <w:t>服务响应承诺 (4.0分)</w:t>
            </w:r>
          </w:p>
        </w:tc>
        <w:tc>
          <w:tcPr>
            <w:tcW w:type="dxa" w:w="5076"/>
          </w:tcPr>
          <w:p>
            <w:pPr>
              <w:pStyle w:val="null3"/>
              <w:jc w:val="left"/>
            </w:pPr>
            <w:r>
              <w:rPr/>
              <w:t>由于项目技术服务的特殊性，投标人承诺相关服务人员响应时间≤0.5小时的，得4分；在1小时＜响应时间＜2小时的，得2分；响应时间≥2小时的，得1分；其他情况不得分。 注：须提供承诺函（格式自拟）并加盖投标人公章，不提供不得分。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广东省广州生态环境监测中心站</w:t>
      </w:r>
    </w:p>
    <w:p>
      <w:pPr>
        <w:pStyle w:val="null3"/>
        <w:jc w:val="center"/>
      </w:pPr>
      <w:r>
        <w:rPr>
          <w:sz w:val="44"/>
          <w:b/>
        </w:rPr>
        <w:t>政府采购</w:t>
      </w:r>
    </w:p>
    <w:p>
      <w:pPr>
        <w:pStyle w:val="null3"/>
        <w:jc w:val="both"/>
      </w:pPr>
      <w:r>
        <w:rPr>
          <w:sz w:val="52"/>
          <w:b/>
        </w:rPr>
        <w:t>合　同　书</w:t>
      </w:r>
    </w:p>
    <w:tbl>
      <w:tblPr>
        <w:tblW w:w="0" w:type="auto"/>
        <w:tblBorders>
          <w:top w:val="none" w:color="000000" w:sz="4"/>
          <w:left w:val="none" w:color="000000" w:sz="4"/>
          <w:bottom w:val="none" w:color="000000" w:sz="4"/>
          <w:right w:val="none" w:color="000000" w:sz="4"/>
          <w:insideH w:val="none"/>
          <w:insideV w:val="none"/>
        </w:tblBorders>
      </w:tblPr>
      <w:tblGrid>
        <w:gridCol w:w="8100"/>
      </w:tblGrid>
      <w:tr>
        <w:tc>
          <w:tcPr>
            <w:tcW w:type="dxa" w:w="81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采购编号：</w:t>
            </w:r>
            <w:r>
              <w:rPr>
                <w:sz w:val="21"/>
                <w:b/>
                <w:u w:val="single"/>
              </w:rPr>
              <w:t xml:space="preserve">                          </w:t>
            </w:r>
          </w:p>
        </w:tc>
      </w:tr>
      <w:tr>
        <w:tc>
          <w:tcPr>
            <w:tcW w:type="dxa" w:w="81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1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项目名称：</w:t>
            </w:r>
            <w:r>
              <w:rPr>
                <w:sz w:val="21"/>
                <w:b/>
                <w:u w:val="single"/>
              </w:rPr>
              <w:t xml:space="preserve">                          </w:t>
            </w:r>
          </w:p>
        </w:tc>
      </w:tr>
      <w:tr>
        <w:tc>
          <w:tcPr>
            <w:tcW w:type="dxa" w:w="81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1"/>
          <w:b/>
        </w:rPr>
        <w:t>注：本合同仅为合同的参考文本，合同签订双方可根据项目的具体要求进行修订，但不得修改实质性条款。</w:t>
      </w:r>
    </w:p>
    <w:p>
      <w:pPr>
        <w:pStyle w:val="null3"/>
        <w:jc w:val="both"/>
      </w:pPr>
      <w:r>
        <w:rPr/>
        <w:t xml:space="preserve"> </w:t>
      </w:r>
    </w:p>
    <w:p>
      <w:pPr>
        <w:pStyle w:val="null3"/>
        <w:jc w:val="both"/>
      </w:pPr>
      <w:r>
        <w:rPr>
          <w:sz w:val="24"/>
        </w:rPr>
        <w:t>甲　　方：</w:t>
      </w:r>
    </w:p>
    <w:p>
      <w:pPr>
        <w:pStyle w:val="null3"/>
        <w:jc w:val="both"/>
      </w:pPr>
      <w:r>
        <w:rPr>
          <w:sz w:val="24"/>
        </w:rPr>
        <w:t>电　　话：　</w:t>
      </w:r>
    </w:p>
    <w:p>
      <w:pPr>
        <w:pStyle w:val="null3"/>
        <w:jc w:val="both"/>
      </w:pPr>
      <w:r>
        <w:rPr>
          <w:sz w:val="24"/>
        </w:rPr>
        <w:t>传　　真：</w:t>
      </w:r>
    </w:p>
    <w:p>
      <w:pPr>
        <w:pStyle w:val="null3"/>
        <w:jc w:val="both"/>
      </w:pPr>
      <w:r>
        <w:rPr>
          <w:sz w:val="24"/>
        </w:rPr>
        <w:t>地　　址：</w:t>
      </w:r>
    </w:p>
    <w:p>
      <w:pPr>
        <w:pStyle w:val="null3"/>
        <w:jc w:val="both"/>
      </w:pPr>
      <w:r>
        <w:rPr>
          <w:sz w:val="24"/>
        </w:rPr>
        <w:t>乙　　方：　　　　　　　　　　</w:t>
      </w:r>
    </w:p>
    <w:p>
      <w:pPr>
        <w:pStyle w:val="null3"/>
        <w:jc w:val="both"/>
      </w:pPr>
      <w:r>
        <w:rPr>
          <w:sz w:val="24"/>
        </w:rPr>
        <w:t>电　　话：　　　　　　　　</w:t>
      </w:r>
    </w:p>
    <w:p>
      <w:pPr>
        <w:pStyle w:val="null3"/>
        <w:jc w:val="both"/>
      </w:pPr>
      <w:r>
        <w:rPr>
          <w:sz w:val="24"/>
        </w:rPr>
        <w:t>传　　真：　　　　　　　　</w:t>
      </w:r>
    </w:p>
    <w:p>
      <w:pPr>
        <w:pStyle w:val="null3"/>
        <w:jc w:val="both"/>
      </w:pPr>
      <w:r>
        <w:rPr>
          <w:sz w:val="24"/>
        </w:rPr>
        <w:t>地　　址：　　　　　　　　　　</w:t>
      </w:r>
    </w:p>
    <w:p>
      <w:pPr>
        <w:pStyle w:val="null3"/>
        <w:ind w:firstLine="480"/>
        <w:jc w:val="both"/>
      </w:pPr>
      <w:r>
        <w:rPr>
          <w:sz w:val="24"/>
        </w:rPr>
        <w:t>根据</w:t>
      </w:r>
      <w:r>
        <w:rPr>
          <w:sz w:val="24"/>
          <w:u w:val="single"/>
        </w:rPr>
        <w:t xml:space="preserve"> </w:t>
      </w:r>
      <w:r>
        <w:rPr>
          <w:sz w:val="24"/>
          <w:u w:val="single"/>
        </w:rPr>
        <w:t>柴油车排气检验数据质量控制专项项目（项目编号：</w:t>
      </w:r>
      <w:r>
        <w:rPr>
          <w:sz w:val="24"/>
          <w:u w:val="single"/>
        </w:rPr>
        <w:t>ZYGZ-25-017）</w:t>
      </w:r>
      <w:r>
        <w:rPr>
          <w:sz w:val="24"/>
        </w:rPr>
        <w:t>的采购结果，按照《中华人民共和国民法典》的规定，</w:t>
      </w:r>
      <w:r>
        <w:rPr>
          <w:sz w:val="24"/>
        </w:rPr>
        <w:t>经双方协商，</w:t>
      </w:r>
      <w:r>
        <w:rPr>
          <w:sz w:val="24"/>
        </w:rPr>
        <w:t>本着平等互利和诚实信用的原则，</w:t>
      </w:r>
      <w:r>
        <w:rPr>
          <w:sz w:val="24"/>
        </w:rPr>
        <w:t>一致同意签订本合同如下</w:t>
      </w:r>
      <w:r>
        <w:rPr>
          <w:sz w:val="24"/>
        </w:rPr>
        <w:t>。</w:t>
      </w:r>
    </w:p>
    <w:p>
      <w:pPr>
        <w:pStyle w:val="null3"/>
        <w:jc w:val="both"/>
      </w:pPr>
      <w:r>
        <w:rPr>
          <w:sz w:val="24"/>
          <w:b/>
        </w:rPr>
        <w:t>一、</w:t>
      </w:r>
      <w:r>
        <w:rPr>
          <w:sz w:val="24"/>
          <w:b/>
        </w:rPr>
        <w:t>合同金额</w:t>
      </w:r>
    </w:p>
    <w:p>
      <w:pPr>
        <w:pStyle w:val="null3"/>
        <w:ind w:firstLine="480"/>
        <w:jc w:val="both"/>
      </w:pPr>
      <w:r>
        <w:rPr>
          <w:sz w:val="24"/>
        </w:rPr>
        <w:t>合同金额为（大写）：人民币</w:t>
      </w:r>
      <w:r>
        <w:rPr>
          <w:sz w:val="24"/>
        </w:rPr>
        <w:t>_______________元（￥____________元）。</w:t>
      </w:r>
    </w:p>
    <w:p>
      <w:pPr>
        <w:pStyle w:val="null3"/>
        <w:ind w:firstLine="480"/>
        <w:jc w:val="both"/>
      </w:pPr>
      <w:r>
        <w:rPr>
          <w:sz w:val="24"/>
        </w:rPr>
        <w:t>合同金额包含检测数据采集加密、解析、数据分析预警、数据对接传输、项目验收等项目全过程产生的所有费用。</w:t>
      </w:r>
    </w:p>
    <w:p>
      <w:pPr>
        <w:pStyle w:val="null3"/>
        <w:jc w:val="both"/>
      </w:pPr>
      <w:r>
        <w:rPr>
          <w:sz w:val="24"/>
          <w:b/>
        </w:rPr>
        <w:t>二、</w:t>
      </w:r>
      <w:r>
        <w:rPr>
          <w:sz w:val="24"/>
          <w:b/>
        </w:rPr>
        <w:t>服务范围</w:t>
      </w:r>
    </w:p>
    <w:p>
      <w:pPr>
        <w:pStyle w:val="null3"/>
        <w:spacing w:after="120"/>
        <w:ind w:firstLine="480"/>
        <w:jc w:val="both"/>
      </w:pPr>
      <w:r>
        <w:rPr>
          <w:sz w:val="24"/>
        </w:rPr>
        <w:t>对不低于</w:t>
      </w:r>
      <w:r>
        <w:rPr>
          <w:sz w:val="24"/>
        </w:rPr>
        <w:t>250套在线运行的不透光烟度计和轻型柴油车加载减速工况法氮氧化物分析仪的检验过程数据加密、数据验签解析、异常数据预警、数据对接等专业技术服务，同时在合同期内对新增的柴油车检测线不透光烟度计和氮氧化物分析仪提供相同的技术服务。加密监控的过程数据应至少包含但不限于柴油车加载减速工况法、自由加速法检测的烟度、二氧化碳（CO2）和氮氧化物（NOx）排放浓度。每一年（连续12个月）的服务周期内，有效加密监控的检测车辆数不低于20万辆次，期间按要求提供数据分析报告，保障排气检验数据质量，防止窜改检验数据行为。</w:t>
      </w:r>
    </w:p>
    <w:p>
      <w:pPr>
        <w:pStyle w:val="null3"/>
        <w:spacing w:after="120"/>
        <w:ind w:firstLine="480"/>
        <w:jc w:val="both"/>
      </w:pPr>
      <w:r>
        <w:rPr>
          <w:sz w:val="24"/>
        </w:rPr>
        <w:t>具体要求按本项目招标文件中第二章《采购需求》的相关规定、投标文件中乙方承诺的具体服务方案执行。</w:t>
      </w:r>
    </w:p>
    <w:p>
      <w:pPr>
        <w:pStyle w:val="null3"/>
        <w:jc w:val="both"/>
      </w:pPr>
      <w:r>
        <w:rPr>
          <w:sz w:val="24"/>
          <w:b/>
        </w:rPr>
        <w:t>三、</w:t>
      </w:r>
      <w:r>
        <w:rPr>
          <w:sz w:val="24"/>
          <w:b/>
        </w:rPr>
        <w:t>服务期（项目完成期限）及服务地点</w:t>
      </w:r>
    </w:p>
    <w:p>
      <w:pPr>
        <w:pStyle w:val="null3"/>
        <w:ind w:firstLine="435"/>
        <w:jc w:val="both"/>
      </w:pPr>
      <w:r>
        <w:rPr>
          <w:sz w:val="24"/>
        </w:rPr>
        <w:t>1、委托服务期</w:t>
      </w:r>
      <w:r>
        <w:rPr>
          <w:sz w:val="24"/>
        </w:rPr>
        <w:t>2025年10月1日至2027年9月30日，共2年</w:t>
      </w:r>
      <w:r>
        <w:rPr>
          <w:sz w:val="24"/>
        </w:rPr>
        <w:t>。</w:t>
      </w:r>
    </w:p>
    <w:p>
      <w:pPr>
        <w:pStyle w:val="null3"/>
        <w:ind w:firstLine="435"/>
        <w:jc w:val="both"/>
      </w:pPr>
      <w:r>
        <w:rPr>
          <w:sz w:val="24"/>
        </w:rPr>
        <w:t>2、服务地点：甲方指定地点</w:t>
      </w:r>
    </w:p>
    <w:p>
      <w:pPr>
        <w:pStyle w:val="null3"/>
        <w:jc w:val="both"/>
      </w:pPr>
      <w:r>
        <w:rPr>
          <w:sz w:val="24"/>
          <w:b/>
        </w:rPr>
        <w:t>四、</w:t>
      </w:r>
      <w:r>
        <w:rPr>
          <w:sz w:val="24"/>
          <w:b/>
        </w:rPr>
        <w:t>双方的权利和义务</w:t>
      </w:r>
    </w:p>
    <w:p>
      <w:pPr>
        <w:pStyle w:val="null3"/>
        <w:spacing w:after="120"/>
        <w:ind w:firstLine="480"/>
        <w:jc w:val="both"/>
      </w:pPr>
      <w:r>
        <w:rPr>
          <w:sz w:val="24"/>
        </w:rPr>
        <w:t>1、 甲方的权利和义务</w:t>
      </w:r>
    </w:p>
    <w:p>
      <w:pPr>
        <w:pStyle w:val="null3"/>
        <w:spacing w:after="120"/>
        <w:ind w:firstLine="480"/>
        <w:jc w:val="both"/>
      </w:pPr>
      <w:r>
        <w:rPr>
          <w:sz w:val="24"/>
        </w:rPr>
        <w:t>（</w:t>
      </w:r>
      <w:r>
        <w:rPr>
          <w:sz w:val="24"/>
        </w:rPr>
        <w:t>1）在合同执行期内，甲方应积极配合乙方做好服务工作。</w:t>
      </w:r>
    </w:p>
    <w:p>
      <w:pPr>
        <w:pStyle w:val="null3"/>
        <w:spacing w:after="120"/>
        <w:ind w:firstLine="480"/>
        <w:jc w:val="both"/>
      </w:pPr>
      <w:r>
        <w:rPr>
          <w:sz w:val="24"/>
        </w:rPr>
        <w:t>（</w:t>
      </w:r>
      <w:r>
        <w:rPr>
          <w:sz w:val="24"/>
        </w:rPr>
        <w:t>2）在服务期内，甲方应组织对乙方人员的工作态度、技术水平进行监督，并汇总收集和及时反馈意见，以便改正乙方的不足与缺点。</w:t>
      </w:r>
    </w:p>
    <w:p>
      <w:pPr>
        <w:pStyle w:val="null3"/>
        <w:spacing w:after="120"/>
        <w:ind w:firstLine="480"/>
        <w:jc w:val="both"/>
      </w:pPr>
      <w:r>
        <w:rPr>
          <w:sz w:val="24"/>
        </w:rPr>
        <w:t>（</w:t>
      </w:r>
      <w:r>
        <w:rPr>
          <w:sz w:val="24"/>
        </w:rPr>
        <w:t>3）在服务期内，甲方针对乙方服务内容开展相应的监督，如发现工作中存在质量或其他问题的，乙方应及时整改。</w:t>
      </w:r>
    </w:p>
    <w:p>
      <w:pPr>
        <w:pStyle w:val="null3"/>
        <w:spacing w:after="120"/>
        <w:ind w:firstLine="480"/>
        <w:jc w:val="both"/>
      </w:pPr>
      <w:r>
        <w:rPr>
          <w:sz w:val="24"/>
        </w:rPr>
        <w:t>2、乙方的权利和义务</w:t>
      </w:r>
    </w:p>
    <w:p>
      <w:pPr>
        <w:pStyle w:val="null3"/>
        <w:spacing w:after="120"/>
        <w:ind w:firstLine="480"/>
        <w:jc w:val="both"/>
      </w:pPr>
      <w:r>
        <w:rPr>
          <w:sz w:val="24"/>
        </w:rPr>
        <w:t>（</w:t>
      </w:r>
      <w:r>
        <w:rPr>
          <w:sz w:val="24"/>
        </w:rPr>
        <w:t>1）在合同期内，乙方需按照甲方要求开展服务工作。</w:t>
      </w:r>
    </w:p>
    <w:p>
      <w:pPr>
        <w:pStyle w:val="null3"/>
        <w:spacing w:after="120"/>
        <w:ind w:firstLine="480"/>
        <w:jc w:val="both"/>
      </w:pPr>
      <w:r>
        <w:rPr>
          <w:sz w:val="24"/>
        </w:rPr>
        <w:t>（</w:t>
      </w:r>
      <w:r>
        <w:rPr>
          <w:sz w:val="24"/>
        </w:rPr>
        <w:t>2）合同期内，乙方的服务需符合相关要求标准，如果由于不符合导致重新开展工作的，费用由乙方负责。</w:t>
      </w:r>
    </w:p>
    <w:p>
      <w:pPr>
        <w:pStyle w:val="null3"/>
        <w:spacing w:after="120"/>
        <w:ind w:firstLine="480"/>
        <w:jc w:val="both"/>
      </w:pPr>
      <w:r>
        <w:rPr>
          <w:sz w:val="24"/>
        </w:rPr>
        <w:t>（</w:t>
      </w:r>
      <w:r>
        <w:rPr>
          <w:sz w:val="24"/>
        </w:rPr>
        <w:t>3）乙方应承担本项目的安全生产责任。乙方在项目实施过程中造成的第三方的人身及财产损失，由乙方独自承担相应的法律和经济责任，与甲方无关；造成甲方经济损失的，由乙方承担，甲方保留追究其法律责任的权利。</w:t>
      </w:r>
    </w:p>
    <w:p>
      <w:pPr>
        <w:pStyle w:val="null3"/>
        <w:spacing w:after="120"/>
        <w:ind w:firstLine="480"/>
        <w:jc w:val="both"/>
      </w:pPr>
      <w:r>
        <w:rPr>
          <w:sz w:val="24"/>
        </w:rPr>
        <w:t>（</w:t>
      </w:r>
      <w:r>
        <w:rPr>
          <w:sz w:val="24"/>
        </w:rPr>
        <w:t>4）验收活动按照甲方项目验收管理工作要求执行，乙方应配合甲方的验收工作，按甲方的要求提供相应的验收材料并汇报相关工作情况。</w:t>
      </w:r>
    </w:p>
    <w:p>
      <w:pPr>
        <w:pStyle w:val="null3"/>
        <w:spacing w:after="120"/>
        <w:ind w:firstLine="480"/>
        <w:jc w:val="both"/>
      </w:pPr>
      <w:r>
        <w:rPr>
          <w:sz w:val="24"/>
        </w:rPr>
        <w:t>（</w:t>
      </w:r>
      <w:r>
        <w:rPr>
          <w:sz w:val="24"/>
        </w:rPr>
        <w:t>5）未经甲方批准，不得随意更换项目负责人（若因不可抗力因素导致项目负责人发生变更的，乙方必须在3 个工作日内书面通知甲方，替代人员必须具有与原人员相当或更高的资质和能力）。</w:t>
      </w:r>
    </w:p>
    <w:p>
      <w:pPr>
        <w:pStyle w:val="null3"/>
        <w:jc w:val="both"/>
      </w:pPr>
      <w:r>
        <w:rPr>
          <w:sz w:val="24"/>
          <w:b/>
        </w:rPr>
        <w:t>五、</w:t>
      </w:r>
      <w:r>
        <w:rPr>
          <w:sz w:val="24"/>
          <w:b/>
        </w:rPr>
        <w:t>付款方式</w:t>
      </w:r>
    </w:p>
    <w:p>
      <w:pPr>
        <w:pStyle w:val="null3"/>
        <w:spacing w:after="120"/>
        <w:ind w:firstLine="480"/>
        <w:jc w:val="both"/>
      </w:pPr>
      <w:r>
        <w:rPr>
          <w:sz w:val="24"/>
        </w:rPr>
        <w:t>1期(预付款):支付比例 30%,自合同签订后，甲方于5 个工作日内向乙方支付合同总额 30%;</w:t>
      </w:r>
    </w:p>
    <w:p>
      <w:pPr>
        <w:pStyle w:val="null3"/>
        <w:spacing w:after="120"/>
        <w:ind w:firstLine="480"/>
        <w:jc w:val="both"/>
      </w:pPr>
      <w:r>
        <w:rPr>
          <w:sz w:val="24"/>
        </w:rPr>
        <w:t>2期(进度款):支付比例 20%，项目调试完成并经专家验收投入运行，且甲方收到乙方开具的等额有效发票后于5个工作日内向乙方支付合同总额 20%;</w:t>
      </w:r>
    </w:p>
    <w:p>
      <w:pPr>
        <w:pStyle w:val="null3"/>
        <w:spacing w:after="120"/>
        <w:ind w:firstLine="480"/>
        <w:jc w:val="both"/>
      </w:pPr>
      <w:r>
        <w:rPr>
          <w:sz w:val="24"/>
        </w:rPr>
        <w:t>3期(进度款):支付比例 20%，2025年11月，项目正常运行，乙方提供数据质量控制技术报告，且甲方收到乙方开具的等额有效发票后于5个工作日内向乙方支付合同总额 20%;</w:t>
      </w:r>
    </w:p>
    <w:p>
      <w:pPr>
        <w:pStyle w:val="null3"/>
        <w:spacing w:after="120"/>
        <w:ind w:firstLine="480"/>
        <w:jc w:val="both"/>
      </w:pPr>
      <w:r>
        <w:rPr>
          <w:sz w:val="24"/>
        </w:rPr>
        <w:t>4期(进度款):支付比例 20%，2026年5月，乙方按规定提供数据质量控制技术报告，且甲方收到乙方开具的等额有效发票后于5个工作日内向乙方支付合同总额 20%;</w:t>
      </w:r>
    </w:p>
    <w:p>
      <w:pPr>
        <w:pStyle w:val="null3"/>
        <w:spacing w:after="120"/>
        <w:ind w:firstLine="480"/>
        <w:jc w:val="both"/>
      </w:pPr>
      <w:r>
        <w:rPr>
          <w:sz w:val="24"/>
        </w:rPr>
        <w:t>5期(尾款):支付比例 10%，技术服务期满，项目通过专家验收，且甲方收到乙方开具的等额有效发票后于5个工作日内向乙方支付合同总额 10%。</w:t>
      </w:r>
    </w:p>
    <w:p>
      <w:pPr>
        <w:pStyle w:val="null3"/>
        <w:spacing w:after="120"/>
        <w:ind w:firstLine="480"/>
        <w:jc w:val="both"/>
      </w:pPr>
      <w:r>
        <w:rPr>
          <w:sz w:val="24"/>
        </w:rPr>
        <w:t>乙方凭以下有效的文件向甲方提出支付申请：</w:t>
      </w:r>
    </w:p>
    <w:p>
      <w:pPr>
        <w:pStyle w:val="null3"/>
        <w:spacing w:after="120"/>
        <w:ind w:firstLine="480"/>
        <w:jc w:val="both"/>
      </w:pPr>
      <w:r>
        <w:rPr>
          <w:sz w:val="24"/>
        </w:rPr>
        <w:t>（</w:t>
      </w:r>
      <w:r>
        <w:rPr>
          <w:sz w:val="24"/>
        </w:rPr>
        <w:t>1）项目合同；</w:t>
      </w:r>
    </w:p>
    <w:p>
      <w:pPr>
        <w:pStyle w:val="null3"/>
        <w:spacing w:after="120"/>
        <w:ind w:firstLine="480"/>
        <w:jc w:val="both"/>
      </w:pPr>
      <w:r>
        <w:rPr>
          <w:sz w:val="24"/>
        </w:rPr>
        <w:t>（</w:t>
      </w:r>
      <w:r>
        <w:rPr>
          <w:sz w:val="24"/>
        </w:rPr>
        <w:t>2）按法律规定开具相应的发票；</w:t>
      </w:r>
    </w:p>
    <w:p>
      <w:pPr>
        <w:pStyle w:val="null3"/>
        <w:spacing w:after="120"/>
        <w:ind w:firstLine="480"/>
        <w:jc w:val="both"/>
      </w:pPr>
      <w:r>
        <w:rPr>
          <w:sz w:val="24"/>
        </w:rPr>
        <w:t>（</w:t>
      </w:r>
      <w:r>
        <w:rPr>
          <w:sz w:val="24"/>
        </w:rPr>
        <w:t>3）项目中标（成交）通知书；</w:t>
      </w:r>
    </w:p>
    <w:p>
      <w:pPr>
        <w:pStyle w:val="null3"/>
        <w:spacing w:after="120"/>
        <w:ind w:firstLine="480"/>
        <w:jc w:val="both"/>
      </w:pPr>
      <w:r>
        <w:rPr>
          <w:sz w:val="24"/>
        </w:rPr>
        <w:t>（</w:t>
      </w:r>
      <w:r>
        <w:rPr>
          <w:sz w:val="24"/>
        </w:rPr>
        <w:t>4）服务进度成果材料。</w:t>
      </w:r>
    </w:p>
    <w:p>
      <w:pPr>
        <w:pStyle w:val="null3"/>
        <w:spacing w:after="120"/>
        <w:ind w:firstLine="480"/>
        <w:jc w:val="both"/>
      </w:pPr>
      <w:r>
        <w:rPr>
          <w:sz w:val="24"/>
        </w:rPr>
        <w:t>关于款项支付的其他说明：</w:t>
      </w:r>
    </w:p>
    <w:p>
      <w:pPr>
        <w:pStyle w:val="null3"/>
        <w:spacing w:after="120"/>
        <w:ind w:firstLine="480"/>
        <w:jc w:val="both"/>
      </w:pPr>
      <w:r>
        <w:rPr>
          <w:sz w:val="24"/>
        </w:rPr>
        <w:t>（</w:t>
      </w:r>
      <w:r>
        <w:rPr>
          <w:sz w:val="24"/>
        </w:rPr>
        <w:t>1）乙方有义务向甲方提供申请财政付款所需文件材料。除了证明服务进度成果材料之外，乙方还必须向甲方相应的款项发票作为请款凭据。如对申请材料有其他要求的，乙方也应配合及时提供。如乙方未按本合同约定及时提供请款所需材料和发票的，甲方有权延缓申请支付，直至收到乙方提供的材料和发票时止，而不视为甲方违约。</w:t>
      </w:r>
    </w:p>
    <w:p>
      <w:pPr>
        <w:pStyle w:val="null3"/>
        <w:spacing w:after="120"/>
        <w:ind w:firstLine="480"/>
        <w:jc w:val="both"/>
      </w:pPr>
      <w:r>
        <w:rPr>
          <w:sz w:val="24"/>
        </w:rPr>
        <w:t>（</w:t>
      </w:r>
      <w:r>
        <w:rPr>
          <w:sz w:val="24"/>
        </w:rPr>
        <w:t>2）由于甲方使用的是财政性资金，甲方向财政部门申请支付即视为履行了付款义务，乙方不得因财政部门审核需要时间、拨款迟延等原因要求甲方承担迟延付款的责任，更不得因此怠于履行合同义务。</w:t>
      </w:r>
    </w:p>
    <w:p>
      <w:pPr>
        <w:pStyle w:val="null3"/>
        <w:jc w:val="both"/>
      </w:pPr>
      <w:r>
        <w:rPr>
          <w:sz w:val="24"/>
          <w:b/>
        </w:rPr>
        <w:t>六、</w:t>
      </w:r>
      <w:r>
        <w:rPr>
          <w:sz w:val="24"/>
          <w:b/>
        </w:rPr>
        <w:t>验收要求</w:t>
      </w:r>
    </w:p>
    <w:p>
      <w:pPr>
        <w:pStyle w:val="null3"/>
        <w:ind w:firstLine="480"/>
        <w:jc w:val="left"/>
      </w:pPr>
      <w:r>
        <w:rPr>
          <w:sz w:val="24"/>
        </w:rPr>
        <w:t>根据</w:t>
      </w:r>
      <w:r>
        <w:rPr>
          <w:sz w:val="24"/>
        </w:rPr>
        <w:t>本合同项下</w:t>
      </w:r>
      <w:r>
        <w:rPr>
          <w:sz w:val="24"/>
        </w:rPr>
        <w:t>招标文件、</w:t>
      </w:r>
      <w:r>
        <w:rPr>
          <w:sz w:val="24"/>
        </w:rPr>
        <w:t>乙方投标文件</w:t>
      </w:r>
      <w:r>
        <w:rPr>
          <w:sz w:val="24"/>
        </w:rPr>
        <w:t>的投标承诺及行业标准、国家标准验收。</w:t>
      </w:r>
    </w:p>
    <w:p>
      <w:pPr>
        <w:pStyle w:val="null3"/>
        <w:spacing w:after="120"/>
        <w:ind w:firstLine="480"/>
        <w:jc w:val="both"/>
      </w:pPr>
      <w:r>
        <w:rPr>
          <w:sz w:val="24"/>
        </w:rPr>
        <w:t>1.验收方式：由甲方组织分两次进行验收，第一次为项目首次验收，项目签订合同起3个月内完成项目功能调试，经验收后方能投入运行；第二次为项目期满验收。</w:t>
      </w:r>
    </w:p>
    <w:p>
      <w:pPr>
        <w:pStyle w:val="null3"/>
        <w:spacing w:after="120"/>
        <w:ind w:firstLine="480"/>
        <w:jc w:val="both"/>
      </w:pPr>
      <w:r>
        <w:rPr>
          <w:sz w:val="24"/>
        </w:rPr>
        <w:t>2.验收标准：</w:t>
      </w:r>
    </w:p>
    <w:p>
      <w:pPr>
        <w:pStyle w:val="null3"/>
        <w:spacing w:after="120"/>
        <w:ind w:firstLine="480"/>
        <w:jc w:val="both"/>
      </w:pPr>
      <w:r>
        <w:rPr>
          <w:sz w:val="24"/>
        </w:rPr>
        <w:t>（</w:t>
      </w:r>
      <w:r>
        <w:rPr>
          <w:sz w:val="24"/>
        </w:rPr>
        <w:t>1）首次验收：项目完成功能调试时，需提供项目技术报告，包含但不限于项目规模、数据质量控制内容及运行情况。</w:t>
      </w:r>
    </w:p>
    <w:p>
      <w:pPr>
        <w:pStyle w:val="null3"/>
        <w:spacing w:after="120"/>
        <w:ind w:firstLine="480"/>
        <w:jc w:val="both"/>
      </w:pPr>
      <w:r>
        <w:rPr>
          <w:sz w:val="24"/>
        </w:rPr>
        <w:t>（</w:t>
      </w:r>
      <w:r>
        <w:rPr>
          <w:sz w:val="24"/>
        </w:rPr>
        <w:t>2）期满验收：项目投入运行后，项目周期内每3个月提交一期数据质量控制技术报告，合计7期，最后1期技术报告纳入项目期满时的总报告中。</w:t>
      </w:r>
    </w:p>
    <w:p>
      <w:pPr>
        <w:pStyle w:val="null3"/>
        <w:jc w:val="both"/>
      </w:pPr>
      <w:r>
        <w:rPr>
          <w:sz w:val="24"/>
          <w:b/>
        </w:rPr>
        <w:t>七、</w:t>
      </w:r>
      <w:r>
        <w:rPr>
          <w:sz w:val="24"/>
          <w:b/>
        </w:rPr>
        <w:t>违约责任与赔偿损失</w:t>
      </w:r>
    </w:p>
    <w:p>
      <w:pPr>
        <w:pStyle w:val="null3"/>
        <w:ind w:firstLine="480"/>
        <w:jc w:val="both"/>
      </w:pPr>
      <w:r>
        <w:rPr>
          <w:sz w:val="24"/>
        </w:rPr>
        <w:t>1、乙方提供的服务不符合需求或本合同规定的，甲方有权拒绝接受服务、单方面终止合同，并且乙方须向甲方支付本合同总价5%的违约金。</w:t>
      </w:r>
    </w:p>
    <w:p>
      <w:pPr>
        <w:pStyle w:val="null3"/>
        <w:ind w:firstLine="480"/>
        <w:jc w:val="both"/>
      </w:pPr>
      <w:r>
        <w:rPr>
          <w:sz w:val="24"/>
        </w:rPr>
        <w:t>2、在中期和服务期满验收中，发现乙方未按合同完成</w:t>
      </w:r>
      <w:r>
        <w:rPr>
          <w:sz w:val="24"/>
        </w:rPr>
        <w:t>服务</w:t>
      </w:r>
      <w:r>
        <w:rPr>
          <w:sz w:val="24"/>
        </w:rPr>
        <w:t>要求的，甲方有权即刻中止合同，并处以合同总额的</w:t>
      </w:r>
      <w:r>
        <w:rPr>
          <w:sz w:val="24"/>
        </w:rPr>
        <w:t>10%罚款.</w:t>
      </w:r>
    </w:p>
    <w:p>
      <w:pPr>
        <w:pStyle w:val="null3"/>
        <w:ind w:firstLine="480"/>
        <w:jc w:val="both"/>
      </w:pPr>
      <w:r>
        <w:rPr>
          <w:sz w:val="24"/>
        </w:rPr>
        <w:t>3、乙方未能按本合同规定的时间提供服务，从逾期之日起每日按本合同总价3‰ 的数额向甲方支付违约金；逾期半个月以上的，甲方有权单方面终止合同，由此造成的甲方经济损失由乙方承担。</w:t>
      </w:r>
    </w:p>
    <w:p>
      <w:pPr>
        <w:pStyle w:val="null3"/>
        <w:ind w:firstLine="480"/>
        <w:jc w:val="both"/>
      </w:pPr>
      <w:r>
        <w:rPr>
          <w:sz w:val="24"/>
        </w:rPr>
        <w:t>4、甲方无正当理由拒绝接受服务，到期拒付服务款项的，甲方向乙方支付本合同总价5%的违约金。</w:t>
      </w:r>
    </w:p>
    <w:p>
      <w:pPr>
        <w:pStyle w:val="null3"/>
        <w:ind w:firstLine="480"/>
        <w:jc w:val="both"/>
      </w:pPr>
      <w:r>
        <w:rPr>
          <w:sz w:val="24"/>
        </w:rPr>
        <w:t>5、甲方无正当理由逾期付款，自甲方收到付款所需的完整文件材料且5个工作日后起，甲方须按每天按合同总金额1‰的金额向乙方偿付违约金。</w:t>
      </w:r>
    </w:p>
    <w:p>
      <w:pPr>
        <w:pStyle w:val="null3"/>
        <w:ind w:firstLine="480"/>
        <w:jc w:val="both"/>
      </w:pPr>
      <w:r>
        <w:rPr>
          <w:sz w:val="24"/>
        </w:rPr>
        <w:t>6、其它违约责任按《中华人民共和国民法典》处理。</w:t>
      </w:r>
    </w:p>
    <w:p>
      <w:pPr>
        <w:pStyle w:val="null3"/>
        <w:jc w:val="both"/>
      </w:pPr>
      <w:r>
        <w:rPr>
          <w:sz w:val="24"/>
          <w:b/>
        </w:rPr>
        <w:t>八、</w:t>
      </w:r>
      <w:r>
        <w:rPr>
          <w:sz w:val="24"/>
          <w:b/>
        </w:rPr>
        <w:t>争端的解决</w:t>
      </w:r>
    </w:p>
    <w:p>
      <w:pPr>
        <w:pStyle w:val="null3"/>
        <w:spacing w:after="120"/>
        <w:ind w:firstLine="480"/>
        <w:jc w:val="both"/>
      </w:pPr>
      <w:r>
        <w:rPr>
          <w:sz w:val="24"/>
        </w:rPr>
        <w:t>合同执行过程中发生的任何争议，如双方不能通过友好协商解决，按相关法律法规处理。</w:t>
      </w:r>
    </w:p>
    <w:p>
      <w:pPr>
        <w:pStyle w:val="null3"/>
        <w:jc w:val="both"/>
      </w:pPr>
      <w:r>
        <w:rPr>
          <w:sz w:val="24"/>
          <w:b/>
        </w:rPr>
        <w:t>九、</w:t>
      </w:r>
      <w:r>
        <w:rPr>
          <w:sz w:val="24"/>
          <w:b/>
        </w:rPr>
        <w:t>不可抗力：</w:t>
      </w:r>
    </w:p>
    <w:p>
      <w:pPr>
        <w:pStyle w:val="null3"/>
        <w:spacing w:after="120"/>
        <w:ind w:firstLine="480"/>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w:t>
      </w:r>
      <w:r>
        <w:rPr>
          <w:sz w:val="24"/>
          <w:b/>
        </w:rPr>
        <w:t>税费：</w:t>
      </w:r>
    </w:p>
    <w:p>
      <w:pPr>
        <w:pStyle w:val="null3"/>
        <w:spacing w:after="120"/>
        <w:ind w:firstLine="480"/>
        <w:jc w:val="both"/>
      </w:pPr>
      <w:r>
        <w:rPr>
          <w:sz w:val="24"/>
        </w:rPr>
        <w:t>在中国境内、外发生的与本合同执行有关的一切税费均由乙方负担。</w:t>
      </w:r>
    </w:p>
    <w:p>
      <w:pPr>
        <w:pStyle w:val="null3"/>
        <w:jc w:val="both"/>
      </w:pPr>
      <w:r>
        <w:rPr>
          <w:sz w:val="24"/>
          <w:b/>
        </w:rPr>
        <w:t>十一、</w:t>
      </w:r>
      <w:r>
        <w:rPr>
          <w:sz w:val="24"/>
          <w:b/>
        </w:rPr>
        <w:t>保密</w:t>
      </w:r>
    </w:p>
    <w:p>
      <w:pPr>
        <w:pStyle w:val="null3"/>
        <w:spacing w:after="120"/>
        <w:ind w:firstLine="480"/>
        <w:jc w:val="both"/>
      </w:pPr>
      <w:r>
        <w:rPr>
          <w:sz w:val="24"/>
        </w:rPr>
        <w:t>1、保密义务：未经甲方许可，乙方及乙方参与本项目的人员均不得对外披露、泄露本项目执行过程中甲方提供的信息、因合同履行而知悉的企业信息或环境信息、本项目执行过程中形成的过程信息、以及最终的成果信息。乙方应采取有效措施，保证其参与本项目的人员遵守本约定，并对乙方人员违反本约定所造成的后果承担连带责任。</w:t>
      </w:r>
    </w:p>
    <w:p>
      <w:pPr>
        <w:pStyle w:val="null3"/>
        <w:spacing w:after="120"/>
        <w:ind w:firstLine="480"/>
        <w:jc w:val="both"/>
      </w:pPr>
      <w:r>
        <w:rPr>
          <w:sz w:val="24"/>
        </w:rPr>
        <w:t>2、泄密责任：乙方违反本条规定的，甲方有权视乙方合同履行情况及违约情形，要求乙方支付本合同总价5%的违约金；返还甲方已经支付的费用；赔偿甲方损失（包括但不限于：甲方的经济损失；甲方因此支付的赔偿金、补偿金、罚金；甲方因维权、减少或制止损失所支付的一切费用）等。并且根据相关法律法规追究乙方涉密人员责任。</w:t>
      </w:r>
    </w:p>
    <w:p>
      <w:pPr>
        <w:pStyle w:val="null3"/>
        <w:spacing w:after="120"/>
        <w:ind w:firstLine="480"/>
        <w:jc w:val="both"/>
      </w:pPr>
      <w:r>
        <w:rPr>
          <w:sz w:val="24"/>
        </w:rPr>
        <w:t>3、保密内容：技术信息和经济信息。包括乙方在本项目实施过程中从甲方获取的有关本项目的技术文件、相关资料、技术诀窍、技术秘密、商业秘密，以及已由甲方明确列为保密信息的其他信息。乙方应承担项目涉及检测数据的保密责任，保密期限永久。乙方除按照甲方的要求进行报告和传输有关的检测数据外，不得向第三方传递其它任何检测数据。乙方不得利用本项目的所有资料对外开展技术交流、业务联系、数据交换等。如存在上述情况，将按严重违约行为依法追究乙方相关责任</w:t>
      </w:r>
    </w:p>
    <w:p>
      <w:pPr>
        <w:pStyle w:val="null3"/>
        <w:spacing w:after="120"/>
        <w:ind w:firstLine="480"/>
        <w:jc w:val="both"/>
      </w:pPr>
      <w:r>
        <w:rPr>
          <w:sz w:val="24"/>
        </w:rPr>
        <w:t>4、保密责任者范围：乙方及乙方参与本项目的所有人员。</w:t>
      </w:r>
    </w:p>
    <w:p>
      <w:pPr>
        <w:pStyle w:val="null3"/>
        <w:jc w:val="both"/>
      </w:pPr>
      <w:r>
        <w:rPr>
          <w:sz w:val="24"/>
          <w:b/>
        </w:rPr>
        <w:t>十二、</w:t>
      </w:r>
      <w:r>
        <w:rPr>
          <w:sz w:val="24"/>
          <w:b/>
        </w:rPr>
        <w:t>其它</w:t>
      </w:r>
    </w:p>
    <w:p>
      <w:pPr>
        <w:pStyle w:val="null3"/>
        <w:ind w:firstLine="480"/>
        <w:jc w:val="both"/>
      </w:pPr>
      <w:r>
        <w:rPr>
          <w:sz w:val="24"/>
        </w:rPr>
        <w:t>1、</w:t>
      </w:r>
      <w:r>
        <w:rPr>
          <w:sz w:val="24"/>
        </w:rPr>
        <w:t>本合同所有附件、招标文件、投标文件、中标通知书均为合同的有效组成部分，与本合同具有同等法律效力。</w:t>
      </w:r>
    </w:p>
    <w:p>
      <w:pPr>
        <w:pStyle w:val="null3"/>
        <w:ind w:firstLine="480"/>
        <w:jc w:val="both"/>
      </w:pPr>
      <w:r>
        <w:rPr>
          <w:sz w:val="24"/>
        </w:rPr>
        <w:t>2、</w:t>
      </w:r>
      <w:r>
        <w:rPr>
          <w:sz w:val="24"/>
        </w:rPr>
        <w:t>在执行本合同的过程中，所有经双方签署确认的文件（包括会议纪要、补充协议、往来信函）即成为本合同的有效组成部分。</w:t>
      </w:r>
    </w:p>
    <w:p>
      <w:pPr>
        <w:pStyle w:val="null3"/>
        <w:ind w:firstLine="480"/>
        <w:jc w:val="both"/>
      </w:pPr>
      <w:r>
        <w:rPr>
          <w:sz w:val="24"/>
        </w:rPr>
        <w:t>3、</w:t>
      </w:r>
      <w:r>
        <w:rPr>
          <w:sz w:val="24"/>
        </w:rPr>
        <w:t>如一方地址、电话、传真号码有变更，应在变更当日内书面通知对方，否则，应承担相应责任。</w:t>
      </w:r>
    </w:p>
    <w:p>
      <w:pPr>
        <w:pStyle w:val="null3"/>
        <w:ind w:firstLine="480"/>
        <w:jc w:val="both"/>
      </w:pPr>
      <w:r>
        <w:rPr>
          <w:sz w:val="24"/>
        </w:rPr>
        <w:t>4、</w:t>
      </w:r>
      <w:r>
        <w:rPr>
          <w:sz w:val="24"/>
        </w:rPr>
        <w:t>除甲方事先书面同意外，乙方不得部分或全部转让其应履行的合同项下的义务。</w:t>
      </w:r>
    </w:p>
    <w:p>
      <w:pPr>
        <w:pStyle w:val="null3"/>
        <w:jc w:val="both"/>
      </w:pPr>
      <w:r>
        <w:rPr>
          <w:sz w:val="24"/>
          <w:b/>
        </w:rPr>
        <w:t>十三、</w:t>
      </w:r>
      <w:r>
        <w:rPr>
          <w:sz w:val="24"/>
          <w:b/>
        </w:rPr>
        <w:t>合同生效：</w:t>
      </w:r>
    </w:p>
    <w:p>
      <w:pPr>
        <w:pStyle w:val="null3"/>
        <w:ind w:firstLine="480"/>
        <w:jc w:val="both"/>
      </w:pPr>
      <w:r>
        <w:rPr>
          <w:sz w:val="24"/>
        </w:rPr>
        <w:t>1、</w:t>
      </w:r>
      <w:r>
        <w:rPr>
          <w:sz w:val="24"/>
        </w:rPr>
        <w:t>本合同在甲乙双方法人代表或其授权代表签字盖章后生效。</w:t>
      </w:r>
    </w:p>
    <w:p>
      <w:pPr>
        <w:pStyle w:val="null3"/>
        <w:ind w:firstLine="480"/>
        <w:jc w:val="both"/>
      </w:pPr>
      <w:r>
        <w:rPr>
          <w:sz w:val="24"/>
        </w:rPr>
        <w:t>2、</w:t>
      </w:r>
      <w:r>
        <w:rPr>
          <w:sz w:val="24"/>
        </w:rPr>
        <w:t>合同一式</w:t>
      </w:r>
      <w:r>
        <w:rPr>
          <w:sz w:val="21"/>
          <w:u w:val="single"/>
        </w:rPr>
        <w:t xml:space="preserve">    </w:t>
      </w:r>
      <w:r>
        <w:rPr>
          <w:sz w:val="24"/>
        </w:rPr>
        <w:t>份，甲、乙双方各执</w:t>
      </w:r>
      <w:r>
        <w:rPr>
          <w:sz w:val="21"/>
          <w:u w:val="single"/>
        </w:rPr>
        <w:t xml:space="preserve">    </w:t>
      </w:r>
      <w:r>
        <w:rPr>
          <w:sz w:val="24"/>
        </w:rPr>
        <w:t>份，采购代理机构</w:t>
      </w:r>
      <w:r>
        <w:rPr>
          <w:sz w:val="21"/>
          <w:u w:val="single"/>
        </w:rPr>
        <w:t xml:space="preserve">    </w:t>
      </w:r>
      <w:r>
        <w:rPr>
          <w:sz w:val="24"/>
        </w:rPr>
        <w:t>份。</w:t>
      </w:r>
    </w:p>
    <w:p>
      <w:pPr>
        <w:pStyle w:val="null3"/>
        <w:jc w:val="both"/>
      </w:pPr>
      <w:r>
        <w:rPr>
          <w:sz w:val="24"/>
        </w:rPr>
        <w:t>甲方（盖章）：</w:t>
      </w:r>
      <w:r>
        <w:rPr>
          <w:sz w:val="24"/>
        </w:rPr>
        <w:t xml:space="preserve">                          </w:t>
      </w:r>
      <w:r>
        <w:rPr>
          <w:sz w:val="24"/>
        </w:rPr>
        <w:t>乙方（盖章）：</w:t>
      </w:r>
    </w:p>
    <w:p>
      <w:pPr>
        <w:pStyle w:val="null3"/>
        <w:jc w:val="both"/>
      </w:pPr>
      <w:r>
        <w:rPr>
          <w:sz w:val="24"/>
        </w:rPr>
        <w:t>代表：</w:t>
      </w:r>
      <w:r>
        <w:rPr>
          <w:sz w:val="24"/>
        </w:rPr>
        <w:t xml:space="preserve">                                  </w:t>
      </w:r>
      <w:r>
        <w:rPr>
          <w:sz w:val="24"/>
        </w:rPr>
        <w:t>代表：</w:t>
      </w:r>
    </w:p>
    <w:p>
      <w:pPr>
        <w:pStyle w:val="null3"/>
        <w:jc w:val="both"/>
      </w:pPr>
      <w:r>
        <w:rPr>
          <w:sz w:val="24"/>
        </w:rPr>
        <w:t>签定地点：</w:t>
      </w:r>
    </w:p>
    <w:p>
      <w:pPr>
        <w:pStyle w:val="null3"/>
        <w:jc w:val="both"/>
      </w:pP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ind w:firstLine="4830"/>
        <w:jc w:val="both"/>
      </w:pPr>
      <w:r>
        <w:rPr>
          <w:sz w:val="24"/>
        </w:rPr>
        <w:t>开户名称：</w:t>
      </w:r>
    </w:p>
    <w:p>
      <w:pPr>
        <w:pStyle w:val="null3"/>
        <w:ind w:firstLine="4830"/>
        <w:jc w:val="both"/>
      </w:pPr>
      <w:r>
        <w:rPr>
          <w:sz w:val="24"/>
        </w:rPr>
        <w:t>银行帐号：</w:t>
      </w:r>
    </w:p>
    <w:p>
      <w:pPr>
        <w:pStyle w:val="null3"/>
        <w:ind w:firstLine="4830"/>
        <w:jc w:val="both"/>
      </w:pPr>
      <w:r>
        <w:rPr>
          <w:sz w:val="24"/>
        </w:rPr>
        <w:t>开</w:t>
      </w:r>
      <w:r>
        <w:rPr>
          <w:sz w:val="24"/>
        </w:rPr>
        <w:t>户</w:t>
      </w:r>
      <w:r>
        <w:rPr>
          <w:sz w:val="24"/>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440101-2025-13182</w:t>
      </w:r>
    </w:p>
    <w:p>
      <w:pPr>
        <w:pStyle w:val="null3"/>
        <w:jc w:val="center"/>
        <w:outlineLvl w:val="3"/>
      </w:pPr>
      <w:r>
        <w:rPr>
          <w:sz w:val="24"/>
          <w:b/>
        </w:rPr>
        <w:t>采购项目编号：</w:t>
      </w:r>
      <w:r>
        <w:rPr>
          <w:sz w:val="24"/>
          <w:b/>
        </w:rPr>
        <w:t>ZYGZ-25-017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广东中元招标代理有限公司广州分公司</w:t>
      </w:r>
    </w:p>
    <w:p>
      <w:pPr>
        <w:pStyle w:val="null3"/>
        <w:ind w:firstLine="480"/>
      </w:pPr>
      <w:r>
        <w:rPr/>
        <w:t xml:space="preserve"> 你方组织的</w:t>
      </w:r>
      <w:r>
        <w:rPr>
          <w:u w:val="single"/>
        </w:rPr>
        <w:t>“</w:t>
      </w:r>
      <w:r>
        <w:rPr>
          <w:u w:val="single"/>
        </w:rPr>
        <w:t>柴油车排气检验数据质量控制专项项目</w:t>
      </w:r>
      <w:r>
        <w:rPr>
          <w:u w:val="single"/>
        </w:rPr>
        <w:t>”</w:t>
      </w:r>
      <w:r>
        <w:rPr/>
        <w:t>项目的招标[采购项目编号为：</w:t>
      </w:r>
      <w:r>
        <w:rPr>
          <w:u w:val="single"/>
        </w:rPr>
        <w:t>ZYGZ-25-017</w:t>
      </w:r>
      <w:r>
        <w:rPr/>
        <w:t>]，我方愿参与投标。</w:t>
      </w:r>
    </w:p>
    <w:p>
      <w:pPr>
        <w:pStyle w:val="null3"/>
        <w:ind w:firstLine="480"/>
      </w:pPr>
      <w:r>
        <w:rPr/>
        <w:t>我方确认收到贵方提供的</w:t>
      </w:r>
      <w:r>
        <w:rPr>
          <w:u w:val="single"/>
        </w:rPr>
        <w:t>“</w:t>
      </w:r>
      <w:r>
        <w:rPr>
          <w:u w:val="single"/>
        </w:rPr>
        <w:t>柴油车排气检验数据质量控制专项项目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广东中元招标代理有限公司广州分公司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柴油车排气检验数据质量控制专项项目</w:t>
      </w:r>
      <w:r>
        <w:rPr/>
        <w:t>”项目采购[采购项目编号为</w:t>
      </w:r>
      <w:r>
        <w:rPr/>
        <w:t>ZYGZ-25-017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广东省广州生态环境监测中心站</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广东中元招标代理有限公司广州分公司</w:t>
      </w:r>
    </w:p>
    <w:p>
      <w:pPr>
        <w:pStyle w:val="null3"/>
        <w:ind w:firstLine="480"/>
      </w:pPr>
      <w:r>
        <w:rPr/>
        <w:t xml:space="preserve"> 如果我方在贵采购代理机构组织的</w:t>
      </w:r>
      <w:r>
        <w:rPr/>
        <w:t>柴油车排气检验数据质量控制专项项目</w:t>
      </w:r>
      <w:r>
        <w:rPr/>
        <w:t>招标中获中标（采购项目编号：</w:t>
      </w:r>
      <w:r>
        <w:rPr/>
        <w:t>ZYGZ-25-017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广东中元招标代理有限公司广州分公司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