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3DB94">
      <w:pPr>
        <w:pStyle w:val="14"/>
        <w:keepNext w:val="0"/>
        <w:keepLines w:val="0"/>
        <w:pageBreakBefore w:val="0"/>
        <w:kinsoku/>
        <w:overflowPunct/>
        <w:topLinePunct w:val="0"/>
        <w:bidi w:val="0"/>
        <w:spacing w:line="500" w:lineRule="exact"/>
        <w:ind w:firstLine="3213" w:firstLineChars="1000"/>
        <w:jc w:val="both"/>
        <w:textAlignment w:val="auto"/>
        <w:rPr>
          <w:rFonts w:hint="eastAsia" w:ascii="仿宋" w:hAnsi="仿宋" w:eastAsia="仿宋" w:cs="仿宋"/>
          <w:b w:val="0"/>
          <w:bCs/>
          <w:color w:val="auto"/>
          <w:kern w:val="2"/>
          <w:sz w:val="28"/>
          <w:szCs w:val="28"/>
          <w:lang w:val="en-US" w:eastAsia="zh-CN" w:bidi="ar-SA"/>
        </w:rPr>
      </w:pPr>
      <w:r>
        <w:rPr>
          <w:rFonts w:ascii="黑体" w:hAnsi="黑体" w:eastAsia="黑体"/>
          <w:b/>
          <w:color w:val="auto"/>
          <w:sz w:val="32"/>
          <w:szCs w:val="32"/>
        </w:rPr>
        <w:t xml:space="preserve">第一章  </w:t>
      </w:r>
      <w:r>
        <w:rPr>
          <w:rFonts w:hint="eastAsia" w:ascii="黑体" w:hAnsi="黑体" w:eastAsia="黑体"/>
          <w:b/>
          <w:color w:val="auto"/>
          <w:sz w:val="32"/>
          <w:szCs w:val="32"/>
        </w:rPr>
        <w:t>谈判公告</w:t>
      </w:r>
    </w:p>
    <w:p w14:paraId="6E213837">
      <w:pPr>
        <w:keepNext w:val="0"/>
        <w:keepLines w:val="0"/>
        <w:pageBreakBefore w:val="0"/>
        <w:kinsoku/>
        <w:wordWrap/>
        <w:overflowPunct/>
        <w:topLinePunct w:val="0"/>
        <w:autoSpaceDE/>
        <w:autoSpaceDN/>
        <w:bidi w:val="0"/>
        <w:adjustRightInd/>
        <w:snapToGrid/>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777155E6">
      <w:pPr>
        <w:spacing w:line="240" w:lineRule="auto"/>
        <w:ind w:right="700" w:rightChars="250"/>
        <w:jc w:val="left"/>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w:t>
      </w:r>
      <w:r>
        <w:rPr>
          <w:rFonts w:hint="eastAsia" w:ascii="仿宋" w:hAnsi="仿宋" w:eastAsia="仿宋" w:cs="仿宋"/>
          <w:b w:val="0"/>
          <w:bCs/>
          <w:color w:val="auto"/>
          <w:sz w:val="28"/>
          <w:szCs w:val="28"/>
          <w:lang w:val="en-US" w:eastAsia="zh-CN"/>
        </w:rPr>
        <w:t>FGCG-JZXTP-2026016</w:t>
      </w:r>
    </w:p>
    <w:p w14:paraId="2823C8F9">
      <w:pPr>
        <w:keepNext w:val="0"/>
        <w:keepLines w:val="0"/>
        <w:pageBreakBefore w:val="0"/>
        <w:numPr>
          <w:ilvl w:val="0"/>
          <w:numId w:val="0"/>
        </w:numPr>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仿宋"/>
          <w:b w:val="0"/>
          <w:bCs/>
          <w:color w:val="auto"/>
          <w:sz w:val="28"/>
          <w:szCs w:val="28"/>
          <w:lang w:val="en-US" w:eastAsia="zh-CN"/>
        </w:rPr>
        <w:t>：府谷县庙沟门镇第一幼儿园设备购置项目（三次）</w:t>
      </w:r>
    </w:p>
    <w:p w14:paraId="1ED99A96">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微软雅黑" w:cs="仿宋"/>
          <w:b w:val="0"/>
          <w:bCs/>
          <w:color w:val="auto"/>
          <w:sz w:val="28"/>
          <w:szCs w:val="28"/>
          <w:lang w:val="en-US" w:eastAsia="zh-CN"/>
        </w:rPr>
      </w:pPr>
      <w:r>
        <w:rPr>
          <w:rFonts w:hint="eastAsia" w:ascii="仿宋" w:hAnsi="仿宋" w:eastAsia="仿宋" w:cs="仿宋"/>
          <w:b w:val="0"/>
          <w:bCs/>
          <w:color w:val="auto"/>
          <w:sz w:val="28"/>
          <w:szCs w:val="28"/>
          <w:lang w:val="en-US" w:eastAsia="zh-CN"/>
        </w:rPr>
        <w:t>3</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采购方式：竞争性谈判</w:t>
      </w:r>
    </w:p>
    <w:p w14:paraId="0E3F3E5C">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4、预算金额：1389495.00元;其中N2标650045.00元，N1标739450.00元；</w:t>
      </w:r>
    </w:p>
    <w:p w14:paraId="7DC89FD3">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5、最高限价：</w:t>
      </w:r>
      <w:r>
        <w:rPr>
          <w:rFonts w:hint="eastAsia" w:ascii="仿宋" w:hAnsi="仿宋" w:eastAsia="仿宋" w:cs="仿宋"/>
          <w:b w:val="0"/>
          <w:bCs/>
          <w:color w:val="auto"/>
          <w:sz w:val="28"/>
          <w:szCs w:val="28"/>
          <w:lang w:val="en-US" w:eastAsia="zh-CN"/>
        </w:rPr>
        <w:t>1389495.00元；其中N2标650045.00元，N1标739450.00元；</w:t>
      </w:r>
    </w:p>
    <w:p w14:paraId="21DD9630">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6、采购需求：为满足庙沟门镇第一幼儿园日常办公、教学开展及其他业务活动开展的实际需求，保障办公及教学场景的设备稳定运行，提升工作与教学效率，拟通过政府采购方式采购一批办公设备、后勤设备、教具玩具及家具用具等配套物资。本次采购的货物全部用于采购人办公及教学场景的日常使用。</w:t>
      </w:r>
    </w:p>
    <w:p w14:paraId="14D0A9CE">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具体情况详见谈判文件第三章〈采购内容及采购要求〉</w:t>
      </w:r>
    </w:p>
    <w:p w14:paraId="14A05027">
      <w:pPr>
        <w:pStyle w:val="6"/>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7、交货期</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均为</w:t>
      </w:r>
      <w:r>
        <w:rPr>
          <w:rFonts w:hint="eastAsia" w:ascii="仿宋" w:hAnsi="仿宋" w:eastAsia="仿宋" w:cs="仿宋"/>
          <w:color w:val="auto"/>
          <w:kern w:val="2"/>
          <w:sz w:val="28"/>
          <w:szCs w:val="28"/>
          <w:lang w:val="en-US" w:eastAsia="zh-CN" w:bidi="ar-SA"/>
        </w:rPr>
        <w:t>合同签订后15日历天内完成</w:t>
      </w:r>
    </w:p>
    <w:p w14:paraId="763AEE24">
      <w:pPr>
        <w:pStyle w:val="6"/>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8、</w:t>
      </w:r>
      <w:r>
        <w:rPr>
          <w:rFonts w:hint="eastAsia" w:ascii="仿宋" w:hAnsi="仿宋" w:eastAsia="仿宋" w:cs="仿宋"/>
          <w:b w:val="0"/>
          <w:bCs/>
          <w:color w:val="auto"/>
          <w:sz w:val="28"/>
          <w:szCs w:val="28"/>
        </w:rPr>
        <w:t>是否接受联合体：否</w:t>
      </w:r>
    </w:p>
    <w:p w14:paraId="6AD98770">
      <w:pPr>
        <w:pStyle w:val="6"/>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9、是否接受非本国产品：否</w:t>
      </w:r>
    </w:p>
    <w:p w14:paraId="74461FFA">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3A91C03F">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42A04AF2">
      <w:pPr>
        <w:pStyle w:val="6"/>
        <w:keepNext w:val="0"/>
        <w:keepLines w:val="0"/>
        <w:pageBreakBefore w:val="0"/>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6E083804">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lang w:val="en-US" w:eastAsia="zh-CN"/>
        </w:rPr>
      </w:pPr>
      <w:r>
        <w:rPr>
          <w:rFonts w:hint="eastAsia" w:ascii="仿宋" w:hAnsi="仿宋" w:eastAsia="仿宋" w:cs="仿宋"/>
          <w:b/>
          <w:bCs/>
          <w:color w:val="auto"/>
          <w:sz w:val="28"/>
          <w:szCs w:val="28"/>
          <w:shd w:val="clear" w:color="auto" w:fill="FFFFFF"/>
          <w:lang w:val="en-US" w:eastAsia="zh-CN"/>
        </w:rPr>
        <w:t>N2标：专门面向中小企业采购,供应商必须为中小企业、监狱企业、残疾人福利性单位</w:t>
      </w:r>
    </w:p>
    <w:p w14:paraId="53273DB7">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lang w:val="en-US" w:eastAsia="zh-CN"/>
        </w:rPr>
      </w:pPr>
      <w:r>
        <w:rPr>
          <w:rFonts w:hint="eastAsia" w:ascii="仿宋" w:hAnsi="仿宋" w:eastAsia="仿宋" w:cs="仿宋"/>
          <w:b/>
          <w:bCs/>
          <w:color w:val="auto"/>
          <w:sz w:val="28"/>
          <w:szCs w:val="28"/>
          <w:shd w:val="clear" w:color="auto" w:fill="FFFFFF"/>
          <w:lang w:val="en-US" w:eastAsia="zh-CN"/>
        </w:rPr>
        <w:t>N1标：非专门面向中小企业采购</w:t>
      </w:r>
    </w:p>
    <w:p w14:paraId="3A79CF8A">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（1）《关于在政府采购活动中查询及使用信用记录有关问题的通知》（财库〔2016〕125号）。</w:t>
      </w:r>
    </w:p>
    <w:p w14:paraId="318840E7">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p>
    <w:p w14:paraId="5F6A7F7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1D9EB8A5">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3267DDF3">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p>
    <w:p w14:paraId="527C4682">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3B0BDF6F">
      <w:pPr>
        <w:widowControl w:val="0"/>
        <w:spacing w:line="4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N2标：</w:t>
      </w:r>
    </w:p>
    <w:p w14:paraId="59F3A504">
      <w:pPr>
        <w:widowControl w:val="0"/>
        <w:spacing w:line="460" w:lineRule="exact"/>
        <w:ind w:firstLine="562" w:firstLineChars="200"/>
        <w:rPr>
          <w:rFonts w:ascii="仿宋" w:hAnsi="仿宋" w:eastAsia="仿宋" w:cs="仿宋"/>
        </w:rPr>
      </w:pPr>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69FEBC66">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2</w:t>
      </w:r>
      <w:r>
        <w:rPr>
          <w:rFonts w:ascii="仿宋" w:hAnsi="仿宋" w:eastAsia="仿宋" w:cs="华文仿宋"/>
        </w:rPr>
        <w:t>）</w:t>
      </w:r>
      <w:r>
        <w:rPr>
          <w:rFonts w:ascii="仿宋" w:hAnsi="仿宋" w:eastAsia="仿宋" w:cs="华文仿宋"/>
          <w:b/>
        </w:rPr>
        <w:t>营业执照等主体资格证明文件：</w:t>
      </w:r>
      <w:r>
        <w:rPr>
          <w:rFonts w:ascii="仿宋" w:hAnsi="仿宋" w:eastAsia="仿宋" w:cs="华文仿宋"/>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621DF5EF">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3</w:t>
      </w:r>
      <w:r>
        <w:rPr>
          <w:rFonts w:ascii="仿宋" w:hAnsi="仿宋" w:eastAsia="仿宋" w:cs="华文仿宋"/>
        </w:rPr>
        <w:t>）</w:t>
      </w:r>
      <w:r>
        <w:rPr>
          <w:rFonts w:ascii="仿宋" w:hAnsi="仿宋" w:eastAsia="仿宋" w:cs="华文仿宋"/>
          <w:b/>
        </w:rPr>
        <w:t>提供具有履行合同所必需的设备和专业技术能力的承诺；</w:t>
      </w:r>
      <w:r>
        <w:rPr>
          <w:rFonts w:ascii="仿宋" w:hAnsi="仿宋" w:eastAsia="仿宋" w:cs="华文仿宋"/>
        </w:rPr>
        <w:t>（格式自拟）</w:t>
      </w:r>
    </w:p>
    <w:p w14:paraId="1D323DF2">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4</w:t>
      </w:r>
      <w:r>
        <w:rPr>
          <w:rFonts w:ascii="仿宋" w:hAnsi="仿宋" w:eastAsia="仿宋" w:cs="华文仿宋"/>
        </w:rPr>
        <w:t>）</w:t>
      </w:r>
      <w:r>
        <w:rPr>
          <w:rFonts w:ascii="仿宋" w:hAnsi="仿宋" w:eastAsia="仿宋" w:cs="华文仿宋"/>
          <w:b/>
        </w:rPr>
        <w:t>财务状况报告：</w:t>
      </w:r>
      <w:r>
        <w:rPr>
          <w:rFonts w:ascii="仿宋" w:hAnsi="仿宋" w:eastAsia="仿宋" w:cs="华文仿宋"/>
        </w:rPr>
        <w:t>提供</w:t>
      </w:r>
      <w:r>
        <w:rPr>
          <w:rFonts w:hint="eastAsia" w:ascii="仿宋" w:hAnsi="仿宋" w:eastAsia="仿宋" w:cs="华文仿宋"/>
          <w:lang w:val="en-US" w:eastAsia="zh-CN"/>
        </w:rPr>
        <w:t>2025年度</w:t>
      </w:r>
      <w:r>
        <w:rPr>
          <w:rFonts w:ascii="仿宋" w:hAnsi="仿宋" w:eastAsia="仿宋" w:cs="华文仿宋"/>
        </w:rPr>
        <w:t>财务审计报告（包括审计报告、资产负债表、利润表、现金流量表，成立时间至提交</w:t>
      </w:r>
      <w:r>
        <w:rPr>
          <w:rFonts w:hint="eastAsia" w:ascii="仿宋" w:hAnsi="仿宋" w:eastAsia="仿宋" w:cs="华文仿宋"/>
          <w:lang w:val="en-US" w:eastAsia="zh-CN"/>
        </w:rPr>
        <w:t>投标</w:t>
      </w:r>
      <w:r>
        <w:rPr>
          <w:rFonts w:ascii="仿宋" w:hAnsi="仿宋" w:eastAsia="仿宋" w:cs="华文仿宋"/>
        </w:rPr>
        <w:t>响应文件截止时间不足一年的可提供成立后任意时段的资产负债表、利润表、现金流量表）或开标时间前三个月内开户银行出具的资信证明；其他组织和自然人提供开标时间前三个月内开户银行出具的资信证明；</w:t>
      </w:r>
    </w:p>
    <w:p w14:paraId="6E094866">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仿宋"/>
          <w:lang w:eastAsia="zh-CN"/>
        </w:rPr>
        <w:t>2026年8月、9月或10月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0C3C83EB">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eastAsia="zh-CN"/>
        </w:rPr>
        <w:t>2026年5月-10月</w:t>
      </w:r>
      <w:r>
        <w:rPr>
          <w:rFonts w:ascii="仿宋" w:hAnsi="仿宋" w:eastAsia="仿宋" w:cs="华文仿宋"/>
        </w:rPr>
        <w:t>内至少1个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25FCF538">
      <w:pPr>
        <w:widowControl w:val="0"/>
        <w:spacing w:line="460" w:lineRule="exact"/>
        <w:ind w:firstLine="560" w:firstLineChars="200"/>
        <w:rPr>
          <w:rFonts w:hint="eastAsia" w:ascii="仿宋" w:hAnsi="仿宋" w:eastAsia="仿宋" w:cs="仿宋"/>
          <w:sz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70317845">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sz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3A8E37D1">
      <w:pPr>
        <w:spacing w:line="500" w:lineRule="exact"/>
        <w:ind w:firstLine="560"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24D49330">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9</w:t>
      </w:r>
      <w:r>
        <w:rPr>
          <w:rFonts w:ascii="仿宋" w:hAnsi="仿宋" w:eastAsia="仿宋" w:cs="华文仿宋"/>
        </w:rPr>
        <w:t>）信用承诺书；</w:t>
      </w:r>
    </w:p>
    <w:p w14:paraId="73145CA1">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）本项目不接受联合体</w:t>
      </w:r>
      <w:r>
        <w:rPr>
          <w:rFonts w:hint="eastAsia" w:ascii="仿宋" w:hAnsi="仿宋" w:eastAsia="仿宋" w:cs="华文仿宋"/>
          <w:lang w:val="en-US" w:eastAsia="zh-CN"/>
        </w:rPr>
        <w:t>投标</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0FADBD9D">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w:t>
      </w:r>
      <w:r>
        <w:rPr>
          <w:rFonts w:hint="eastAsia" w:ascii="仿宋" w:hAnsi="仿宋" w:eastAsia="仿宋" w:cs="华文仿宋"/>
          <w:color w:val="FF0000"/>
        </w:rPr>
        <w:t>本项目专门面向中小企业</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eastAsia="zh-CN"/>
        </w:rPr>
        <w:t>投标活动</w:t>
      </w:r>
      <w:r>
        <w:rPr>
          <w:rFonts w:hint="eastAsia" w:ascii="仿宋" w:hAnsi="仿宋" w:eastAsia="仿宋" w:cs="华文仿宋"/>
        </w:rPr>
        <w:t>。</w:t>
      </w:r>
    </w:p>
    <w:p w14:paraId="408FEC87">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lang w:val="en-US" w:eastAsia="zh-CN"/>
        </w:rPr>
      </w:pPr>
    </w:p>
    <w:p w14:paraId="2918135D">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N1标：</w:t>
      </w:r>
    </w:p>
    <w:p w14:paraId="2925B2D6">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w:t>
      </w:r>
      <w:r>
        <w:rPr>
          <w:rFonts w:hint="eastAsia" w:ascii="仿宋" w:hAnsi="仿宋" w:eastAsia="仿宋" w:cs="仿宋"/>
          <w:b/>
          <w:bCs/>
          <w:color w:val="auto"/>
          <w:sz w:val="28"/>
          <w:szCs w:val="28"/>
        </w:rPr>
        <w:t>）营业执照等主体资格证明文件</w:t>
      </w:r>
      <w:r>
        <w:rPr>
          <w:rFonts w:hint="eastAsia" w:ascii="仿宋" w:hAnsi="仿宋" w:eastAsia="仿宋" w:cs="仿宋"/>
          <w:color w:val="auto"/>
          <w:sz w:val="28"/>
          <w:szCs w:val="28"/>
        </w:rPr>
        <w:t>：</w:t>
      </w:r>
      <w:r>
        <w:rPr>
          <w:rFonts w:hint="eastAsia" w:ascii="华文仿宋" w:hAnsi="华文仿宋" w:cs="华文仿宋"/>
          <w:color w:val="auto"/>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hint="eastAsia" w:ascii="华文仿宋" w:hAnsi="华文仿宋" w:cs="华文仿宋"/>
          <w:color w:val="auto"/>
        </w:rPr>
        <w:t>企业年度报告书；其他组织应提供合法有效的登记证明文件；自然人参与的提供其身份证复印件</w:t>
      </w:r>
      <w:r>
        <w:rPr>
          <w:rFonts w:hint="eastAsia" w:ascii="华文仿宋" w:hAnsi="华文仿宋" w:cs="华文仿宋"/>
          <w:color w:val="auto"/>
          <w:lang w:eastAsia="zh-CN"/>
        </w:rPr>
        <w:t>。</w:t>
      </w:r>
    </w:p>
    <w:p w14:paraId="195E88D4">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）提供具有履行合同所必需的设备和专业技术能力</w:t>
      </w:r>
      <w:r>
        <w:rPr>
          <w:rFonts w:hint="eastAsia" w:ascii="仿宋" w:hAnsi="仿宋" w:eastAsia="仿宋" w:cs="仿宋"/>
          <w:b/>
          <w:bCs/>
          <w:color w:val="auto"/>
          <w:sz w:val="28"/>
          <w:szCs w:val="28"/>
          <w:lang w:val="zh-CN"/>
        </w:rPr>
        <w:t>的</w:t>
      </w:r>
      <w:r>
        <w:rPr>
          <w:rFonts w:hint="eastAsia" w:ascii="仿宋" w:hAnsi="仿宋" w:eastAsia="仿宋" w:cs="仿宋"/>
          <w:b/>
          <w:bCs/>
          <w:color w:val="auto"/>
          <w:sz w:val="28"/>
          <w:szCs w:val="28"/>
        </w:rPr>
        <w:t>承诺</w:t>
      </w:r>
      <w:r>
        <w:rPr>
          <w:rFonts w:hint="eastAsia" w:ascii="仿宋" w:hAnsi="仿宋" w:eastAsia="仿宋" w:cs="仿宋"/>
          <w:color w:val="auto"/>
          <w:sz w:val="28"/>
          <w:szCs w:val="28"/>
        </w:rPr>
        <w:t>；（格式自拟）</w:t>
      </w:r>
    </w:p>
    <w:p w14:paraId="292BDA50">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）财务状况报告</w:t>
      </w:r>
      <w:r>
        <w:rPr>
          <w:rFonts w:hint="eastAsia" w:ascii="仿宋" w:hAnsi="仿宋" w:eastAsia="仿宋" w:cs="仿宋"/>
          <w:color w:val="auto"/>
          <w:sz w:val="28"/>
          <w:szCs w:val="28"/>
        </w:rPr>
        <w:t>：</w:t>
      </w:r>
      <w:r>
        <w:rPr>
          <w:rFonts w:ascii="仿宋" w:hAnsi="仿宋" w:eastAsia="仿宋" w:cs="华文仿宋"/>
        </w:rPr>
        <w:t>提供</w:t>
      </w:r>
      <w:r>
        <w:rPr>
          <w:rFonts w:hint="eastAsia" w:ascii="仿宋" w:hAnsi="仿宋" w:eastAsia="仿宋" w:cs="华文仿宋"/>
          <w:lang w:val="en-US" w:eastAsia="zh-CN"/>
        </w:rPr>
        <w:t>2025</w:t>
      </w:r>
      <w:r>
        <w:rPr>
          <w:rFonts w:hint="eastAsia" w:ascii="仿宋" w:hAnsi="仿宋" w:eastAsia="仿宋" w:cs="华文仿宋"/>
        </w:rPr>
        <w:t>年</w:t>
      </w:r>
      <w:r>
        <w:rPr>
          <w:rFonts w:hint="eastAsia" w:ascii="仿宋" w:hAnsi="仿宋" w:eastAsia="仿宋" w:cs="华文仿宋"/>
          <w:lang w:val="en-US" w:eastAsia="zh-CN"/>
        </w:rPr>
        <w:t>度</w:t>
      </w:r>
      <w:r>
        <w:rPr>
          <w:rFonts w:hint="eastAsia" w:ascii="仿宋" w:hAnsi="仿宋" w:eastAsia="仿宋" w:cs="仿宋"/>
          <w:color w:val="auto"/>
          <w:sz w:val="28"/>
          <w:szCs w:val="28"/>
        </w:rPr>
        <w:t>财务审计报告（</w:t>
      </w:r>
      <w:r>
        <w:rPr>
          <w:rFonts w:hint="eastAsia" w:ascii="仿宋" w:hAnsi="仿宋" w:eastAsia="仿宋" w:cs="仿宋"/>
          <w:iCs/>
          <w:color w:val="auto"/>
          <w:sz w:val="28"/>
          <w:szCs w:val="28"/>
        </w:rPr>
        <w:t>包括审计报告、资产负债表、利润表、现金流量表，成立时间至提交</w:t>
      </w:r>
      <w:r>
        <w:rPr>
          <w:rFonts w:hint="eastAsia" w:ascii="仿宋" w:hAnsi="仿宋" w:eastAsia="仿宋" w:cs="仿宋"/>
          <w:iCs/>
          <w:color w:val="auto"/>
          <w:sz w:val="28"/>
          <w:szCs w:val="28"/>
          <w:lang w:val="en-US" w:eastAsia="zh-CN"/>
        </w:rPr>
        <w:t>谈判响应</w:t>
      </w:r>
      <w:r>
        <w:rPr>
          <w:rFonts w:hint="eastAsia" w:ascii="仿宋" w:hAnsi="仿宋" w:eastAsia="仿宋" w:cs="仿宋"/>
          <w:iCs/>
          <w:color w:val="auto"/>
          <w:sz w:val="28"/>
          <w:szCs w:val="28"/>
        </w:rPr>
        <w:t>文件截止时间不足一年的可提供成立后任意时段的资产负债表、利润表、现金流量表）</w:t>
      </w:r>
      <w:r>
        <w:rPr>
          <w:rFonts w:hint="eastAsia" w:ascii="仿宋" w:hAnsi="仿宋" w:eastAsia="仿宋" w:cs="仿宋"/>
          <w:iCs/>
          <w:color w:val="auto"/>
          <w:sz w:val="28"/>
          <w:szCs w:val="28"/>
          <w:lang w:val="en-US" w:eastAsia="zh-CN"/>
        </w:rPr>
        <w:t>或开标时间前三个月内开户银行出具的资信证明</w:t>
      </w:r>
      <w:r>
        <w:rPr>
          <w:rFonts w:hint="eastAsia" w:ascii="仿宋" w:hAnsi="仿宋" w:eastAsia="仿宋" w:cs="仿宋"/>
          <w:color w:val="auto"/>
          <w:sz w:val="28"/>
          <w:szCs w:val="28"/>
        </w:rPr>
        <w:t>；其他组织和自然人提供</w:t>
      </w:r>
      <w:r>
        <w:rPr>
          <w:rFonts w:hint="eastAsia" w:ascii="仿宋" w:hAnsi="仿宋" w:eastAsia="仿宋" w:cs="仿宋"/>
          <w:iCs/>
          <w:color w:val="auto"/>
          <w:sz w:val="28"/>
          <w:szCs w:val="28"/>
          <w:lang w:val="en-US" w:eastAsia="zh-CN"/>
        </w:rPr>
        <w:t>开标时间前三个月内开户</w:t>
      </w:r>
      <w:r>
        <w:rPr>
          <w:rFonts w:hint="eastAsia" w:ascii="仿宋" w:hAnsi="仿宋" w:eastAsia="仿宋" w:cs="仿宋"/>
          <w:color w:val="auto"/>
          <w:sz w:val="28"/>
          <w:szCs w:val="28"/>
        </w:rPr>
        <w:t>银行出具的资信证明；</w:t>
      </w:r>
    </w:p>
    <w:p w14:paraId="634A28AE">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华文仿宋"/>
          <w:lang w:eastAsia="zh-CN"/>
        </w:rPr>
        <w:t>2026年8月、9月或10月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60C4F047">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5</w:t>
      </w:r>
      <w:r>
        <w:rPr>
          <w:rFonts w:hint="eastAsia" w:ascii="仿宋" w:hAnsi="仿宋" w:eastAsia="仿宋" w:cs="仿宋"/>
          <w:b/>
          <w:bCs/>
          <w:color w:val="auto"/>
          <w:sz w:val="28"/>
          <w:szCs w:val="28"/>
        </w:rPr>
        <w:t>）税收缴纳证明</w:t>
      </w:r>
      <w:r>
        <w:rPr>
          <w:rFonts w:hint="eastAsia" w:ascii="仿宋" w:hAnsi="仿宋" w:eastAsia="仿宋" w:cs="仿宋"/>
          <w:color w:val="auto"/>
          <w:sz w:val="28"/>
          <w:szCs w:val="28"/>
        </w:rPr>
        <w:t>：</w:t>
      </w:r>
      <w:r>
        <w:rPr>
          <w:rFonts w:hint="eastAsia" w:ascii="仿宋" w:hAnsi="仿宋" w:eastAsia="仿宋" w:cs="仿宋"/>
          <w:lang w:val="en-US" w:eastAsia="zh-CN"/>
        </w:rPr>
        <w:t>提供2026年5月-10月内任意1个月的纳税证明或完税证明，</w:t>
      </w:r>
      <w:r>
        <w:rPr>
          <w:rFonts w:hint="eastAsia" w:ascii="仿宋" w:hAnsi="仿宋" w:eastAsia="仿宋" w:cs="仿宋"/>
          <w:color w:val="auto"/>
          <w:sz w:val="28"/>
          <w:szCs w:val="28"/>
        </w:rPr>
        <w:t>纳税证明或完税证明上应有代收机构或税务机关的公章或业务专用章。依法免税的供应商应提供相关文件证明材料；</w:t>
      </w:r>
    </w:p>
    <w:p w14:paraId="7B4F767A">
      <w:pPr>
        <w:widowControl w:val="0"/>
        <w:spacing w:line="460" w:lineRule="exact"/>
        <w:ind w:firstLine="562" w:firstLineChars="200"/>
        <w:rPr>
          <w:rFonts w:hint="eastAsia" w:ascii="仿宋" w:hAnsi="仿宋" w:eastAsia="仿宋" w:cs="仿宋"/>
          <w:sz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）信用</w:t>
      </w:r>
      <w:r>
        <w:rPr>
          <w:rFonts w:hint="eastAsia" w:ascii="仿宋" w:hAnsi="仿宋" w:eastAsia="仿宋" w:cs="仿宋"/>
          <w:b/>
          <w:bCs/>
          <w:color w:val="auto"/>
          <w:sz w:val="28"/>
          <w:szCs w:val="28"/>
          <w:lang w:val="en-US" w:eastAsia="zh-CN"/>
        </w:rPr>
        <w:t>要求</w:t>
      </w:r>
      <w:r>
        <w:rPr>
          <w:rFonts w:hint="eastAsia" w:ascii="仿宋" w:hAnsi="仿宋" w:eastAsia="仿宋" w:cs="仿宋"/>
          <w:color w:val="auto"/>
          <w:sz w:val="28"/>
          <w:szCs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2C11627F">
      <w:pPr>
        <w:widowControl w:val="0"/>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777B641C">
      <w:pPr>
        <w:spacing w:line="500" w:lineRule="exact"/>
        <w:ind w:firstLine="562" w:firstLineChars="200"/>
        <w:rPr>
          <w:rFonts w:ascii="仿宋" w:hAnsi="仿宋" w:eastAsia="仿宋" w:cs="华文仿宋"/>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）身份证明文件：</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513F2EFE">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cs="Times New Roman"/>
          <w:color w:val="auto"/>
        </w:rPr>
      </w:pPr>
      <w:r>
        <w:rPr>
          <w:rFonts w:hint="eastAsia" w:ascii="华文仿宋" w:hAnsi="华文仿宋" w:cs="Times New Roman"/>
          <w:b/>
          <w:bCs/>
          <w:color w:val="auto"/>
        </w:rPr>
        <w:t>（</w:t>
      </w:r>
      <w:r>
        <w:rPr>
          <w:rFonts w:hint="eastAsia" w:ascii="华文仿宋" w:hAnsi="华文仿宋" w:cs="Times New Roman"/>
          <w:b/>
          <w:bCs/>
          <w:color w:val="auto"/>
          <w:lang w:val="en-US" w:eastAsia="zh-CN"/>
        </w:rPr>
        <w:t>8</w:t>
      </w:r>
      <w:r>
        <w:rPr>
          <w:rFonts w:hint="eastAsia" w:ascii="华文仿宋" w:hAnsi="华文仿宋" w:cs="Times New Roman"/>
          <w:b/>
          <w:bCs/>
          <w:color w:val="auto"/>
        </w:rPr>
        <w:t>）</w:t>
      </w:r>
      <w:r>
        <w:rPr>
          <w:rFonts w:hint="eastAsia" w:ascii="华文仿宋" w:hAnsi="华文仿宋" w:cs="Times New Roman"/>
          <w:color w:val="auto"/>
          <w:lang w:val="en-US" w:eastAsia="zh-CN"/>
        </w:rPr>
        <w:t>信用承诺书</w:t>
      </w:r>
      <w:r>
        <w:rPr>
          <w:rFonts w:hint="eastAsia" w:ascii="华文仿宋" w:hAnsi="华文仿宋" w:cs="Times New Roman"/>
          <w:color w:val="auto"/>
        </w:rPr>
        <w:t>；</w:t>
      </w:r>
    </w:p>
    <w:p w14:paraId="15E900D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9</w:t>
      </w:r>
      <w:r>
        <w:rPr>
          <w:rFonts w:hint="eastAsia" w:ascii="仿宋" w:hAnsi="仿宋" w:eastAsia="仿宋" w:cs="仿宋"/>
          <w:b/>
          <w:bCs/>
          <w:color w:val="auto"/>
          <w:sz w:val="28"/>
          <w:szCs w:val="28"/>
        </w:rPr>
        <w:t>）</w:t>
      </w:r>
      <w:r>
        <w:rPr>
          <w:rFonts w:hint="eastAsia" w:ascii="仿宋" w:hAnsi="仿宋" w:eastAsia="仿宋" w:cs="仿宋"/>
          <w:b w:val="0"/>
          <w:bCs w:val="0"/>
          <w:color w:val="auto"/>
          <w:sz w:val="28"/>
          <w:szCs w:val="28"/>
        </w:rPr>
        <w:t>本项目不接受联合体谈判</w:t>
      </w:r>
      <w:r>
        <w:rPr>
          <w:rFonts w:hint="eastAsia" w:ascii="仿宋" w:hAnsi="仿宋" w:eastAsia="仿宋" w:cs="仿宋"/>
          <w:b w:val="0"/>
          <w:bCs w:val="0"/>
          <w:color w:val="auto"/>
          <w:sz w:val="28"/>
          <w:szCs w:val="28"/>
          <w:lang w:eastAsia="zh-CN"/>
        </w:rPr>
        <w:t>，不得分包转包</w:t>
      </w:r>
      <w:r>
        <w:rPr>
          <w:rFonts w:hint="eastAsia" w:ascii="仿宋" w:hAnsi="仿宋" w:eastAsia="仿宋" w:cs="仿宋"/>
          <w:b w:val="0"/>
          <w:bCs w:val="0"/>
          <w:color w:val="auto"/>
          <w:sz w:val="28"/>
          <w:szCs w:val="28"/>
        </w:rPr>
        <w:t>；</w:t>
      </w:r>
    </w:p>
    <w:p w14:paraId="6BB20A51">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10</w:t>
      </w:r>
      <w:r>
        <w:rPr>
          <w:rFonts w:hint="eastAsia" w:ascii="仿宋" w:hAnsi="仿宋" w:eastAsia="仿宋" w:cs="仿宋"/>
          <w:b/>
          <w:bCs/>
          <w:color w:val="auto"/>
          <w:sz w:val="28"/>
          <w:szCs w:val="28"/>
        </w:rPr>
        <w:t>）单位负责人为同一人或存在直接控股、管理关系的不同单位，不得同时参加本项目谈判活动。</w:t>
      </w:r>
    </w:p>
    <w:p w14:paraId="0273EDA3">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rPr>
      </w:pPr>
    </w:p>
    <w:p w14:paraId="07A1740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华文仿宋"/>
        </w:rPr>
      </w:pPr>
      <w:r>
        <w:rPr>
          <w:rFonts w:hint="eastAsia" w:ascii="仿宋" w:hAnsi="仿宋" w:eastAsia="仿宋" w:cs="华文仿宋"/>
        </w:rPr>
        <w:t>各供应商应诚信参与采购活动，</w:t>
      </w:r>
      <w:r>
        <w:rPr>
          <w:rFonts w:hint="eastAsia" w:ascii="仿宋" w:hAnsi="仿宋" w:eastAsia="仿宋" w:cs="华文仿宋"/>
          <w:lang w:eastAsia="zh-CN"/>
        </w:rPr>
        <w:t>招标文件</w:t>
      </w:r>
      <w:r>
        <w:rPr>
          <w:rFonts w:hint="eastAsia" w:ascii="仿宋" w:hAnsi="仿宋" w:eastAsia="仿宋" w:cs="华文仿宋"/>
        </w:rPr>
        <w:t>中各可辨有效证件复印件盖公章均视为原件，提供虚假资料的，将依法追究法律责任。</w:t>
      </w:r>
    </w:p>
    <w:p w14:paraId="31EFF375">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、获取</w:t>
      </w:r>
      <w:r>
        <w:rPr>
          <w:rFonts w:hint="eastAsia" w:ascii="仿宋" w:hAnsi="仿宋" w:eastAsia="仿宋" w:cs="仿宋"/>
          <w:b/>
          <w:sz w:val="28"/>
          <w:szCs w:val="28"/>
          <w:lang w:val="en-US" w:eastAsia="zh-CN"/>
        </w:rPr>
        <w:t>采购文件</w:t>
      </w:r>
    </w:p>
    <w:p w14:paraId="5137E440">
      <w:pPr>
        <w:keepNext w:val="0"/>
        <w:keepLines w:val="0"/>
        <w:pageBreakBefore w:val="0"/>
        <w:kinsoku/>
        <w:wordWrap/>
        <w:overflowPunct/>
        <w:topLinePunct w:val="0"/>
        <w:bidi w:val="0"/>
        <w:spacing w:line="480" w:lineRule="exact"/>
        <w:ind w:firstLine="700" w:firstLineChars="25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1、获取时间：</w:t>
      </w:r>
      <w:r>
        <w:rPr>
          <w:rFonts w:hint="eastAsia" w:ascii="仿宋" w:hAnsi="仿宋" w:eastAsia="仿宋" w:cs="仿宋"/>
          <w:color w:val="0000FF"/>
          <w:sz w:val="28"/>
          <w:szCs w:val="28"/>
          <w:highlight w:val="none"/>
          <w:u w:val="single"/>
        </w:rPr>
        <w:t>202</w:t>
      </w:r>
      <w:r>
        <w:rPr>
          <w:rFonts w:hint="eastAsia" w:ascii="仿宋" w:hAnsi="仿宋" w:eastAsia="仿宋" w:cs="仿宋"/>
          <w:color w:val="0000FF"/>
          <w:sz w:val="28"/>
          <w:szCs w:val="28"/>
          <w:highlight w:val="none"/>
          <w:u w:val="single"/>
          <w:lang w:val="en-US" w:eastAsia="zh-CN"/>
        </w:rPr>
        <w:t>6</w:t>
      </w:r>
      <w:r>
        <w:rPr>
          <w:rFonts w:hint="eastAsia" w:ascii="仿宋" w:hAnsi="仿宋" w:eastAsia="仿宋" w:cs="仿宋"/>
          <w:color w:val="0000FF"/>
          <w:sz w:val="28"/>
          <w:szCs w:val="28"/>
          <w:highlight w:val="none"/>
          <w:u w:val="single"/>
        </w:rPr>
        <w:t>年</w:t>
      </w:r>
      <w:r>
        <w:rPr>
          <w:rFonts w:hint="eastAsia" w:ascii="仿宋" w:hAnsi="仿宋" w:eastAsia="仿宋" w:cs="仿宋"/>
          <w:color w:val="0000FF"/>
          <w:sz w:val="28"/>
          <w:szCs w:val="28"/>
          <w:highlight w:val="none"/>
          <w:u w:val="single"/>
          <w:lang w:val="en-US" w:eastAsia="zh-CN"/>
        </w:rPr>
        <w:t>10</w:t>
      </w:r>
      <w:r>
        <w:rPr>
          <w:rFonts w:hint="eastAsia" w:ascii="仿宋" w:hAnsi="仿宋" w:eastAsia="仿宋" w:cs="仿宋"/>
          <w:color w:val="0000FF"/>
          <w:sz w:val="28"/>
          <w:szCs w:val="28"/>
          <w:highlight w:val="none"/>
          <w:u w:val="single"/>
        </w:rPr>
        <w:t>月</w:t>
      </w:r>
      <w:r>
        <w:rPr>
          <w:rFonts w:hint="eastAsia" w:ascii="仿宋" w:hAnsi="仿宋" w:eastAsia="仿宋" w:cs="仿宋"/>
          <w:color w:val="0000FF"/>
          <w:sz w:val="28"/>
          <w:szCs w:val="28"/>
          <w:highlight w:val="none"/>
          <w:u w:val="single"/>
          <w:lang w:val="en-US" w:eastAsia="zh-CN"/>
        </w:rPr>
        <w:t>13</w:t>
      </w:r>
      <w:r>
        <w:rPr>
          <w:rFonts w:hint="eastAsia" w:ascii="仿宋" w:hAnsi="仿宋" w:eastAsia="仿宋" w:cs="仿宋"/>
          <w:color w:val="0000FF"/>
          <w:sz w:val="28"/>
          <w:szCs w:val="28"/>
          <w:highlight w:val="none"/>
          <w:u w:val="single"/>
        </w:rPr>
        <w:t>日</w:t>
      </w:r>
      <w:r>
        <w:rPr>
          <w:rFonts w:hint="eastAsia" w:ascii="仿宋" w:hAnsi="仿宋" w:eastAsia="仿宋" w:cs="仿宋"/>
          <w:color w:val="0000FF"/>
          <w:sz w:val="28"/>
          <w:szCs w:val="28"/>
          <w:highlight w:val="none"/>
          <w:u w:val="single"/>
          <w:lang w:val="en-US" w:eastAsia="zh-CN"/>
        </w:rPr>
        <w:t>0时</w:t>
      </w:r>
      <w:r>
        <w:rPr>
          <w:rFonts w:hint="eastAsia" w:ascii="仿宋" w:hAnsi="仿宋" w:eastAsia="仿宋" w:cs="仿宋"/>
          <w:color w:val="0000FF"/>
          <w:sz w:val="28"/>
          <w:szCs w:val="28"/>
          <w:highlight w:val="none"/>
          <w:u w:val="single"/>
        </w:rPr>
        <w:t>至202</w:t>
      </w:r>
      <w:r>
        <w:rPr>
          <w:rFonts w:hint="eastAsia" w:ascii="仿宋" w:hAnsi="仿宋" w:eastAsia="仿宋" w:cs="仿宋"/>
          <w:color w:val="0000FF"/>
          <w:sz w:val="28"/>
          <w:szCs w:val="28"/>
          <w:highlight w:val="none"/>
          <w:u w:val="single"/>
          <w:lang w:val="en-US" w:eastAsia="zh-CN"/>
        </w:rPr>
        <w:t>6</w:t>
      </w:r>
      <w:r>
        <w:rPr>
          <w:rFonts w:hint="eastAsia" w:ascii="仿宋" w:hAnsi="仿宋" w:eastAsia="仿宋" w:cs="仿宋"/>
          <w:color w:val="0000FF"/>
          <w:sz w:val="28"/>
          <w:szCs w:val="28"/>
          <w:highlight w:val="none"/>
          <w:u w:val="single"/>
        </w:rPr>
        <w:t>年</w:t>
      </w:r>
      <w:r>
        <w:rPr>
          <w:rFonts w:hint="eastAsia" w:ascii="仿宋" w:hAnsi="仿宋" w:eastAsia="仿宋" w:cs="仿宋"/>
          <w:color w:val="0000FF"/>
          <w:sz w:val="28"/>
          <w:szCs w:val="28"/>
          <w:highlight w:val="none"/>
          <w:u w:val="single"/>
          <w:lang w:val="en-US" w:eastAsia="zh-CN"/>
        </w:rPr>
        <w:t>10</w:t>
      </w:r>
      <w:r>
        <w:rPr>
          <w:rFonts w:hint="eastAsia" w:ascii="仿宋" w:hAnsi="仿宋" w:eastAsia="仿宋" w:cs="仿宋"/>
          <w:color w:val="0000FF"/>
          <w:sz w:val="28"/>
          <w:szCs w:val="28"/>
          <w:highlight w:val="none"/>
          <w:u w:val="single"/>
        </w:rPr>
        <w:t>月</w:t>
      </w:r>
      <w:r>
        <w:rPr>
          <w:rFonts w:hint="eastAsia" w:ascii="仿宋" w:hAnsi="仿宋" w:eastAsia="仿宋" w:cs="仿宋"/>
          <w:color w:val="0000FF"/>
          <w:sz w:val="28"/>
          <w:szCs w:val="28"/>
          <w:highlight w:val="none"/>
          <w:u w:val="single"/>
          <w:lang w:val="en-US" w:eastAsia="zh-CN"/>
        </w:rPr>
        <w:t>16</w:t>
      </w:r>
      <w:r>
        <w:rPr>
          <w:rFonts w:hint="eastAsia" w:ascii="仿宋" w:hAnsi="仿宋" w:eastAsia="仿宋" w:cs="仿宋"/>
          <w:color w:val="0000FF"/>
          <w:sz w:val="28"/>
          <w:szCs w:val="28"/>
          <w:highlight w:val="none"/>
          <w:u w:val="single"/>
        </w:rPr>
        <w:t>日</w:t>
      </w:r>
      <w:r>
        <w:rPr>
          <w:rFonts w:hint="eastAsia" w:ascii="仿宋" w:hAnsi="仿宋" w:eastAsia="仿宋" w:cs="仿宋"/>
          <w:color w:val="0000FF"/>
          <w:sz w:val="28"/>
          <w:szCs w:val="28"/>
          <w:highlight w:val="none"/>
          <w:u w:val="single"/>
          <w:lang w:val="en-US" w:eastAsia="zh-CN"/>
        </w:rPr>
        <w:t>0</w:t>
      </w:r>
      <w:r>
        <w:rPr>
          <w:rFonts w:hint="eastAsia" w:ascii="仿宋" w:hAnsi="仿宋" w:eastAsia="仿宋" w:cs="仿宋"/>
          <w:color w:val="0000FF"/>
          <w:sz w:val="28"/>
          <w:szCs w:val="28"/>
          <w:highlight w:val="none"/>
          <w:lang w:val="en-US" w:eastAsia="zh-CN"/>
        </w:rPr>
        <w:t>时</w:t>
      </w:r>
    </w:p>
    <w:p w14:paraId="7CBC81FA">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rPr>
      </w:pPr>
      <w:r>
        <w:rPr>
          <w:rFonts w:hint="eastAsia" w:ascii="华文仿宋" w:hAnsi="华文仿宋" w:cs="Times New Roman"/>
        </w:rPr>
        <w:t>2、获取</w:t>
      </w:r>
      <w:r>
        <w:rPr>
          <w:rFonts w:hint="eastAsia" w:ascii="华文仿宋" w:hAnsi="华文仿宋" w:cs="Times New Roman"/>
          <w:lang w:eastAsia="zh-CN"/>
        </w:rPr>
        <w:t>方式</w:t>
      </w:r>
      <w:r>
        <w:rPr>
          <w:rFonts w:hint="eastAsia" w:ascii="华文仿宋" w:hAnsi="华文仿宋" w:cs="Times New Roman"/>
        </w:rPr>
        <w:t>：登录全国公共资源交易平台（陕西省· 榆林市）（www.sxggzyjy.cn）使用数字认证证书（CA锁）报名后自行下载</w:t>
      </w:r>
      <w:r>
        <w:rPr>
          <w:rFonts w:hint="eastAsia" w:ascii="华文仿宋" w:hAnsi="华文仿宋" w:cs="Times New Roman"/>
          <w:lang w:eastAsia="zh-CN"/>
        </w:rPr>
        <w:t>招标文件</w:t>
      </w:r>
      <w:r>
        <w:rPr>
          <w:rFonts w:hint="eastAsia" w:ascii="华文仿宋" w:hAnsi="华文仿宋" w:cs="Times New Roman"/>
        </w:rPr>
        <w:t>。</w:t>
      </w:r>
    </w:p>
    <w:p w14:paraId="55DFDF22">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rPr>
      </w:pPr>
      <w:r>
        <w:rPr>
          <w:rFonts w:hint="eastAsia" w:ascii="华文仿宋" w:hAnsi="华文仿宋" w:cs="Times New Roman"/>
        </w:rPr>
        <w:t>售价： 免费</w:t>
      </w:r>
    </w:p>
    <w:p w14:paraId="009A738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val="0"/>
          <w:sz w:val="28"/>
          <w:szCs w:val="28"/>
        </w:rPr>
      </w:pPr>
      <w:r>
        <w:rPr>
          <w:rFonts w:hint="eastAsia" w:ascii="华文仿宋" w:hAnsi="华文仿宋"/>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w:t>
      </w:r>
      <w:r>
        <w:rPr>
          <w:rFonts w:hint="eastAsia" w:ascii="华文仿宋" w:hAnsi="华文仿宋"/>
          <w:lang w:eastAsia="zh-CN"/>
        </w:rPr>
        <w:t>招标文件</w:t>
      </w:r>
      <w:r>
        <w:rPr>
          <w:rFonts w:hint="eastAsia" w:ascii="华文仿宋" w:hAnsi="华文仿宋"/>
        </w:rPr>
        <w:t>。</w:t>
      </w:r>
    </w:p>
    <w:p w14:paraId="7E42B61A">
      <w:pPr>
        <w:keepNext w:val="0"/>
        <w:keepLines w:val="0"/>
        <w:pageBreakBefore w:val="0"/>
        <w:kinsoku/>
        <w:wordWrap/>
        <w:overflowPunct/>
        <w:topLinePunct w:val="0"/>
        <w:bidi w:val="0"/>
        <w:spacing w:line="480" w:lineRule="exact"/>
        <w:ind w:firstLine="694" w:firstLineChars="247"/>
        <w:textAlignment w:val="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四、 响应文件递交</w:t>
      </w:r>
      <w:r>
        <w:rPr>
          <w:rFonts w:hint="eastAsia" w:ascii="仿宋" w:hAnsi="仿宋" w:eastAsia="仿宋" w:cs="仿宋"/>
          <w:b/>
          <w:bCs/>
          <w:color w:val="333333"/>
          <w:sz w:val="28"/>
          <w:szCs w:val="28"/>
          <w:shd w:val="clear" w:color="auto" w:fill="FFFFFF"/>
          <w:lang w:val="zh-CN"/>
        </w:rPr>
        <w:t>截止时间</w:t>
      </w:r>
      <w:r>
        <w:rPr>
          <w:rFonts w:hint="eastAsia" w:ascii="仿宋" w:hAnsi="仿宋" w:eastAsia="仿宋" w:cs="仿宋"/>
          <w:b/>
          <w:bCs/>
          <w:color w:val="333333"/>
          <w:sz w:val="28"/>
          <w:szCs w:val="28"/>
          <w:shd w:val="clear" w:color="auto" w:fill="FFFFFF"/>
          <w:lang w:val="en-US" w:eastAsia="zh-CN"/>
        </w:rPr>
        <w:t>及</w:t>
      </w:r>
      <w:r>
        <w:rPr>
          <w:rFonts w:hint="eastAsia" w:ascii="仿宋" w:hAnsi="仿宋" w:eastAsia="仿宋" w:cs="仿宋"/>
          <w:b/>
          <w:bCs/>
          <w:color w:val="333333"/>
          <w:sz w:val="28"/>
          <w:szCs w:val="28"/>
          <w:shd w:val="clear" w:color="auto" w:fill="FFFFFF"/>
          <w:lang w:val="zh-CN"/>
        </w:rPr>
        <w:t>开标时间和地点</w:t>
      </w:r>
    </w:p>
    <w:p w14:paraId="18397C57">
      <w:pPr>
        <w:keepNext w:val="0"/>
        <w:keepLines w:val="0"/>
        <w:pageBreakBefore w:val="0"/>
        <w:kinsoku/>
        <w:wordWrap/>
        <w:overflowPunct/>
        <w:topLinePunct w:val="0"/>
        <w:autoSpaceDE w:val="0"/>
        <w:autoSpaceDN w:val="0"/>
        <w:bidi w:val="0"/>
        <w:adjustRightInd w:val="0"/>
        <w:snapToGrid w:val="0"/>
        <w:spacing w:line="480" w:lineRule="exact"/>
        <w:ind w:firstLine="551" w:firstLineChars="197"/>
        <w:textAlignment w:val="auto"/>
        <w:rPr>
          <w:rFonts w:hint="eastAsia" w:ascii="仿宋" w:hAnsi="仿宋" w:eastAsia="仿宋" w:cs="仿宋"/>
          <w:bCs/>
          <w:color w:val="0000FF"/>
          <w:sz w:val="28"/>
          <w:szCs w:val="28"/>
          <w:highlight w:val="none"/>
          <w:u w:val="single"/>
          <w:lang w:val="en-US"/>
        </w:rPr>
      </w:pPr>
      <w:r>
        <w:rPr>
          <w:rFonts w:hint="eastAsia" w:ascii="华文仿宋" w:hAnsi="华文仿宋" w:cs="华文仿宋"/>
          <w:bCs/>
          <w:color w:val="auto"/>
          <w:highlight w:val="none"/>
          <w:lang w:val="zh-CN"/>
        </w:rPr>
        <w:t>1、响应文件递交截止时间、开标时间</w:t>
      </w:r>
      <w:r>
        <w:rPr>
          <w:rFonts w:hint="eastAsia" w:ascii="仿宋" w:hAnsi="仿宋" w:eastAsia="仿宋" w:cs="仿宋"/>
          <w:bCs/>
          <w:color w:val="auto"/>
          <w:sz w:val="28"/>
          <w:szCs w:val="28"/>
          <w:highlight w:val="none"/>
          <w:lang w:val="zh-CN"/>
        </w:rPr>
        <w:t>：</w:t>
      </w:r>
      <w:r>
        <w:rPr>
          <w:rFonts w:hint="eastAsia" w:ascii="仿宋" w:hAnsi="仿宋" w:eastAsia="仿宋" w:cs="仿宋"/>
          <w:color w:val="0000FF"/>
          <w:sz w:val="28"/>
          <w:szCs w:val="28"/>
          <w:highlight w:val="none"/>
          <w:lang w:val="en-US" w:eastAsia="zh-CN"/>
        </w:rPr>
        <w:t>2026年10月23日</w:t>
      </w:r>
      <w:r>
        <w:rPr>
          <w:rFonts w:hint="eastAsia" w:ascii="仿宋" w:hAnsi="仿宋" w:eastAsia="仿宋" w:cs="仿宋"/>
          <w:color w:val="0000FF"/>
          <w:sz w:val="28"/>
          <w:szCs w:val="28"/>
          <w:highlight w:val="none"/>
          <w:u w:val="single"/>
          <w:lang w:val="en-US" w:eastAsia="zh-CN"/>
        </w:rPr>
        <w:t>13：30</w:t>
      </w:r>
    </w:p>
    <w:p w14:paraId="60F22066">
      <w:pPr>
        <w:pStyle w:val="6"/>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zh-CN"/>
        </w:rPr>
        <w:t>2、响应文件递交地点：</w:t>
      </w:r>
      <w:r>
        <w:rPr>
          <w:rFonts w:hint="eastAsia" w:ascii="仿宋" w:hAnsi="仿宋" w:eastAsia="仿宋" w:cs="仿宋"/>
          <w:bCs/>
          <w:sz w:val="28"/>
          <w:szCs w:val="28"/>
          <w:lang w:val="en-US" w:eastAsia="zh-CN"/>
        </w:rPr>
        <w:t>网上递交</w:t>
      </w:r>
    </w:p>
    <w:p w14:paraId="1E113209">
      <w:pPr>
        <w:pStyle w:val="6"/>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sz w:val="28"/>
          <w:szCs w:val="28"/>
          <w:lang w:val="en-US" w:eastAsia="zh-CN"/>
        </w:rPr>
      </w:pPr>
      <w:r>
        <w:rPr>
          <w:rFonts w:hint="eastAsia" w:ascii="华文仿宋" w:hAnsi="华文仿宋" w:cs="华文仿宋"/>
        </w:rPr>
        <w:t>电子响应文件（*.SXSTF）可于递交响应文件截止时间前任意时段登录全国公共资源交易平台（陕西省·榆林市）网站进行递交，逾期系统将拒绝接收。</w:t>
      </w:r>
    </w:p>
    <w:p w14:paraId="1F2EE8BB">
      <w:pPr>
        <w:pStyle w:val="6"/>
        <w:keepNext w:val="0"/>
        <w:keepLines w:val="0"/>
        <w:pageBreakBefore w:val="0"/>
        <w:numPr>
          <w:ilvl w:val="0"/>
          <w:numId w:val="0"/>
        </w:numPr>
        <w:tabs>
          <w:tab w:val="left" w:pos="5148"/>
        </w:tabs>
        <w:kinsoku/>
        <w:wordWrap/>
        <w:overflowPunct/>
        <w:topLinePunct w:val="0"/>
        <w:bidi w:val="0"/>
        <w:spacing w:line="480" w:lineRule="exact"/>
        <w:ind w:firstLine="560" w:firstLineChars="200"/>
        <w:textAlignment w:val="auto"/>
        <w:rPr>
          <w:rFonts w:hint="default"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3、</w:t>
      </w:r>
      <w:r>
        <w:rPr>
          <w:rFonts w:hint="eastAsia" w:ascii="华文仿宋" w:hAnsi="华文仿宋" w:eastAsia="华文仿宋" w:cs="Times New Roman"/>
          <w:kern w:val="2"/>
          <w:sz w:val="28"/>
          <w:szCs w:val="28"/>
          <w:lang w:val="zh-CN" w:eastAsia="zh-CN" w:bidi="ar-SA"/>
        </w:rPr>
        <w:t>开标地点：</w:t>
      </w:r>
      <w:r>
        <w:rPr>
          <w:rFonts w:hint="eastAsia" w:ascii="仿宋" w:hAnsi="仿宋" w:eastAsia="仿宋" w:cs="仿宋"/>
          <w:color w:val="0000FF"/>
          <w:kern w:val="2"/>
          <w:sz w:val="28"/>
          <w:szCs w:val="28"/>
          <w:highlight w:val="none"/>
          <w:u w:val="single"/>
          <w:lang w:val="en-US" w:eastAsia="zh-CN" w:bidi="ar-SA"/>
        </w:rPr>
        <w:t>榆林市公共资源交易中心18楼开标室1802</w:t>
      </w:r>
    </w:p>
    <w:p w14:paraId="7AA61346">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kern w:val="2"/>
          <w:sz w:val="28"/>
          <w:szCs w:val="28"/>
          <w:lang w:val="zh-CN" w:eastAsia="zh-CN" w:bidi="ar-SA"/>
        </w:rPr>
        <w:t>4、开标形式：本项目采用不见面开标方式:（1）供应商应在响应文件递交截止时间前通过全国公共资源交易平台（陕西省.榆林市）（</w:t>
      </w:r>
      <w:r>
        <w:rPr>
          <w:rFonts w:hint="eastAsia" w:ascii="华文仿宋" w:hAnsi="华文仿宋" w:eastAsia="华文仿宋" w:cs="Times New Roman"/>
          <w:kern w:val="2"/>
          <w:sz w:val="28"/>
          <w:szCs w:val="28"/>
          <w:lang w:val="zh-CN" w:eastAsia="zh-CN" w:bidi="ar-SA"/>
        </w:rPr>
        <w:fldChar w:fldCharType="begin"/>
      </w:r>
      <w:r>
        <w:rPr>
          <w:rFonts w:hint="eastAsia" w:ascii="华文仿宋" w:hAnsi="华文仿宋" w:eastAsia="华文仿宋" w:cs="Times New Roman"/>
          <w:kern w:val="2"/>
          <w:sz w:val="28"/>
          <w:szCs w:val="28"/>
          <w:lang w:val="zh-CN" w:eastAsia="zh-CN" w:bidi="ar-SA"/>
        </w:rPr>
        <w:instrText xml:space="preserve"> HYPERLINK "http://yl.sxggzyjy.cn/"</w:instrText>
      </w:r>
      <w:r>
        <w:rPr>
          <w:rFonts w:hint="eastAsia" w:ascii="华文仿宋" w:hAnsi="华文仿宋" w:eastAsia="华文仿宋" w:cs="Times New Roman"/>
          <w:kern w:val="2"/>
          <w:sz w:val="28"/>
          <w:szCs w:val="28"/>
          <w:lang w:val="zh-CN" w:eastAsia="zh-CN" w:bidi="ar-SA"/>
        </w:rPr>
        <w:fldChar w:fldCharType="separate"/>
      </w:r>
      <w:r>
        <w:rPr>
          <w:rFonts w:hint="eastAsia" w:ascii="华文仿宋" w:hAnsi="华文仿宋" w:eastAsia="华文仿宋" w:cs="Times New Roman"/>
          <w:kern w:val="2"/>
          <w:sz w:val="28"/>
          <w:szCs w:val="28"/>
          <w:lang w:val="zh-CN" w:eastAsia="zh-CN" w:bidi="ar-SA"/>
        </w:rPr>
        <w:t>http://yl.sxggzyjy.cn/</w:t>
      </w:r>
      <w:r>
        <w:rPr>
          <w:rFonts w:hint="eastAsia" w:ascii="华文仿宋" w:hAnsi="华文仿宋" w:eastAsia="华文仿宋" w:cs="Times New Roman"/>
          <w:kern w:val="2"/>
          <w:sz w:val="28"/>
          <w:szCs w:val="28"/>
          <w:lang w:val="zh-CN" w:eastAsia="zh-CN" w:bidi="ar-SA"/>
        </w:rPr>
        <w:fldChar w:fldCharType="end"/>
      </w:r>
      <w:r>
        <w:rPr>
          <w:rFonts w:hint="eastAsia" w:ascii="华文仿宋" w:hAnsi="华文仿宋" w:eastAsia="华文仿宋" w:cs="Times New Roman"/>
          <w:kern w:val="2"/>
          <w:sz w:val="28"/>
          <w:szCs w:val="28"/>
          <w:lang w:val="zh-CN" w:eastAsia="zh-CN" w:bidi="ar-SA"/>
        </w:rPr>
        <w:t>）在线递交响应文件并完成在线签到；（2）电子响应文件解密时间为发出解密指令后 30 分钟内完成；（3）</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地点：供应商在全国公共资源交易平台（陕西省·榆林市）榆林市不见面开标大厅进行</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会议，所有供应商均应当准时在线参加</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4</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谈判</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eastAsia="华文仿宋" w:cs="Times New Roman"/>
          <w:b/>
          <w:bCs/>
          <w:color w:val="auto"/>
          <w:kern w:val="2"/>
          <w:sz w:val="28"/>
          <w:szCs w:val="28"/>
          <w:lang w:val="zh-CN" w:eastAsia="zh-CN" w:bidi="ar-SA"/>
        </w:rPr>
        <w:t>本项目</w:t>
      </w:r>
      <w:r>
        <w:rPr>
          <w:rFonts w:hint="eastAsia" w:ascii="华文仿宋" w:hAnsi="华文仿宋" w:cs="Times New Roman"/>
          <w:b/>
          <w:bCs/>
          <w:color w:val="auto"/>
          <w:kern w:val="2"/>
          <w:sz w:val="28"/>
          <w:szCs w:val="28"/>
          <w:lang w:val="en-US" w:eastAsia="zh-CN" w:bidi="ar-SA"/>
        </w:rPr>
        <w:t>谈判过程</w:t>
      </w:r>
      <w:r>
        <w:rPr>
          <w:rFonts w:hint="eastAsia" w:ascii="华文仿宋" w:hAnsi="华文仿宋" w:eastAsia="华文仿宋" w:cs="Times New Roman"/>
          <w:b/>
          <w:bCs/>
          <w:color w:val="auto"/>
          <w:kern w:val="2"/>
          <w:sz w:val="28"/>
          <w:szCs w:val="28"/>
          <w:lang w:val="zh-CN" w:eastAsia="zh-CN" w:bidi="ar-SA"/>
        </w:rPr>
        <w:t>将在"腾讯会议"app 上按时举行，各供应商代表（必须是法定代表人或其授权委托的代理人）应提前下载该软件</w:t>
      </w:r>
      <w:r>
        <w:rPr>
          <w:rFonts w:hint="eastAsia" w:ascii="华文仿宋" w:hAnsi="华文仿宋" w:cs="Times New Roman"/>
          <w:b/>
          <w:bCs/>
          <w:color w:val="auto"/>
          <w:kern w:val="2"/>
          <w:sz w:val="28"/>
          <w:szCs w:val="28"/>
          <w:lang w:val="en-US" w:eastAsia="zh-CN" w:bidi="ar-SA"/>
        </w:rPr>
        <w:t>,</w:t>
      </w:r>
      <w:r>
        <w:rPr>
          <w:rFonts w:hint="eastAsia" w:ascii="华文仿宋" w:hAnsi="华文仿宋" w:eastAsia="华文仿宋" w:cs="Times New Roman"/>
          <w:b/>
          <w:bCs/>
          <w:color w:val="auto"/>
          <w:kern w:val="2"/>
          <w:sz w:val="28"/>
          <w:szCs w:val="28"/>
          <w:lang w:val="zh-CN" w:eastAsia="zh-CN" w:bidi="ar-SA"/>
        </w:rPr>
        <w:t>在开标时间（暨投标截止时间）前，打开电脑（手机）腾讯会议软件，搜索会议号输入会议密码加入会议（会议号和会议密码在采购文件里明示）；（</w:t>
      </w:r>
      <w:r>
        <w:rPr>
          <w:rFonts w:hint="eastAsia" w:ascii="华文仿宋" w:hAnsi="华文仿宋" w:cs="Times New Roman"/>
          <w:b/>
          <w:bCs/>
          <w:color w:val="auto"/>
          <w:kern w:val="2"/>
          <w:sz w:val="28"/>
          <w:szCs w:val="28"/>
          <w:lang w:val="en-US" w:eastAsia="zh-CN" w:bidi="ar-SA"/>
        </w:rPr>
        <w:t>5</w:t>
      </w:r>
      <w:r>
        <w:rPr>
          <w:rFonts w:hint="eastAsia" w:ascii="华文仿宋" w:hAnsi="华文仿宋" w:eastAsia="华文仿宋" w:cs="Times New Roman"/>
          <w:b/>
          <w:bCs/>
          <w:color w:val="auto"/>
          <w:kern w:val="2"/>
          <w:sz w:val="28"/>
          <w:szCs w:val="28"/>
          <w:lang w:val="zh-CN" w:eastAsia="zh-CN" w:bidi="ar-SA"/>
        </w:rPr>
        <w:t>）供应商需自行在电脑上进行二次报价。</w:t>
      </w:r>
    </w:p>
    <w:p w14:paraId="7ABCD7EA">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Times New Roman"/>
          <w:b/>
          <w:bCs/>
          <w:kern w:val="2"/>
          <w:sz w:val="28"/>
          <w:szCs w:val="28"/>
          <w:lang w:val="en-US" w:eastAsia="zh-CN" w:bidi="ar-SA"/>
        </w:rPr>
      </w:pPr>
      <w:r>
        <w:rPr>
          <w:rFonts w:hint="eastAsia" w:ascii="华文仿宋" w:hAnsi="华文仿宋" w:eastAsia="华文仿宋" w:cs="Times New Roman"/>
          <w:b/>
          <w:bCs/>
          <w:kern w:val="2"/>
          <w:sz w:val="28"/>
          <w:szCs w:val="28"/>
          <w:lang w:val="en-US" w:eastAsia="zh-CN" w:bidi="ar-SA"/>
        </w:rPr>
        <w:t>五、公告期限</w:t>
      </w:r>
    </w:p>
    <w:p w14:paraId="3BE4AB26">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本公告在《陕西省政府采购网》《陕西省公共资源交易平台》媒介发布，自本公告发布之日起</w:t>
      </w:r>
      <w:r>
        <w:rPr>
          <w:rFonts w:hint="eastAsia" w:ascii="华文仿宋" w:hAnsi="华文仿宋" w:cs="Times New Roman"/>
          <w:kern w:val="2"/>
          <w:sz w:val="28"/>
          <w:szCs w:val="28"/>
          <w:lang w:val="en-US" w:eastAsia="zh-CN" w:bidi="ar-SA"/>
        </w:rPr>
        <w:t>3</w:t>
      </w:r>
      <w:r>
        <w:rPr>
          <w:rFonts w:hint="eastAsia" w:ascii="华文仿宋" w:hAnsi="华文仿宋" w:eastAsia="华文仿宋" w:cs="Times New Roman"/>
          <w:kern w:val="2"/>
          <w:sz w:val="28"/>
          <w:szCs w:val="28"/>
          <w:lang w:val="en-US" w:eastAsia="zh-CN" w:bidi="ar-SA"/>
        </w:rPr>
        <w:t>个工作日。</w:t>
      </w:r>
    </w:p>
    <w:p w14:paraId="41234DE1">
      <w:pPr>
        <w:keepNext w:val="0"/>
        <w:keepLines w:val="0"/>
        <w:pageBreakBefore w:val="0"/>
        <w:numPr>
          <w:ilvl w:val="0"/>
          <w:numId w:val="1"/>
        </w:numPr>
        <w:kinsoku/>
        <w:wordWrap/>
        <w:overflowPunct/>
        <w:topLinePunct w:val="0"/>
        <w:bidi w:val="0"/>
        <w:spacing w:line="480" w:lineRule="exact"/>
        <w:ind w:firstLine="694"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333333"/>
          <w:sz w:val="28"/>
          <w:szCs w:val="28"/>
          <w:shd w:val="clear" w:color="auto" w:fill="FFFFFF"/>
        </w:rPr>
        <w:t>其他补充事宜</w:t>
      </w:r>
    </w:p>
    <w:p w14:paraId="6904F2C7">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1、供应商下载文件后，按照陕西省财政厅《关于政府采购投标人注册登记有关事项的通知》要求，通过陕西省政府采购网注册登记加入陕西省政府采购供应商库。</w:t>
      </w:r>
    </w:p>
    <w:p w14:paraId="05A31538">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2、供应商初次使用交易平台，须先完成诚信入库登记、数字认证证书（CA锁）认证及企业信息绑定。</w:t>
      </w:r>
    </w:p>
    <w:p w14:paraId="529B4C0D">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3510A077">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rPr>
      </w:pPr>
      <w:r>
        <w:rPr>
          <w:rFonts w:hint="eastAsia" w:ascii="仿宋" w:hAnsi="仿宋" w:eastAsia="仿宋" w:cs="仿宋"/>
        </w:rPr>
        <w:t>4、未办理陕西省公共资源交易中心CA锁的供应商可到榆林市市民中心</w:t>
      </w:r>
      <w:r>
        <w:rPr>
          <w:rFonts w:hint="eastAsia" w:ascii="仿宋" w:hAnsi="仿宋" w:eastAsia="仿宋" w:cs="仿宋"/>
          <w:lang w:val="en-US" w:eastAsia="zh-CN"/>
        </w:rPr>
        <w:t>三</w:t>
      </w:r>
      <w:r>
        <w:rPr>
          <w:rFonts w:hint="eastAsia" w:ascii="仿宋" w:hAnsi="仿宋" w:eastAsia="仿宋" w:cs="仿宋"/>
        </w:rPr>
        <w:t>楼交易中心窗口办理或西安市高新三路信息港大厦一楼办事大厅，咨询电话0912-3</w:t>
      </w:r>
      <w:r>
        <w:rPr>
          <w:rFonts w:hint="eastAsia" w:ascii="仿宋" w:hAnsi="仿宋" w:eastAsia="仿宋" w:cs="仿宋"/>
          <w:lang w:val="en-US" w:eastAsia="zh-CN"/>
        </w:rPr>
        <w:t>452148</w:t>
      </w:r>
      <w:r>
        <w:rPr>
          <w:rFonts w:hint="eastAsia" w:ascii="仿宋" w:hAnsi="仿宋" w:eastAsia="仿宋" w:cs="仿宋"/>
        </w:rPr>
        <w:t>、029-88661241或4006-369-888（陕西CA联系电话）。</w:t>
      </w:r>
    </w:p>
    <w:p w14:paraId="68F3354D">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5、为了保证远程不见面开标顺利进行，供应商需使用带有麦克风和摄像头的笔记本电脑提前登录不见面开标大厅进行调试，并完成签到等程序等待开标。</w:t>
      </w:r>
    </w:p>
    <w:p w14:paraId="61417B45">
      <w:pPr>
        <w:keepNext w:val="0"/>
        <w:keepLines w:val="0"/>
        <w:pageBreakBefore w:val="0"/>
        <w:kinsoku/>
        <w:wordWrap/>
        <w:overflowPunct/>
        <w:topLinePunct w:val="0"/>
        <w:bidi w:val="0"/>
        <w:spacing w:line="480" w:lineRule="exact"/>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p w14:paraId="1854CB0C">
      <w:pPr>
        <w:pStyle w:val="6"/>
        <w:keepNext w:val="0"/>
        <w:keepLines w:val="0"/>
        <w:pageBreakBefore w:val="0"/>
        <w:kinsoku/>
        <w:wordWrap/>
        <w:overflowPunct/>
        <w:topLinePunct w:val="0"/>
        <w:bidi w:val="0"/>
        <w:spacing w:line="480" w:lineRule="exact"/>
        <w:ind w:left="0" w:leftChars="0"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1、采购人信息</w:t>
      </w:r>
    </w:p>
    <w:p w14:paraId="09CFF870">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名称：府谷县庙沟门镇初级中学</w:t>
      </w:r>
    </w:p>
    <w:p w14:paraId="2FF2FD5A">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地址：府谷县庙沟门镇</w:t>
      </w:r>
    </w:p>
    <w:p w14:paraId="571B572A">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联系人：严先生</w:t>
      </w:r>
    </w:p>
    <w:p w14:paraId="3479BA2D">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w:t>
      </w:r>
      <w:r>
        <w:rPr>
          <w:rFonts w:hint="eastAsia" w:ascii="仿宋" w:hAnsi="仿宋" w:eastAsia="仿宋" w:cs="仿宋"/>
          <w:color w:val="auto"/>
          <w:sz w:val="28"/>
          <w:szCs w:val="28"/>
          <w:lang w:val="en-US" w:eastAsia="zh-CN"/>
        </w:rPr>
        <w:t>19991099276</w:t>
      </w:r>
    </w:p>
    <w:p w14:paraId="6F001D1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w:t>
      </w:r>
    </w:p>
    <w:p w14:paraId="6CAD0BE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名称：府谷县政府投资和采购服务中心</w:t>
      </w:r>
    </w:p>
    <w:p w14:paraId="664A6F6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地址：府谷县财税中心11楼</w:t>
      </w:r>
    </w:p>
    <w:p w14:paraId="07460F2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联系人：高工</w:t>
      </w:r>
    </w:p>
    <w:p w14:paraId="58E5A3CA">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联系电话：13488346234</w:t>
      </w:r>
    </w:p>
    <w:p w14:paraId="20761453">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府谷县政府投资和采购服务中心</w:t>
      </w:r>
    </w:p>
    <w:p w14:paraId="6A35A023">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lang w:val="en-US" w:eastAsia="zh-CN"/>
        </w:rPr>
        <w:t>2026年10月12日</w:t>
      </w:r>
    </w:p>
    <w:p w14:paraId="6B5E9B39">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A9C12"/>
    <w:multiLevelType w:val="singleLevel"/>
    <w:tmpl w:val="D78A9C12"/>
    <w:lvl w:ilvl="0" w:tentative="0">
      <w:start w:val="6"/>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F12CB0"/>
    <w:rsid w:val="4BC617D2"/>
    <w:rsid w:val="7EF53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Lines="50" w:line="360" w:lineRule="auto"/>
    </w:pPr>
    <w:rPr>
      <w:rFonts w:ascii="宋体" w:hAnsi="宋体"/>
      <w:color w:val="000000"/>
      <w:sz w:val="24"/>
    </w:rPr>
  </w:style>
  <w:style w:type="paragraph" w:styleId="3">
    <w:name w:val="Title"/>
    <w:basedOn w:val="1"/>
    <w:next w:val="1"/>
    <w:qFormat/>
    <w:uiPriority w:val="0"/>
    <w:pPr>
      <w:widowControl w:val="0"/>
      <w:overflowPunct/>
      <w:autoSpaceDE/>
      <w:autoSpaceDN/>
      <w:adjustRightInd/>
      <w:spacing w:before="240" w:after="60"/>
      <w:jc w:val="center"/>
      <w:textAlignment w:val="auto"/>
      <w:outlineLvl w:val="0"/>
    </w:pPr>
    <w:rPr>
      <w:b/>
      <w:bCs/>
      <w:kern w:val="2"/>
      <w:sz w:val="32"/>
      <w:szCs w:val="32"/>
    </w:rPr>
  </w:style>
  <w:style w:type="paragraph" w:styleId="6">
    <w:name w:val="Normal Indent"/>
    <w:basedOn w:val="1"/>
    <w:unhideWhenUsed/>
    <w:qFormat/>
    <w:uiPriority w:val="99"/>
    <w:pPr>
      <w:ind w:firstLine="420"/>
    </w:pPr>
  </w:style>
  <w:style w:type="paragraph" w:styleId="7">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8">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paragraph" w:customStyle="1" w:styleId="13">
    <w:name w:val="Normal Indent1"/>
    <w:basedOn w:val="1"/>
    <w:qFormat/>
    <w:uiPriority w:val="99"/>
    <w:pPr>
      <w:ind w:firstLine="720" w:firstLineChars="200"/>
    </w:pPr>
    <w:rPr>
      <w:rFonts w:eastAsia="楷体_GB2312"/>
    </w:rPr>
  </w:style>
  <w:style w:type="paragraph" w:customStyle="1" w:styleId="14">
    <w:name w:val="※正文（缩进4）"/>
    <w:basedOn w:val="1"/>
    <w:qFormat/>
    <w:uiPriority w:val="0"/>
    <w:pPr>
      <w:wordWrap w:val="0"/>
      <w:ind w:firstLine="400" w:firstLine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4898</Words>
  <Characters>5483</Characters>
  <Lines>0</Lines>
  <Paragraphs>0</Paragraphs>
  <TotalTime>0</TotalTime>
  <ScaleCrop>false</ScaleCrop>
  <LinksUpToDate>false</LinksUpToDate>
  <CharactersWithSpaces>5508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2026-10-12T01:29:59Z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eyJoZGlkIjoiMzVmNWVlNmNmYmJhZTg1NDY2MjI3ZmRiNDdiYTMwZmEiLCJ1c2VySWQiOiIzMzI3MjQzOTMifQ==</vt:lpwstr>
  </property>
  <property fmtid="{D5CDD505-2E9C-101B-9397-08002B2CF9AE}" pid="4" name="ICV">
    <vt:lpwstr>30244459D87C4C9384F4C1E77921B561_12</vt:lpwstr>
  </property>
</Properties>
</file>