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eastAsia="宋体" w:cs="黑体"/>
          <w:b/>
          <w:bCs/>
          <w:color w:val="auto"/>
          <w:sz w:val="48"/>
          <w:szCs w:val="48"/>
          <w:highlight w:val="none"/>
          <w:lang w:eastAsia="zh-CN"/>
        </w:rPr>
      </w:pPr>
      <w:bookmarkStart w:id="161" w:name="_GoBack"/>
      <w:bookmarkEnd w:id="161"/>
      <w:r>
        <w:rPr>
          <w:rFonts w:hint="eastAsia" w:ascii="宋体" w:hAnsi="宋体" w:cs="黑体"/>
          <w:b/>
          <w:bCs/>
          <w:color w:val="auto"/>
          <w:sz w:val="48"/>
          <w:szCs w:val="48"/>
          <w:highlight w:val="none"/>
          <w:lang w:eastAsia="zh-CN"/>
        </w:rPr>
        <w:t>东南大学附属中大医院门诊排队叫号系统采购项目</w:t>
      </w:r>
    </w:p>
    <w:p>
      <w:pPr>
        <w:ind w:firstLine="2249" w:firstLineChars="700"/>
        <w:jc w:val="left"/>
        <w:rPr>
          <w:rFonts w:hint="eastAsia" w:ascii="宋体" w:hAnsi="宋体" w:eastAsia="宋体" w:cs="黑体"/>
          <w:b/>
          <w:bCs/>
          <w:color w:val="auto"/>
          <w:sz w:val="32"/>
          <w:szCs w:val="32"/>
          <w:highlight w:val="none"/>
          <w:lang w:eastAsia="zh-CN"/>
        </w:rPr>
      </w:pPr>
      <w:r>
        <w:rPr>
          <w:rFonts w:hint="eastAsia" w:ascii="宋体" w:hAnsi="宋体" w:cs="黑体"/>
          <w:b/>
          <w:bCs/>
          <w:color w:val="auto"/>
          <w:sz w:val="32"/>
          <w:szCs w:val="32"/>
          <w:highlight w:val="none"/>
        </w:rPr>
        <w:t>项目</w:t>
      </w:r>
      <w:r>
        <w:rPr>
          <w:rFonts w:ascii="宋体" w:hAnsi="宋体" w:cs="黑体"/>
          <w:b/>
          <w:bCs/>
          <w:color w:val="auto"/>
          <w:sz w:val="32"/>
          <w:szCs w:val="32"/>
          <w:highlight w:val="none"/>
        </w:rPr>
        <w:t>编号：</w:t>
      </w:r>
      <w:r>
        <w:rPr>
          <w:rFonts w:hint="eastAsia" w:ascii="宋体" w:hAnsi="宋体" w:cs="黑体"/>
          <w:b/>
          <w:bCs/>
          <w:color w:val="auto"/>
          <w:sz w:val="32"/>
          <w:szCs w:val="32"/>
          <w:highlight w:val="none"/>
          <w:lang w:eastAsia="zh-CN"/>
        </w:rPr>
        <w:t>1009-2441HOLLY01F</w:t>
      </w:r>
    </w:p>
    <w:p>
      <w:pPr>
        <w:rPr>
          <w:rFonts w:hint="eastAsia" w:ascii="宋体" w:hAnsi="宋体" w:cs="黑体"/>
          <w:b/>
          <w:bCs/>
          <w:color w:val="auto"/>
          <w:sz w:val="32"/>
          <w:szCs w:val="32"/>
          <w:highlight w:val="none"/>
        </w:rPr>
      </w:pPr>
      <w:bookmarkStart w:id="0" w:name="EB3ace3d43b98b41779337deb808be6fa3"/>
      <w:r>
        <w:rPr>
          <w:rFonts w:hint="eastAsia" w:ascii="宋体" w:hAnsi="宋体" w:cs="黑体"/>
          <w:b/>
          <w:bCs/>
          <w:color w:val="auto"/>
          <w:sz w:val="32"/>
          <w:szCs w:val="32"/>
          <w:highlight w:val="none"/>
        </w:rPr>
        <w:t xml:space="preserve"> </w:t>
      </w:r>
      <w:bookmarkEnd w:id="0"/>
      <w:bookmarkStart w:id="1" w:name="EB57dd2a69e2b54b0cb3f5c2f03a1ab7bf"/>
      <w:r>
        <w:rPr>
          <w:rFonts w:hint="eastAsia" w:ascii="宋体" w:hAnsi="宋体" w:cs="黑体"/>
          <w:b/>
          <w:bCs/>
          <w:color w:val="auto"/>
          <w:sz w:val="32"/>
          <w:szCs w:val="32"/>
          <w:highlight w:val="none"/>
        </w:rPr>
        <w:t xml:space="preserve"> </w:t>
      </w:r>
      <w:bookmarkEnd w:id="1"/>
    </w:p>
    <w:p>
      <w:pPr>
        <w:rPr>
          <w:rFonts w:ascii="宋体" w:hAnsi="宋体"/>
          <w:color w:val="auto"/>
          <w:sz w:val="36"/>
          <w:szCs w:val="36"/>
          <w:highlight w:val="none"/>
        </w:rPr>
      </w:pPr>
    </w:p>
    <w:p>
      <w:pPr>
        <w:rPr>
          <w:rFonts w:hint="eastAsia" w:ascii="宋体" w:hAnsi="宋体"/>
          <w:color w:val="auto"/>
          <w:sz w:val="36"/>
          <w:szCs w:val="36"/>
          <w:highlight w:val="none"/>
        </w:rPr>
      </w:pPr>
    </w:p>
    <w:p>
      <w:pPr>
        <w:jc w:val="center"/>
        <w:rPr>
          <w:rFonts w:hint="eastAsia" w:ascii="宋体" w:hAnsi="宋体"/>
          <w:b/>
          <w:color w:val="auto"/>
          <w:sz w:val="18"/>
          <w:szCs w:val="18"/>
          <w:highlight w:val="none"/>
        </w:rPr>
      </w:pPr>
    </w:p>
    <w:p>
      <w:pPr>
        <w:jc w:val="center"/>
        <w:rPr>
          <w:rFonts w:hint="eastAsia" w:ascii="宋体" w:hAnsi="宋体"/>
          <w:color w:val="auto"/>
          <w:sz w:val="82"/>
          <w:szCs w:val="72"/>
          <w:highlight w:val="none"/>
        </w:rPr>
      </w:pPr>
      <w:r>
        <w:rPr>
          <w:rFonts w:hint="eastAsia" w:ascii="宋体" w:hAnsi="宋体"/>
          <w:color w:val="auto"/>
          <w:sz w:val="82"/>
          <w:szCs w:val="72"/>
          <w:highlight w:val="none"/>
        </w:rPr>
        <w:t>招  标  文  件</w:t>
      </w:r>
    </w:p>
    <w:p>
      <w:pPr>
        <w:autoSpaceDE w:val="0"/>
        <w:autoSpaceDN w:val="0"/>
        <w:adjustRightInd w:val="0"/>
        <w:spacing w:line="500" w:lineRule="exact"/>
        <w:ind w:firstLine="1980" w:firstLineChars="550"/>
        <w:jc w:val="left"/>
        <w:rPr>
          <w:rFonts w:hint="eastAsia" w:ascii="宋体" w:hAnsi="宋体"/>
          <w:color w:val="auto"/>
          <w:sz w:val="36"/>
          <w:szCs w:val="36"/>
          <w:highlight w:val="none"/>
        </w:rPr>
      </w:pPr>
    </w:p>
    <w:p>
      <w:pPr>
        <w:autoSpaceDE w:val="0"/>
        <w:autoSpaceDN w:val="0"/>
        <w:adjustRightInd w:val="0"/>
        <w:spacing w:line="500" w:lineRule="exact"/>
        <w:ind w:firstLine="1980" w:firstLineChars="550"/>
        <w:jc w:val="left"/>
        <w:rPr>
          <w:rFonts w:hint="eastAsia" w:ascii="宋体" w:hAnsi="宋体"/>
          <w:color w:val="auto"/>
          <w:sz w:val="36"/>
          <w:szCs w:val="36"/>
          <w:highlight w:val="none"/>
        </w:rPr>
      </w:pPr>
    </w:p>
    <w:p>
      <w:pPr>
        <w:autoSpaceDE w:val="0"/>
        <w:autoSpaceDN w:val="0"/>
        <w:adjustRightInd w:val="0"/>
        <w:spacing w:line="500" w:lineRule="exact"/>
        <w:ind w:firstLine="1980" w:firstLineChars="550"/>
        <w:jc w:val="left"/>
        <w:rPr>
          <w:rFonts w:hint="eastAsia" w:ascii="宋体" w:hAnsi="宋体"/>
          <w:color w:val="auto"/>
          <w:sz w:val="36"/>
          <w:szCs w:val="36"/>
          <w:highlight w:val="none"/>
        </w:rPr>
      </w:pPr>
    </w:p>
    <w:p>
      <w:pPr>
        <w:autoSpaceDE w:val="0"/>
        <w:autoSpaceDN w:val="0"/>
        <w:adjustRightInd w:val="0"/>
        <w:spacing w:line="500" w:lineRule="exact"/>
        <w:ind w:firstLine="1980" w:firstLineChars="550"/>
        <w:jc w:val="left"/>
        <w:rPr>
          <w:rFonts w:hint="eastAsia" w:ascii="宋体" w:hAnsi="宋体"/>
          <w:color w:val="auto"/>
          <w:sz w:val="36"/>
          <w:szCs w:val="36"/>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ascii="宋体" w:hAnsi="宋体"/>
          <w:color w:val="auto"/>
          <w:highlight w:val="none"/>
        </w:rPr>
      </w:pPr>
    </w:p>
    <w:p>
      <w:pPr>
        <w:rPr>
          <w:rFonts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tbl>
      <w:tblPr>
        <w:tblStyle w:val="63"/>
        <w:tblW w:w="0" w:type="auto"/>
        <w:jc w:val="center"/>
        <w:tblLayout w:type="fixed"/>
        <w:tblCellMar>
          <w:top w:w="0" w:type="dxa"/>
          <w:left w:w="108" w:type="dxa"/>
          <w:bottom w:w="0" w:type="dxa"/>
          <w:right w:w="108" w:type="dxa"/>
        </w:tblCellMar>
      </w:tblPr>
      <w:tblGrid>
        <w:gridCol w:w="2348"/>
        <w:gridCol w:w="5454"/>
      </w:tblGrid>
      <w:tr>
        <w:tblPrEx>
          <w:tblCellMar>
            <w:top w:w="0" w:type="dxa"/>
            <w:left w:w="108" w:type="dxa"/>
            <w:bottom w:w="0" w:type="dxa"/>
            <w:right w:w="108" w:type="dxa"/>
          </w:tblCellMar>
        </w:tblPrEx>
        <w:trPr>
          <w:jc w:val="center"/>
        </w:trPr>
        <w:tc>
          <w:tcPr>
            <w:tcW w:w="2348" w:type="dxa"/>
            <w:noWrap w:val="0"/>
            <w:vAlign w:val="top"/>
          </w:tcPr>
          <w:p>
            <w:pPr>
              <w:rPr>
                <w:rFonts w:hint="eastAsia" w:ascii="宋体" w:hAnsi="宋体" w:eastAsia="宋体" w:cs="黑体"/>
                <w:b/>
                <w:bCs/>
                <w:color w:val="auto"/>
                <w:sz w:val="32"/>
                <w:szCs w:val="32"/>
                <w:highlight w:val="none"/>
              </w:rPr>
            </w:pPr>
            <w:r>
              <w:rPr>
                <w:rFonts w:hint="eastAsia" w:ascii="宋体" w:hAnsi="宋体" w:eastAsia="宋体" w:cs="黑体"/>
                <w:b/>
                <w:bCs/>
                <w:color w:val="auto"/>
                <w:sz w:val="32"/>
                <w:szCs w:val="32"/>
                <w:highlight w:val="none"/>
              </w:rPr>
              <w:t>采购人：</w:t>
            </w:r>
          </w:p>
        </w:tc>
        <w:tc>
          <w:tcPr>
            <w:tcW w:w="5454" w:type="dxa"/>
            <w:noWrap w:val="0"/>
            <w:vAlign w:val="top"/>
          </w:tcPr>
          <w:p>
            <w:pPr>
              <w:rPr>
                <w:rFonts w:ascii="宋体" w:hAnsi="宋体" w:eastAsia="宋体" w:cs="黑体"/>
                <w:b/>
                <w:bCs/>
                <w:color w:val="auto"/>
                <w:sz w:val="32"/>
                <w:szCs w:val="32"/>
                <w:highlight w:val="none"/>
              </w:rPr>
            </w:pPr>
            <w:r>
              <w:rPr>
                <w:rFonts w:hint="eastAsia" w:ascii="宋体" w:hAnsi="宋体" w:eastAsia="宋体" w:cs="黑体"/>
                <w:b/>
                <w:bCs/>
                <w:color w:val="auto"/>
                <w:sz w:val="32"/>
                <w:szCs w:val="32"/>
                <w:highlight w:val="none"/>
              </w:rPr>
              <w:t>东南大学附属中大医院</w:t>
            </w:r>
          </w:p>
        </w:tc>
      </w:tr>
      <w:tr>
        <w:tblPrEx>
          <w:tblCellMar>
            <w:top w:w="0" w:type="dxa"/>
            <w:left w:w="108" w:type="dxa"/>
            <w:bottom w:w="0" w:type="dxa"/>
            <w:right w:w="108" w:type="dxa"/>
          </w:tblCellMar>
        </w:tblPrEx>
        <w:trPr>
          <w:jc w:val="center"/>
        </w:trPr>
        <w:tc>
          <w:tcPr>
            <w:tcW w:w="2348" w:type="dxa"/>
            <w:noWrap w:val="0"/>
            <w:vAlign w:val="top"/>
          </w:tcPr>
          <w:p>
            <w:pPr>
              <w:rPr>
                <w:rFonts w:hint="eastAsia" w:ascii="宋体" w:hAnsi="宋体" w:eastAsia="宋体" w:cs="黑体"/>
                <w:b/>
                <w:bCs/>
                <w:color w:val="auto"/>
                <w:sz w:val="32"/>
                <w:szCs w:val="32"/>
                <w:highlight w:val="none"/>
              </w:rPr>
            </w:pPr>
            <w:r>
              <w:rPr>
                <w:rFonts w:hint="eastAsia" w:ascii="宋体" w:hAnsi="宋体" w:eastAsia="宋体" w:cs="黑体"/>
                <w:b/>
                <w:bCs/>
                <w:color w:val="auto"/>
                <w:sz w:val="32"/>
                <w:szCs w:val="32"/>
                <w:highlight w:val="none"/>
              </w:rPr>
              <w:t>采购代理机构：</w:t>
            </w:r>
          </w:p>
        </w:tc>
        <w:tc>
          <w:tcPr>
            <w:tcW w:w="5454" w:type="dxa"/>
            <w:noWrap w:val="0"/>
            <w:vAlign w:val="top"/>
          </w:tcPr>
          <w:p>
            <w:pPr>
              <w:rPr>
                <w:rFonts w:hint="eastAsia" w:ascii="宋体" w:hAnsi="宋体" w:eastAsia="宋体" w:cs="黑体"/>
                <w:b/>
                <w:bCs/>
                <w:color w:val="auto"/>
                <w:sz w:val="32"/>
                <w:szCs w:val="32"/>
                <w:highlight w:val="none"/>
              </w:rPr>
            </w:pPr>
            <w:bookmarkStart w:id="2" w:name="EB467128df5f344d64af2c93ecdb42da19"/>
            <w:r>
              <w:rPr>
                <w:rFonts w:hint="eastAsia" w:ascii="宋体" w:hAnsi="宋体" w:eastAsia="宋体" w:cs="黑体"/>
                <w:b/>
                <w:bCs/>
                <w:color w:val="auto"/>
                <w:sz w:val="32"/>
                <w:szCs w:val="32"/>
                <w:highlight w:val="none"/>
              </w:rPr>
              <w:t>江苏弘业国际技术工程有限公司</w:t>
            </w:r>
            <w:bookmarkEnd w:id="2"/>
          </w:p>
        </w:tc>
      </w:tr>
      <w:tr>
        <w:tblPrEx>
          <w:tblCellMar>
            <w:top w:w="0" w:type="dxa"/>
            <w:left w:w="108" w:type="dxa"/>
            <w:bottom w:w="0" w:type="dxa"/>
            <w:right w:w="108" w:type="dxa"/>
          </w:tblCellMar>
        </w:tblPrEx>
        <w:trPr>
          <w:jc w:val="center"/>
        </w:trPr>
        <w:tc>
          <w:tcPr>
            <w:tcW w:w="2348" w:type="dxa"/>
            <w:noWrap w:val="0"/>
            <w:vAlign w:val="top"/>
          </w:tcPr>
          <w:p>
            <w:pPr>
              <w:rPr>
                <w:rFonts w:hint="eastAsia" w:ascii="宋体" w:hAnsi="宋体" w:eastAsia="宋体" w:cs="黑体"/>
                <w:b/>
                <w:bCs/>
                <w:color w:val="auto"/>
                <w:sz w:val="32"/>
                <w:szCs w:val="32"/>
                <w:highlight w:val="none"/>
              </w:rPr>
            </w:pPr>
            <w:r>
              <w:rPr>
                <w:rFonts w:hint="eastAsia" w:ascii="宋体" w:hAnsi="宋体" w:eastAsia="宋体" w:cs="黑体"/>
                <w:b/>
                <w:bCs/>
                <w:color w:val="auto"/>
                <w:sz w:val="32"/>
                <w:szCs w:val="32"/>
                <w:highlight w:val="none"/>
              </w:rPr>
              <w:t>日  期：</w:t>
            </w:r>
          </w:p>
        </w:tc>
        <w:tc>
          <w:tcPr>
            <w:tcW w:w="5454" w:type="dxa"/>
            <w:noWrap w:val="0"/>
            <w:vAlign w:val="top"/>
          </w:tcPr>
          <w:p>
            <w:pPr>
              <w:rPr>
                <w:rFonts w:hint="eastAsia" w:ascii="宋体" w:hAnsi="宋体" w:eastAsia="宋体" w:cs="黑体"/>
                <w:b/>
                <w:bCs/>
                <w:color w:val="auto"/>
                <w:sz w:val="32"/>
                <w:szCs w:val="32"/>
                <w:highlight w:val="none"/>
              </w:rPr>
            </w:pPr>
            <w:r>
              <w:rPr>
                <w:rFonts w:hint="eastAsia" w:ascii="宋体" w:hAnsi="宋体" w:eastAsia="宋体" w:cs="黑体"/>
                <w:b/>
                <w:bCs/>
                <w:color w:val="auto"/>
                <w:sz w:val="32"/>
                <w:szCs w:val="32"/>
                <w:highlight w:val="none"/>
              </w:rPr>
              <w:t>202</w:t>
            </w:r>
            <w:r>
              <w:rPr>
                <w:rFonts w:hint="eastAsia" w:ascii="宋体" w:hAnsi="宋体" w:eastAsia="宋体" w:cs="黑体"/>
                <w:b/>
                <w:bCs/>
                <w:color w:val="auto"/>
                <w:sz w:val="32"/>
                <w:szCs w:val="32"/>
                <w:highlight w:val="none"/>
                <w:lang w:val="en-US" w:eastAsia="zh-CN"/>
              </w:rPr>
              <w:t>4</w:t>
            </w:r>
            <w:r>
              <w:rPr>
                <w:rFonts w:hint="eastAsia" w:ascii="宋体" w:hAnsi="宋体" w:eastAsia="宋体" w:cs="黑体"/>
                <w:b/>
                <w:bCs/>
                <w:color w:val="auto"/>
                <w:sz w:val="32"/>
                <w:szCs w:val="32"/>
                <w:highlight w:val="none"/>
              </w:rPr>
              <w:t>年</w:t>
            </w:r>
            <w:r>
              <w:rPr>
                <w:rFonts w:hint="eastAsia" w:ascii="宋体" w:hAnsi="宋体" w:eastAsia="宋体" w:cs="黑体"/>
                <w:b/>
                <w:bCs/>
                <w:color w:val="auto"/>
                <w:sz w:val="32"/>
                <w:szCs w:val="32"/>
                <w:highlight w:val="none"/>
                <w:lang w:val="en-US" w:eastAsia="zh-CN"/>
              </w:rPr>
              <w:t>1</w:t>
            </w:r>
            <w:r>
              <w:rPr>
                <w:rFonts w:hint="eastAsia" w:ascii="宋体" w:hAnsi="宋体" w:eastAsia="宋体" w:cs="黑体"/>
                <w:b/>
                <w:bCs/>
                <w:color w:val="auto"/>
                <w:sz w:val="32"/>
                <w:szCs w:val="32"/>
                <w:highlight w:val="none"/>
              </w:rPr>
              <w:t>月</w:t>
            </w:r>
          </w:p>
        </w:tc>
      </w:tr>
    </w:tbl>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bookmarkStart w:id="3" w:name="EB06f4f849a067447382c5c19bd1747a07"/>
      <w:r>
        <w:rPr>
          <w:rFonts w:hint="eastAsia" w:ascii="宋体" w:hAnsi="宋体"/>
          <w:color w:val="auto"/>
          <w:sz w:val="20"/>
          <w:highlight w:val="none"/>
        </w:rPr>
        <w:t xml:space="preserve"> </w:t>
      </w:r>
      <w:bookmarkEnd w:id="3"/>
    </w:p>
    <w:p>
      <w:pPr>
        <w:rPr>
          <w:rFonts w:hint="eastAsia" w:ascii="宋体" w:hAnsi="宋体"/>
          <w:color w:val="auto"/>
          <w:sz w:val="24"/>
          <w:szCs w:val="24"/>
          <w:highlight w:val="none"/>
        </w:rPr>
      </w:pPr>
      <w:bookmarkStart w:id="4" w:name="EB8d9f95f968a24eedaa25409f8fd39929"/>
      <w:r>
        <w:rPr>
          <w:rFonts w:hint="eastAsia" w:ascii="宋体" w:hAnsi="宋体"/>
          <w:color w:val="auto"/>
          <w:sz w:val="24"/>
          <w:szCs w:val="24"/>
          <w:highlight w:val="none"/>
        </w:rPr>
        <w:t xml:space="preserve"> </w:t>
      </w:r>
      <w:bookmarkEnd w:id="4"/>
    </w:p>
    <w:p>
      <w:pPr>
        <w:rPr>
          <w:rFonts w:hint="eastAsia" w:ascii="宋体" w:hAnsi="宋体"/>
          <w:color w:val="auto"/>
          <w:sz w:val="24"/>
          <w:szCs w:val="24"/>
          <w:highlight w:val="none"/>
        </w:rPr>
      </w:pPr>
    </w:p>
    <w:p>
      <w:pPr>
        <w:rPr>
          <w:rFonts w:hint="eastAsia" w:ascii="宋体" w:hAnsi="宋体"/>
          <w:color w:val="auto"/>
          <w:sz w:val="24"/>
          <w:szCs w:val="24"/>
          <w:highlight w:val="none"/>
        </w:rPr>
      </w:pPr>
    </w:p>
    <w:p>
      <w:pPr>
        <w:pStyle w:val="2"/>
        <w:rPr>
          <w:rFonts w:hint="eastAsia" w:ascii="宋体" w:hAnsi="宋体" w:eastAsia="宋体"/>
          <w:color w:val="auto"/>
          <w:highlight w:val="none"/>
        </w:rPr>
      </w:pPr>
    </w:p>
    <w:p>
      <w:pPr>
        <w:pStyle w:val="2"/>
        <w:rPr>
          <w:rFonts w:hint="eastAsia" w:ascii="宋体" w:hAnsi="宋体" w:eastAsia="宋体"/>
          <w:color w:val="auto"/>
          <w:highlight w:val="none"/>
        </w:rPr>
      </w:pPr>
    </w:p>
    <w:p>
      <w:pPr>
        <w:jc w:val="center"/>
        <w:rPr>
          <w:rFonts w:hint="eastAsia" w:ascii="宋体" w:hAnsi="宋体"/>
          <w:color w:val="auto"/>
          <w:highlight w:val="none"/>
        </w:rPr>
      </w:pPr>
      <w:r>
        <w:rPr>
          <w:rFonts w:ascii="宋体" w:hAnsi="宋体"/>
          <w:b/>
          <w:bCs/>
          <w:color w:val="auto"/>
          <w:sz w:val="24"/>
          <w:szCs w:val="28"/>
          <w:highlight w:val="none"/>
        </w:rPr>
        <w:t>目录</w:t>
      </w:r>
    </w:p>
    <w:p>
      <w:pPr>
        <w:pStyle w:val="85"/>
        <w:tabs>
          <w:tab w:val="right" w:leader="dot" w:pos="8844"/>
        </w:tabs>
        <w:spacing w:line="44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TOC \o "1-2" \h \u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HYPERLINK \l _Toc14268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t>第一部分  招标公告</w:t>
      </w:r>
      <w:r>
        <w:rPr>
          <w:rFonts w:hint="eastAsia" w:ascii="宋体" w:hAnsi="宋体" w:cs="宋体"/>
          <w:b/>
          <w:color w:val="auto"/>
          <w:sz w:val="24"/>
          <w:szCs w:val="24"/>
          <w:highlight w:val="none"/>
        </w:rPr>
        <w:tab/>
      </w: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PAGEREF _Toc14268 \h </w:instrText>
      </w:r>
      <w:r>
        <w:rPr>
          <w:rFonts w:hint="eastAsia" w:ascii="宋体" w:hAnsi="宋体" w:cs="宋体"/>
          <w:b/>
          <w:color w:val="auto"/>
          <w:sz w:val="24"/>
          <w:szCs w:val="24"/>
          <w:highlight w:val="none"/>
        </w:rPr>
        <w:fldChar w:fldCharType="separate"/>
      </w:r>
      <w:r>
        <w:rPr>
          <w:rFonts w:ascii="宋体" w:hAnsi="宋体" w:cs="宋体"/>
          <w:b/>
          <w:color w:val="auto"/>
          <w:sz w:val="24"/>
          <w:szCs w:val="24"/>
          <w:highlight w:val="none"/>
        </w:rPr>
        <w:t>3</w:t>
      </w:r>
      <w:r>
        <w:rPr>
          <w:rFonts w:hint="eastAsia" w:ascii="宋体" w:hAnsi="宋体" w:cs="宋体"/>
          <w:b/>
          <w:color w:val="auto"/>
          <w:sz w:val="24"/>
          <w:szCs w:val="24"/>
          <w:highlight w:val="none"/>
        </w:rPr>
        <w:fldChar w:fldCharType="end"/>
      </w:r>
      <w:r>
        <w:rPr>
          <w:rFonts w:hint="eastAsia" w:ascii="宋体" w:hAnsi="宋体" w:cs="宋体"/>
          <w:b/>
          <w:color w:val="auto"/>
          <w:sz w:val="24"/>
          <w:szCs w:val="24"/>
          <w:highlight w:val="none"/>
        </w:rPr>
        <w:fldChar w:fldCharType="end"/>
      </w:r>
    </w:p>
    <w:p>
      <w:pPr>
        <w:pStyle w:val="85"/>
        <w:tabs>
          <w:tab w:val="right" w:leader="dot" w:pos="8844"/>
        </w:tabs>
        <w:spacing w:line="44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HYPERLINK \l _Toc1881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t>第二部分  投标人须知</w:t>
      </w:r>
      <w:r>
        <w:rPr>
          <w:rFonts w:hint="eastAsia" w:ascii="宋体" w:hAnsi="宋体" w:cs="宋体"/>
          <w:b/>
          <w:color w:val="auto"/>
          <w:sz w:val="24"/>
          <w:szCs w:val="24"/>
          <w:highlight w:val="none"/>
        </w:rPr>
        <w:tab/>
      </w:r>
      <w:r>
        <w:rPr>
          <w:rFonts w:hint="eastAsia" w:ascii="宋体" w:hAnsi="宋体" w:cs="宋体"/>
          <w:b/>
          <w:color w:val="auto"/>
          <w:sz w:val="24"/>
          <w:szCs w:val="24"/>
          <w:highlight w:val="none"/>
          <w:lang w:val="en-US" w:eastAsia="zh-CN"/>
        </w:rPr>
        <w:t>6</w:t>
      </w:r>
      <w:r>
        <w:rPr>
          <w:rFonts w:hint="eastAsia" w:ascii="宋体" w:hAnsi="宋体" w:cs="宋体"/>
          <w:b/>
          <w:color w:val="auto"/>
          <w:sz w:val="24"/>
          <w:szCs w:val="24"/>
          <w:highlight w:val="none"/>
        </w:rPr>
        <w:fldChar w:fldCharType="end"/>
      </w:r>
    </w:p>
    <w:p>
      <w:pPr>
        <w:pStyle w:val="85"/>
        <w:tabs>
          <w:tab w:val="right" w:leader="dot" w:pos="8844"/>
        </w:tabs>
        <w:spacing w:line="44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HYPERLINK \l _Toc22015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t>第三部分  资格审查及评标办法</w:t>
      </w:r>
      <w:r>
        <w:rPr>
          <w:rFonts w:hint="eastAsia" w:ascii="宋体" w:hAnsi="宋体" w:cs="宋体"/>
          <w:b/>
          <w:color w:val="auto"/>
          <w:sz w:val="24"/>
          <w:szCs w:val="24"/>
          <w:highlight w:val="none"/>
        </w:rPr>
        <w:tab/>
      </w: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PAGEREF _Toc22015 \h </w:instrText>
      </w:r>
      <w:r>
        <w:rPr>
          <w:rFonts w:hint="eastAsia" w:ascii="宋体" w:hAnsi="宋体" w:cs="宋体"/>
          <w:b/>
          <w:color w:val="auto"/>
          <w:sz w:val="24"/>
          <w:szCs w:val="24"/>
          <w:highlight w:val="none"/>
        </w:rPr>
        <w:fldChar w:fldCharType="separate"/>
      </w:r>
      <w:r>
        <w:rPr>
          <w:rFonts w:ascii="宋体" w:hAnsi="宋体" w:cs="宋体"/>
          <w:b/>
          <w:color w:val="auto"/>
          <w:sz w:val="24"/>
          <w:szCs w:val="24"/>
          <w:highlight w:val="none"/>
        </w:rPr>
        <w:t>2</w:t>
      </w:r>
      <w:r>
        <w:rPr>
          <w:rFonts w:hint="eastAsia" w:ascii="宋体" w:hAnsi="宋体" w:cs="宋体"/>
          <w:b/>
          <w:color w:val="auto"/>
          <w:sz w:val="24"/>
          <w:szCs w:val="24"/>
          <w:highlight w:val="none"/>
          <w:lang w:val="en-US" w:eastAsia="zh-CN"/>
        </w:rPr>
        <w:t>2</w:t>
      </w:r>
      <w:r>
        <w:rPr>
          <w:rFonts w:hint="eastAsia" w:ascii="宋体" w:hAnsi="宋体" w:cs="宋体"/>
          <w:b/>
          <w:color w:val="auto"/>
          <w:sz w:val="24"/>
          <w:szCs w:val="24"/>
          <w:highlight w:val="none"/>
        </w:rPr>
        <w:fldChar w:fldCharType="end"/>
      </w:r>
      <w:r>
        <w:rPr>
          <w:rFonts w:hint="eastAsia" w:ascii="宋体" w:hAnsi="宋体" w:cs="宋体"/>
          <w:b/>
          <w:color w:val="auto"/>
          <w:sz w:val="24"/>
          <w:szCs w:val="24"/>
          <w:highlight w:val="none"/>
        </w:rPr>
        <w:fldChar w:fldCharType="end"/>
      </w:r>
    </w:p>
    <w:p>
      <w:pPr>
        <w:pStyle w:val="85"/>
        <w:tabs>
          <w:tab w:val="right" w:leader="dot" w:pos="8844"/>
        </w:tabs>
        <w:spacing w:line="440" w:lineRule="exact"/>
        <w:rPr>
          <w:rFonts w:hint="eastAsia" w:ascii="宋体" w:hAnsi="宋体" w:eastAsia="宋体" w:cs="宋体"/>
          <w:color w:val="auto"/>
          <w:sz w:val="24"/>
          <w:szCs w:val="24"/>
          <w:highlight w:val="none"/>
          <w:lang w:val="en-US" w:eastAsia="zh-CN"/>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HYPERLINK \l _Toc1505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t>第四部分  采购需求</w:t>
      </w:r>
      <w:r>
        <w:rPr>
          <w:rFonts w:hint="eastAsia" w:ascii="宋体" w:hAnsi="宋体" w:cs="宋体"/>
          <w:b/>
          <w:color w:val="auto"/>
          <w:sz w:val="24"/>
          <w:szCs w:val="24"/>
          <w:highlight w:val="none"/>
        </w:rPr>
        <w:tab/>
      </w:r>
      <w:r>
        <w:rPr>
          <w:rFonts w:hint="eastAsia" w:ascii="宋体" w:hAnsi="宋体" w:cs="宋体"/>
          <w:b/>
          <w:color w:val="auto"/>
          <w:sz w:val="24"/>
          <w:szCs w:val="24"/>
          <w:highlight w:val="none"/>
          <w:lang w:val="en-US" w:eastAsia="zh-CN"/>
        </w:rPr>
        <w:t>2</w:t>
      </w:r>
      <w:r>
        <w:rPr>
          <w:rFonts w:hint="eastAsia" w:ascii="宋体" w:hAnsi="宋体" w:cs="宋体"/>
          <w:b/>
          <w:color w:val="auto"/>
          <w:sz w:val="24"/>
          <w:szCs w:val="24"/>
          <w:highlight w:val="none"/>
        </w:rPr>
        <w:fldChar w:fldCharType="end"/>
      </w:r>
      <w:r>
        <w:rPr>
          <w:rFonts w:hint="eastAsia" w:ascii="宋体" w:hAnsi="宋体" w:cs="宋体"/>
          <w:b/>
          <w:color w:val="auto"/>
          <w:sz w:val="24"/>
          <w:szCs w:val="24"/>
          <w:highlight w:val="none"/>
          <w:lang w:val="en-US" w:eastAsia="zh-CN"/>
        </w:rPr>
        <w:t>7</w:t>
      </w:r>
    </w:p>
    <w:p>
      <w:pPr>
        <w:pStyle w:val="85"/>
        <w:tabs>
          <w:tab w:val="right" w:leader="dot" w:pos="8844"/>
        </w:tabs>
        <w:spacing w:line="44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HYPERLINK \l _Toc9306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t>第五部分  合同格式及条款</w:t>
      </w:r>
      <w:r>
        <w:rPr>
          <w:rFonts w:hint="eastAsia" w:ascii="宋体" w:hAnsi="宋体" w:cs="宋体"/>
          <w:b/>
          <w:color w:val="auto"/>
          <w:sz w:val="24"/>
          <w:szCs w:val="24"/>
          <w:highlight w:val="none"/>
        </w:rPr>
        <w:tab/>
      </w:r>
      <w:r>
        <w:rPr>
          <w:rFonts w:hint="eastAsia" w:ascii="宋体" w:hAnsi="宋体" w:cs="宋体"/>
          <w:b/>
          <w:color w:val="auto"/>
          <w:sz w:val="24"/>
          <w:szCs w:val="24"/>
          <w:highlight w:val="none"/>
          <w:lang w:val="en-US" w:eastAsia="zh-CN"/>
        </w:rPr>
        <w:t>4</w:t>
      </w:r>
      <w:r>
        <w:rPr>
          <w:rFonts w:hint="eastAsia" w:ascii="宋体" w:hAnsi="宋体" w:cs="宋体"/>
          <w:b/>
          <w:color w:val="auto"/>
          <w:sz w:val="24"/>
          <w:szCs w:val="24"/>
          <w:highlight w:val="none"/>
        </w:rPr>
        <w:fldChar w:fldCharType="end"/>
      </w:r>
      <w:r>
        <w:rPr>
          <w:rFonts w:hint="eastAsia" w:ascii="宋体" w:hAnsi="宋体" w:cs="宋体"/>
          <w:b/>
          <w:color w:val="auto"/>
          <w:sz w:val="24"/>
          <w:szCs w:val="24"/>
          <w:highlight w:val="none"/>
          <w:lang w:val="en-US" w:eastAsia="zh-CN"/>
        </w:rPr>
        <w:t>5</w:t>
      </w:r>
    </w:p>
    <w:p>
      <w:pPr>
        <w:pStyle w:val="85"/>
        <w:tabs>
          <w:tab w:val="right" w:leader="dot" w:pos="8844"/>
        </w:tabs>
        <w:spacing w:line="440" w:lineRule="exact"/>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 HYPERLINK \l _Toc12366 </w:instrText>
      </w:r>
      <w:r>
        <w:rPr>
          <w:rFonts w:hint="eastAsia" w:ascii="宋体" w:hAnsi="宋体" w:cs="宋体"/>
          <w:b/>
          <w:color w:val="auto"/>
          <w:sz w:val="24"/>
          <w:szCs w:val="24"/>
          <w:highlight w:val="none"/>
        </w:rPr>
        <w:fldChar w:fldCharType="separate"/>
      </w:r>
      <w:r>
        <w:rPr>
          <w:rFonts w:hint="eastAsia" w:ascii="宋体" w:hAnsi="宋体" w:cs="宋体"/>
          <w:b/>
          <w:color w:val="auto"/>
          <w:sz w:val="24"/>
          <w:szCs w:val="24"/>
          <w:highlight w:val="none"/>
        </w:rPr>
        <w:t>第六部分  投标文件格式</w:t>
      </w:r>
      <w:r>
        <w:rPr>
          <w:rFonts w:hint="eastAsia" w:ascii="宋体" w:hAnsi="宋体" w:cs="宋体"/>
          <w:b/>
          <w:color w:val="auto"/>
          <w:sz w:val="24"/>
          <w:szCs w:val="24"/>
          <w:highlight w:val="none"/>
        </w:rPr>
        <w:tab/>
      </w:r>
      <w:r>
        <w:rPr>
          <w:rFonts w:hint="eastAsia" w:ascii="宋体" w:hAnsi="宋体" w:cs="宋体"/>
          <w:b/>
          <w:color w:val="auto"/>
          <w:sz w:val="24"/>
          <w:szCs w:val="24"/>
          <w:highlight w:val="none"/>
          <w:lang w:val="en-US" w:eastAsia="zh-CN"/>
        </w:rPr>
        <w:t>49</w:t>
      </w:r>
      <w:r>
        <w:rPr>
          <w:rFonts w:hint="eastAsia" w:ascii="宋体" w:hAnsi="宋体" w:cs="宋体"/>
          <w:b/>
          <w:color w:val="auto"/>
          <w:sz w:val="24"/>
          <w:szCs w:val="24"/>
          <w:highlight w:val="none"/>
        </w:rPr>
        <w:fldChar w:fldCharType="end"/>
      </w:r>
    </w:p>
    <w:p>
      <w:pPr>
        <w:pStyle w:val="86"/>
        <w:tabs>
          <w:tab w:val="right" w:leader="dot" w:pos="8844"/>
        </w:tabs>
        <w:spacing w:line="440" w:lineRule="exact"/>
        <w:ind w:left="420"/>
        <w:rPr>
          <w:rFonts w:hint="eastAsia" w:ascii="宋体" w:hAnsi="宋体" w:cs="宋体"/>
          <w:color w:val="auto"/>
          <w:sz w:val="24"/>
          <w:szCs w:val="24"/>
          <w:highlight w:val="none"/>
        </w:rPr>
      </w:pPr>
    </w:p>
    <w:p>
      <w:pPr>
        <w:keepNext/>
        <w:keepLines/>
        <w:pageBreakBefore/>
        <w:jc w:val="center"/>
        <w:rPr>
          <w:rFonts w:ascii="宋体" w:hAnsi="宋体"/>
          <w:b/>
          <w:color w:val="auto"/>
          <w:sz w:val="32"/>
          <w:highlight w:val="none"/>
        </w:rPr>
      </w:pPr>
      <w:r>
        <w:rPr>
          <w:rFonts w:hint="eastAsia" w:ascii="宋体" w:hAnsi="宋体" w:cs="宋体"/>
          <w:b/>
          <w:color w:val="auto"/>
          <w:sz w:val="24"/>
          <w:szCs w:val="24"/>
          <w:highlight w:val="none"/>
        </w:rPr>
        <w:fldChar w:fldCharType="end"/>
      </w:r>
      <w:bookmarkStart w:id="5" w:name="_Toc14268"/>
      <w:bookmarkStart w:id="6" w:name="_Toc514054470"/>
      <w:r>
        <w:rPr>
          <w:rFonts w:hint="eastAsia" w:ascii="宋体" w:hAnsi="宋体"/>
          <w:b/>
          <w:color w:val="auto"/>
          <w:sz w:val="44"/>
          <w:szCs w:val="44"/>
          <w:highlight w:val="none"/>
        </w:rPr>
        <w:t>第一部分  招标公告</w:t>
      </w:r>
      <w:bookmarkEnd w:id="5"/>
      <w:bookmarkEnd w:id="6"/>
    </w:p>
    <w:tbl>
      <w:tblPr>
        <w:tblStyle w:val="63"/>
        <w:tblW w:w="9125" w:type="dxa"/>
        <w:tblInd w:w="3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37" w:hRule="atLeast"/>
        </w:trPr>
        <w:tc>
          <w:tcPr>
            <w:tcW w:w="9125" w:type="dxa"/>
            <w:noWrap w:val="0"/>
            <w:vAlign w:val="top"/>
          </w:tcPr>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东南大学附属中大医院</w:t>
            </w:r>
            <w:r>
              <w:rPr>
                <w:rFonts w:hint="eastAsia" w:ascii="宋体" w:hAnsi="宋体" w:cs="宋体"/>
                <w:color w:val="auto"/>
                <w:sz w:val="24"/>
                <w:szCs w:val="24"/>
                <w:highlight w:val="none"/>
                <w:lang w:eastAsia="zh-CN"/>
              </w:rPr>
              <w:t>门诊排队叫号系统采购项目</w:t>
            </w:r>
            <w:r>
              <w:rPr>
                <w:rFonts w:hint="eastAsia" w:ascii="宋体" w:hAnsi="宋体" w:eastAsia="宋体" w:cs="宋体"/>
                <w:color w:val="auto"/>
                <w:sz w:val="24"/>
                <w:szCs w:val="24"/>
                <w:highlight w:val="none"/>
              </w:rPr>
              <w:t>的潜在投标人应在南京市中华路50号弘业大厦</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楼</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008室获取招标文件，并于202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23</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rPr>
              <w:t>点</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分（北京时间）前递交投标文件。</w:t>
            </w:r>
          </w:p>
        </w:tc>
      </w:tr>
    </w:tbl>
    <w:p>
      <w:pPr>
        <w:pStyle w:val="87"/>
        <w:tabs>
          <w:tab w:val="left" w:pos="1134"/>
        </w:tabs>
        <w:spacing w:line="312" w:lineRule="auto"/>
        <w:ind w:firstLine="240" w:firstLineChars="100"/>
        <w:outlineLvl w:val="1"/>
        <w:rPr>
          <w:rFonts w:hint="eastAsia" w:ascii="宋体" w:hAnsi="宋体" w:cs="宋体"/>
          <w:color w:val="auto"/>
          <w:sz w:val="24"/>
          <w:szCs w:val="24"/>
          <w:highlight w:val="none"/>
        </w:rPr>
      </w:pPr>
      <w:bookmarkStart w:id="7" w:name="_Toc2298"/>
      <w:r>
        <w:rPr>
          <w:rFonts w:hint="eastAsia" w:ascii="宋体" w:hAnsi="宋体" w:cs="宋体"/>
          <w:color w:val="auto"/>
          <w:sz w:val="24"/>
          <w:szCs w:val="24"/>
          <w:highlight w:val="none"/>
        </w:rPr>
        <w:t>一、项目基本情况</w:t>
      </w:r>
      <w:bookmarkEnd w:id="7"/>
      <w:r>
        <w:rPr>
          <w:rFonts w:hint="eastAsia" w:ascii="宋体" w:hAnsi="宋体" w:cs="宋体"/>
          <w:color w:val="auto"/>
          <w:sz w:val="24"/>
          <w:szCs w:val="24"/>
          <w:highlight w:val="none"/>
        </w:rPr>
        <w:t xml:space="preserve">  </w:t>
      </w:r>
    </w:p>
    <w:p>
      <w:pPr>
        <w:pStyle w:val="87"/>
        <w:tabs>
          <w:tab w:val="left" w:pos="1134"/>
        </w:tabs>
        <w:spacing w:line="312" w:lineRule="auto"/>
        <w:ind w:left="1134" w:leftChars="540" w:firstLine="0" w:firstLineChars="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项目编号：</w:t>
      </w:r>
      <w:r>
        <w:rPr>
          <w:rFonts w:hint="eastAsia" w:ascii="宋体" w:hAnsi="宋体" w:cs="宋体"/>
          <w:color w:val="auto"/>
          <w:sz w:val="24"/>
          <w:szCs w:val="24"/>
          <w:highlight w:val="none"/>
          <w:lang w:eastAsia="zh-CN"/>
        </w:rPr>
        <w:t>1009-2441HOLLY01F</w:t>
      </w:r>
    </w:p>
    <w:p>
      <w:pPr>
        <w:pStyle w:val="87"/>
        <w:tabs>
          <w:tab w:val="left" w:pos="1134"/>
        </w:tabs>
        <w:spacing w:line="312" w:lineRule="auto"/>
        <w:ind w:left="1134" w:leftChars="540" w:firstLine="0" w:firstLineChars="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lang w:eastAsia="zh-CN"/>
        </w:rPr>
        <w:t>东南大学附属中大医院门诊排队叫号系统采购项目</w:t>
      </w:r>
    </w:p>
    <w:tbl>
      <w:tblPr>
        <w:tblStyle w:val="63"/>
        <w:tblpPr w:leftFromText="180" w:rightFromText="180" w:vertAnchor="text" w:horzAnchor="page" w:tblpX="1782" w:tblpY="157"/>
        <w:tblOverlap w:val="never"/>
        <w:tblW w:w="88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2726"/>
        <w:gridCol w:w="776"/>
        <w:gridCol w:w="1560"/>
        <w:gridCol w:w="1392"/>
        <w:gridCol w:w="14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864" w:type="dxa"/>
            <w:noWrap w:val="0"/>
            <w:vAlign w:val="center"/>
          </w:tcPr>
          <w:p>
            <w:pPr>
              <w:pStyle w:val="87"/>
              <w:tabs>
                <w:tab w:val="left" w:pos="1276"/>
              </w:tabs>
              <w:spacing w:line="312" w:lineRule="auto"/>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包号</w:t>
            </w:r>
          </w:p>
        </w:tc>
        <w:tc>
          <w:tcPr>
            <w:tcW w:w="2726" w:type="dxa"/>
            <w:noWrap w:val="0"/>
            <w:vAlign w:val="center"/>
          </w:tcPr>
          <w:p>
            <w:pPr>
              <w:pStyle w:val="87"/>
              <w:tabs>
                <w:tab w:val="left" w:pos="1276"/>
              </w:tabs>
              <w:spacing w:line="312" w:lineRule="auto"/>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名称</w:t>
            </w:r>
          </w:p>
        </w:tc>
        <w:tc>
          <w:tcPr>
            <w:tcW w:w="776" w:type="dxa"/>
            <w:noWrap w:val="0"/>
            <w:vAlign w:val="center"/>
          </w:tcPr>
          <w:p>
            <w:pPr>
              <w:pStyle w:val="87"/>
              <w:tabs>
                <w:tab w:val="left" w:pos="1276"/>
              </w:tabs>
              <w:spacing w:line="312" w:lineRule="auto"/>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数量</w:t>
            </w:r>
          </w:p>
        </w:tc>
        <w:tc>
          <w:tcPr>
            <w:tcW w:w="1560" w:type="dxa"/>
            <w:noWrap w:val="0"/>
            <w:vAlign w:val="center"/>
          </w:tcPr>
          <w:p>
            <w:pPr>
              <w:pStyle w:val="87"/>
              <w:tabs>
                <w:tab w:val="left" w:pos="1276"/>
              </w:tabs>
              <w:spacing w:line="312" w:lineRule="auto"/>
              <w:ind w:firstLine="0" w:firstLineChars="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预算（万元）</w:t>
            </w:r>
          </w:p>
        </w:tc>
        <w:tc>
          <w:tcPr>
            <w:tcW w:w="1392" w:type="dxa"/>
            <w:noWrap w:val="0"/>
            <w:vAlign w:val="center"/>
          </w:tcPr>
          <w:p>
            <w:pPr>
              <w:pStyle w:val="87"/>
              <w:tabs>
                <w:tab w:val="left" w:pos="1276"/>
              </w:tabs>
              <w:spacing w:line="312" w:lineRule="auto"/>
              <w:ind w:firstLine="0" w:firstLineChars="0"/>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最高限价</w:t>
            </w:r>
            <w:r>
              <w:rPr>
                <w:rFonts w:hint="eastAsia" w:ascii="宋体" w:hAnsi="宋体" w:cs="宋体"/>
                <w:color w:val="auto"/>
                <w:sz w:val="24"/>
                <w:szCs w:val="24"/>
                <w:highlight w:val="none"/>
              </w:rPr>
              <w:t>（万元）</w:t>
            </w:r>
          </w:p>
        </w:tc>
        <w:tc>
          <w:tcPr>
            <w:tcW w:w="1488" w:type="dxa"/>
            <w:noWrap w:val="0"/>
            <w:vAlign w:val="center"/>
          </w:tcPr>
          <w:p>
            <w:pPr>
              <w:pStyle w:val="87"/>
              <w:tabs>
                <w:tab w:val="left" w:pos="1276"/>
              </w:tabs>
              <w:spacing w:line="312" w:lineRule="auto"/>
              <w:ind w:firstLine="0" w:firstLineChars="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是否接受进口产品投标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864" w:type="dxa"/>
            <w:noWrap w:val="0"/>
            <w:vAlign w:val="center"/>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1</w:t>
            </w:r>
          </w:p>
        </w:tc>
        <w:tc>
          <w:tcPr>
            <w:tcW w:w="2726" w:type="dxa"/>
            <w:noWrap w:val="0"/>
            <w:vAlign w:val="center"/>
          </w:tcPr>
          <w:p>
            <w:pPr>
              <w:widowControl/>
              <w:jc w:val="center"/>
              <w:textAlignment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门诊排队叫号系统</w:t>
            </w:r>
          </w:p>
        </w:tc>
        <w:tc>
          <w:tcPr>
            <w:tcW w:w="776" w:type="dxa"/>
            <w:noWrap w:val="0"/>
            <w:vAlign w:val="center"/>
          </w:tcPr>
          <w:p>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1套</w:t>
            </w:r>
          </w:p>
        </w:tc>
        <w:tc>
          <w:tcPr>
            <w:tcW w:w="1560" w:type="dxa"/>
            <w:noWrap w:val="0"/>
            <w:vAlign w:val="center"/>
          </w:tcPr>
          <w:p>
            <w:pPr>
              <w:widowControl/>
              <w:jc w:val="center"/>
              <w:textAlignment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300</w:t>
            </w:r>
          </w:p>
        </w:tc>
        <w:tc>
          <w:tcPr>
            <w:tcW w:w="1392" w:type="dxa"/>
            <w:noWrap w:val="0"/>
            <w:vAlign w:val="center"/>
          </w:tcPr>
          <w:p>
            <w:pPr>
              <w:widowControl/>
              <w:jc w:val="center"/>
              <w:textAlignment w:val="center"/>
              <w:rPr>
                <w:rFonts w:hint="default"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205</w:t>
            </w:r>
          </w:p>
        </w:tc>
        <w:tc>
          <w:tcPr>
            <w:tcW w:w="1488" w:type="dxa"/>
            <w:noWrap w:val="0"/>
            <w:vAlign w:val="center"/>
          </w:tcPr>
          <w:p>
            <w:pPr>
              <w:widowControl/>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是</w:t>
            </w:r>
          </w:p>
        </w:tc>
      </w:tr>
    </w:tbl>
    <w:p>
      <w:pPr>
        <w:spacing w:line="329" w:lineRule="auto"/>
        <w:ind w:left="709"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采购需求：详见采购文件。</w:t>
      </w:r>
    </w:p>
    <w:p>
      <w:pPr>
        <w:pStyle w:val="2"/>
        <w:spacing w:line="329" w:lineRule="auto"/>
        <w:ind w:left="709"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合同履行期限：详见采购文件。 </w:t>
      </w:r>
    </w:p>
    <w:p>
      <w:pPr>
        <w:spacing w:line="329" w:lineRule="auto"/>
        <w:ind w:left="709"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本项目不接受联合体投标。</w:t>
      </w:r>
    </w:p>
    <w:p>
      <w:pPr>
        <w:pStyle w:val="87"/>
        <w:tabs>
          <w:tab w:val="left" w:pos="1134"/>
        </w:tabs>
        <w:spacing w:line="312" w:lineRule="auto"/>
        <w:ind w:left="567" w:firstLine="0" w:firstLineChars="0"/>
        <w:outlineLvl w:val="1"/>
        <w:rPr>
          <w:rFonts w:hint="eastAsia" w:ascii="宋体" w:hAnsi="宋体" w:cs="宋体"/>
          <w:color w:val="auto"/>
          <w:sz w:val="24"/>
          <w:szCs w:val="24"/>
          <w:highlight w:val="none"/>
        </w:rPr>
      </w:pPr>
      <w:bookmarkStart w:id="8" w:name="_Toc3038"/>
      <w:r>
        <w:rPr>
          <w:rFonts w:hint="eastAsia" w:ascii="宋体" w:hAnsi="宋体" w:cs="宋体"/>
          <w:color w:val="auto"/>
          <w:sz w:val="24"/>
          <w:szCs w:val="24"/>
          <w:highlight w:val="none"/>
        </w:rPr>
        <w:t>二、申请人的资格要求：</w:t>
      </w:r>
      <w:bookmarkEnd w:id="8"/>
    </w:p>
    <w:p>
      <w:pPr>
        <w:pStyle w:val="88"/>
        <w:spacing w:line="329" w:lineRule="auto"/>
        <w:ind w:left="709" w:firstLine="0"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1.满足《中华人民共和国政府采购法》第二十二条规定；</w:t>
      </w:r>
    </w:p>
    <w:p>
      <w:pPr>
        <w:spacing w:line="329" w:lineRule="auto"/>
        <w:ind w:left="1134"/>
        <w:rPr>
          <w:rFonts w:hint="eastAsia" w:ascii="宋体" w:hAnsi="宋体" w:cs="宋体"/>
          <w:color w:val="auto"/>
          <w:sz w:val="24"/>
          <w:szCs w:val="24"/>
          <w:highlight w:val="none"/>
        </w:rPr>
      </w:pPr>
      <w:r>
        <w:rPr>
          <w:rFonts w:hint="eastAsia" w:ascii="宋体" w:hAnsi="宋体" w:cs="宋体"/>
          <w:color w:val="auto"/>
          <w:sz w:val="24"/>
          <w:szCs w:val="24"/>
          <w:highlight w:val="none"/>
        </w:rPr>
        <w:t>（1）具有独立承担民事责任的能力（提供法人或者其他组织的营业执照；供应商为自然人的，提供其身份证）；</w:t>
      </w:r>
    </w:p>
    <w:p>
      <w:pPr>
        <w:spacing w:line="329" w:lineRule="auto"/>
        <w:ind w:left="1134"/>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2</w:t>
      </w:r>
      <w:r>
        <w:rPr>
          <w:rFonts w:hint="eastAsia" w:ascii="宋体" w:hAnsi="宋体" w:cs="宋体"/>
          <w:color w:val="auto"/>
          <w:sz w:val="24"/>
          <w:szCs w:val="24"/>
          <w:highlight w:val="none"/>
        </w:rPr>
        <w:t>）具有良好的商业信誉和健全的财务会计制度</w:t>
      </w:r>
      <w:r>
        <w:rPr>
          <w:rFonts w:hint="eastAsia" w:ascii="宋体" w:hAnsi="宋体" w:cs="宋体"/>
          <w:b/>
          <w:bCs/>
          <w:color w:val="auto"/>
          <w:sz w:val="24"/>
          <w:szCs w:val="24"/>
          <w:highlight w:val="none"/>
        </w:rPr>
        <w:t>（提供2</w:t>
      </w:r>
      <w:r>
        <w:rPr>
          <w:rFonts w:ascii="宋体" w:hAnsi="宋体" w:cs="宋体"/>
          <w:b/>
          <w:bCs/>
          <w:color w:val="auto"/>
          <w:sz w:val="24"/>
          <w:szCs w:val="24"/>
          <w:highlight w:val="none"/>
        </w:rPr>
        <w:t>022</w:t>
      </w:r>
      <w:r>
        <w:rPr>
          <w:rFonts w:hint="eastAsia" w:ascii="宋体" w:hAnsi="宋体" w:cs="宋体"/>
          <w:b/>
          <w:bCs/>
          <w:color w:val="auto"/>
          <w:sz w:val="24"/>
          <w:szCs w:val="24"/>
          <w:highlight w:val="none"/>
        </w:rPr>
        <w:t>年度</w:t>
      </w:r>
      <w:r>
        <w:rPr>
          <w:rFonts w:hint="eastAsia" w:ascii="宋体" w:hAnsi="宋体" w:cs="宋体"/>
          <w:b/>
          <w:bCs/>
          <w:color w:val="auto"/>
          <w:sz w:val="24"/>
          <w:szCs w:val="24"/>
          <w:highlight w:val="none"/>
          <w:lang w:val="en-US" w:eastAsia="zh-CN"/>
        </w:rPr>
        <w:t>或2023年度</w:t>
      </w:r>
      <w:r>
        <w:rPr>
          <w:rFonts w:hint="eastAsia" w:ascii="宋体" w:hAnsi="宋体" w:cs="宋体"/>
          <w:b/>
          <w:bCs/>
          <w:color w:val="auto"/>
          <w:sz w:val="24"/>
          <w:szCs w:val="24"/>
          <w:highlight w:val="none"/>
        </w:rPr>
        <w:t>财务报告，至少包含资产负债表、利润表，或投标截止时间前六个月内银行出具的资信证明，或财政部门认可的政府采购专业担保机构出具的投标担保函</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成立不满一年无须提供</w:t>
      </w:r>
      <w:r>
        <w:rPr>
          <w:rFonts w:hint="eastAsia" w:ascii="宋体" w:hAnsi="宋体" w:cs="宋体"/>
          <w:b/>
          <w:bCs/>
          <w:color w:val="auto"/>
          <w:sz w:val="24"/>
          <w:szCs w:val="24"/>
          <w:highlight w:val="none"/>
        </w:rPr>
        <w:t>）；</w:t>
      </w:r>
    </w:p>
    <w:p>
      <w:pPr>
        <w:spacing w:line="329" w:lineRule="auto"/>
        <w:ind w:left="1134"/>
        <w:rPr>
          <w:rFonts w:hint="eastAsia" w:ascii="宋体" w:hAnsi="宋体" w:cs="宋体"/>
          <w:color w:val="auto"/>
          <w:sz w:val="24"/>
          <w:szCs w:val="24"/>
          <w:highlight w:val="none"/>
        </w:rPr>
      </w:pPr>
      <w:r>
        <w:rPr>
          <w:rFonts w:hint="eastAsia" w:ascii="宋体" w:hAnsi="宋体" w:cs="宋体"/>
          <w:color w:val="auto"/>
          <w:sz w:val="24"/>
          <w:szCs w:val="24"/>
          <w:highlight w:val="none"/>
        </w:rPr>
        <w:t>（3）具有履行合同所必需的设备和专业技术能力</w:t>
      </w:r>
      <w:r>
        <w:rPr>
          <w:rFonts w:hint="eastAsia" w:ascii="宋体" w:hAnsi="宋体" w:cs="宋体"/>
          <w:b/>
          <w:bCs/>
          <w:color w:val="auto"/>
          <w:sz w:val="24"/>
          <w:szCs w:val="24"/>
          <w:highlight w:val="none"/>
        </w:rPr>
        <w:t>（供应商根据履行采购项目合同需要，提供履行合同所必需的设备和专业技术能力的声明函或证明材料）；</w:t>
      </w:r>
    </w:p>
    <w:p>
      <w:pPr>
        <w:spacing w:line="329" w:lineRule="auto"/>
        <w:ind w:left="1134"/>
        <w:rPr>
          <w:rFonts w:hint="eastAsia" w:ascii="宋体" w:hAnsi="宋体" w:cs="宋体"/>
          <w:b/>
          <w:bCs/>
          <w:color w:val="auto"/>
          <w:sz w:val="24"/>
          <w:szCs w:val="24"/>
          <w:highlight w:val="none"/>
        </w:rPr>
      </w:pPr>
      <w:r>
        <w:rPr>
          <w:rFonts w:hint="eastAsia" w:ascii="宋体" w:hAnsi="宋体" w:cs="宋体"/>
          <w:color w:val="auto"/>
          <w:sz w:val="24"/>
          <w:szCs w:val="24"/>
          <w:highlight w:val="none"/>
        </w:rPr>
        <w:t>（4）有依法缴纳税收和社会保障资金的良好记录（提供</w:t>
      </w:r>
      <w:r>
        <w:rPr>
          <w:rFonts w:hint="eastAsia" w:ascii="宋体" w:hAnsi="宋体" w:cs="宋体"/>
          <w:color w:val="auto"/>
          <w:sz w:val="24"/>
          <w:szCs w:val="24"/>
          <w:highlight w:val="none"/>
          <w:lang w:eastAsia="zh-CN"/>
        </w:rPr>
        <w:t>2023年1</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rPr>
        <w:t>至今）中任一月份的依法缴纳税收和社会保险费的相关材料</w:t>
      </w:r>
      <w:r>
        <w:rPr>
          <w:rFonts w:hint="eastAsia" w:ascii="宋体" w:hAnsi="宋体" w:cs="宋体"/>
          <w:b/>
          <w:bCs/>
          <w:color w:val="auto"/>
          <w:sz w:val="24"/>
          <w:szCs w:val="24"/>
          <w:highlight w:val="none"/>
        </w:rPr>
        <w:t>（提供相关主管部门证明或银行代扣证明的复印件，根据国家相关政策免缴或迟缴的需提供相关证明材料）</w:t>
      </w:r>
    </w:p>
    <w:p>
      <w:pPr>
        <w:spacing w:line="329" w:lineRule="auto"/>
        <w:ind w:left="1134"/>
        <w:rPr>
          <w:rFonts w:hint="eastAsia" w:ascii="宋体" w:hAnsi="宋体" w:cs="宋体"/>
          <w:color w:val="auto"/>
          <w:sz w:val="24"/>
          <w:szCs w:val="24"/>
          <w:highlight w:val="none"/>
        </w:rPr>
      </w:pPr>
      <w:r>
        <w:rPr>
          <w:rFonts w:hint="eastAsia" w:ascii="宋体" w:hAnsi="宋体" w:cs="宋体"/>
          <w:color w:val="auto"/>
          <w:sz w:val="24"/>
          <w:szCs w:val="24"/>
          <w:highlight w:val="none"/>
        </w:rPr>
        <w:t>（5）参加政府采购活动前三年内，在经营活动中没有重大违法记录（提供承诺书）；</w:t>
      </w:r>
    </w:p>
    <w:p>
      <w:pPr>
        <w:spacing w:line="329" w:lineRule="auto"/>
        <w:ind w:left="1134"/>
        <w:rPr>
          <w:rFonts w:hint="eastAsia" w:ascii="宋体" w:hAnsi="宋体" w:cs="宋体"/>
          <w:color w:val="auto"/>
          <w:sz w:val="24"/>
          <w:szCs w:val="24"/>
          <w:highlight w:val="none"/>
        </w:rPr>
      </w:pPr>
      <w:r>
        <w:rPr>
          <w:rFonts w:hint="eastAsia" w:ascii="宋体" w:hAnsi="宋体" w:cs="宋体"/>
          <w:color w:val="auto"/>
          <w:sz w:val="24"/>
          <w:szCs w:val="24"/>
          <w:highlight w:val="none"/>
        </w:rPr>
        <w:t>（6）法律、行政法规规定的其他条件：无</w:t>
      </w:r>
    </w:p>
    <w:p>
      <w:pPr>
        <w:spacing w:line="329" w:lineRule="auto"/>
        <w:ind w:firstLine="720" w:firstLineChars="3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2.落实政府采购政策满足的资格要求： </w:t>
      </w:r>
    </w:p>
    <w:p>
      <w:pPr>
        <w:pStyle w:val="2"/>
        <w:spacing w:before="1" w:line="406" w:lineRule="auto"/>
        <w:ind w:left="478" w:right="47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p>
    <w:p>
      <w:pPr>
        <w:pStyle w:val="88"/>
        <w:spacing w:line="329" w:lineRule="auto"/>
        <w:ind w:left="709" w:firstLine="0"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3.本项目的特定资格要求：</w:t>
      </w:r>
    </w:p>
    <w:p>
      <w:pPr>
        <w:pStyle w:val="88"/>
        <w:numPr>
          <w:ilvl w:val="0"/>
          <w:numId w:val="5"/>
        </w:numPr>
        <w:spacing w:line="329" w:lineRule="auto"/>
        <w:ind w:left="1896" w:leftChars="0" w:hanging="426" w:firstLineChars="0"/>
        <w:rPr>
          <w:rFonts w:hint="eastAsia" w:ascii="宋体" w:hAnsi="宋体" w:cs="宋体"/>
          <w:bCs/>
          <w:color w:val="auto"/>
          <w:sz w:val="24"/>
          <w:szCs w:val="24"/>
          <w:highlight w:val="none"/>
        </w:rPr>
      </w:pPr>
      <w:r>
        <w:rPr>
          <w:rFonts w:hint="eastAsia" w:ascii="宋体" w:hAnsi="宋体" w:cs="宋体"/>
          <w:bCs/>
          <w:color w:val="auto"/>
          <w:sz w:val="24"/>
          <w:szCs w:val="24"/>
          <w:highlight w:val="none"/>
        </w:rPr>
        <w:t>拒绝被“信用中国”（www.creditchina.gov.cn）、“中国政府采购网”(www.ccgp.gov.cn）列入失信被执行人、重大税收违法案件当事人、政府采购严重失信行为的供应商参加投标。</w:t>
      </w:r>
    </w:p>
    <w:p>
      <w:pPr>
        <w:pStyle w:val="88"/>
        <w:numPr>
          <w:ilvl w:val="0"/>
          <w:numId w:val="5"/>
        </w:numPr>
        <w:spacing w:line="329" w:lineRule="auto"/>
        <w:ind w:left="1896" w:leftChars="0" w:hanging="426"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其它：</w:t>
      </w:r>
    </w:p>
    <w:p>
      <w:pPr>
        <w:numPr>
          <w:ilvl w:val="0"/>
          <w:numId w:val="6"/>
        </w:num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投标货物若为进口设备，投标人须提供</w:t>
      </w:r>
      <w:r>
        <w:rPr>
          <w:rFonts w:hint="eastAsia" w:ascii="宋体" w:hAnsi="宋体" w:cs="宋体"/>
          <w:bCs/>
          <w:color w:val="auto"/>
          <w:sz w:val="24"/>
          <w:szCs w:val="24"/>
          <w:highlight w:val="none"/>
        </w:rPr>
        <w:t>代理商/经销商证书</w:t>
      </w:r>
      <w:r>
        <w:rPr>
          <w:rFonts w:hint="eastAsia" w:ascii="宋体" w:hAnsi="宋体" w:cs="宋体"/>
          <w:color w:val="auto"/>
          <w:sz w:val="24"/>
          <w:szCs w:val="24"/>
          <w:highlight w:val="none"/>
        </w:rPr>
        <w:t>（代理授权书复印件，原件备查）或</w:t>
      </w:r>
      <w:r>
        <w:rPr>
          <w:rFonts w:hint="eastAsia" w:ascii="宋体" w:hAnsi="宋体" w:cs="宋体"/>
          <w:bCs/>
          <w:color w:val="auto"/>
          <w:sz w:val="24"/>
          <w:szCs w:val="24"/>
          <w:highlight w:val="none"/>
        </w:rPr>
        <w:t>制造商专项授权书（原件）；</w:t>
      </w:r>
    </w:p>
    <w:p>
      <w:pPr>
        <w:numPr>
          <w:ilvl w:val="0"/>
          <w:numId w:val="6"/>
        </w:num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投标产品按国家规定须医疗器械注册证的，投标人须提供投标产品的《医疗器械注册证》（复印件加盖公章）；</w:t>
      </w:r>
    </w:p>
    <w:p>
      <w:pPr>
        <w:numPr>
          <w:ilvl w:val="0"/>
          <w:numId w:val="6"/>
        </w:num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投标人为医疗器械经营企业的，须根据投标产品的类别，提供投标人的《医疗器械经营许可证》或者《二类医疗器械经营备案凭证》（复印件加盖公章）；</w:t>
      </w:r>
    </w:p>
    <w:p>
      <w:pPr>
        <w:numPr>
          <w:ilvl w:val="0"/>
          <w:numId w:val="6"/>
        </w:num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医疗器械生产企业投标本企业产品的，须提供《医疗器械生产许可证》（复印件加盖公章）；</w:t>
      </w:r>
    </w:p>
    <w:p>
      <w:pPr>
        <w:numPr>
          <w:ilvl w:val="0"/>
          <w:numId w:val="6"/>
        </w:num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投标产品按国家规定须进行3C强制认证的，投标人须提供3C证书（复印件加盖公章）。</w:t>
      </w:r>
    </w:p>
    <w:p>
      <w:pPr>
        <w:pStyle w:val="88"/>
        <w:spacing w:line="329" w:lineRule="auto"/>
        <w:ind w:left="709" w:firstLine="0" w:firstLineChars="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注：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pPr>
        <w:pStyle w:val="88"/>
        <w:spacing w:line="329" w:lineRule="auto"/>
        <w:ind w:left="709" w:firstLine="0" w:firstLineChars="0"/>
        <w:outlineLvl w:val="1"/>
        <w:rPr>
          <w:rFonts w:hint="eastAsia" w:ascii="宋体" w:hAnsi="宋体" w:cs="宋体"/>
          <w:color w:val="auto"/>
          <w:sz w:val="24"/>
          <w:szCs w:val="24"/>
          <w:highlight w:val="none"/>
        </w:rPr>
      </w:pPr>
      <w:bookmarkStart w:id="9" w:name="_Toc26697"/>
      <w:r>
        <w:rPr>
          <w:rFonts w:hint="eastAsia" w:ascii="宋体" w:hAnsi="宋体" w:cs="宋体"/>
          <w:color w:val="auto"/>
          <w:sz w:val="24"/>
          <w:szCs w:val="24"/>
          <w:highlight w:val="none"/>
        </w:rPr>
        <w:t>三、获取招标文件</w:t>
      </w:r>
      <w:bookmarkEnd w:id="9"/>
    </w:p>
    <w:p>
      <w:pPr>
        <w:pStyle w:val="88"/>
        <w:spacing w:line="329" w:lineRule="auto"/>
        <w:ind w:left="840" w:firstLineChars="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时间：自2</w:t>
      </w:r>
      <w:r>
        <w:rPr>
          <w:rFonts w:ascii="宋体" w:hAnsi="宋体" w:cs="宋体"/>
          <w:color w:val="auto"/>
          <w:sz w:val="24"/>
          <w:szCs w:val="24"/>
          <w:highlight w:val="none"/>
        </w:rPr>
        <w:t>02</w:t>
      </w:r>
      <w:r>
        <w:rPr>
          <w:rFonts w:hint="eastAsia" w:ascii="宋体" w:hAnsi="宋体" w:cs="宋体"/>
          <w:color w:val="auto"/>
          <w:sz w:val="24"/>
          <w:szCs w:val="24"/>
          <w:highlight w:val="none"/>
          <w:lang w:val="en-US" w:eastAsia="zh-CN"/>
        </w:rPr>
        <w:t>4年2</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日起至2</w:t>
      </w:r>
      <w:r>
        <w:rPr>
          <w:rFonts w:ascii="宋体" w:hAnsi="宋体" w:cs="宋体"/>
          <w:color w:val="auto"/>
          <w:sz w:val="24"/>
          <w:szCs w:val="24"/>
          <w:highlight w:val="none"/>
        </w:rPr>
        <w:t>02</w:t>
      </w:r>
      <w:r>
        <w:rPr>
          <w:rFonts w:hint="eastAsia" w:ascii="宋体" w:hAnsi="宋体" w:cs="宋体"/>
          <w:color w:val="auto"/>
          <w:sz w:val="24"/>
          <w:szCs w:val="24"/>
          <w:highlight w:val="none"/>
          <w:lang w:val="en-US" w:eastAsia="zh-CN"/>
        </w:rPr>
        <w:t>4年2</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日，每天上午9：00至12:00，下午14:00至17:00（北京时间，法定节假日除外）</w:t>
      </w:r>
    </w:p>
    <w:p>
      <w:pPr>
        <w:pStyle w:val="88"/>
        <w:spacing w:line="329" w:lineRule="auto"/>
        <w:ind w:left="840" w:firstLineChars="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地点：南京市中华路50号弘业大厦</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楼</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08室</w:t>
      </w:r>
    </w:p>
    <w:p>
      <w:pPr>
        <w:pStyle w:val="88"/>
        <w:spacing w:line="329" w:lineRule="auto"/>
        <w:ind w:left="840" w:firstLineChars="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方式：</w:t>
      </w:r>
    </w:p>
    <w:p>
      <w:pPr>
        <w:widowControl/>
        <w:spacing w:line="360" w:lineRule="auto"/>
        <w:ind w:left="718" w:leftChars="342"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1、关注微信公众号：Hollyitc（江苏弘业国际技术工程有限公司）选择招标服务；</w:t>
      </w:r>
    </w:p>
    <w:p>
      <w:pPr>
        <w:widowControl/>
        <w:spacing w:line="360" w:lineRule="auto"/>
        <w:ind w:left="718" w:leftChars="342"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2、选择项目填写正确的信息；</w:t>
      </w:r>
    </w:p>
    <w:p>
      <w:pPr>
        <w:widowControl/>
        <w:spacing w:line="360" w:lineRule="auto"/>
        <w:ind w:left="718" w:leftChars="342"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3、须上传以下材料：</w:t>
      </w:r>
    </w:p>
    <w:p>
      <w:pPr>
        <w:widowControl/>
        <w:spacing w:line="360" w:lineRule="auto"/>
        <w:ind w:left="718" w:leftChars="342"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①法定代表人身份证(复印件)或者具有法定代表人签名的法定代表人授权书（原件）及被授权人的身份证（复印件），加盖公章；</w:t>
      </w:r>
    </w:p>
    <w:p>
      <w:pPr>
        <w:widowControl/>
        <w:spacing w:line="360" w:lineRule="auto"/>
        <w:ind w:left="718" w:leftChars="342" w:firstLine="480" w:firstLineChars="200"/>
        <w:rPr>
          <w:rFonts w:hint="eastAsia" w:ascii="宋体" w:hAnsi="宋体" w:cs="宋体"/>
          <w:color w:val="auto"/>
          <w:kern w:val="0"/>
          <w:sz w:val="24"/>
          <w:szCs w:val="24"/>
          <w:highlight w:val="none"/>
        </w:rPr>
      </w:pPr>
      <w:r>
        <w:rPr>
          <w:rFonts w:hint="eastAsia" w:ascii="宋体" w:hAnsi="宋体" w:cs="宋体"/>
          <w:color w:val="auto"/>
          <w:sz w:val="24"/>
          <w:szCs w:val="24"/>
          <w:highlight w:val="none"/>
        </w:rPr>
        <w:t>4、支付标书费：</w:t>
      </w:r>
      <w:r>
        <w:rPr>
          <w:rFonts w:hint="eastAsia" w:ascii="宋体" w:hAnsi="宋体" w:cs="宋体"/>
          <w:color w:val="auto"/>
          <w:kern w:val="0"/>
          <w:sz w:val="24"/>
          <w:szCs w:val="24"/>
          <w:highlight w:val="none"/>
        </w:rPr>
        <w:t>500元/份</w:t>
      </w:r>
    </w:p>
    <w:p>
      <w:pPr>
        <w:widowControl/>
        <w:spacing w:line="360" w:lineRule="auto"/>
        <w:ind w:left="718" w:leftChars="342"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以上资料经后台审核通过后发送招标文件，未按要求获取文件导致无法参与的，后果自负。</w:t>
      </w:r>
    </w:p>
    <w:p>
      <w:pPr>
        <w:pStyle w:val="87"/>
        <w:tabs>
          <w:tab w:val="left" w:pos="1134"/>
        </w:tabs>
        <w:spacing w:line="360" w:lineRule="exact"/>
        <w:ind w:left="709" w:firstLine="0" w:firstLineChars="0"/>
        <w:outlineLvl w:val="1"/>
        <w:rPr>
          <w:rFonts w:hint="eastAsia" w:ascii="宋体" w:hAnsi="宋体" w:cs="宋体"/>
          <w:color w:val="auto"/>
          <w:sz w:val="24"/>
          <w:szCs w:val="24"/>
          <w:highlight w:val="none"/>
        </w:rPr>
      </w:pPr>
      <w:bookmarkStart w:id="10" w:name="_Toc2291"/>
      <w:r>
        <w:rPr>
          <w:rFonts w:hint="eastAsia" w:ascii="宋体" w:hAnsi="宋体" w:cs="宋体"/>
          <w:color w:val="auto"/>
          <w:sz w:val="24"/>
          <w:szCs w:val="24"/>
          <w:highlight w:val="none"/>
        </w:rPr>
        <w:t>四、提交投标文件截止时间、开标时间和地点</w:t>
      </w:r>
      <w:bookmarkEnd w:id="10"/>
    </w:p>
    <w:p>
      <w:pPr>
        <w:pStyle w:val="87"/>
        <w:tabs>
          <w:tab w:val="left" w:pos="1134"/>
        </w:tabs>
        <w:spacing w:line="312" w:lineRule="auto"/>
        <w:ind w:left="1134" w:firstLine="0"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23</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rPr>
        <w:t>点</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分</w:t>
      </w:r>
    </w:p>
    <w:p>
      <w:pPr>
        <w:pStyle w:val="87"/>
        <w:tabs>
          <w:tab w:val="left" w:pos="1134"/>
        </w:tabs>
        <w:spacing w:line="312" w:lineRule="auto"/>
        <w:ind w:left="1134" w:firstLine="0" w:firstLineChars="0"/>
        <w:rPr>
          <w:rFonts w:hint="eastAsia" w:ascii="宋体" w:hAnsi="宋体" w:cs="宋体"/>
          <w:color w:val="auto"/>
          <w:sz w:val="24"/>
          <w:szCs w:val="24"/>
          <w:highlight w:val="none"/>
        </w:rPr>
      </w:pPr>
      <w:r>
        <w:rPr>
          <w:rFonts w:hint="eastAsia" w:ascii="宋体" w:hAnsi="宋体" w:cs="宋体"/>
          <w:color w:val="auto"/>
          <w:sz w:val="24"/>
          <w:szCs w:val="24"/>
          <w:highlight w:val="none"/>
        </w:rPr>
        <w:t>地点：南京市中华路50号弘业大厦1楼开标大厅。</w:t>
      </w:r>
    </w:p>
    <w:p>
      <w:pPr>
        <w:pStyle w:val="87"/>
        <w:tabs>
          <w:tab w:val="left" w:pos="1134"/>
        </w:tabs>
        <w:spacing w:line="312" w:lineRule="auto"/>
        <w:ind w:left="708" w:firstLine="0" w:firstLineChars="0"/>
        <w:outlineLvl w:val="1"/>
        <w:rPr>
          <w:rFonts w:hint="eastAsia" w:ascii="宋体" w:hAnsi="宋体" w:cs="宋体"/>
          <w:color w:val="auto"/>
          <w:sz w:val="24"/>
          <w:szCs w:val="24"/>
          <w:highlight w:val="none"/>
        </w:rPr>
      </w:pPr>
      <w:bookmarkStart w:id="11" w:name="_Toc5544"/>
      <w:r>
        <w:rPr>
          <w:rFonts w:hint="eastAsia" w:ascii="宋体" w:hAnsi="宋体" w:cs="宋体"/>
          <w:color w:val="auto"/>
          <w:sz w:val="24"/>
          <w:szCs w:val="24"/>
          <w:highlight w:val="none"/>
        </w:rPr>
        <w:t>五、公告期限</w:t>
      </w:r>
      <w:bookmarkEnd w:id="11"/>
    </w:p>
    <w:p>
      <w:pPr>
        <w:pStyle w:val="87"/>
        <w:tabs>
          <w:tab w:val="left" w:pos="1276"/>
        </w:tabs>
        <w:spacing w:line="312" w:lineRule="auto"/>
        <w:ind w:firstLine="1200" w:firstLineChars="500"/>
        <w:rPr>
          <w:rFonts w:hint="eastAsia" w:ascii="宋体" w:hAnsi="宋体" w:cs="宋体"/>
          <w:color w:val="auto"/>
          <w:sz w:val="24"/>
          <w:szCs w:val="24"/>
          <w:highlight w:val="none"/>
        </w:rPr>
      </w:pPr>
      <w:r>
        <w:rPr>
          <w:rFonts w:hint="eastAsia" w:ascii="宋体" w:hAnsi="宋体" w:cs="宋体"/>
          <w:color w:val="auto"/>
          <w:sz w:val="24"/>
          <w:szCs w:val="24"/>
          <w:highlight w:val="none"/>
        </w:rPr>
        <w:t>自本公告发布之日起5个工作日。</w:t>
      </w:r>
    </w:p>
    <w:p>
      <w:pPr>
        <w:pStyle w:val="87"/>
        <w:tabs>
          <w:tab w:val="left" w:pos="1276"/>
        </w:tabs>
        <w:spacing w:line="312" w:lineRule="auto"/>
        <w:ind w:left="720" w:firstLine="0" w:firstLineChars="0"/>
        <w:outlineLvl w:val="1"/>
        <w:rPr>
          <w:rFonts w:hint="eastAsia" w:ascii="宋体" w:hAnsi="宋体" w:cs="宋体"/>
          <w:color w:val="auto"/>
          <w:sz w:val="24"/>
          <w:szCs w:val="24"/>
          <w:highlight w:val="none"/>
        </w:rPr>
      </w:pPr>
      <w:bookmarkStart w:id="12" w:name="_Toc12830"/>
      <w:r>
        <w:rPr>
          <w:rFonts w:hint="eastAsia" w:ascii="宋体" w:hAnsi="宋体" w:cs="宋体"/>
          <w:color w:val="auto"/>
          <w:sz w:val="24"/>
          <w:szCs w:val="24"/>
          <w:highlight w:val="none"/>
        </w:rPr>
        <w:t>六、其他补充事宜</w:t>
      </w:r>
      <w:bookmarkEnd w:id="12"/>
      <w:r>
        <w:rPr>
          <w:rFonts w:hint="eastAsia" w:ascii="宋体" w:hAnsi="宋体" w:cs="宋体"/>
          <w:color w:val="auto"/>
          <w:sz w:val="24"/>
          <w:szCs w:val="24"/>
          <w:highlight w:val="none"/>
        </w:rPr>
        <w:t>：无</w:t>
      </w:r>
    </w:p>
    <w:p>
      <w:pPr>
        <w:pStyle w:val="87"/>
        <w:numPr>
          <w:ilvl w:val="0"/>
          <w:numId w:val="7"/>
        </w:numPr>
        <w:tabs>
          <w:tab w:val="left" w:pos="1276"/>
        </w:tabs>
        <w:spacing w:line="312" w:lineRule="auto"/>
        <w:ind w:firstLine="720" w:firstLineChars="300"/>
        <w:outlineLvl w:val="1"/>
        <w:rPr>
          <w:rFonts w:hint="eastAsia" w:ascii="宋体" w:hAnsi="宋体" w:cs="宋体"/>
          <w:color w:val="auto"/>
          <w:sz w:val="24"/>
          <w:szCs w:val="24"/>
          <w:highlight w:val="none"/>
        </w:rPr>
      </w:pPr>
      <w:bookmarkStart w:id="13" w:name="_Toc10479"/>
      <w:r>
        <w:rPr>
          <w:rFonts w:hint="eastAsia" w:ascii="宋体" w:hAnsi="宋体" w:cs="宋体"/>
          <w:color w:val="auto"/>
          <w:sz w:val="24"/>
          <w:szCs w:val="24"/>
          <w:highlight w:val="none"/>
        </w:rPr>
        <w:t>对本次招标提出询问，请按以下方式联系。</w:t>
      </w:r>
      <w:bookmarkEnd w:id="13"/>
    </w:p>
    <w:p>
      <w:pPr>
        <w:pStyle w:val="87"/>
        <w:tabs>
          <w:tab w:val="left" w:pos="1276"/>
        </w:tabs>
        <w:spacing w:line="360" w:lineRule="auto"/>
        <w:ind w:firstLine="1200" w:firstLineChars="500"/>
        <w:rPr>
          <w:rFonts w:hint="eastAsia" w:ascii="宋体" w:hAnsi="宋体" w:cs="宋体"/>
          <w:color w:val="auto"/>
          <w:sz w:val="24"/>
          <w:szCs w:val="24"/>
          <w:highlight w:val="none"/>
        </w:rPr>
      </w:pPr>
      <w:r>
        <w:rPr>
          <w:rFonts w:hint="eastAsia" w:ascii="宋体" w:hAnsi="宋体" w:cs="宋体"/>
          <w:color w:val="auto"/>
          <w:sz w:val="24"/>
          <w:szCs w:val="24"/>
          <w:highlight w:val="none"/>
        </w:rPr>
        <w:t>1.采购人信息</w:t>
      </w:r>
    </w:p>
    <w:p>
      <w:pPr>
        <w:pStyle w:val="87"/>
        <w:tabs>
          <w:tab w:val="left" w:pos="1276"/>
        </w:tabs>
        <w:spacing w:line="360" w:lineRule="auto"/>
        <w:ind w:firstLine="1200" w:firstLineChars="5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名称：东南大学附属中大医院        </w:t>
      </w:r>
    </w:p>
    <w:p>
      <w:pPr>
        <w:pStyle w:val="87"/>
        <w:tabs>
          <w:tab w:val="left" w:pos="1276"/>
        </w:tabs>
        <w:spacing w:line="360" w:lineRule="auto"/>
        <w:ind w:firstLine="1200" w:firstLineChars="500"/>
        <w:rPr>
          <w:rFonts w:hint="eastAsia" w:ascii="宋体" w:hAnsi="宋体" w:cs="宋体"/>
          <w:color w:val="auto"/>
          <w:kern w:val="0"/>
          <w:sz w:val="24"/>
          <w:szCs w:val="24"/>
          <w:highlight w:val="none"/>
        </w:rPr>
      </w:pPr>
      <w:r>
        <w:rPr>
          <w:rFonts w:hint="eastAsia" w:ascii="宋体" w:hAnsi="宋体" w:cs="宋体"/>
          <w:color w:val="auto"/>
          <w:sz w:val="24"/>
          <w:szCs w:val="24"/>
          <w:highlight w:val="none"/>
        </w:rPr>
        <w:t>地址：</w:t>
      </w:r>
      <w:r>
        <w:rPr>
          <w:rFonts w:hint="eastAsia" w:ascii="宋体" w:hAnsi="宋体"/>
          <w:color w:val="auto"/>
          <w:sz w:val="24"/>
          <w:szCs w:val="24"/>
          <w:highlight w:val="none"/>
        </w:rPr>
        <w:t>南京市丁家桥87号</w:t>
      </w:r>
      <w:r>
        <w:rPr>
          <w:rFonts w:hint="eastAsia" w:ascii="宋体" w:hAnsi="宋体" w:cs="宋体"/>
          <w:color w:val="auto"/>
          <w:kern w:val="0"/>
          <w:sz w:val="24"/>
          <w:szCs w:val="24"/>
          <w:highlight w:val="none"/>
        </w:rPr>
        <w:t xml:space="preserve"> </w:t>
      </w:r>
    </w:p>
    <w:p>
      <w:pPr>
        <w:pStyle w:val="2"/>
        <w:spacing w:line="360" w:lineRule="auto"/>
        <w:ind w:left="840"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联系方式：</w:t>
      </w:r>
      <w:r>
        <w:rPr>
          <w:rFonts w:hint="eastAsia" w:ascii="宋体" w:hAnsi="宋体" w:eastAsia="宋体" w:cs="宋体"/>
          <w:color w:val="auto"/>
          <w:kern w:val="0"/>
          <w:sz w:val="24"/>
          <w:szCs w:val="24"/>
          <w:highlight w:val="none"/>
        </w:rPr>
        <w:t>025-83261737</w:t>
      </w:r>
    </w:p>
    <w:p>
      <w:pPr>
        <w:pStyle w:val="87"/>
        <w:tabs>
          <w:tab w:val="left" w:pos="1276"/>
        </w:tabs>
        <w:spacing w:line="360" w:lineRule="auto"/>
        <w:ind w:firstLine="1200" w:firstLineChars="500"/>
        <w:rPr>
          <w:rFonts w:hint="eastAsia" w:ascii="宋体" w:hAnsi="宋体" w:cs="宋体"/>
          <w:color w:val="auto"/>
          <w:sz w:val="24"/>
          <w:szCs w:val="24"/>
          <w:highlight w:val="none"/>
        </w:rPr>
      </w:pPr>
      <w:r>
        <w:rPr>
          <w:rFonts w:hint="eastAsia" w:ascii="宋体" w:hAnsi="宋体" w:cs="宋体"/>
          <w:color w:val="auto"/>
          <w:kern w:val="0"/>
          <w:sz w:val="24"/>
          <w:szCs w:val="24"/>
          <w:highlight w:val="none"/>
        </w:rPr>
        <w:t>2.采购</w:t>
      </w:r>
      <w:r>
        <w:rPr>
          <w:rFonts w:hint="eastAsia" w:ascii="宋体" w:hAnsi="宋体" w:cs="宋体"/>
          <w:color w:val="auto"/>
          <w:sz w:val="24"/>
          <w:szCs w:val="24"/>
          <w:highlight w:val="none"/>
        </w:rPr>
        <w:t>代理机构信息</w:t>
      </w:r>
    </w:p>
    <w:p>
      <w:pPr>
        <w:pStyle w:val="87"/>
        <w:tabs>
          <w:tab w:val="left" w:pos="1276"/>
        </w:tabs>
        <w:spacing w:line="360" w:lineRule="auto"/>
        <w:ind w:firstLine="1200" w:firstLineChars="5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名称：江苏弘业国际技术工程有限公司 </w:t>
      </w:r>
    </w:p>
    <w:p>
      <w:pPr>
        <w:pStyle w:val="87"/>
        <w:tabs>
          <w:tab w:val="left" w:pos="1276"/>
        </w:tabs>
        <w:spacing w:line="360" w:lineRule="auto"/>
        <w:ind w:firstLine="1200" w:firstLineChars="500"/>
        <w:rPr>
          <w:rFonts w:hint="eastAsia" w:ascii="宋体" w:hAnsi="宋体" w:cs="宋体"/>
          <w:color w:val="auto"/>
          <w:kern w:val="0"/>
          <w:sz w:val="24"/>
          <w:szCs w:val="24"/>
          <w:highlight w:val="none"/>
        </w:rPr>
      </w:pPr>
      <w:r>
        <w:rPr>
          <w:rFonts w:hint="eastAsia" w:ascii="宋体" w:hAnsi="宋体" w:cs="宋体"/>
          <w:color w:val="auto"/>
          <w:sz w:val="24"/>
          <w:szCs w:val="24"/>
          <w:highlight w:val="none"/>
        </w:rPr>
        <w:t>地址：南京市中华路50号弘业大厦</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楼</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08室</w:t>
      </w:r>
    </w:p>
    <w:p>
      <w:pPr>
        <w:pStyle w:val="87"/>
        <w:tabs>
          <w:tab w:val="left" w:pos="1276"/>
        </w:tabs>
        <w:spacing w:line="360" w:lineRule="auto"/>
        <w:ind w:firstLine="1200" w:firstLineChars="500"/>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rPr>
        <w:t>联系方式：025-52278</w:t>
      </w:r>
      <w:r>
        <w:rPr>
          <w:rFonts w:hint="eastAsia" w:ascii="宋体" w:hAnsi="宋体" w:cs="宋体"/>
          <w:color w:val="auto"/>
          <w:kern w:val="0"/>
          <w:sz w:val="24"/>
          <w:szCs w:val="24"/>
          <w:highlight w:val="none"/>
          <w:lang w:val="en-US" w:eastAsia="zh-CN"/>
        </w:rPr>
        <w:t>371</w:t>
      </w:r>
    </w:p>
    <w:p>
      <w:pPr>
        <w:pStyle w:val="87"/>
        <w:tabs>
          <w:tab w:val="left" w:pos="1276"/>
        </w:tabs>
        <w:spacing w:line="360" w:lineRule="auto"/>
        <w:ind w:firstLine="1200" w:firstLineChars="500"/>
        <w:rPr>
          <w:rFonts w:hint="eastAsia" w:ascii="宋体" w:hAnsi="宋体" w:cs="宋体"/>
          <w:color w:val="auto"/>
          <w:sz w:val="24"/>
          <w:szCs w:val="24"/>
          <w:highlight w:val="none"/>
        </w:rPr>
      </w:pPr>
      <w:r>
        <w:rPr>
          <w:rFonts w:hint="eastAsia" w:ascii="宋体" w:hAnsi="宋体" w:cs="宋体"/>
          <w:color w:val="auto"/>
          <w:sz w:val="24"/>
          <w:szCs w:val="24"/>
          <w:highlight w:val="none"/>
        </w:rPr>
        <w:t>传  真：025-52278761</w:t>
      </w:r>
    </w:p>
    <w:p>
      <w:pPr>
        <w:pStyle w:val="87"/>
        <w:tabs>
          <w:tab w:val="left" w:pos="1134"/>
        </w:tabs>
        <w:spacing w:line="360" w:lineRule="auto"/>
        <w:ind w:firstLine="1252" w:firstLineChars="522"/>
        <w:rPr>
          <w:rFonts w:hint="eastAsia" w:ascii="宋体" w:hAnsi="宋体" w:cs="宋体"/>
          <w:color w:val="auto"/>
          <w:sz w:val="24"/>
          <w:szCs w:val="24"/>
          <w:highlight w:val="none"/>
        </w:rPr>
      </w:pPr>
      <w:r>
        <w:rPr>
          <w:rFonts w:hint="eastAsia" w:ascii="宋体" w:hAnsi="宋体" w:cs="宋体"/>
          <w:color w:val="auto"/>
          <w:sz w:val="24"/>
          <w:szCs w:val="24"/>
          <w:highlight w:val="none"/>
        </w:rPr>
        <w:t>邮箱：</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"mailto:hollyzbzy@artall.com"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hollyzbzy@artall.com</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  </w:t>
      </w:r>
    </w:p>
    <w:p>
      <w:pPr>
        <w:pStyle w:val="87"/>
        <w:numPr>
          <w:ilvl w:val="0"/>
          <w:numId w:val="8"/>
        </w:numPr>
        <w:tabs>
          <w:tab w:val="left" w:pos="1134"/>
          <w:tab w:val="clear" w:pos="312"/>
        </w:tabs>
        <w:spacing w:line="360" w:lineRule="auto"/>
        <w:ind w:firstLine="1252" w:firstLineChars="522"/>
        <w:rPr>
          <w:rFonts w:hint="eastAsia" w:ascii="宋体" w:hAnsi="宋体" w:cs="宋体"/>
          <w:color w:val="auto"/>
          <w:sz w:val="24"/>
          <w:szCs w:val="24"/>
          <w:highlight w:val="none"/>
        </w:rPr>
      </w:pPr>
      <w:r>
        <w:rPr>
          <w:rFonts w:hint="eastAsia" w:ascii="宋体" w:hAnsi="宋体" w:cs="宋体"/>
          <w:color w:val="auto"/>
          <w:sz w:val="24"/>
          <w:szCs w:val="24"/>
          <w:highlight w:val="none"/>
        </w:rPr>
        <w:t>项目联系方式</w:t>
      </w:r>
    </w:p>
    <w:p>
      <w:pPr>
        <w:pStyle w:val="87"/>
        <w:tabs>
          <w:tab w:val="left" w:pos="1134"/>
        </w:tabs>
        <w:spacing w:line="360" w:lineRule="auto"/>
        <w:ind w:firstLine="1200" w:firstLineChars="5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项目联系人：宋瞰尘        </w:t>
      </w:r>
    </w:p>
    <w:p>
      <w:pPr>
        <w:pStyle w:val="87"/>
        <w:tabs>
          <w:tab w:val="left" w:pos="1134"/>
        </w:tabs>
        <w:spacing w:line="360" w:lineRule="auto"/>
        <w:ind w:firstLine="1200" w:firstLineChars="5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电话：</w:t>
      </w:r>
      <w:r>
        <w:rPr>
          <w:rFonts w:hint="eastAsia" w:ascii="宋体" w:hAnsi="宋体" w:cs="宋体"/>
          <w:color w:val="auto"/>
          <w:kern w:val="0"/>
          <w:sz w:val="24"/>
          <w:szCs w:val="24"/>
          <w:highlight w:val="none"/>
        </w:rPr>
        <w:t>025-52278</w:t>
      </w:r>
      <w:r>
        <w:rPr>
          <w:rFonts w:hint="eastAsia" w:ascii="宋体" w:hAnsi="宋体" w:cs="宋体"/>
          <w:color w:val="auto"/>
          <w:kern w:val="0"/>
          <w:sz w:val="24"/>
          <w:szCs w:val="24"/>
          <w:highlight w:val="none"/>
          <w:lang w:val="en-US" w:eastAsia="zh-CN"/>
        </w:rPr>
        <w:t>371</w:t>
      </w:r>
    </w:p>
    <w:p>
      <w:pPr>
        <w:pStyle w:val="57"/>
        <w:spacing w:before="0" w:beforeAutospacing="0" w:after="0" w:afterAutospacing="0" w:line="360" w:lineRule="auto"/>
        <w:ind w:firstLine="720" w:firstLineChars="300"/>
        <w:jc w:val="center"/>
        <w:outlineLvl w:val="1"/>
        <w:rPr>
          <w:rFonts w:hint="eastAsia" w:hAnsi="宋体" w:cs="宋体"/>
          <w:b/>
          <w:color w:val="auto"/>
          <w:szCs w:val="24"/>
          <w:highlight w:val="none"/>
        </w:rPr>
      </w:pPr>
      <w:r>
        <w:rPr>
          <w:rFonts w:hint="eastAsia" w:hAnsi="宋体" w:cs="宋体"/>
          <w:color w:val="auto"/>
          <w:szCs w:val="24"/>
          <w:highlight w:val="none"/>
        </w:rPr>
        <w:t xml:space="preserve">                                       </w:t>
      </w:r>
      <w:bookmarkStart w:id="14" w:name="_Toc25617"/>
      <w:r>
        <w:rPr>
          <w:rFonts w:hint="eastAsia" w:hAnsi="宋体" w:cs="宋体"/>
          <w:color w:val="auto"/>
          <w:szCs w:val="24"/>
          <w:highlight w:val="none"/>
        </w:rPr>
        <w:t>江苏弘业国际技术工程有限公司</w:t>
      </w:r>
      <w:bookmarkEnd w:id="14"/>
    </w:p>
    <w:p>
      <w:pPr>
        <w:jc w:val="center"/>
        <w:outlineLvl w:val="0"/>
        <w:rPr>
          <w:rFonts w:hint="eastAsia" w:ascii="宋体" w:hAnsi="宋体"/>
          <w:b/>
          <w:color w:val="auto"/>
          <w:sz w:val="44"/>
          <w:szCs w:val="44"/>
          <w:highlight w:val="none"/>
        </w:rPr>
      </w:pPr>
      <w:bookmarkStart w:id="15" w:name="_Toc1881"/>
      <w:r>
        <w:rPr>
          <w:rFonts w:hint="eastAsia" w:ascii="宋体" w:hAnsi="宋体"/>
          <w:b/>
          <w:color w:val="auto"/>
          <w:sz w:val="44"/>
          <w:szCs w:val="44"/>
          <w:highlight w:val="none"/>
        </w:rPr>
        <w:br w:type="page"/>
      </w:r>
      <w:r>
        <w:rPr>
          <w:rFonts w:hint="eastAsia" w:ascii="宋体" w:hAnsi="宋体"/>
          <w:b/>
          <w:color w:val="auto"/>
          <w:sz w:val="44"/>
          <w:szCs w:val="44"/>
          <w:highlight w:val="none"/>
        </w:rPr>
        <w:t>第二部分  投标人须知</w:t>
      </w:r>
      <w:bookmarkEnd w:id="15"/>
    </w:p>
    <w:p>
      <w:pPr>
        <w:pStyle w:val="4"/>
        <w:keepNext w:val="0"/>
        <w:keepLines w:val="0"/>
        <w:jc w:val="center"/>
        <w:rPr>
          <w:rFonts w:hint="eastAsia" w:ascii="宋体" w:hAnsi="宋体" w:eastAsia="宋体"/>
          <w:color w:val="auto"/>
          <w:highlight w:val="none"/>
        </w:rPr>
      </w:pPr>
      <w:bookmarkStart w:id="16" w:name="_Toc514054471"/>
      <w:bookmarkStart w:id="17" w:name="_Toc17705"/>
      <w:r>
        <w:rPr>
          <w:rFonts w:hint="eastAsia" w:ascii="宋体" w:hAnsi="宋体" w:eastAsia="宋体"/>
          <w:color w:val="auto"/>
          <w:highlight w:val="none"/>
        </w:rPr>
        <w:t>投标人须知前附表</w:t>
      </w:r>
      <w:bookmarkEnd w:id="16"/>
      <w:bookmarkEnd w:id="17"/>
    </w:p>
    <w:tbl>
      <w:tblPr>
        <w:tblStyle w:val="63"/>
        <w:tblW w:w="9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7"/>
        <w:gridCol w:w="2432"/>
        <w:gridCol w:w="6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007" w:type="dxa"/>
            <w:noWrap w:val="0"/>
            <w:vAlign w:val="center"/>
          </w:tcPr>
          <w:p>
            <w:pPr>
              <w:jc w:val="cente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序号</w:t>
            </w:r>
          </w:p>
        </w:tc>
        <w:tc>
          <w:tcPr>
            <w:tcW w:w="2432" w:type="dxa"/>
            <w:noWrap w:val="0"/>
            <w:vAlign w:val="center"/>
          </w:tcPr>
          <w:p>
            <w:pPr>
              <w:jc w:val="center"/>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内容</w:t>
            </w:r>
          </w:p>
        </w:tc>
        <w:tc>
          <w:tcPr>
            <w:tcW w:w="6080" w:type="dxa"/>
            <w:noWrap w:val="0"/>
            <w:vAlign w:val="center"/>
          </w:tcPr>
          <w:p>
            <w:pPr>
              <w:jc w:val="cente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说明及要求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1007"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432"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特别说明</w:t>
            </w:r>
          </w:p>
        </w:tc>
        <w:tc>
          <w:tcPr>
            <w:tcW w:w="6080" w:type="dxa"/>
            <w:noWrap w:val="0"/>
            <w:vAlign w:val="center"/>
          </w:tcPr>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若有内容与投标人须知前附表内容不一致时，以投标人须知前附表为准。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trPr>
        <w:tc>
          <w:tcPr>
            <w:tcW w:w="1007"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432"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w:t>
            </w:r>
          </w:p>
        </w:tc>
        <w:tc>
          <w:tcPr>
            <w:tcW w:w="6080" w:type="dxa"/>
            <w:noWrap w:val="0"/>
            <w:vAlign w:val="center"/>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本项目不收取投标保证金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trPr>
        <w:tc>
          <w:tcPr>
            <w:tcW w:w="1007"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432"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6080" w:type="dxa"/>
            <w:noWrap w:val="0"/>
            <w:vAlign w:val="center"/>
          </w:tcPr>
          <w:p>
            <w:pPr>
              <w:widowControl/>
              <w:rPr>
                <w:rFonts w:hint="eastAsia" w:ascii="宋体" w:hAnsi="宋体" w:eastAsia="宋体" w:cs="宋体"/>
                <w:color w:val="auto"/>
                <w:sz w:val="24"/>
                <w:szCs w:val="24"/>
                <w:highlight w:val="none"/>
              </w:rPr>
            </w:pPr>
            <w:bookmarkStart w:id="18" w:name="EBd40b5fb42f2944a3b45e579ce3941f02"/>
            <w:r>
              <w:rPr>
                <w:rFonts w:hint="eastAsia" w:ascii="宋体" w:hAnsi="宋体" w:eastAsia="宋体" w:cs="宋体"/>
                <w:color w:val="auto"/>
                <w:sz w:val="24"/>
                <w:szCs w:val="24"/>
                <w:highlight w:val="none"/>
              </w:rPr>
              <w:t>90</w:t>
            </w:r>
            <w:bookmarkEnd w:id="18"/>
            <w:r>
              <w:rPr>
                <w:rFonts w:hint="eastAsia" w:ascii="宋体" w:hAnsi="宋体" w:eastAsia="宋体" w:cs="宋体"/>
                <w:color w:val="auto"/>
                <w:sz w:val="24"/>
                <w:szCs w:val="24"/>
                <w:highlight w:val="none"/>
              </w:rPr>
              <w:t>日（从提交投标文件截止之日起算）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1007"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432"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投标文件份数</w:t>
            </w:r>
          </w:p>
        </w:tc>
        <w:tc>
          <w:tcPr>
            <w:tcW w:w="6080" w:type="dxa"/>
            <w:noWrap w:val="0"/>
            <w:vAlign w:val="center"/>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正本1份，副本4份，电子版文件1份（盖章的pdf扫描件U盘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9" w:hRule="atLeast"/>
        </w:trPr>
        <w:tc>
          <w:tcPr>
            <w:tcW w:w="1007"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432"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投标文件的装订、密封及标记</w:t>
            </w:r>
          </w:p>
        </w:tc>
        <w:tc>
          <w:tcPr>
            <w:tcW w:w="6080" w:type="dxa"/>
            <w:noWrap w:val="0"/>
            <w:vAlign w:val="center"/>
          </w:tcPr>
          <w:p>
            <w:pPr>
              <w:numPr>
                <w:ilvl w:val="0"/>
                <w:numId w:val="9"/>
              </w:num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投标文件必须装订成册。</w:t>
            </w:r>
          </w:p>
          <w:p>
            <w:pPr>
              <w:numPr>
                <w:ilvl w:val="0"/>
                <w:numId w:val="9"/>
              </w:num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开标一览表</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投标文件正本</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、“投标文件副本</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、“电子投标文件”均应单独密封，单独递交。</w:t>
            </w:r>
          </w:p>
          <w:p>
            <w:pPr>
              <w:numPr>
                <w:ilvl w:val="0"/>
                <w:numId w:val="9"/>
              </w:num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开标一览表</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投标文件正本</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、“投标文件副本</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、“电子投标文件”在封套上注明“开标一览表</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、“投标文件正本”、“投标文件副本”、“电子投标文件”。</w:t>
            </w:r>
          </w:p>
          <w:p>
            <w:pPr>
              <w:numPr>
                <w:ilvl w:val="0"/>
                <w:numId w:val="9"/>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所有封套上均须按如下格式写明：</w:t>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采购文件编号：</w:t>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采购项目名称：</w:t>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投标人的全称、地址、邮编和电话。</w:t>
            </w:r>
          </w:p>
          <w:p>
            <w:pPr>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并写明“在（投标截止时间）之前不得启封”字样。</w:t>
            </w:r>
          </w:p>
          <w:p>
            <w:pPr>
              <w:numPr>
                <w:ilvl w:val="0"/>
                <w:numId w:val="9"/>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未按上述规定密封的投标文件,采购代理机构将拒绝接收。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1007" w:type="dxa"/>
            <w:tcBorders>
              <w:bottom w:val="single" w:color="auto" w:sz="4" w:space="0"/>
            </w:tcBorders>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432"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评标办法</w:t>
            </w:r>
          </w:p>
        </w:tc>
        <w:tc>
          <w:tcPr>
            <w:tcW w:w="6080" w:type="dxa"/>
            <w:noWrap w:val="0"/>
            <w:vAlign w:val="center"/>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综合评分法</w:t>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具体评标办法详见招标文件第三部分。</w:t>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评标委员会按照招标文件规定的评标办法和标准，确定各投标人经评审后的得分，并按得分由高到低进行排序。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1007"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432"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中标通知书领取</w:t>
            </w:r>
          </w:p>
        </w:tc>
        <w:tc>
          <w:tcPr>
            <w:tcW w:w="6080" w:type="dxa"/>
            <w:noWrap w:val="0"/>
            <w:vAlign w:val="center"/>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领取地址：南京市中华路50号弘业大厦</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楼</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008室。</w:t>
            </w:r>
          </w:p>
          <w:p>
            <w:pP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需提供材料：中标服务费缴纳截图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6" w:hRule="atLeast"/>
        </w:trPr>
        <w:tc>
          <w:tcPr>
            <w:tcW w:w="1007"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432"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中标服务费的收取</w:t>
            </w:r>
          </w:p>
        </w:tc>
        <w:tc>
          <w:tcPr>
            <w:tcW w:w="6080" w:type="dxa"/>
            <w:noWrap w:val="0"/>
            <w:vAlign w:val="center"/>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本项目中标服务费参照发改价格[2011]534号文收取，应在领取中标通知书前缴纳。</w:t>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账户信息：</w:t>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户    名：江苏弘业国际技术工程有限公司</w:t>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开户银行：中国银行南京市中华路支行   </w:t>
            </w:r>
          </w:p>
          <w:p>
            <w:pPr>
              <w:widowControl/>
              <w:rPr>
                <w:rFonts w:hint="eastAsia" w:ascii="宋体" w:hAnsi="宋体" w:eastAsia="宋体" w:cs="Times New Roman"/>
                <w:color w:val="auto"/>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账    号：527460884999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1007"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2432" w:type="dxa"/>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w:t>
            </w:r>
          </w:p>
        </w:tc>
        <w:tc>
          <w:tcPr>
            <w:tcW w:w="6080" w:type="dxa"/>
            <w:noWrap w:val="0"/>
            <w:vAlign w:val="center"/>
          </w:tcPr>
          <w:p>
            <w:pPr>
              <w:rPr>
                <w:rFonts w:hint="eastAsia" w:ascii="宋体" w:hAnsi="宋体" w:eastAsia="宋体" w:cs="Times New Roman"/>
                <w:color w:val="auto"/>
                <w:highlight w:val="none"/>
              </w:rPr>
            </w:pPr>
            <w:r>
              <w:rPr>
                <w:rFonts w:hint="eastAsia" w:ascii="宋体" w:hAnsi="宋体" w:eastAsia="宋体" w:cs="宋体"/>
                <w:color w:val="auto"/>
                <w:sz w:val="24"/>
                <w:szCs w:val="24"/>
                <w:highlight w:val="none"/>
              </w:rPr>
              <w:t>本项目不适用。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1007" w:type="dxa"/>
            <w:noWrap w:val="0"/>
            <w:vAlign w:val="center"/>
          </w:tcPr>
          <w:p>
            <w:pPr>
              <w:jc w:val="center"/>
              <w:rPr>
                <w:rFonts w:ascii="宋体" w:hAnsi="宋体" w:eastAsia="宋体" w:cs="宋体"/>
                <w:color w:val="auto"/>
                <w:sz w:val="24"/>
                <w:szCs w:val="24"/>
                <w:highlight w:val="none"/>
              </w:rPr>
            </w:pPr>
            <w:bookmarkStart w:id="19" w:name="_Toc514054472"/>
            <w:bookmarkStart w:id="20" w:name="_Toc25522"/>
            <w:r>
              <w:rPr>
                <w:rFonts w:hint="eastAsia" w:ascii="宋体" w:hAnsi="宋体" w:eastAsia="宋体" w:cs="宋体"/>
                <w:color w:val="auto"/>
                <w:sz w:val="24"/>
                <w:szCs w:val="24"/>
                <w:highlight w:val="none"/>
              </w:rPr>
              <w:t>10</w:t>
            </w:r>
          </w:p>
        </w:tc>
        <w:tc>
          <w:tcPr>
            <w:tcW w:w="2432" w:type="dxa"/>
            <w:noWrap w:val="0"/>
            <w:vAlign w:val="center"/>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采购标的所属行业</w:t>
            </w:r>
          </w:p>
        </w:tc>
        <w:tc>
          <w:tcPr>
            <w:tcW w:w="6080" w:type="dxa"/>
            <w:noWrap w:val="0"/>
            <w:vAlign w:val="center"/>
          </w:tcPr>
          <w:p>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本项目采购标的对应的行业主要为：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工业</w:t>
            </w:r>
            <w:r>
              <w:rPr>
                <w:rFonts w:hint="eastAsia" w:ascii="宋体" w:hAnsi="宋体" w:eastAsia="宋体" w:cs="宋体"/>
                <w:color w:val="auto"/>
                <w:sz w:val="24"/>
                <w:szCs w:val="24"/>
                <w:highlight w:val="none"/>
                <w:u w:val="single"/>
                <w:lang w:val="en-US" w:eastAsia="zh-CN"/>
              </w:rPr>
              <w:t xml:space="preserve"> </w:t>
            </w:r>
          </w:p>
        </w:tc>
      </w:tr>
    </w:tbl>
    <w:p>
      <w:pPr>
        <w:pStyle w:val="89"/>
        <w:outlineLvl w:val="1"/>
        <w:rPr>
          <w:rFonts w:hint="eastAsia" w:ascii="宋体" w:hAnsi="宋体" w:eastAsia="宋体" w:cs="宋体"/>
          <w:color w:val="auto"/>
          <w:highlight w:val="none"/>
        </w:rPr>
      </w:pPr>
      <w:r>
        <w:rPr>
          <w:rFonts w:hint="eastAsia" w:ascii="宋体" w:hAnsi="宋体" w:eastAsia="宋体" w:cs="宋体"/>
          <w:color w:val="auto"/>
          <w:highlight w:val="none"/>
        </w:rPr>
        <w:t>一、总 则</w:t>
      </w:r>
      <w:bookmarkEnd w:id="19"/>
      <w:bookmarkEnd w:id="20"/>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1、招标方式</w:t>
      </w:r>
    </w:p>
    <w:p>
      <w:pPr>
        <w:pStyle w:val="25"/>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本次招标采取公开招标方式。</w:t>
      </w:r>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2、合格的投标人</w:t>
      </w:r>
    </w:p>
    <w:p>
      <w:pPr>
        <w:spacing w:line="500" w:lineRule="exact"/>
        <w:ind w:firstLine="480" w:firstLineChars="200"/>
        <w:rPr>
          <w:rFonts w:hint="eastAsia" w:ascii="宋体" w:hAnsi="宋体" w:cs="宋体"/>
          <w:color w:val="auto"/>
          <w:sz w:val="24"/>
          <w:highlight w:val="none"/>
          <w:shd w:val="clear" w:color="auto" w:fill="FFC000"/>
        </w:rPr>
      </w:pPr>
      <w:r>
        <w:rPr>
          <w:rFonts w:hint="eastAsia" w:ascii="宋体" w:hAnsi="宋体" w:cs="宋体"/>
          <w:color w:val="auto"/>
          <w:sz w:val="24"/>
          <w:highlight w:val="none"/>
        </w:rPr>
        <w:t>2.1合格的投标人必须是有能力按照本招标文件规定的要求提供设备和相关服务，且具有独立承担民事等法律责任的法人或其它经济组织。</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2.2合格的投标人必须符合招标文件第一部分《招标公告》第二条及须知前附表相关规定，且具备独立完成本项目的</w:t>
      </w:r>
      <w:r>
        <w:rPr>
          <w:rFonts w:hint="eastAsia" w:ascii="宋体" w:hAnsi="宋体" w:cs="宋体"/>
          <w:color w:val="auto"/>
          <w:kern w:val="10"/>
          <w:sz w:val="24"/>
          <w:highlight w:val="none"/>
        </w:rPr>
        <w:t>能</w:t>
      </w:r>
      <w:r>
        <w:rPr>
          <w:rFonts w:hint="eastAsia" w:ascii="宋体" w:hAnsi="宋体" w:cs="宋体"/>
          <w:color w:val="auto"/>
          <w:sz w:val="24"/>
          <w:highlight w:val="none"/>
        </w:rPr>
        <w:t>力，中标后不允许分包、转包。</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2.3合格的投标人应遵守中华人民共和国《政府采购法》、《政府采购法实施条例》、《民法典》、《刑法》和《反不正当竞争法》等有关法律、法规。</w:t>
      </w:r>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3、适用法律</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本次招标及由本次招标产生的合同受中华人民共和国的相关法律、法规制约和保护。</w:t>
      </w:r>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4、投标费用</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投标人应自行承担所有参加投标有关的费用。</w:t>
      </w:r>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5、招标文件的约束力</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kern w:val="0"/>
          <w:sz w:val="24"/>
          <w:highlight w:val="none"/>
        </w:rPr>
        <w:t>投标人一旦参加本项目投标，即被认为接受了本招标文件的所有条件和规定</w:t>
      </w:r>
      <w:r>
        <w:rPr>
          <w:rFonts w:hint="eastAsia" w:ascii="宋体" w:hAnsi="宋体" w:cs="宋体"/>
          <w:color w:val="auto"/>
          <w:sz w:val="24"/>
          <w:highlight w:val="none"/>
        </w:rPr>
        <w:t>。</w:t>
      </w:r>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6、相同品牌产品投标</w:t>
      </w:r>
    </w:p>
    <w:p>
      <w:pPr>
        <w:spacing w:line="500"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6.1、采用最低评标价法的采购项目，提供相同品牌产品的不同投标人参加同一合同项下投标的，以其中通过资格审查、符合性审查且报价最低的参加评标；报价相同的，由采购人采取随机抽取方式确定，其他投标无效。</w:t>
      </w:r>
    </w:p>
    <w:p>
      <w:pPr>
        <w:spacing w:line="500"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p>
    <w:p>
      <w:pPr>
        <w:spacing w:line="500" w:lineRule="exact"/>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6.3、非单一产品采购项目，采购人确定核心产品，并在招标文件中载明。多家投标人提供的核心产品品牌全部相同的，按前两款规定处理。</w:t>
      </w:r>
    </w:p>
    <w:p>
      <w:pPr>
        <w:pStyle w:val="89"/>
        <w:outlineLvl w:val="1"/>
        <w:rPr>
          <w:rFonts w:hint="eastAsia" w:ascii="宋体" w:hAnsi="宋体" w:eastAsia="宋体" w:cs="宋体"/>
          <w:color w:val="auto"/>
          <w:highlight w:val="none"/>
        </w:rPr>
      </w:pPr>
      <w:bookmarkStart w:id="21" w:name="_Toc514054473"/>
      <w:bookmarkStart w:id="22" w:name="_Toc21335"/>
      <w:r>
        <w:rPr>
          <w:rFonts w:hint="eastAsia" w:ascii="宋体" w:hAnsi="宋体" w:eastAsia="宋体" w:cs="宋体"/>
          <w:color w:val="auto"/>
          <w:highlight w:val="none"/>
        </w:rPr>
        <w:t>二、招标文件</w:t>
      </w:r>
      <w:bookmarkEnd w:id="21"/>
      <w:bookmarkEnd w:id="22"/>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7、招标文件构成</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第一部分：招标公告；</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第三部分：资格审查及评分办法；</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第四部分：采购需求；</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第五部分：合同格式及条款；</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第六部分：投标文件格式。</w:t>
      </w:r>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8、招标文件的澄清</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任何要求对招标文件澄清的投标人，均应在法律法规规定的时间内提出，采购代理机构对规定时间内收到的澄清要求予以答复，答复不包括问题的来源。</w:t>
      </w:r>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9、招标文件的修改</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9.1在投标文件接收截止日期15日前，采购代理机构可以更正公告或补充文件的形式对招标文件进行修改。</w:t>
      </w:r>
    </w:p>
    <w:p>
      <w:pPr>
        <w:spacing w:line="500" w:lineRule="exact"/>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9.2招标文件的修改将以通过邮件通知所有已获取招标文件的投标人，并对投标人具有约束力。投标人收到修改文件后，应于1个工作日内予以确认，逾期未确认的，视同已收。 </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kern w:val="0"/>
          <w:sz w:val="24"/>
          <w:highlight w:val="none"/>
        </w:rPr>
        <w:t>9.3为使投标人有充分的时间对招标文件的修改部分进行分析、研究，采购代理机构有权推迟投标文件接收截止日期和开标日期，并将此变更通知所有已获取招标文件的投标人。</w:t>
      </w:r>
    </w:p>
    <w:p>
      <w:pPr>
        <w:spacing w:line="500" w:lineRule="exact"/>
        <w:ind w:firstLine="480" w:firstLineChars="200"/>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23" w:name="EB453bde7f4ddc418fae2aad9fbcd82554"/>
      <w:r>
        <w:rPr>
          <w:rFonts w:hint="eastAsia" w:ascii="宋体" w:hAnsi="宋体" w:cs="宋体"/>
          <w:color w:val="auto"/>
          <w:sz w:val="20"/>
          <w:highlight w:val="none"/>
        </w:rPr>
        <w:t xml:space="preserve"> </w:t>
      </w:r>
      <w:bookmarkEnd w:id="23"/>
      <w:bookmarkStart w:id="24" w:name="EBec71fc1696a240c4b620fe1e00b2ce58"/>
      <w:r>
        <w:rPr>
          <w:rFonts w:hint="eastAsia" w:ascii="宋体" w:hAnsi="宋体" w:cs="宋体"/>
          <w:color w:val="auto"/>
          <w:sz w:val="20"/>
          <w:highlight w:val="none"/>
        </w:rPr>
        <w:t xml:space="preserve"> </w:t>
      </w:r>
      <w:bookmarkEnd w:id="24"/>
    </w:p>
    <w:p>
      <w:pPr>
        <w:pStyle w:val="89"/>
        <w:outlineLvl w:val="1"/>
        <w:rPr>
          <w:rFonts w:hint="eastAsia" w:ascii="宋体" w:hAnsi="宋体" w:eastAsia="宋体" w:cs="宋体"/>
          <w:color w:val="auto"/>
          <w:highlight w:val="none"/>
        </w:rPr>
      </w:pPr>
      <w:bookmarkStart w:id="25" w:name="_Toc26908"/>
      <w:bookmarkStart w:id="26" w:name="_Toc514054474"/>
      <w:r>
        <w:rPr>
          <w:rFonts w:hint="eastAsia" w:ascii="宋体" w:hAnsi="宋体" w:eastAsia="宋体" w:cs="宋体"/>
          <w:color w:val="auto"/>
          <w:highlight w:val="none"/>
        </w:rPr>
        <w:t>三、投标文件的编制</w:t>
      </w:r>
      <w:bookmarkEnd w:id="25"/>
      <w:bookmarkEnd w:id="26"/>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10、投标文件的编制要求</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10.2投标文件应当对招标文件有关交货期、投标有效期、质量要求、技术标准和要求、招标范围、付款方式等实质性内容作出响应。</w:t>
      </w:r>
    </w:p>
    <w:p>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10.3 投标文件须加盖公章之处，应按要求加盖投标单位法人公章（未加盖投标单位法人公章或加盖的为非投标单位法人公章的投标文件将被拒绝。）</w:t>
      </w:r>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11、投标文件构成</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11.1资格证明文件；</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11.1.1具有独立承担民事责任的能力（提供法人或者其他组织的营业执照；供应商为自然人的，提供其身份证）；</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11.1.2具有良好的商业信誉和健全的财务会计制度（提供2</w:t>
      </w:r>
      <w:r>
        <w:rPr>
          <w:rFonts w:ascii="宋体" w:hAnsi="宋体" w:cs="宋体"/>
          <w:color w:val="auto"/>
          <w:sz w:val="24"/>
          <w:highlight w:val="none"/>
        </w:rPr>
        <w:t>02</w:t>
      </w:r>
      <w:r>
        <w:rPr>
          <w:rFonts w:ascii="宋体" w:hAnsi="宋体" w:cs="宋体"/>
          <w:b w:val="0"/>
          <w:bCs w:val="0"/>
          <w:color w:val="auto"/>
          <w:sz w:val="24"/>
          <w:highlight w:val="none"/>
        </w:rPr>
        <w:t>2</w:t>
      </w:r>
      <w:r>
        <w:rPr>
          <w:rFonts w:hint="eastAsia" w:ascii="宋体" w:hAnsi="宋体" w:cs="宋体"/>
          <w:b w:val="0"/>
          <w:bCs w:val="0"/>
          <w:color w:val="auto"/>
          <w:sz w:val="24"/>
          <w:highlight w:val="none"/>
        </w:rPr>
        <w:t>年度</w:t>
      </w:r>
      <w:r>
        <w:rPr>
          <w:rFonts w:hint="eastAsia" w:ascii="宋体" w:hAnsi="宋体" w:cs="宋体"/>
          <w:b w:val="0"/>
          <w:bCs w:val="0"/>
          <w:color w:val="auto"/>
          <w:sz w:val="24"/>
          <w:szCs w:val="24"/>
          <w:highlight w:val="none"/>
          <w:lang w:val="en-US" w:eastAsia="zh-CN"/>
        </w:rPr>
        <w:t>或2023年度</w:t>
      </w:r>
      <w:r>
        <w:rPr>
          <w:rFonts w:hint="eastAsia" w:ascii="宋体" w:hAnsi="宋体" w:cs="宋体"/>
          <w:color w:val="auto"/>
          <w:sz w:val="24"/>
          <w:highlight w:val="none"/>
        </w:rPr>
        <w:t>财务报告，</w:t>
      </w:r>
      <w:r>
        <w:rPr>
          <w:rFonts w:hint="eastAsia" w:ascii="宋体" w:hAnsi="宋体" w:cs="宋体"/>
          <w:b/>
          <w:bCs/>
          <w:color w:val="auto"/>
          <w:sz w:val="24"/>
          <w:szCs w:val="24"/>
          <w:highlight w:val="none"/>
        </w:rPr>
        <w:t>至少包含资产负债表、利润表，</w:t>
      </w:r>
      <w:r>
        <w:rPr>
          <w:rFonts w:hint="eastAsia" w:ascii="宋体" w:hAnsi="宋体" w:cs="宋体"/>
          <w:color w:val="auto"/>
          <w:sz w:val="24"/>
          <w:highlight w:val="none"/>
        </w:rPr>
        <w:t>或投标截止时间前六个月内银行出具的资信证明，或财政部门认可的政府采购专业担保机构出具的投标担保函</w:t>
      </w:r>
      <w:r>
        <w:rPr>
          <w:rFonts w:hint="eastAsia" w:ascii="宋体" w:hAnsi="宋体" w:cs="宋体"/>
          <w:color w:val="auto"/>
          <w:sz w:val="24"/>
          <w:highlight w:val="none"/>
          <w:lang w:eastAsia="zh-CN"/>
        </w:rPr>
        <w:t>；</w:t>
      </w:r>
      <w:r>
        <w:rPr>
          <w:rFonts w:hint="eastAsia" w:ascii="宋体" w:hAnsi="宋体" w:cs="宋体"/>
          <w:b/>
          <w:bCs/>
          <w:color w:val="auto"/>
          <w:sz w:val="24"/>
          <w:szCs w:val="24"/>
          <w:highlight w:val="none"/>
          <w:lang w:val="en-US" w:eastAsia="zh-CN"/>
        </w:rPr>
        <w:t>成立不满一年无须提供</w:t>
      </w:r>
      <w:r>
        <w:rPr>
          <w:rFonts w:hint="eastAsia" w:ascii="宋体" w:hAnsi="宋体" w:cs="宋体"/>
          <w:color w:val="auto"/>
          <w:sz w:val="24"/>
          <w:highlight w:val="none"/>
        </w:rPr>
        <w:t>）；</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11.1.3具有履行合同所必需的设备和专业技术能力（供应商根据履行采购项目合同需要，提供履行合同所必需的设备和专业技术能力的声明函或证明材料）；</w:t>
      </w:r>
    </w:p>
    <w:p>
      <w:pPr>
        <w:spacing w:line="329"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11.1.4有依法缴纳税收和社会保障资金的良好记录</w:t>
      </w:r>
      <w:r>
        <w:rPr>
          <w:rFonts w:hint="eastAsia" w:ascii="宋体" w:hAnsi="宋体" w:cs="宋体"/>
          <w:color w:val="auto"/>
          <w:sz w:val="24"/>
          <w:szCs w:val="24"/>
          <w:highlight w:val="none"/>
        </w:rPr>
        <w:t>（提供202</w:t>
      </w:r>
      <w:r>
        <w:rPr>
          <w:rFonts w:ascii="宋体" w:hAnsi="宋体" w:cs="宋体"/>
          <w:color w:val="auto"/>
          <w:sz w:val="24"/>
          <w:szCs w:val="24"/>
          <w:highlight w:val="none"/>
        </w:rPr>
        <w:t>3</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月至今）</w:t>
      </w:r>
      <w:r>
        <w:rPr>
          <w:rFonts w:hint="eastAsia" w:ascii="宋体" w:hAnsi="宋体" w:cs="宋体"/>
          <w:color w:val="auto"/>
          <w:sz w:val="24"/>
          <w:highlight w:val="none"/>
        </w:rPr>
        <w:t>中任一月份的依法缴纳税收和社会保险费的相关材料（提供相关主管部门证明或银行代扣证明的复印件，根据国家相关政策免缴或迟缴的需提供相关证明材料）；</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11.1.5参加政府采购活动前三年内，在经营活动中没有重大违法记录（提供承诺书）；</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11.1.6法律、行政法规规定的其他条件：无</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11.1.7拒绝被“信用中国”（www.creditchina.gov.cn）、“中国政府采购网”(www.ccgp.gov.cn）列入失信被执行人、重大税收违法案件当事人、政府采购严重失信行为的供应商参加投标。</w:t>
      </w:r>
    </w:p>
    <w:p>
      <w:pPr>
        <w:spacing w:line="329"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11.1.</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其他</w:t>
      </w:r>
    </w:p>
    <w:p>
      <w:pPr>
        <w:spacing w:line="50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rPr>
        <w:t>11.1.</w:t>
      </w:r>
      <w:r>
        <w:rPr>
          <w:rFonts w:hint="eastAsia" w:ascii="宋体" w:hAnsi="宋体" w:cs="宋体"/>
          <w:color w:val="auto"/>
          <w:sz w:val="24"/>
          <w:highlight w:val="none"/>
          <w:lang w:val="en-US" w:eastAsia="zh-CN"/>
        </w:rPr>
        <w:t>8.1</w:t>
      </w:r>
      <w:r>
        <w:rPr>
          <w:rFonts w:hint="eastAsia" w:ascii="宋体" w:hAnsi="宋体" w:eastAsia="宋体" w:cs="宋体"/>
          <w:color w:val="auto"/>
          <w:sz w:val="24"/>
          <w:highlight w:val="none"/>
        </w:rPr>
        <w:t>投标货物若为进口设备，投标人须提供代理商/经销商证书（代理授权书复印件，原件备查）或制造商专项授权书（原件）；</w:t>
      </w:r>
    </w:p>
    <w:p>
      <w:pPr>
        <w:spacing w:line="50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rPr>
        <w:t>11.1.</w:t>
      </w:r>
      <w:r>
        <w:rPr>
          <w:rFonts w:hint="eastAsia" w:ascii="宋体" w:hAnsi="宋体" w:cs="宋体"/>
          <w:color w:val="auto"/>
          <w:sz w:val="24"/>
          <w:highlight w:val="none"/>
          <w:lang w:val="en-US" w:eastAsia="zh-CN"/>
        </w:rPr>
        <w:t>8.2</w:t>
      </w:r>
      <w:r>
        <w:rPr>
          <w:rFonts w:hint="eastAsia" w:ascii="宋体" w:hAnsi="宋体" w:eastAsia="宋体" w:cs="宋体"/>
          <w:color w:val="auto"/>
          <w:sz w:val="24"/>
          <w:highlight w:val="none"/>
        </w:rPr>
        <w:t>投标产品按国家规定须医疗器械注册证的，投标人须提供投标产品的《医疗器械注册证》（复印件加盖公章）；</w:t>
      </w:r>
    </w:p>
    <w:p>
      <w:pPr>
        <w:spacing w:line="50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rPr>
        <w:t>11.1.</w:t>
      </w:r>
      <w:r>
        <w:rPr>
          <w:rFonts w:hint="eastAsia" w:ascii="宋体" w:hAnsi="宋体" w:cs="宋体"/>
          <w:color w:val="auto"/>
          <w:sz w:val="24"/>
          <w:highlight w:val="none"/>
          <w:lang w:val="en-US" w:eastAsia="zh-CN"/>
        </w:rPr>
        <w:t>8.3</w:t>
      </w:r>
      <w:r>
        <w:rPr>
          <w:rFonts w:hint="eastAsia" w:ascii="宋体" w:hAnsi="宋体" w:eastAsia="宋体" w:cs="宋体"/>
          <w:color w:val="auto"/>
          <w:sz w:val="24"/>
          <w:highlight w:val="none"/>
        </w:rPr>
        <w:t>投标人为医疗器械经营企业的，须根据投标产品的类别，提供投标人的《医疗器械经营许可证》或者《二类医疗器械经营备案凭证》（复印件加盖公章）；</w:t>
      </w:r>
    </w:p>
    <w:p>
      <w:pPr>
        <w:spacing w:line="50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rPr>
        <w:t>11.1.</w:t>
      </w:r>
      <w:r>
        <w:rPr>
          <w:rFonts w:hint="eastAsia" w:ascii="宋体" w:hAnsi="宋体" w:cs="宋体"/>
          <w:color w:val="auto"/>
          <w:sz w:val="24"/>
          <w:highlight w:val="none"/>
          <w:lang w:val="en-US" w:eastAsia="zh-CN"/>
        </w:rPr>
        <w:t>8.4</w:t>
      </w:r>
      <w:r>
        <w:rPr>
          <w:rFonts w:hint="eastAsia" w:ascii="宋体" w:hAnsi="宋体" w:eastAsia="宋体" w:cs="宋体"/>
          <w:color w:val="auto"/>
          <w:sz w:val="24"/>
          <w:highlight w:val="none"/>
        </w:rPr>
        <w:t>医疗器械生产企业投标本企业产品的，须提供《医疗器械生产许可证》（复印件加盖公章）；</w:t>
      </w:r>
    </w:p>
    <w:p>
      <w:pPr>
        <w:spacing w:line="50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rPr>
        <w:t>11.1.</w:t>
      </w:r>
      <w:r>
        <w:rPr>
          <w:rFonts w:hint="eastAsia" w:ascii="宋体" w:hAnsi="宋体" w:cs="宋体"/>
          <w:color w:val="auto"/>
          <w:sz w:val="24"/>
          <w:highlight w:val="none"/>
          <w:lang w:val="en-US" w:eastAsia="zh-CN"/>
        </w:rPr>
        <w:t>8.5</w:t>
      </w:r>
      <w:r>
        <w:rPr>
          <w:rFonts w:hint="eastAsia" w:ascii="宋体" w:hAnsi="宋体" w:eastAsia="宋体" w:cs="宋体"/>
          <w:color w:val="auto"/>
          <w:sz w:val="24"/>
          <w:highlight w:val="none"/>
        </w:rPr>
        <w:t>投标产品按国家规定须进行3C强制认证的，投标人须提供3C证书（复印件加盖公章）。</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11.2法定代表人或其授权代理人签署的投标函；</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11.3法定代表人身份证明或法定代表人授权委托</w:t>
      </w:r>
      <w:bookmarkStart w:id="27" w:name="EB1a77376dbd044d229c365f6951816069"/>
      <w:r>
        <w:rPr>
          <w:rFonts w:hint="eastAsia" w:ascii="宋体" w:hAnsi="宋体" w:cs="宋体"/>
          <w:color w:val="auto"/>
          <w:sz w:val="24"/>
          <w:highlight w:val="none"/>
        </w:rPr>
        <w:t>书（并按要求提供法定代表人或授权委托人居民身份证复印件</w:t>
      </w:r>
      <w:r>
        <w:rPr>
          <w:rFonts w:hint="eastAsia" w:ascii="宋体" w:hAnsi="宋体"/>
          <w:color w:val="auto"/>
          <w:sz w:val="24"/>
          <w:highlight w:val="none"/>
        </w:rPr>
        <w:t>加盖公章</w:t>
      </w:r>
      <w:r>
        <w:rPr>
          <w:rFonts w:hint="eastAsia" w:ascii="宋体" w:hAnsi="宋体" w:cs="宋体"/>
          <w:color w:val="auto"/>
          <w:sz w:val="24"/>
          <w:highlight w:val="none"/>
        </w:rPr>
        <w:t>）；</w:t>
      </w:r>
      <w:bookmarkEnd w:id="27"/>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11.4报价文件</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11.4.1开标一览表；</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11.4.2明细报价表。</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11.5技术文件</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11.6商务文件</w:t>
      </w:r>
    </w:p>
    <w:p>
      <w:pPr>
        <w:spacing w:line="500" w:lineRule="exact"/>
        <w:ind w:firstLine="480" w:firstLineChars="200"/>
        <w:rPr>
          <w:rFonts w:hint="eastAsia" w:ascii="宋体" w:hAnsi="宋体" w:cs="宋体"/>
          <w:color w:val="auto"/>
          <w:sz w:val="24"/>
          <w:highlight w:val="none"/>
        </w:rPr>
      </w:pPr>
      <w:bookmarkStart w:id="28" w:name="EBdc2c24f6358343e896cd43bd6621a619"/>
      <w:r>
        <w:rPr>
          <w:rFonts w:hint="eastAsia" w:ascii="宋体" w:hAnsi="宋体" w:cs="宋体"/>
          <w:color w:val="auto"/>
          <w:sz w:val="24"/>
          <w:highlight w:val="none"/>
        </w:rPr>
        <w:t>11.6.1投标人承担的类似项目业绩一览表，提供中标通知书或合同或验收资料；</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11.6.2其他商务文件。</w:t>
      </w:r>
      <w:bookmarkEnd w:id="28"/>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11.7投标人认为有必要提供的其它材料。</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11.8以上所有资料均须加盖投标单位法人公章（未加盖投标单位法人公章或加盖的为非投标单位法人公章的投标文件将被拒绝）。</w:t>
      </w:r>
    </w:p>
    <w:p>
      <w:pPr>
        <w:numPr>
          <w:ilvl w:val="0"/>
          <w:numId w:val="10"/>
        </w:num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投标文件构成资料为非中文时应提供中文译版，并以中文为准，否则可视为未提供；</w:t>
      </w:r>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13、投标报价</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13.1报价为一次报价，于开标会议当场宣读。</w:t>
      </w:r>
    </w:p>
    <w:p>
      <w:pPr>
        <w:spacing w:line="500" w:lineRule="exact"/>
        <w:ind w:firstLine="480" w:firstLineChars="200"/>
        <w:rPr>
          <w:rFonts w:hint="eastAsia" w:ascii="宋体" w:hAnsi="宋体" w:cs="宋体"/>
          <w:color w:val="auto"/>
          <w:sz w:val="24"/>
          <w:highlight w:val="none"/>
          <w:shd w:val="clear" w:color="auto" w:fill="FFC000"/>
        </w:rPr>
      </w:pPr>
      <w:r>
        <w:rPr>
          <w:rFonts w:hint="eastAsia" w:ascii="宋体" w:hAnsi="宋体" w:cs="宋体"/>
          <w:color w:val="auto"/>
          <w:sz w:val="24"/>
          <w:highlight w:val="none"/>
        </w:rPr>
        <w:t>13.2本项目不接受备选的投标方案或有选择的报价，只允许有一个报价。投标报价内容包括：</w:t>
      </w:r>
      <w:bookmarkStart w:id="29" w:name="EB54dd097a55df4796bd5f9b6bdf2ddc40"/>
      <w:r>
        <w:rPr>
          <w:rFonts w:hint="eastAsia" w:ascii="宋体" w:hAnsi="宋体" w:cs="宋体"/>
          <w:color w:val="auto"/>
          <w:sz w:val="24"/>
          <w:highlight w:val="none"/>
        </w:rPr>
        <w:t>设备本身、安装调试费、人工费、服务费、税金以及交付使用过程中涉及到的其他一切费用。</w:t>
      </w:r>
      <w:bookmarkEnd w:id="29"/>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13.3报价注意事项：</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13.3.1价格一律以人民币计算，以元为单位标准；</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13.3.2投标人报价时应充分考虑所有可能影响到报价的因素，一旦评标结束最终中标，如发生漏、缺、少项，都将被认为是中标人的报价让利行为，损失自负。</w:t>
      </w:r>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14、投标保证金</w:t>
      </w:r>
    </w:p>
    <w:p>
      <w:pPr>
        <w:spacing w:line="500" w:lineRule="exac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本项目不收取投标保证金</w:t>
      </w:r>
      <w:r>
        <w:rPr>
          <w:rFonts w:hint="eastAsia" w:ascii="宋体" w:hAnsi="宋体" w:cs="宋体"/>
          <w:color w:val="auto"/>
          <w:sz w:val="24"/>
          <w:highlight w:val="none"/>
        </w:rPr>
        <w:t>。</w:t>
      </w:r>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15、投标有效期</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15.1在投标人须知前附表规定的投标有效期内，投标人不得要求撤销或者修改其投标文件。 </w:t>
      </w:r>
    </w:p>
    <w:p>
      <w:pPr>
        <w:spacing w:line="500" w:lineRule="exact"/>
        <w:ind w:firstLine="480" w:firstLineChars="200"/>
        <w:rPr>
          <w:rFonts w:hint="eastAsia" w:ascii="宋体" w:hAnsi="宋体" w:cs="宋体"/>
          <w:color w:val="auto"/>
          <w:highlight w:val="none"/>
        </w:rPr>
      </w:pPr>
      <w:r>
        <w:rPr>
          <w:rFonts w:hint="eastAsia" w:ascii="宋体" w:hAnsi="宋体" w:cs="宋体"/>
          <w:color w:val="auto"/>
          <w:sz w:val="24"/>
          <w:highlight w:val="none"/>
        </w:rPr>
        <w:t>15.2在特殊情况下，采购人于原投标有效期满之前，可向投标人提出延长投标有效期的要求，这种要求与答复均应采用书面形式（如信件、传真或电子邮件等），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30" w:name="EB12ed6b870f334fa092f7ed1f9a9dbab8"/>
      <w:r>
        <w:rPr>
          <w:rFonts w:hint="eastAsia" w:ascii="宋体" w:hAnsi="宋体" w:cs="宋体"/>
          <w:color w:val="auto"/>
          <w:sz w:val="20"/>
          <w:highlight w:val="none"/>
        </w:rPr>
        <w:t xml:space="preserve"> </w:t>
      </w:r>
      <w:bookmarkEnd w:id="30"/>
      <w:bookmarkStart w:id="31" w:name="EB5d36e8077cc64e309c0c0f0cd8a6f496"/>
      <w:r>
        <w:rPr>
          <w:rFonts w:hint="eastAsia" w:ascii="宋体" w:hAnsi="宋体" w:cs="宋体"/>
          <w:color w:val="auto"/>
          <w:sz w:val="20"/>
          <w:highlight w:val="none"/>
        </w:rPr>
        <w:t xml:space="preserve"> </w:t>
      </w:r>
      <w:bookmarkEnd w:id="31"/>
    </w:p>
    <w:p>
      <w:pPr>
        <w:pStyle w:val="89"/>
        <w:outlineLvl w:val="1"/>
        <w:rPr>
          <w:rFonts w:hint="eastAsia" w:ascii="宋体" w:hAnsi="宋体" w:eastAsia="宋体" w:cs="宋体"/>
          <w:color w:val="auto"/>
          <w:highlight w:val="none"/>
        </w:rPr>
      </w:pPr>
      <w:bookmarkStart w:id="32" w:name="_Toc514054475"/>
      <w:bookmarkStart w:id="33" w:name="_Toc26211"/>
      <w:r>
        <w:rPr>
          <w:rFonts w:hint="eastAsia" w:ascii="宋体" w:hAnsi="宋体" w:eastAsia="宋体" w:cs="宋体"/>
          <w:color w:val="auto"/>
          <w:highlight w:val="none"/>
        </w:rPr>
        <w:t>四、投标文件的提交</w:t>
      </w:r>
      <w:bookmarkEnd w:id="32"/>
      <w:bookmarkEnd w:id="33"/>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16、投标文件的提交</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16.1投标人应在招标文件规定的投标截止时间前提交投标文件。投标文件提交截止时间后，投标人对投标报价或其他实质性内容修正的函件和增加的任何优惠条件，一律拒绝接收。 </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16.2在递交投标文件截止时间前，投标人有权修改、撤回其投标文件，以截止时间前最终完成递交的为准；在递交投标文件截止时间后，除招标文件另有规定外，投标人所提交的投标文件不予退还。</w:t>
      </w:r>
    </w:p>
    <w:p>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16.3 采购人或采购代理机构可以通过修改招标文件酌情延长投标文件接收截止日期，在此情况下，投标人的所有权利和义务以及投标人受制约的截止日期均应以延长后新的截止日期为准。</w:t>
      </w:r>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17、投标文件被拒绝接收的情形</w:t>
      </w:r>
    </w:p>
    <w:p>
      <w:pPr>
        <w:spacing w:line="500" w:lineRule="exact"/>
        <w:ind w:right="105" w:rightChars="50" w:firstLine="480" w:firstLineChars="200"/>
        <w:rPr>
          <w:rFonts w:hint="eastAsia" w:ascii="宋体" w:hAnsi="宋体" w:cs="宋体"/>
          <w:color w:val="auto"/>
          <w:sz w:val="24"/>
          <w:highlight w:val="none"/>
        </w:rPr>
      </w:pPr>
      <w:r>
        <w:rPr>
          <w:rFonts w:hint="eastAsia" w:ascii="宋体" w:hAnsi="宋体" w:cs="宋体"/>
          <w:color w:val="auto"/>
          <w:sz w:val="24"/>
          <w:highlight w:val="none"/>
        </w:rPr>
        <w:t>17.1在招标文件规定的投标截止时间后递交的投标文件。</w:t>
      </w:r>
    </w:p>
    <w:p>
      <w:pPr>
        <w:spacing w:line="500" w:lineRule="exact"/>
        <w:ind w:right="105" w:rightChars="50" w:firstLine="480" w:firstLineChars="200"/>
        <w:rPr>
          <w:rFonts w:hint="eastAsia" w:ascii="宋体" w:hAnsi="宋体" w:cs="宋体"/>
          <w:color w:val="auto"/>
          <w:sz w:val="24"/>
          <w:highlight w:val="none"/>
        </w:rPr>
      </w:pPr>
      <w:r>
        <w:rPr>
          <w:rFonts w:hint="eastAsia" w:ascii="宋体" w:hAnsi="宋体" w:cs="宋体"/>
          <w:color w:val="auto"/>
          <w:sz w:val="24"/>
          <w:highlight w:val="none"/>
        </w:rPr>
        <w:t>17.2 未按本招标文件前附表要求密封的投标文件。</w:t>
      </w:r>
      <w:bookmarkStart w:id="34" w:name="EB2abce7e2c6f440e8b25c6bbba111ee54"/>
      <w:r>
        <w:rPr>
          <w:rFonts w:ascii="宋体" w:hAnsi="宋体" w:cs="宋体"/>
          <w:color w:val="auto"/>
          <w:sz w:val="24"/>
          <w:szCs w:val="24"/>
          <w:highlight w:val="none"/>
        </w:rPr>
        <w:t>“</w:t>
      </w:r>
      <w:r>
        <w:rPr>
          <w:rFonts w:hint="eastAsia" w:ascii="宋体" w:hAnsi="宋体" w:cs="宋体"/>
          <w:color w:val="auto"/>
          <w:sz w:val="24"/>
          <w:szCs w:val="24"/>
          <w:highlight w:val="none"/>
        </w:rPr>
        <w:t>开标一览表</w:t>
      </w:r>
      <w:r>
        <w:rPr>
          <w:rFonts w:ascii="宋体" w:hAnsi="宋体" w:cs="宋体"/>
          <w:color w:val="auto"/>
          <w:sz w:val="24"/>
          <w:szCs w:val="24"/>
          <w:highlight w:val="none"/>
        </w:rPr>
        <w:t>”</w:t>
      </w:r>
      <w:r>
        <w:rPr>
          <w:rFonts w:hint="eastAsia" w:ascii="宋体" w:hAnsi="宋体" w:cs="宋体"/>
          <w:color w:val="auto"/>
          <w:sz w:val="24"/>
          <w:szCs w:val="24"/>
          <w:highlight w:val="none"/>
        </w:rPr>
        <w:t>、</w:t>
      </w:r>
      <w:r>
        <w:rPr>
          <w:rFonts w:ascii="宋体" w:hAnsi="宋体" w:cs="宋体"/>
          <w:color w:val="auto"/>
          <w:sz w:val="24"/>
          <w:szCs w:val="24"/>
          <w:highlight w:val="none"/>
        </w:rPr>
        <w:t>“</w:t>
      </w:r>
      <w:r>
        <w:rPr>
          <w:rFonts w:hint="eastAsia" w:ascii="宋体" w:hAnsi="宋体" w:cs="宋体"/>
          <w:color w:val="auto"/>
          <w:sz w:val="24"/>
          <w:szCs w:val="24"/>
          <w:highlight w:val="none"/>
        </w:rPr>
        <w:t>投标文件正本</w:t>
      </w:r>
      <w:r>
        <w:rPr>
          <w:rFonts w:ascii="宋体" w:hAnsi="宋体" w:cs="宋体"/>
          <w:color w:val="auto"/>
          <w:sz w:val="24"/>
          <w:szCs w:val="24"/>
          <w:highlight w:val="none"/>
        </w:rPr>
        <w:t>”</w:t>
      </w:r>
      <w:r>
        <w:rPr>
          <w:rFonts w:hint="eastAsia" w:ascii="宋体" w:hAnsi="宋体" w:cs="宋体"/>
          <w:color w:val="auto"/>
          <w:sz w:val="24"/>
          <w:szCs w:val="24"/>
          <w:highlight w:val="none"/>
        </w:rPr>
        <w:t>、“投标文件副本</w:t>
      </w:r>
      <w:r>
        <w:rPr>
          <w:rFonts w:ascii="宋体" w:hAnsi="宋体" w:cs="宋体"/>
          <w:color w:val="auto"/>
          <w:sz w:val="24"/>
          <w:szCs w:val="24"/>
          <w:highlight w:val="none"/>
        </w:rPr>
        <w:t>”</w:t>
      </w:r>
      <w:r>
        <w:rPr>
          <w:rFonts w:hint="eastAsia" w:ascii="宋体" w:hAnsi="宋体" w:cs="宋体"/>
          <w:color w:val="auto"/>
          <w:sz w:val="24"/>
          <w:szCs w:val="24"/>
          <w:highlight w:val="none"/>
        </w:rPr>
        <w:t>、“电子投标文件”均应单独密封，单独递交。</w:t>
      </w:r>
    </w:p>
    <w:p>
      <w:pPr>
        <w:spacing w:line="500" w:lineRule="exact"/>
        <w:ind w:right="105" w:rightChars="50" w:firstLine="480" w:firstLineChars="200"/>
        <w:rPr>
          <w:rFonts w:hint="eastAsia" w:ascii="宋体" w:hAnsi="宋体" w:cs="宋体"/>
          <w:color w:val="auto"/>
          <w:highlight w:val="none"/>
        </w:rPr>
      </w:pPr>
      <w:r>
        <w:rPr>
          <w:rFonts w:hint="eastAsia" w:ascii="宋体" w:hAnsi="宋体" w:cs="宋体"/>
          <w:color w:val="auto"/>
          <w:sz w:val="24"/>
          <w:szCs w:val="24"/>
          <w:highlight w:val="none"/>
        </w:rPr>
        <w:t>17.3 未按本招标文件前附表要求份数递交的投标文件。</w:t>
      </w:r>
      <w:r>
        <w:rPr>
          <w:rFonts w:hint="eastAsia" w:ascii="宋体" w:hAnsi="宋体" w:cs="宋体"/>
          <w:color w:val="auto"/>
          <w:sz w:val="20"/>
          <w:highlight w:val="none"/>
        </w:rPr>
        <w:t xml:space="preserve"> </w:t>
      </w:r>
      <w:bookmarkEnd w:id="34"/>
      <w:bookmarkStart w:id="35" w:name="EB200c38d7a1c345f29b604b38d510a951"/>
      <w:r>
        <w:rPr>
          <w:rFonts w:hint="eastAsia" w:ascii="宋体" w:hAnsi="宋体" w:cs="宋体"/>
          <w:color w:val="auto"/>
          <w:sz w:val="20"/>
          <w:highlight w:val="none"/>
        </w:rPr>
        <w:t xml:space="preserve"> </w:t>
      </w:r>
      <w:bookmarkEnd w:id="35"/>
    </w:p>
    <w:p>
      <w:pPr>
        <w:pStyle w:val="89"/>
        <w:outlineLvl w:val="1"/>
        <w:rPr>
          <w:rFonts w:hint="eastAsia" w:ascii="宋体" w:hAnsi="宋体" w:eastAsia="宋体" w:cs="宋体"/>
          <w:color w:val="auto"/>
          <w:highlight w:val="none"/>
        </w:rPr>
      </w:pPr>
      <w:bookmarkStart w:id="36" w:name="_Toc514054476"/>
      <w:bookmarkStart w:id="37" w:name="_Toc11452"/>
      <w:r>
        <w:rPr>
          <w:rFonts w:hint="eastAsia" w:ascii="宋体" w:hAnsi="宋体" w:eastAsia="宋体" w:cs="宋体"/>
          <w:color w:val="auto"/>
          <w:highlight w:val="none"/>
        </w:rPr>
        <w:t>五、无效标、</w:t>
      </w:r>
      <w:r>
        <w:rPr>
          <w:rFonts w:hint="eastAsia" w:ascii="宋体" w:hAnsi="宋体" w:eastAsia="宋体" w:cs="宋体"/>
          <w:color w:val="auto"/>
          <w:highlight w:val="none"/>
          <w:lang w:eastAsia="zh-CN"/>
        </w:rPr>
        <w:t>投标被拒绝</w:t>
      </w:r>
      <w:r>
        <w:rPr>
          <w:rFonts w:hint="eastAsia" w:ascii="宋体" w:hAnsi="宋体" w:eastAsia="宋体" w:cs="宋体"/>
          <w:color w:val="auto"/>
          <w:highlight w:val="none"/>
        </w:rPr>
        <w:t>、串通投标认定条款</w:t>
      </w:r>
      <w:bookmarkEnd w:id="36"/>
      <w:bookmarkEnd w:id="37"/>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18、以下情形将视为无效投标</w:t>
      </w:r>
      <w:bookmarkStart w:id="38" w:name="EB94942e5430df4fb8a077f3cf7667f212"/>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18.1投标人不符合招标文件规定资格要求的或未按规定提交资质证件的；</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18.2投标文件签署、盖章不符合招标文件要求的；</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18.3报价超过招标文件中规定的预算金额或者最高限价的；</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18.4投标文件出现重大偏差，未对招标文件进行实质性响应的；</w:t>
      </w:r>
    </w:p>
    <w:p>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18.5投标文件出现商务条款（包括付款方式、交货期等）的负偏差，视为未对招标文件进行实质性响应；</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18.6投标文件含有采购人不能接受的附加条件的；</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18.7投标人有本招标文件规定的恶意串通投标情形的；</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18.8投标文件中</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\l _Toc28239_WPSOffice_Level2 </w:instrText>
      </w:r>
      <w:r>
        <w:rPr>
          <w:rFonts w:hint="eastAsia" w:ascii="宋体" w:hAnsi="宋体" w:cs="宋体"/>
          <w:color w:val="auto"/>
          <w:sz w:val="24"/>
          <w:highlight w:val="none"/>
        </w:rPr>
        <w:fldChar w:fldCharType="separate"/>
      </w:r>
      <w:r>
        <w:rPr>
          <w:rFonts w:hint="eastAsia" w:ascii="宋体" w:hAnsi="宋体"/>
          <w:color w:val="auto"/>
          <w:sz w:val="24"/>
          <w:highlight w:val="none"/>
        </w:rPr>
        <w:t>特定资格要求</w:t>
      </w:r>
      <w:r>
        <w:rPr>
          <w:rFonts w:hint="eastAsia" w:ascii="宋体" w:hAnsi="宋体" w:cs="宋体"/>
          <w:color w:val="auto"/>
          <w:sz w:val="24"/>
          <w:highlight w:val="none"/>
        </w:rPr>
        <w:t>、</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\l _Toc14913_WPSOffice_Level2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投标人财务状况报告</w:t>
      </w:r>
      <w:r>
        <w:rPr>
          <w:rFonts w:hint="eastAsia" w:ascii="宋体" w:hAnsi="宋体" w:cs="宋体"/>
          <w:color w:val="auto"/>
          <w:sz w:val="24"/>
          <w:highlight w:val="none"/>
        </w:rPr>
        <w:fldChar w:fldCharType="end"/>
      </w:r>
      <w:r>
        <w:rPr>
          <w:rFonts w:hint="eastAsia" w:ascii="宋体" w:hAnsi="宋体" w:cs="宋体"/>
          <w:color w:val="auto"/>
          <w:sz w:val="24"/>
          <w:highlight w:val="none"/>
        </w:rPr>
        <w:t>、</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\l _Toc21611_WPSOffice_Level2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缴纳税收和社会保障资金凭据、</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\l _Toc26460_WPSOffice_Level2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履行合同所必需的设备和专业技术能力的声明、</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\l _Toc14315_WPSOffice_Level2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无重大违法行为声明、</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\l _Toc24842_WPSOffice_Level2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投标函</w:t>
      </w:r>
      <w:r>
        <w:rPr>
          <w:rFonts w:hint="eastAsia" w:ascii="宋体" w:hAnsi="宋体" w:cs="宋体"/>
          <w:color w:val="auto"/>
          <w:sz w:val="24"/>
          <w:highlight w:val="none"/>
        </w:rPr>
        <w:fldChar w:fldCharType="end"/>
      </w:r>
      <w:r>
        <w:rPr>
          <w:rFonts w:hint="eastAsia" w:ascii="宋体" w:hAnsi="宋体" w:cs="宋体"/>
          <w:color w:val="auto"/>
          <w:sz w:val="24"/>
          <w:highlight w:val="none"/>
        </w:rPr>
        <w:t>、</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\l _Toc12406_WPSOffice_Level2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法定代表人身份证明或授权委托书</w:t>
      </w:r>
      <w:r>
        <w:rPr>
          <w:rFonts w:hint="eastAsia" w:ascii="宋体" w:hAnsi="宋体" w:cs="宋体"/>
          <w:color w:val="auto"/>
          <w:sz w:val="24"/>
          <w:highlight w:val="none"/>
        </w:rPr>
        <w:fldChar w:fldCharType="end"/>
      </w:r>
      <w:r>
        <w:rPr>
          <w:rFonts w:hint="eastAsia" w:ascii="宋体" w:hAnsi="宋体" w:cs="宋体"/>
          <w:color w:val="auto"/>
          <w:sz w:val="24"/>
          <w:highlight w:val="none"/>
        </w:rPr>
        <w:t>、</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\l _Toc20552_WPSOffice_Level2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开标一览表</w:t>
      </w:r>
      <w:r>
        <w:rPr>
          <w:rFonts w:hint="eastAsia" w:ascii="宋体" w:hAnsi="宋体" w:cs="宋体"/>
          <w:color w:val="auto"/>
          <w:sz w:val="24"/>
          <w:highlight w:val="none"/>
        </w:rPr>
        <w:fldChar w:fldCharType="end"/>
      </w:r>
      <w:r>
        <w:rPr>
          <w:rFonts w:hint="eastAsia" w:ascii="宋体" w:hAnsi="宋体" w:cs="宋体"/>
          <w:color w:val="auto"/>
          <w:sz w:val="24"/>
          <w:highlight w:val="none"/>
        </w:rPr>
        <w:t>、</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\l _Toc15170_WPSOffice_Level2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明细报价表、</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\l _Toc31989_WPSOffice_Level2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中小企业声明函、</w:t>
      </w:r>
      <w:r>
        <w:rPr>
          <w:rFonts w:hint="eastAsia" w:ascii="宋体" w:hAnsi="宋体" w:cs="宋体"/>
          <w:color w:val="auto"/>
          <w:sz w:val="24"/>
          <w:highlight w:val="none"/>
        </w:rPr>
        <w:fldChar w:fldCharType="end"/>
      </w:r>
      <w:r>
        <w:rPr>
          <w:rFonts w:hint="eastAsia" w:ascii="宋体" w:hAnsi="宋体" w:cs="宋体"/>
          <w:color w:val="auto"/>
          <w:sz w:val="24"/>
          <w:highlight w:val="none"/>
        </w:rPr>
        <w:t>技术</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\l _Toc18984_WPSOffice_Level2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响应偏差表、</w:t>
      </w:r>
      <w:r>
        <w:rPr>
          <w:rFonts w:hint="eastAsia" w:ascii="宋体" w:hAnsi="宋体" w:cs="宋体"/>
          <w:color w:val="auto"/>
          <w:sz w:val="24"/>
          <w:highlight w:val="none"/>
        </w:rPr>
        <w:fldChar w:fldCharType="end"/>
      </w:r>
      <w:r>
        <w:rPr>
          <w:rFonts w:hint="eastAsia" w:ascii="宋体" w:hAnsi="宋体" w:cs="宋体"/>
          <w:color w:val="auto"/>
          <w:sz w:val="24"/>
          <w:highlight w:val="none"/>
        </w:rPr>
        <w:t>商务</w:t>
      </w:r>
      <w:r>
        <w:rPr>
          <w:rFonts w:ascii="宋体" w:hAnsi="宋体" w:cs="宋体"/>
          <w:color w:val="auto"/>
          <w:sz w:val="24"/>
          <w:highlight w:val="none"/>
        </w:rPr>
        <w:t>响应偏差表</w:t>
      </w:r>
      <w:r>
        <w:rPr>
          <w:rFonts w:hint="eastAsia" w:ascii="宋体" w:hAnsi="宋体" w:cs="宋体"/>
          <w:color w:val="auto"/>
          <w:sz w:val="24"/>
          <w:highlight w:val="none"/>
        </w:rPr>
        <w:t>、</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\l _Toc21060_WPSOffice_Level2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质量保证及售后服务方案</w:t>
      </w:r>
      <w:r>
        <w:rPr>
          <w:rFonts w:hint="eastAsia" w:ascii="宋体" w:hAnsi="宋体" w:cs="宋体"/>
          <w:color w:val="auto"/>
          <w:sz w:val="24"/>
          <w:highlight w:val="none"/>
        </w:rPr>
        <w:fldChar w:fldCharType="end"/>
      </w:r>
      <w:r>
        <w:rPr>
          <w:rFonts w:hint="eastAsia" w:ascii="宋体" w:hAnsi="宋体" w:cs="宋体"/>
          <w:color w:val="auto"/>
          <w:sz w:val="24"/>
          <w:highlight w:val="none"/>
        </w:rPr>
        <w:t>未签字和盖章的；</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18.9其它评标委员会认为有必要取消的投标；</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18.10法律、法规规定的其它情况。</w:t>
      </w:r>
    </w:p>
    <w:bookmarkEnd w:id="38"/>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19、以下情形投标将被拒绝</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19.1符合专业条件的供应商或者对招标文件作实质响应的供应商不足三家的（20条规定情形除外）；</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19.2出现影响采购公正的违法、违规行为的；</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19.3因重大变故，采购任务取消的。</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19.4招标文件中约定的其他投标将被拒绝的情形</w:t>
      </w:r>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20、投标人不足三家情形处理</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投标截止后投标人不足3家或者通过资格审查或符合性审查的投标人不足3家的，除采购任务取消情形外，按财政部令第87号第四十三条条款进行处理。</w:t>
      </w:r>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21、凡有以下情形者，一经查实，取消中标候选人资格条款</w:t>
      </w:r>
    </w:p>
    <w:p>
      <w:pPr>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21.1提供虚假材料谋取中标的；</w:t>
      </w:r>
    </w:p>
    <w:p>
      <w:pPr>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21.2采取不正当手段诋毁、排挤其他投标人的；</w:t>
      </w:r>
    </w:p>
    <w:p>
      <w:pPr>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21.3与采购人、其他投标人或者采购代理机构恶意串通的；</w:t>
      </w:r>
    </w:p>
    <w:p>
      <w:pPr>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21.4向采购人、采购代理机构行贿或者提供其他不正当利益的；</w:t>
      </w:r>
    </w:p>
    <w:p>
      <w:pPr>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21.5未在规定时间内与采购人签订采购合同的；</w:t>
      </w:r>
    </w:p>
    <w:p>
      <w:pPr>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21.6法律、法规规定的其它情况。</w:t>
      </w:r>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22、恶意串通投标的情形</w:t>
      </w:r>
    </w:p>
    <w:p>
      <w:pPr>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22.1供应商直接或间接从采购人或采购代理机构处获得其他供应商的投标情况，并修改其投标文件；</w:t>
      </w:r>
    </w:p>
    <w:p>
      <w:pPr>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22.2评审活动开始前供应商直接或间接从采购人或采购代理机构处获得评标委员会组成人员情况；</w:t>
      </w:r>
    </w:p>
    <w:p>
      <w:pPr>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22.3供应商接受采购人或采购代理机构授意撤换、修改投标文件；</w:t>
      </w:r>
    </w:p>
    <w:p>
      <w:pPr>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22.4供应商之间协商投标报价、技术方案等投标文件实质性内容；</w:t>
      </w:r>
    </w:p>
    <w:p>
      <w:pPr>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22.5属于同一集团、协会、商会等组织成员的供应商按照该组织要求协同投标；</w:t>
      </w:r>
    </w:p>
    <w:p>
      <w:pPr>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22.6供应商之间事先约定由某一特定供应商中标、成交；</w:t>
      </w:r>
    </w:p>
    <w:p>
      <w:pPr>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22.7供应商之间商定部分供应商放弃投标或者放弃中标、成交；</w:t>
      </w:r>
    </w:p>
    <w:p>
      <w:pPr>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22.8供应商与采购人或采购代理机构之间、供应商相互之间为谋求特定供应商中标成交或者排斥其他供应商的其他串通行为；</w:t>
      </w:r>
    </w:p>
    <w:p>
      <w:pPr>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22.9不同投标人的投标文件由同一单位或者个人编制；</w:t>
      </w:r>
    </w:p>
    <w:p>
      <w:pPr>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22.10不同投标人委托同一单位或者个人办理投标事宜；</w:t>
      </w:r>
    </w:p>
    <w:p>
      <w:pPr>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22.11不同投标人的投标文件载明的项目管理成员或者联系人员为同一人；</w:t>
      </w:r>
    </w:p>
    <w:p>
      <w:pPr>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22.12不同投标人的投标文件异常一致或者投标报价呈规律性差异；</w:t>
      </w:r>
    </w:p>
    <w:p>
      <w:pPr>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22.13不同投标人的投标文件相互混装；</w:t>
      </w:r>
    </w:p>
    <w:p>
      <w:pPr>
        <w:pStyle w:val="89"/>
        <w:outlineLvl w:val="1"/>
        <w:rPr>
          <w:rFonts w:hint="eastAsia" w:ascii="宋体" w:hAnsi="宋体" w:eastAsia="宋体" w:cs="宋体"/>
          <w:color w:val="auto"/>
          <w:highlight w:val="none"/>
        </w:rPr>
      </w:pPr>
      <w:bookmarkStart w:id="39" w:name="_Toc514054477"/>
      <w:bookmarkStart w:id="40" w:name="_Toc29013"/>
      <w:r>
        <w:rPr>
          <w:rFonts w:hint="eastAsia" w:ascii="宋体" w:hAnsi="宋体" w:eastAsia="宋体" w:cs="宋体"/>
          <w:color w:val="auto"/>
          <w:highlight w:val="none"/>
        </w:rPr>
        <w:t>六、开标、资格审查、评标程序</w:t>
      </w:r>
      <w:bookmarkEnd w:id="39"/>
      <w:bookmarkEnd w:id="40"/>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23、开标会议</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23.1代理机构工作人员按招标文件规定的时间、地点组织公开开标。采购单位代表及有关工作人员参加，政府采购监管等部门代表有权参与监管。</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23.2开标会议由代理机构工作人员主持。</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23.3开标会议上将当众公布投标人名称、投标报价等主要内容。</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开标过程的相关记录，由参加开标的各投标人代表和相关工作人员签字确认。因投标人原因未签字确认的，视同认可开标结果。</w:t>
      </w:r>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24、开标流程</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主持人按下列程序进行开标，开标按分包顺序进行。</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24.1宣读开标会议纪律；</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24.2公布投标单位名单；</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24.3唱标；</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24.3.1 如项目有多个分包，按项目分包顺序依次唱标；</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24.3.2 每一分包按照递交投标文件的逆顺序唱标；</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24.4开标会议结束。</w:t>
      </w:r>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25、资格审查</w:t>
      </w:r>
    </w:p>
    <w:p>
      <w:pPr>
        <w:spacing w:line="500" w:lineRule="exact"/>
        <w:ind w:firstLine="480" w:firstLineChars="200"/>
        <w:rPr>
          <w:rFonts w:hint="eastAsia" w:ascii="宋体" w:hAnsi="宋体" w:cs="宋体"/>
          <w:color w:val="auto"/>
          <w:sz w:val="24"/>
          <w:highlight w:val="none"/>
        </w:rPr>
      </w:pPr>
      <w:bookmarkStart w:id="41" w:name="EBa9c0a2c9e523494487594c65b2a92370"/>
      <w:r>
        <w:rPr>
          <w:rFonts w:hint="eastAsia" w:ascii="宋体" w:hAnsi="宋体" w:cs="宋体"/>
          <w:color w:val="auto"/>
          <w:sz w:val="24"/>
          <w:highlight w:val="none"/>
        </w:rPr>
        <w:t>开标结束后，采购人或经采购人委托的采购代理机构依法据招标文件规定对投标人的资格证明文件等进行审查。</w:t>
      </w:r>
      <w:bookmarkEnd w:id="41"/>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26、评标委员会</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采购人应根据本项目的特点依法组建评标委员会。评标委员会负责具体评标事务，对资格审查合格的投标人进行评标，并独立履行相关职责。</w:t>
      </w:r>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27、评标原则</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“公平、公正、客观、择优”为评标的基本原则，评标委员会将根据这一原则，公正、平等地对待各投标人。</w:t>
      </w:r>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28、评标程序</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42" w:name="EB48e5ba2667fe4390bf237677a47020dd"/>
      <w:r>
        <w:rPr>
          <w:rFonts w:hint="eastAsia" w:ascii="宋体" w:hAnsi="宋体" w:cs="宋体"/>
          <w:color w:val="auto"/>
          <w:sz w:val="24"/>
          <w:highlight w:val="none"/>
        </w:rPr>
        <w:t>所谓重大偏离是指投标人投标文件中所述设备质量、技术规格、数量、交货期和服务等明显不能满足招标文件要求。</w:t>
      </w:r>
      <w:bookmarkEnd w:id="42"/>
      <w:r>
        <w:rPr>
          <w:rFonts w:hint="eastAsia" w:ascii="宋体" w:hAnsi="宋体" w:cs="宋体"/>
          <w:color w:val="auto"/>
          <w:sz w:val="24"/>
          <w:highlight w:val="none"/>
        </w:rPr>
        <w:t>重大偏离的认定须经评标委员会三分之二以上同意。</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评标委员会判断“投标文件”的响应性，基于“投标文件”本身和招标文件要求提供的技术支持而不靠外部证据。对非实质性响应的投标文件，投标人不能通过修正或撤销不符之处，而使其成为实质性响应。</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28.2澄清有关问题。</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28.2.1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并加盖公章，或者由法定代表人或其授权的代表签字。投标人的澄清、说明或者补正不得超出投标文件的范围或者改变投标文件的实质性内容。</w:t>
      </w:r>
    </w:p>
    <w:p>
      <w:pPr>
        <w:spacing w:line="500" w:lineRule="exact"/>
        <w:ind w:firstLine="600" w:firstLineChars="250"/>
        <w:rPr>
          <w:rFonts w:hint="eastAsia" w:ascii="宋体" w:hAnsi="宋体" w:cs="宋体"/>
          <w:color w:val="auto"/>
          <w:sz w:val="24"/>
          <w:highlight w:val="none"/>
        </w:rPr>
      </w:pPr>
      <w:r>
        <w:rPr>
          <w:rFonts w:hint="eastAsia" w:ascii="宋体" w:hAnsi="宋体" w:cs="宋体"/>
          <w:color w:val="auto"/>
          <w:sz w:val="24"/>
          <w:highlight w:val="none"/>
        </w:rPr>
        <w:t>28.2.2投标文件报价出现前后不一致的，除招标文件另有规定外，按照下列规定修正：</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①投标文件中开标一览表（报价表）内容与投标文件中相应内容不一致的，以开标一览表（报价表）为准；</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②大写金额和小写金额不一致的，以大写金额为准；</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③单价金额小数点或者百分比有明显错位的，以开标一览表的总价为准，并修改单价；</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④总价金额与按单价汇总金额不一致的，以单价金额计算结果为准。</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同时出现两种以上不一致的，按照前款规定的顺序修正。修正后的报价，经投标人确认后产生约束力，投标人不确认的，其投标无效。</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28.4比较。评标委员会将按招标文件中规定的评标方法和标准，对符合性检查合格的投标文件进行商务和技术评比。</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28.5推荐中标候选人。评标委员会按照招标文件中规定的评标方法和标准推荐中标候选人。</w:t>
      </w:r>
      <w:bookmarkStart w:id="43" w:name="EB66024636071342209da8bda483232040"/>
      <w:r>
        <w:rPr>
          <w:rFonts w:hint="eastAsia" w:ascii="宋体" w:hAnsi="宋体" w:cs="宋体"/>
          <w:color w:val="auto"/>
          <w:sz w:val="24"/>
          <w:highlight w:val="none"/>
        </w:rPr>
        <w:t xml:space="preserve"> </w:t>
      </w:r>
      <w:bookmarkEnd w:id="43"/>
    </w:p>
    <w:p>
      <w:pPr>
        <w:spacing w:line="500" w:lineRule="exact"/>
        <w:ind w:firstLine="482" w:firstLineChars="200"/>
        <w:rPr>
          <w:rFonts w:ascii="宋体" w:hAnsi="宋体" w:cs="宋体"/>
          <w:b/>
          <w:bCs/>
          <w:color w:val="auto"/>
          <w:sz w:val="24"/>
          <w:highlight w:val="none"/>
        </w:rPr>
      </w:pPr>
      <w:bookmarkStart w:id="44" w:name="EBf6bd108017b14bde8ec3ea4804c87c27"/>
      <w:r>
        <w:rPr>
          <w:rFonts w:hint="eastAsia" w:ascii="宋体" w:hAnsi="宋体" w:cs="宋体"/>
          <w:b/>
          <w:bCs/>
          <w:color w:val="auto"/>
          <w:sz w:val="24"/>
          <w:highlight w:val="none"/>
        </w:rPr>
        <w:t>29、政府采购政策功能落实</w:t>
      </w:r>
    </w:p>
    <w:p>
      <w:pPr>
        <w:spacing w:line="500" w:lineRule="exact"/>
        <w:ind w:firstLine="480" w:firstLineChars="200"/>
        <w:rPr>
          <w:rFonts w:hint="eastAsia" w:ascii="宋体" w:hAnsi="宋体" w:cs="宋体"/>
          <w:color w:val="auto"/>
          <w:sz w:val="24"/>
          <w:highlight w:val="none"/>
        </w:rPr>
      </w:pPr>
      <w:bookmarkStart w:id="45" w:name="EBd9bc59d5f2ed4fb8a64ee2e373d8cc72"/>
      <w:r>
        <w:rPr>
          <w:rFonts w:hint="eastAsia" w:ascii="宋体" w:hAnsi="宋体" w:cs="宋体"/>
          <w:color w:val="auto"/>
          <w:sz w:val="24"/>
          <w:highlight w:val="none"/>
        </w:rPr>
        <w:t>29.1 政府采购促进中小企业发展，在政府采购活动中，供应商提供的货物、工程或者服务符合下列情形的，享受中小企业扶持政策：</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（1）在货物采购项目中，货物由中小企业制造，即货物由中小企业生产且使用该中小企业商号或者注册商标；</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（2）在工程采购项目中，工程由中小企业承建，即工程施工单位为中小企业；</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（3）在服务采购项目中，服务由中小企业承接，即提供服务的人员为中小企业依照《中华人民共和国劳动合同法》订立劳动合同的从业人员。</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在货物采购项目中，供应商提供的货物既有中小企业制造货物，也有大型企业制造货物的，不享受中小企业扶持政策。</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中小企业供应商参加政府采购活动，应当出具《中小企业声明函》（格式见后附件），否则不得享受相关中小企业扶持政策。</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中小企业，是指在中华人民共和国境内依法设立，依据国务院批准的中小企业划分标准（详见《关于印发中小企业划型标准规定的通知》</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29.5 提供的产品属于信息安全产品的，供应商应当选择经国家认证的信息安全产品投标，并提供由中国信息安全认证中心按国家标准认证颁发的有效认证证书复印件。</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29.6 提供的产品属于政府强制采购节能产品的，供应商应当选择依据国家标准中二级能效（水效）指标认证的节能产品投标，并提供有效的节能产品认证证书复印件。</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29.7提供的产品属于环境标志产品的,供应商应当选择依据相关标准的最新版本认证的环境标志产品投标,并提供有效的环境标志产品认证证书复印件。 </w:t>
      </w:r>
      <w:bookmarkEnd w:id="45"/>
    </w:p>
    <w:p>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29.8</w:t>
      </w:r>
      <w:r>
        <w:rPr>
          <w:rFonts w:hint="eastAsia" w:ascii="宋体" w:hAnsi="宋体" w:eastAsia="宋体" w:cs="宋体"/>
          <w:color w:val="auto"/>
          <w:sz w:val="24"/>
          <w:highlight w:val="none"/>
        </w:rPr>
        <w:t>落实政府采购《商品包装政府采购需求标准(试行)》、《快递包装政府采购需求标准（试行）》（财办库〔2020〕123号〕、《绿色数据中心政府采购需求标准（试行）》（财库〔2023]7号）等需求标准。</w:t>
      </w:r>
    </w:p>
    <w:p>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29.8.</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商品包装环保要求：应当按《关于印发〈商品包装政府采购需求标准（试行）〉、〈快递包装政府采购需求标准（试行）〉的通知》（财办库〔2020〕123号）文件执行。</w:t>
      </w:r>
    </w:p>
    <w:p>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（1）商品包装层数不得超过3层，空隙率不大于40%；</w:t>
      </w:r>
    </w:p>
    <w:p>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（2）商品包装尽可能使用单一材质的包装材料，如因功能需求必需使用不同材质，不同材质间应便于分离；</w:t>
      </w:r>
    </w:p>
    <w:p>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（3）商品包装中铅、汞、镉、六价铬的总含量应不大于100mg/kg；</w:t>
      </w:r>
    </w:p>
    <w:p>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（4）商品包装印刷使用的油墨中挥发性有机化合物(VOCs)含量应不大于 5%（以重量计）；</w:t>
      </w:r>
    </w:p>
    <w:p>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（5）塑料材质商品包装上呈现的印刷颜色不得超过 6 色；</w:t>
      </w:r>
    </w:p>
    <w:p>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（6）纸质商品包装应使用 75%以上的可再生纤维原料生产；</w:t>
      </w:r>
    </w:p>
    <w:p>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（7）木质商品包装的原料应来源于可持续性森林。</w:t>
      </w:r>
    </w:p>
    <w:p>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29.8.2 </w:t>
      </w:r>
      <w:r>
        <w:rPr>
          <w:rFonts w:hint="eastAsia" w:ascii="宋体" w:hAnsi="宋体" w:eastAsia="宋体" w:cs="宋体"/>
          <w:color w:val="auto"/>
          <w:sz w:val="24"/>
          <w:highlight w:val="none"/>
        </w:rPr>
        <w:t>快递包装环保要求：</w:t>
      </w:r>
    </w:p>
    <w:p>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（1）快递包装中重金属（铅、汞、镉、六价铬）总量应不大于 100mg/kg；</w:t>
      </w:r>
    </w:p>
    <w:p>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（2）快递包装印刷使用的油墨中不应添加邻苯二甲酸酯，其挥发性有机化合物(VOCs)含量应不大于5%（以重量计）；</w:t>
      </w:r>
    </w:p>
    <w:p>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（3）快递包装中使用纸基材的包装材料，纸基材中的有机氯的含量应不大于 150 mg/kg；</w:t>
      </w:r>
    </w:p>
    <w:p>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（5）快递中使用的塑料包装袋不得使用聚氯乙烯作为原料，且原料应为单一材质制成，生物分解率大于60%；</w:t>
      </w:r>
    </w:p>
    <w:p>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（6）快递中使用的充气类填充物不得使用聚氯乙烯作为 原料，且原料为单一材质制成，生物分解率大于60%；</w:t>
      </w:r>
    </w:p>
    <w:p>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（7）快递中使用的集装袋应为单一材质制成，其重复使用次数应不小于 80 次；</w:t>
      </w:r>
    </w:p>
    <w:p>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（8）快递中应使用幅宽不大于45mm 的生物降解胶带；</w:t>
      </w:r>
    </w:p>
    <w:p>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（9）快递包装中不得使用溶剂型胶粘剂；</w:t>
      </w:r>
    </w:p>
    <w:p>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（11）快递应使用电子面单；</w:t>
      </w:r>
    </w:p>
    <w:p>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（12）直接使用商品包装作为快递包装的商品，其商品包装满足《商品包装政府采购需求标准（试行）》即可；</w:t>
      </w:r>
    </w:p>
    <w:p>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（13）快递包装产品质量和封装方式应符合相关国家或行业标准技术指标要求。</w:t>
      </w:r>
    </w:p>
    <w:p>
      <w:pPr>
        <w:spacing w:line="50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29.9 绿色低碳管理目标和服务要求：在物业、合同能源管理等服务类采购项目需求中，要强化绿色低碳管理目标和服务要求，促进绿色产品和服务推广应用。</w:t>
      </w:r>
    </w:p>
    <w:p>
      <w:pPr>
        <w:spacing w:line="50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29.10低挥发性有机化合物产品：</w:t>
      </w:r>
      <w:r>
        <w:rPr>
          <w:rFonts w:hint="eastAsia" w:ascii="宋体" w:hAnsi="宋体" w:eastAsia="宋体" w:cs="宋体"/>
          <w:color w:val="auto"/>
          <w:sz w:val="24"/>
          <w:highlight w:val="none"/>
          <w:lang w:val="zh-CN" w:eastAsia="zh-CN"/>
        </w:rPr>
        <w:t>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eastAsia="宋体" w:cs="宋体"/>
          <w:color w:val="auto"/>
          <w:sz w:val="24"/>
          <w:highlight w:val="none"/>
          <w:lang w:val="en-US" w:eastAsia="zh-CN"/>
        </w:rPr>
        <w:t>予以评审优惠。</w:t>
      </w:r>
      <w:r>
        <w:rPr>
          <w:rFonts w:hint="eastAsia" w:ascii="宋体" w:hAnsi="宋体" w:eastAsia="宋体" w:cs="宋体"/>
          <w:color w:val="auto"/>
          <w:sz w:val="24"/>
          <w:highlight w:val="none"/>
          <w:lang w:val="zh-CN" w:eastAsia="zh-CN"/>
        </w:rPr>
        <w:t>在通用类货物、家具、印刷、公务车辆维修等采购项目中，供应商</w:t>
      </w:r>
      <w:r>
        <w:rPr>
          <w:rFonts w:hint="eastAsia" w:ascii="宋体" w:hAnsi="宋体" w:eastAsia="宋体" w:cs="宋体"/>
          <w:color w:val="auto"/>
          <w:sz w:val="24"/>
          <w:highlight w:val="none"/>
          <w:lang w:val="en-US" w:eastAsia="zh-CN"/>
        </w:rPr>
        <w:t>应</w:t>
      </w:r>
      <w:r>
        <w:rPr>
          <w:rFonts w:hint="eastAsia" w:ascii="宋体" w:hAnsi="宋体" w:eastAsia="宋体" w:cs="宋体"/>
          <w:color w:val="auto"/>
          <w:sz w:val="24"/>
          <w:highlight w:val="none"/>
          <w:lang w:val="zh-CN" w:eastAsia="zh-CN"/>
        </w:rPr>
        <w:t>优先使用低挥发性原辅材料</w:t>
      </w:r>
      <w:r>
        <w:rPr>
          <w:rFonts w:hint="eastAsia" w:ascii="宋体" w:hAnsi="宋体" w:eastAsia="宋体" w:cs="宋体"/>
          <w:color w:val="auto"/>
          <w:sz w:val="24"/>
          <w:highlight w:val="none"/>
          <w:lang w:val="en-US" w:eastAsia="zh-CN"/>
        </w:rPr>
        <w:t>，将使用低</w:t>
      </w:r>
      <w:r>
        <w:rPr>
          <w:rFonts w:hint="eastAsia" w:ascii="宋体" w:hAnsi="宋体" w:eastAsia="宋体" w:cs="宋体"/>
          <w:color w:val="auto"/>
          <w:sz w:val="24"/>
          <w:highlight w:val="none"/>
          <w:lang w:val="zh-CN" w:eastAsia="zh-CN"/>
        </w:rPr>
        <w:t>VOCs含量的</w:t>
      </w:r>
      <w:r>
        <w:rPr>
          <w:rFonts w:hint="eastAsia" w:ascii="宋体" w:hAnsi="宋体" w:eastAsia="宋体" w:cs="宋体"/>
          <w:color w:val="auto"/>
          <w:sz w:val="24"/>
          <w:highlight w:val="none"/>
          <w:lang w:val="en-US" w:eastAsia="zh-CN"/>
        </w:rPr>
        <w:t>涂料、</w:t>
      </w:r>
      <w:r>
        <w:rPr>
          <w:rFonts w:hint="eastAsia" w:ascii="宋体" w:hAnsi="宋体" w:eastAsia="宋体" w:cs="宋体"/>
          <w:color w:val="auto"/>
          <w:sz w:val="24"/>
          <w:highlight w:val="none"/>
          <w:lang w:val="zh-CN" w:eastAsia="zh-CN"/>
        </w:rPr>
        <w:t>胶黏剂</w:t>
      </w:r>
      <w:r>
        <w:rPr>
          <w:rFonts w:hint="eastAsia" w:ascii="宋体" w:hAnsi="宋体" w:eastAsia="宋体" w:cs="宋体"/>
          <w:color w:val="auto"/>
          <w:sz w:val="24"/>
          <w:highlight w:val="none"/>
          <w:lang w:val="en-US" w:eastAsia="zh-CN"/>
        </w:rPr>
        <w:t>等纳入合同条款。</w:t>
      </w:r>
    </w:p>
    <w:p>
      <w:pPr>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29.11落实政府采购《绿色建筑和绿色建材政府采购需求标准》（财库〔2022〕35号文）和《政府采购支持绿色建材促进建筑品质提升政策项目实施指南》（财办库〔2023〕52号）文件标准。</w:t>
      </w:r>
    </w:p>
    <w:p>
      <w:pPr>
        <w:pStyle w:val="61"/>
        <w:ind w:firstLine="480" w:firstLineChars="200"/>
        <w:rPr>
          <w:rFonts w:hint="eastAsia"/>
          <w:color w:val="auto"/>
          <w:highlight w:val="none"/>
        </w:rPr>
      </w:pPr>
      <w:r>
        <w:rPr>
          <w:rFonts w:hint="eastAsia" w:ascii="宋体" w:hAnsi="宋体" w:eastAsia="宋体" w:cs="宋体"/>
          <w:color w:val="auto"/>
          <w:sz w:val="24"/>
          <w:highlight w:val="none"/>
          <w:lang w:val="en-US" w:eastAsia="zh-CN"/>
        </w:rPr>
        <w:t>29.12未按要求提供相关材料的，不享受相关政策。</w:t>
      </w:r>
    </w:p>
    <w:p>
      <w:pPr>
        <w:pStyle w:val="89"/>
        <w:outlineLvl w:val="1"/>
        <w:rPr>
          <w:rFonts w:hint="eastAsia" w:ascii="宋体" w:hAnsi="宋体" w:eastAsia="宋体" w:cs="宋体"/>
          <w:color w:val="auto"/>
          <w:highlight w:val="none"/>
        </w:rPr>
      </w:pPr>
      <w:bookmarkStart w:id="46" w:name="_Toc9744"/>
      <w:bookmarkStart w:id="47" w:name="_Toc514054478"/>
      <w:bookmarkStart w:id="48" w:name="_Toc81493168"/>
      <w:r>
        <w:rPr>
          <w:rFonts w:hint="eastAsia" w:ascii="宋体" w:hAnsi="宋体" w:eastAsia="宋体" w:cs="宋体"/>
          <w:color w:val="auto"/>
          <w:highlight w:val="none"/>
        </w:rPr>
        <w:t>七、中标及合同签订</w:t>
      </w:r>
      <w:bookmarkEnd w:id="46"/>
      <w:bookmarkEnd w:id="47"/>
      <w:bookmarkEnd w:id="48"/>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30、标后审查</w:t>
      </w:r>
    </w:p>
    <w:p>
      <w:pPr>
        <w:spacing w:line="500" w:lineRule="exact"/>
        <w:ind w:firstLine="480" w:firstLineChars="200"/>
        <w:rPr>
          <w:rFonts w:hint="eastAsia" w:ascii="宋体" w:hAnsi="宋体" w:cs="宋体"/>
          <w:color w:val="auto"/>
          <w:sz w:val="24"/>
          <w:highlight w:val="none"/>
        </w:rPr>
      </w:pPr>
      <w:bookmarkStart w:id="49" w:name="EB17cdacdfdd1244abbb73389fe0bfffe7"/>
      <w:r>
        <w:rPr>
          <w:rFonts w:hint="eastAsia" w:ascii="宋体" w:hAnsi="宋体" w:cs="宋体"/>
          <w:color w:val="auto"/>
          <w:sz w:val="24"/>
          <w:highlight w:val="none"/>
        </w:rPr>
        <w:t>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49"/>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31、确定中标人</w:t>
      </w:r>
    </w:p>
    <w:p>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31.1采购人应当自收到评标报告之日起5个工作日内，在评标报告确定的中标候选人名单中按顺序确定中标人。中标候选人并列的，由采购人在相关部门监督下通过随机抽取的方式确定。</w:t>
      </w:r>
    </w:p>
    <w:p>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31.2 在中标结果公告届满之前，中标人被列为失信被执行人的，取消其中标资格，并重新确定中标人。</w:t>
      </w:r>
    </w:p>
    <w:p>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31.3采购人不得通过对样品进行检测、对供应商进行考察等方式改变评审结果。</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32、中标通知书</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32.1中标结果在财政部门指定信息媒体上发布公告，招标代理机构将向中标人发出中标通知书。</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32.2中标人应及时到招标代理机构领取中标通知书，中标通知书是签订合同的依据和组成部分。</w:t>
      </w:r>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33、签订合同</w:t>
      </w:r>
    </w:p>
    <w:p>
      <w:pPr>
        <w:tabs>
          <w:tab w:val="left" w:pos="420"/>
        </w:tabs>
        <w:spacing w:line="500" w:lineRule="exact"/>
        <w:ind w:firstLine="480" w:firstLineChars="200"/>
        <w:rPr>
          <w:rFonts w:hint="eastAsia" w:ascii="宋体" w:hAnsi="宋体" w:cs="宋体"/>
          <w:color w:val="auto"/>
          <w:sz w:val="24"/>
          <w:highlight w:val="none"/>
        </w:rPr>
      </w:pPr>
      <w:r>
        <w:rPr>
          <w:rFonts w:hint="eastAsia" w:ascii="宋体" w:hAnsi="宋体" w:cs="宋体"/>
          <w:color w:val="auto"/>
          <w:kern w:val="0"/>
          <w:sz w:val="24"/>
          <w:highlight w:val="none"/>
        </w:rPr>
        <w:t>33.1中标人与采购人应当在中标通知书发出之日起30日内签订采购合同，并将合同送采购代理机构登记。招标文件、中标人的投标文件以及评标过程中有关澄清文件均作为合同附件。</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33.2中标人无正当理由未在规定时间内与采购人签订合同的，采购人有权建议取消其中标资格，监管部门将对其依法处理。</w:t>
      </w:r>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34、履约保证金</w:t>
      </w:r>
    </w:p>
    <w:p>
      <w:pPr>
        <w:ind w:firstLine="480" w:firstLineChars="200"/>
        <w:rPr>
          <w:rFonts w:hint="eastAsia" w:ascii="宋体" w:hAnsi="宋体" w:cs="宋体"/>
          <w:color w:val="auto"/>
          <w:sz w:val="24"/>
          <w:szCs w:val="24"/>
          <w:highlight w:val="none"/>
        </w:rPr>
      </w:pPr>
      <w:bookmarkStart w:id="50" w:name="EB3094b551b51c42ca93e0255d679fb06f"/>
      <w:r>
        <w:rPr>
          <w:rFonts w:hint="eastAsia" w:ascii="宋体" w:hAnsi="宋体" w:cs="宋体"/>
          <w:color w:val="auto"/>
          <w:sz w:val="24"/>
          <w:szCs w:val="24"/>
          <w:highlight w:val="none"/>
        </w:rPr>
        <w:t xml:space="preserve">见前附表。 </w:t>
      </w:r>
      <w:bookmarkEnd w:id="50"/>
      <w:bookmarkStart w:id="51" w:name="EB0d6067c6e00d44b1ad5603550c455e87"/>
      <w:r>
        <w:rPr>
          <w:rFonts w:hint="eastAsia" w:ascii="宋体" w:hAnsi="宋体" w:cs="宋体"/>
          <w:color w:val="auto"/>
          <w:sz w:val="24"/>
          <w:szCs w:val="24"/>
          <w:highlight w:val="none"/>
        </w:rPr>
        <w:t xml:space="preserve"> </w:t>
      </w:r>
      <w:bookmarkEnd w:id="51"/>
    </w:p>
    <w:p>
      <w:pPr>
        <w:pStyle w:val="89"/>
        <w:outlineLvl w:val="1"/>
        <w:rPr>
          <w:rFonts w:hint="eastAsia" w:ascii="宋体" w:hAnsi="宋体" w:eastAsia="宋体" w:cs="宋体"/>
          <w:color w:val="auto"/>
          <w:highlight w:val="none"/>
        </w:rPr>
      </w:pPr>
      <w:bookmarkStart w:id="52" w:name="_Toc514054479"/>
      <w:bookmarkStart w:id="53" w:name="_Toc81493169"/>
      <w:bookmarkStart w:id="54" w:name="_Toc25599"/>
      <w:r>
        <w:rPr>
          <w:rFonts w:hint="eastAsia" w:ascii="宋体" w:hAnsi="宋体" w:eastAsia="宋体" w:cs="宋体"/>
          <w:color w:val="auto"/>
          <w:highlight w:val="none"/>
        </w:rPr>
        <w:t>八、验收及付款</w:t>
      </w:r>
      <w:bookmarkEnd w:id="52"/>
      <w:bookmarkEnd w:id="53"/>
      <w:bookmarkEnd w:id="54"/>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35、验收</w:t>
      </w:r>
    </w:p>
    <w:p>
      <w:pPr>
        <w:spacing w:line="500" w:lineRule="exact"/>
        <w:ind w:firstLine="480" w:firstLineChars="200"/>
        <w:rPr>
          <w:rFonts w:hint="eastAsia" w:ascii="宋体" w:hAnsi="宋体" w:cs="宋体"/>
          <w:color w:val="auto"/>
          <w:sz w:val="24"/>
          <w:highlight w:val="none"/>
        </w:rPr>
      </w:pPr>
      <w:bookmarkStart w:id="55" w:name="EBbbb2492ed6b84c9193a6bb6f72a512f3"/>
      <w:r>
        <w:rPr>
          <w:rFonts w:hint="eastAsia" w:ascii="宋体" w:hAnsi="宋体" w:cs="宋体"/>
          <w:color w:val="auto"/>
          <w:sz w:val="24"/>
          <w:highlight w:val="none"/>
        </w:rPr>
        <w:t>35.1由采购人组织验收，中标人配合。</w:t>
      </w:r>
      <w:bookmarkEnd w:id="55"/>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36、付款</w:t>
      </w:r>
    </w:p>
    <w:p>
      <w:pPr>
        <w:spacing w:line="500" w:lineRule="exact"/>
        <w:ind w:firstLine="480" w:firstLineChars="200"/>
        <w:rPr>
          <w:rFonts w:hint="eastAsia" w:ascii="宋体" w:hAnsi="宋体" w:cs="宋体"/>
          <w:color w:val="auto"/>
          <w:sz w:val="24"/>
          <w:highlight w:val="none"/>
        </w:rPr>
      </w:pPr>
      <w:bookmarkStart w:id="56" w:name="EBf0da31fab3a04ad0893de83144a87b34"/>
      <w:r>
        <w:rPr>
          <w:rFonts w:hint="eastAsia" w:ascii="宋体" w:hAnsi="宋体" w:cs="宋体"/>
          <w:color w:val="auto"/>
          <w:sz w:val="24"/>
          <w:highlight w:val="none"/>
        </w:rPr>
        <w:t>36.1</w:t>
      </w:r>
      <w:bookmarkEnd w:id="56"/>
      <w:r>
        <w:rPr>
          <w:rFonts w:hint="eastAsia" w:ascii="宋体" w:hAnsi="宋体" w:cs="宋体"/>
          <w:color w:val="auto"/>
          <w:sz w:val="24"/>
          <w:highlight w:val="none"/>
        </w:rPr>
        <w:t xml:space="preserve"> 中标人按招标文件和采购人要求办理采购款支付手续。</w:t>
      </w:r>
    </w:p>
    <w:p>
      <w:pPr>
        <w:pStyle w:val="89"/>
        <w:outlineLvl w:val="1"/>
        <w:rPr>
          <w:rFonts w:hint="eastAsia" w:ascii="宋体" w:hAnsi="宋体" w:eastAsia="宋体" w:cs="宋体"/>
          <w:color w:val="auto"/>
          <w:highlight w:val="none"/>
        </w:rPr>
      </w:pPr>
      <w:bookmarkStart w:id="57" w:name="_Toc81493170"/>
      <w:bookmarkStart w:id="58" w:name="_Toc10945"/>
      <w:bookmarkStart w:id="59" w:name="_Toc514054480"/>
      <w:r>
        <w:rPr>
          <w:rFonts w:hint="eastAsia" w:ascii="宋体" w:hAnsi="宋体" w:eastAsia="宋体" w:cs="宋体"/>
          <w:color w:val="auto"/>
          <w:highlight w:val="none"/>
        </w:rPr>
        <w:t>九、质疑与投诉</w:t>
      </w:r>
      <w:bookmarkEnd w:id="57"/>
      <w:bookmarkEnd w:id="58"/>
      <w:bookmarkEnd w:id="59"/>
    </w:p>
    <w:p>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37、质疑与投诉</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37.1投标人认为采购文件、采购过程和中标结果使自己的权益受到损害的，可以在知道或者应知其权益受到损害之日起七个工作日内（具体起算时间见37.2），</w:t>
      </w:r>
      <w:r>
        <w:rPr>
          <w:rFonts w:hint="eastAsia" w:ascii="宋体" w:hAnsi="宋体" w:cs="宋体"/>
          <w:b/>
          <w:color w:val="auto"/>
          <w:sz w:val="24"/>
          <w:highlight w:val="none"/>
        </w:rPr>
        <w:t>将质疑函以书面形式由法定代表人或法人授权代表送达采购代理机构或采购单位</w:t>
      </w:r>
      <w:r>
        <w:rPr>
          <w:rFonts w:hint="eastAsia" w:ascii="宋体" w:hAnsi="宋体" w:cs="宋体"/>
          <w:color w:val="auto"/>
          <w:sz w:val="24"/>
          <w:highlight w:val="none"/>
        </w:rPr>
        <w:t>。质疑超出采购机构代理范围的，供应商应当向采购人提出。</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供应商应在法定质疑期内一次性提出针对同一采购程序环节的质疑。</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供应商质疑实行实名制，其质疑应当有具体的质疑事项及事实根据，并配合采购人、采购代理机构处理质疑。</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37.2供应商应知其权益受到损害之日，是指：</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（1）对本项目采购文件提出质疑的，为采购文件公告期限届满之日；</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（2）对本项目采购过程提出质疑的，为各采购程序环节结束之日；</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（3）对本项目中标或者成交结果提出质疑的，为中标或者成交结果公告期限届满之日。</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37.3投标人委托代理质疑的，应当向代理人提交授权委托书，并载明委托代理的具体权限和事项。 </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37.4质疑函的必备内容</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（1）质疑函必须注明质疑人单位名称、详细地址、邮编、单位和法定代表人电话号码、联系人及电话；</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（2）所参加项目的具体质疑事项及事实依据；</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（3）认为自己合法权益受到损害或可能受到损害的相关证据材料；</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（4）提起质疑的日期； </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（5）质疑函必须由法定代表人签字并加盖公章（委托代理质疑的还应按37.3条规定提供授权委托书）。 </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37.5质疑应符合下列条件：</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（1）质疑人是参与所质疑项目的投标人；</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（2）质疑函内容符合相关的规定；</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（3）在规定的有效期限内提起质疑；</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（4）国务院财政部门规定的其他条件。</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37.6招标采购单位在收到质疑函后，认为质疑函内容、格式等不符合本规定的，告知质疑人进行补正。质疑人应当在法定质疑期限内进行补正并重新提交质疑函，拒不补正或者超过法定期限后未重新提交质疑函的，为无效质疑。</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37.7招标采购单位在收到投标人的书面质疑后七个工作日内作出答复，采购人、采购代理机构可以组织原评标委员会协助答复质疑，并以书面形式通知质疑投标人和其他有关人员，但答复的内容不涉及商业秘密。</w:t>
      </w:r>
    </w:p>
    <w:p>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37.8提出质疑的投标人对答复不满意的，或者采购人、采购代理机构未在规定期限内作出答复的，可以在答复期满后十五个工作日内向同级政府采购监督管理部门投诉。</w:t>
      </w:r>
    </w:p>
    <w:p>
      <w:pPr>
        <w:spacing w:line="500" w:lineRule="exact"/>
        <w:ind w:firstLine="480" w:firstLineChars="200"/>
        <w:rPr>
          <w:rFonts w:hint="eastAsia" w:ascii="宋体" w:hAnsi="宋体" w:cs="宋体"/>
          <w:color w:val="auto"/>
          <w:sz w:val="24"/>
          <w:highlight w:val="none"/>
        </w:rPr>
      </w:pPr>
      <w:bookmarkStart w:id="60" w:name="EB8439d347654149b8973a575299810d6b"/>
      <w:r>
        <w:rPr>
          <w:rFonts w:hint="eastAsia" w:ascii="宋体" w:hAnsi="宋体" w:cs="宋体"/>
          <w:color w:val="auto"/>
          <w:sz w:val="24"/>
          <w:highlight w:val="none"/>
        </w:rPr>
        <w:t>37.9对虚假、恶意质疑投诉、举报将予以驳回，并记录诚信管理档案，降低诚信等级。供应商捏造事实、提供虚假材料或者以非法手段取得证明材料进行投诉的，报请财政部门列入不良行为记录名单，禁止其1至3年内参加政府采购活动。</w:t>
      </w:r>
      <w:bookmarkEnd w:id="60"/>
    </w:p>
    <w:bookmarkEnd w:id="44"/>
    <w:p>
      <w:pPr>
        <w:rPr>
          <w:rFonts w:hint="eastAsia" w:ascii="宋体" w:hAnsi="宋体" w:cs="宋体"/>
          <w:color w:val="auto"/>
          <w:sz w:val="20"/>
          <w:highlight w:val="none"/>
        </w:rPr>
      </w:pPr>
      <w:r>
        <w:rPr>
          <w:rFonts w:hint="eastAsia"/>
          <w:b/>
          <w:color w:val="auto"/>
          <w:sz w:val="44"/>
          <w:szCs w:val="44"/>
          <w:highlight w:val="none"/>
        </w:rPr>
        <w:br w:type="page"/>
      </w:r>
    </w:p>
    <w:p>
      <w:pPr>
        <w:jc w:val="center"/>
        <w:outlineLvl w:val="0"/>
        <w:rPr>
          <w:rFonts w:hint="eastAsia" w:ascii="宋体" w:hAnsi="宋体"/>
          <w:b/>
          <w:color w:val="auto"/>
          <w:sz w:val="44"/>
          <w:szCs w:val="44"/>
          <w:highlight w:val="none"/>
        </w:rPr>
      </w:pPr>
      <w:bookmarkStart w:id="61" w:name="EB4d341233595e4bf8ad7006b4bd78d974"/>
      <w:bookmarkEnd w:id="61"/>
      <w:bookmarkStart w:id="62" w:name="_Toc22015"/>
      <w:r>
        <w:rPr>
          <w:rFonts w:hint="eastAsia" w:ascii="宋体" w:hAnsi="宋体"/>
          <w:b/>
          <w:color w:val="auto"/>
          <w:sz w:val="44"/>
          <w:szCs w:val="44"/>
          <w:highlight w:val="none"/>
        </w:rPr>
        <w:t>第三部分  资格审查及评标办法</w:t>
      </w:r>
      <w:bookmarkEnd w:id="62"/>
    </w:p>
    <w:p>
      <w:pPr>
        <w:spacing w:before="156" w:beforeLines="50" w:after="156" w:afterLines="50"/>
        <w:ind w:firstLine="643" w:firstLineChars="200"/>
        <w:outlineLvl w:val="1"/>
        <w:rPr>
          <w:rFonts w:ascii="宋体" w:hAnsi="宋体"/>
          <w:b/>
          <w:color w:val="auto"/>
          <w:sz w:val="32"/>
          <w:szCs w:val="32"/>
          <w:highlight w:val="none"/>
        </w:rPr>
      </w:pPr>
      <w:bookmarkStart w:id="63" w:name="_Toc24217_WPSOffice_Level2"/>
      <w:bookmarkStart w:id="64" w:name="_Toc4647"/>
      <w:r>
        <w:rPr>
          <w:rFonts w:hint="eastAsia" w:ascii="宋体" w:hAnsi="宋体"/>
          <w:b/>
          <w:color w:val="auto"/>
          <w:sz w:val="32"/>
          <w:szCs w:val="32"/>
          <w:highlight w:val="none"/>
        </w:rPr>
        <w:t>一、资格审查</w:t>
      </w:r>
      <w:bookmarkEnd w:id="63"/>
      <w:bookmarkEnd w:id="64"/>
    </w:p>
    <w:p>
      <w:pPr>
        <w:ind w:firstLine="420"/>
        <w:rPr>
          <w:rFonts w:hint="eastAsia" w:ascii="宋体" w:hAnsi="宋体" w:cs="宋体"/>
          <w:color w:val="auto"/>
          <w:sz w:val="24"/>
          <w:highlight w:val="none"/>
        </w:rPr>
      </w:pPr>
      <w:r>
        <w:rPr>
          <w:rFonts w:hint="eastAsia" w:ascii="宋体" w:hAnsi="宋体" w:cs="宋体"/>
          <w:color w:val="auto"/>
          <w:sz w:val="24"/>
          <w:highlight w:val="none"/>
        </w:rPr>
        <w:t>采购人按照下列指标对各投标人的资格进行审查，未通过审查的为无效标，不参与评标。</w:t>
      </w:r>
    </w:p>
    <w:tbl>
      <w:tblPr>
        <w:tblStyle w:val="63"/>
        <w:tblW w:w="0" w:type="auto"/>
        <w:tblInd w:w="-8"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fixed"/>
        <w:tblCellMar>
          <w:top w:w="0" w:type="dxa"/>
          <w:left w:w="0" w:type="dxa"/>
          <w:bottom w:w="0" w:type="dxa"/>
          <w:right w:w="0" w:type="dxa"/>
        </w:tblCellMar>
      </w:tblPr>
      <w:tblGrid>
        <w:gridCol w:w="4828"/>
        <w:gridCol w:w="4032"/>
      </w:tblGrid>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828" w:type="dxa"/>
            <w:tcBorders>
              <w:top w:val="outset" w:color="auto" w:sz="6" w:space="0"/>
              <w:left w:val="outset" w:color="auto" w:sz="6" w:space="0"/>
              <w:bottom w:val="outset" w:color="auto" w:sz="6" w:space="0"/>
              <w:right w:val="outset" w:color="auto" w:sz="6" w:space="0"/>
            </w:tcBorders>
            <w:noWrap w:val="0"/>
            <w:vAlign w:val="center"/>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资格审查因素</w:t>
            </w:r>
          </w:p>
        </w:tc>
        <w:tc>
          <w:tcPr>
            <w:tcW w:w="4032" w:type="dxa"/>
            <w:tcBorders>
              <w:top w:val="outset" w:color="auto" w:sz="6" w:space="0"/>
              <w:left w:val="outset" w:color="auto" w:sz="6" w:space="0"/>
              <w:bottom w:val="outset" w:color="auto" w:sz="6" w:space="0"/>
              <w:right w:val="outset" w:color="auto" w:sz="6" w:space="0"/>
            </w:tcBorders>
            <w:noWrap w:val="0"/>
            <w:vAlign w:val="center"/>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审查标准</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90" w:hRule="atLeast"/>
        </w:trPr>
        <w:tc>
          <w:tcPr>
            <w:tcW w:w="4828" w:type="dxa"/>
            <w:tcBorders>
              <w:top w:val="outset" w:color="auto" w:sz="6" w:space="0"/>
              <w:left w:val="outset" w:color="auto" w:sz="6" w:space="0"/>
              <w:bottom w:val="outset" w:color="auto" w:sz="6" w:space="0"/>
              <w:right w:val="outset" w:color="auto" w:sz="6" w:space="0"/>
            </w:tcBorders>
            <w:noWrap w:val="0"/>
            <w:vAlign w:val="center"/>
          </w:tcPr>
          <w:p>
            <w:pPr>
              <w:jc w:val="left"/>
              <w:rPr>
                <w:rFonts w:hint="eastAsia" w:ascii="宋体" w:hAnsi="宋体" w:eastAsia="宋体" w:cs="宋体"/>
                <w:color w:val="auto"/>
                <w:highlight w:val="none"/>
              </w:rPr>
            </w:pPr>
            <w:r>
              <w:rPr>
                <w:rFonts w:hint="eastAsia" w:ascii="宋体" w:hAnsi="宋体" w:eastAsia="宋体" w:cs="宋体"/>
                <w:color w:val="auto"/>
                <w:highlight w:val="none"/>
              </w:rPr>
              <w:t>投标人</w:t>
            </w:r>
            <w:r>
              <w:rPr>
                <w:rFonts w:ascii="宋体" w:hAnsi="宋体" w:eastAsia="宋体" w:cs="宋体"/>
                <w:color w:val="auto"/>
                <w:highlight w:val="none"/>
              </w:rPr>
              <w:t>法人营业执照副本（</w:t>
            </w:r>
            <w:r>
              <w:rPr>
                <w:rFonts w:hint="eastAsia" w:ascii="宋体" w:hAnsi="宋体" w:eastAsia="宋体" w:cs="宋体"/>
                <w:color w:val="auto"/>
                <w:highlight w:val="none"/>
              </w:rPr>
              <w:t>“三证合一”的营业执照</w:t>
            </w:r>
            <w:r>
              <w:rPr>
                <w:rFonts w:ascii="宋体" w:hAnsi="宋体" w:eastAsia="宋体" w:cs="宋体"/>
                <w:color w:val="auto"/>
                <w:highlight w:val="none"/>
              </w:rPr>
              <w:t>）</w:t>
            </w:r>
          </w:p>
        </w:tc>
        <w:tc>
          <w:tcPr>
            <w:tcW w:w="4032" w:type="dxa"/>
            <w:vMerge w:val="restart"/>
            <w:tcBorders>
              <w:top w:val="outset" w:color="auto" w:sz="6" w:space="0"/>
              <w:left w:val="outset" w:color="auto" w:sz="6" w:space="0"/>
              <w:bottom w:val="outset" w:color="auto" w:sz="6" w:space="0"/>
              <w:right w:val="outset" w:color="auto" w:sz="6" w:space="0"/>
            </w:tcBorders>
            <w:noWrap w:val="0"/>
            <w:vAlign w:val="center"/>
          </w:tcPr>
          <w:p>
            <w:pPr>
              <w:jc w:val="left"/>
              <w:rPr>
                <w:rFonts w:hint="eastAsia" w:ascii="宋体" w:hAnsi="宋体" w:eastAsia="宋体" w:cs="宋体"/>
                <w:color w:val="auto"/>
                <w:highlight w:val="none"/>
              </w:rPr>
            </w:pPr>
            <w:r>
              <w:rPr>
                <w:rFonts w:hint="eastAsia" w:ascii="宋体" w:hAnsi="宋体" w:eastAsia="宋体" w:cs="宋体"/>
                <w:color w:val="auto"/>
                <w:highlight w:val="none"/>
              </w:rPr>
              <w:t>符合招标文件第11条“投标文件构成”的要求</w:t>
            </w:r>
          </w:p>
          <w:p>
            <w:pPr>
              <w:jc w:val="left"/>
              <w:rPr>
                <w:rFonts w:hint="eastAsia" w:ascii="宋体" w:hAnsi="宋体" w:eastAsia="宋体" w:cs="宋体"/>
                <w:color w:val="auto"/>
                <w:highlight w:val="none"/>
              </w:rPr>
            </w:pP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828" w:type="dxa"/>
            <w:tcBorders>
              <w:top w:val="outset" w:color="auto" w:sz="6" w:space="0"/>
              <w:left w:val="outset" w:color="auto" w:sz="6" w:space="0"/>
              <w:bottom w:val="outset" w:color="auto" w:sz="6" w:space="0"/>
              <w:right w:val="outset" w:color="auto" w:sz="6" w:space="0"/>
            </w:tcBorders>
            <w:noWrap w:val="0"/>
            <w:vAlign w:val="center"/>
          </w:tcPr>
          <w:p>
            <w:pPr>
              <w:jc w:val="left"/>
              <w:rPr>
                <w:rFonts w:hint="eastAsia" w:ascii="宋体" w:hAnsi="宋体" w:eastAsia="宋体" w:cs="宋体"/>
                <w:color w:val="auto"/>
                <w:highlight w:val="none"/>
              </w:rPr>
            </w:pPr>
            <w:r>
              <w:rPr>
                <w:rFonts w:hint="eastAsia" w:ascii="宋体" w:hAnsi="宋体" w:eastAsia="宋体" w:cs="宋体"/>
                <w:color w:val="auto"/>
                <w:highlight w:val="none"/>
              </w:rPr>
              <w:t>投标人的财务报表</w:t>
            </w:r>
          </w:p>
        </w:tc>
        <w:tc>
          <w:tcPr>
            <w:tcW w:w="4032" w:type="dxa"/>
            <w:vMerge w:val="continue"/>
            <w:tcBorders>
              <w:top w:val="outset" w:color="auto" w:sz="6" w:space="0"/>
              <w:left w:val="outset" w:color="auto" w:sz="6" w:space="0"/>
              <w:bottom w:val="outset" w:color="auto" w:sz="6" w:space="0"/>
              <w:right w:val="outset" w:color="auto" w:sz="6" w:space="0"/>
            </w:tcBorders>
            <w:noWrap w:val="0"/>
            <w:vAlign w:val="center"/>
          </w:tcPr>
          <w:p>
            <w:pPr>
              <w:jc w:val="left"/>
              <w:rPr>
                <w:rFonts w:hint="eastAsia" w:ascii="宋体" w:hAnsi="宋体" w:eastAsia="宋体" w:cs="宋体"/>
                <w:color w:val="auto"/>
                <w:highlight w:val="none"/>
              </w:rPr>
            </w:pP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828" w:type="dxa"/>
            <w:tcBorders>
              <w:top w:val="outset" w:color="auto" w:sz="6" w:space="0"/>
              <w:left w:val="outset" w:color="auto" w:sz="6" w:space="0"/>
              <w:bottom w:val="outset" w:color="auto" w:sz="6" w:space="0"/>
              <w:right w:val="outset" w:color="auto" w:sz="6" w:space="0"/>
            </w:tcBorders>
            <w:noWrap w:val="0"/>
            <w:vAlign w:val="center"/>
          </w:tcPr>
          <w:p>
            <w:pPr>
              <w:jc w:val="left"/>
              <w:rPr>
                <w:rFonts w:hint="eastAsia" w:ascii="宋体" w:hAnsi="宋体" w:eastAsia="宋体" w:cs="宋体"/>
                <w:color w:val="auto"/>
                <w:highlight w:val="none"/>
              </w:rPr>
            </w:pPr>
            <w:r>
              <w:rPr>
                <w:rFonts w:hint="eastAsia" w:ascii="宋体" w:hAnsi="宋体" w:eastAsia="宋体" w:cs="宋体"/>
                <w:color w:val="auto"/>
                <w:highlight w:val="none"/>
              </w:rPr>
              <w:t>缴纳税收和社会保障资金的相关凭据</w:t>
            </w:r>
          </w:p>
        </w:tc>
        <w:tc>
          <w:tcPr>
            <w:tcW w:w="4032" w:type="dxa"/>
            <w:vMerge w:val="continue"/>
            <w:tcBorders>
              <w:top w:val="outset" w:color="auto" w:sz="6" w:space="0"/>
              <w:left w:val="outset" w:color="auto" w:sz="6" w:space="0"/>
              <w:bottom w:val="outset" w:color="auto" w:sz="6" w:space="0"/>
              <w:right w:val="outset" w:color="auto" w:sz="6" w:space="0"/>
            </w:tcBorders>
            <w:noWrap w:val="0"/>
            <w:vAlign w:val="center"/>
          </w:tcPr>
          <w:p>
            <w:pPr>
              <w:jc w:val="left"/>
              <w:rPr>
                <w:rFonts w:hint="eastAsia" w:ascii="宋体" w:hAnsi="宋体" w:eastAsia="宋体" w:cs="宋体"/>
                <w:color w:val="auto"/>
                <w:highlight w:val="none"/>
              </w:rPr>
            </w:pP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828" w:type="dxa"/>
            <w:tcBorders>
              <w:top w:val="outset" w:color="auto" w:sz="6" w:space="0"/>
              <w:left w:val="outset" w:color="auto" w:sz="6" w:space="0"/>
              <w:bottom w:val="outset" w:color="auto" w:sz="6" w:space="0"/>
              <w:right w:val="outset" w:color="auto" w:sz="6" w:space="0"/>
            </w:tcBorders>
            <w:noWrap w:val="0"/>
            <w:vAlign w:val="center"/>
          </w:tcPr>
          <w:p>
            <w:pPr>
              <w:jc w:val="left"/>
              <w:rPr>
                <w:rFonts w:hint="eastAsia" w:ascii="宋体" w:hAnsi="宋体" w:eastAsia="宋体" w:cs="宋体"/>
                <w:color w:val="auto"/>
                <w:highlight w:val="none"/>
              </w:rPr>
            </w:pPr>
            <w:r>
              <w:rPr>
                <w:rFonts w:hint="eastAsia" w:ascii="宋体" w:hAnsi="宋体" w:eastAsia="宋体" w:cs="宋体"/>
                <w:color w:val="auto"/>
                <w:highlight w:val="none"/>
              </w:rPr>
              <w:t>具备履行合同所必需的设备和专业技术能力</w:t>
            </w:r>
          </w:p>
        </w:tc>
        <w:tc>
          <w:tcPr>
            <w:tcW w:w="4032" w:type="dxa"/>
            <w:vMerge w:val="continue"/>
            <w:tcBorders>
              <w:top w:val="outset" w:color="auto" w:sz="6" w:space="0"/>
              <w:left w:val="outset" w:color="auto" w:sz="6" w:space="0"/>
              <w:bottom w:val="outset" w:color="auto" w:sz="6" w:space="0"/>
              <w:right w:val="outset" w:color="auto" w:sz="6" w:space="0"/>
            </w:tcBorders>
            <w:noWrap w:val="0"/>
            <w:vAlign w:val="center"/>
          </w:tcPr>
          <w:p>
            <w:pPr>
              <w:jc w:val="left"/>
              <w:rPr>
                <w:rFonts w:hint="eastAsia" w:ascii="宋体" w:hAnsi="宋体" w:eastAsia="宋体" w:cs="宋体"/>
                <w:color w:val="auto"/>
                <w:highlight w:val="none"/>
              </w:rPr>
            </w:pP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12" w:hRule="atLeast"/>
        </w:trPr>
        <w:tc>
          <w:tcPr>
            <w:tcW w:w="4828" w:type="dxa"/>
            <w:tcBorders>
              <w:top w:val="outset" w:color="auto" w:sz="6" w:space="0"/>
              <w:left w:val="outset" w:color="auto" w:sz="6" w:space="0"/>
              <w:bottom w:val="outset" w:color="auto" w:sz="6" w:space="0"/>
              <w:right w:val="outset" w:color="auto" w:sz="6" w:space="0"/>
            </w:tcBorders>
            <w:noWrap w:val="0"/>
            <w:vAlign w:val="center"/>
          </w:tcPr>
          <w:p>
            <w:pPr>
              <w:jc w:val="left"/>
              <w:rPr>
                <w:rFonts w:hint="eastAsia" w:ascii="宋体" w:hAnsi="宋体" w:eastAsia="宋体" w:cs="宋体"/>
                <w:color w:val="auto"/>
                <w:highlight w:val="none"/>
              </w:rPr>
            </w:pPr>
            <w:r>
              <w:rPr>
                <w:rFonts w:hint="eastAsia" w:ascii="宋体" w:hAnsi="宋体" w:eastAsia="宋体" w:cs="宋体"/>
                <w:color w:val="auto"/>
                <w:highlight w:val="none"/>
              </w:rPr>
              <w:t>无重大违法行为声明</w:t>
            </w:r>
          </w:p>
        </w:tc>
        <w:tc>
          <w:tcPr>
            <w:tcW w:w="4032" w:type="dxa"/>
            <w:vMerge w:val="continue"/>
            <w:tcBorders>
              <w:top w:val="outset" w:color="auto" w:sz="6" w:space="0"/>
              <w:left w:val="outset" w:color="auto" w:sz="6" w:space="0"/>
              <w:bottom w:val="outset" w:color="auto" w:sz="6" w:space="0"/>
              <w:right w:val="outset" w:color="auto" w:sz="6" w:space="0"/>
            </w:tcBorders>
            <w:noWrap w:val="0"/>
            <w:vAlign w:val="center"/>
          </w:tcPr>
          <w:p>
            <w:pPr>
              <w:jc w:val="left"/>
              <w:rPr>
                <w:rFonts w:hint="eastAsia" w:ascii="宋体" w:hAnsi="宋体" w:eastAsia="宋体" w:cs="宋体"/>
                <w:color w:val="auto"/>
                <w:highlight w:val="none"/>
              </w:rPr>
            </w:pP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90" w:hRule="atLeast"/>
        </w:trPr>
        <w:tc>
          <w:tcPr>
            <w:tcW w:w="4828" w:type="dxa"/>
            <w:tcBorders>
              <w:top w:val="outset" w:color="auto" w:sz="6" w:space="0"/>
              <w:left w:val="outset" w:color="auto" w:sz="6" w:space="0"/>
              <w:bottom w:val="outset" w:color="auto" w:sz="6" w:space="0"/>
              <w:right w:val="outset" w:color="auto" w:sz="6" w:space="0"/>
            </w:tcBorders>
            <w:noWrap w:val="0"/>
            <w:vAlign w:val="center"/>
          </w:tcPr>
          <w:p>
            <w:pPr>
              <w:jc w:val="left"/>
              <w:rPr>
                <w:rFonts w:hint="eastAsia" w:ascii="宋体" w:hAnsi="宋体" w:eastAsia="宋体" w:cs="宋体"/>
                <w:color w:val="auto"/>
                <w:highlight w:val="none"/>
              </w:rPr>
            </w:pPr>
            <w:r>
              <w:rPr>
                <w:rFonts w:hint="eastAsia" w:ascii="宋体" w:hAnsi="宋体" w:eastAsia="宋体" w:cs="宋体"/>
                <w:color w:val="auto"/>
                <w:highlight w:val="none"/>
              </w:rPr>
              <w:t>投标人资质</w:t>
            </w:r>
          </w:p>
        </w:tc>
        <w:tc>
          <w:tcPr>
            <w:tcW w:w="4032" w:type="dxa"/>
            <w:vMerge w:val="continue"/>
            <w:tcBorders>
              <w:top w:val="outset" w:color="auto" w:sz="6" w:space="0"/>
              <w:left w:val="outset" w:color="auto" w:sz="6" w:space="0"/>
              <w:bottom w:val="outset" w:color="auto" w:sz="6" w:space="0"/>
              <w:right w:val="outset" w:color="auto" w:sz="6" w:space="0"/>
            </w:tcBorders>
            <w:noWrap w:val="0"/>
            <w:vAlign w:val="center"/>
          </w:tcPr>
          <w:p>
            <w:pPr>
              <w:jc w:val="left"/>
              <w:rPr>
                <w:rFonts w:hint="eastAsia" w:ascii="宋体" w:hAnsi="宋体" w:eastAsia="宋体" w:cs="宋体"/>
                <w:color w:val="auto"/>
                <w:highlight w:val="none"/>
              </w:rPr>
            </w:pP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828" w:type="dxa"/>
            <w:tcBorders>
              <w:top w:val="outset" w:color="auto" w:sz="6" w:space="0"/>
              <w:left w:val="outset" w:color="auto" w:sz="6" w:space="0"/>
              <w:bottom w:val="outset" w:color="auto" w:sz="6" w:space="0"/>
              <w:right w:val="outset" w:color="auto" w:sz="6" w:space="0"/>
            </w:tcBorders>
            <w:noWrap w:val="0"/>
            <w:vAlign w:val="center"/>
          </w:tcPr>
          <w:p>
            <w:pPr>
              <w:jc w:val="left"/>
              <w:rPr>
                <w:rFonts w:hint="eastAsia" w:ascii="宋体" w:hAnsi="宋体" w:eastAsia="宋体" w:cs="宋体"/>
                <w:color w:val="auto"/>
                <w:highlight w:val="none"/>
              </w:rPr>
            </w:pPr>
            <w:r>
              <w:rPr>
                <w:rFonts w:hint="eastAsia" w:ascii="宋体" w:hAnsi="宋体" w:eastAsia="宋体" w:cs="宋体"/>
                <w:color w:val="auto"/>
                <w:highlight w:val="none"/>
              </w:rPr>
              <w:t>信用信息</w:t>
            </w:r>
          </w:p>
        </w:tc>
        <w:tc>
          <w:tcPr>
            <w:tcW w:w="4032" w:type="dxa"/>
            <w:vMerge w:val="continue"/>
            <w:tcBorders>
              <w:top w:val="outset" w:color="auto" w:sz="6" w:space="0"/>
              <w:left w:val="outset" w:color="auto" w:sz="6" w:space="0"/>
              <w:bottom w:val="outset" w:color="auto" w:sz="6" w:space="0"/>
              <w:right w:val="outset" w:color="auto" w:sz="6" w:space="0"/>
            </w:tcBorders>
            <w:noWrap w:val="0"/>
            <w:vAlign w:val="center"/>
          </w:tcPr>
          <w:p>
            <w:pPr>
              <w:jc w:val="left"/>
              <w:rPr>
                <w:rFonts w:hint="eastAsia" w:ascii="宋体" w:hAnsi="宋体" w:eastAsia="宋体" w:cs="宋体"/>
                <w:color w:val="auto"/>
                <w:highlight w:val="none"/>
              </w:rPr>
            </w:pP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828" w:type="dxa"/>
            <w:tcBorders>
              <w:top w:val="outset" w:color="auto" w:sz="6" w:space="0"/>
              <w:left w:val="outset" w:color="auto" w:sz="6" w:space="0"/>
              <w:bottom w:val="outset" w:color="auto" w:sz="6" w:space="0"/>
              <w:right w:val="outset" w:color="auto" w:sz="6" w:space="0"/>
            </w:tcBorders>
            <w:noWrap w:val="0"/>
            <w:vAlign w:val="center"/>
          </w:tcPr>
          <w:p>
            <w:pPr>
              <w:jc w:val="left"/>
              <w:rPr>
                <w:rFonts w:hint="eastAsia" w:ascii="宋体" w:hAnsi="宋体" w:eastAsia="宋体" w:cs="宋体"/>
                <w:color w:val="auto"/>
                <w:highlight w:val="none"/>
              </w:rPr>
            </w:pPr>
            <w:r>
              <w:rPr>
                <w:rFonts w:hint="eastAsia" w:ascii="宋体" w:hAnsi="宋体" w:eastAsia="宋体" w:cs="宋体"/>
                <w:color w:val="auto"/>
                <w:highlight w:val="none"/>
              </w:rPr>
              <w:t>联合体投标</w:t>
            </w:r>
          </w:p>
        </w:tc>
        <w:tc>
          <w:tcPr>
            <w:tcW w:w="4032" w:type="dxa"/>
            <w:tcBorders>
              <w:top w:val="outset" w:color="auto" w:sz="6" w:space="0"/>
              <w:left w:val="outset" w:color="auto" w:sz="6" w:space="0"/>
              <w:bottom w:val="outset" w:color="auto" w:sz="6" w:space="0"/>
              <w:right w:val="outset" w:color="auto" w:sz="6" w:space="0"/>
            </w:tcBorders>
            <w:noWrap w:val="0"/>
            <w:vAlign w:val="center"/>
          </w:tcPr>
          <w:p>
            <w:pPr>
              <w:jc w:val="left"/>
              <w:rPr>
                <w:rFonts w:hint="eastAsia" w:ascii="宋体" w:hAnsi="宋体" w:eastAsia="宋体" w:cs="宋体"/>
                <w:color w:val="auto"/>
                <w:highlight w:val="none"/>
              </w:rPr>
            </w:pPr>
            <w:r>
              <w:rPr>
                <w:rFonts w:hint="eastAsia" w:ascii="宋体" w:hAnsi="宋体" w:eastAsia="宋体" w:cs="宋体"/>
                <w:color w:val="auto"/>
                <w:highlight w:val="none"/>
              </w:rPr>
              <w:t>不接受联合体投标</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828" w:type="dxa"/>
            <w:tcBorders>
              <w:top w:val="outset" w:color="auto" w:sz="6" w:space="0"/>
              <w:left w:val="outset" w:color="auto" w:sz="6" w:space="0"/>
              <w:bottom w:val="outset" w:color="auto" w:sz="6" w:space="0"/>
              <w:right w:val="outset" w:color="auto" w:sz="6" w:space="0"/>
            </w:tcBorders>
            <w:noWrap w:val="0"/>
            <w:vAlign w:val="center"/>
          </w:tcPr>
          <w:p>
            <w:pPr>
              <w:jc w:val="left"/>
              <w:rPr>
                <w:rFonts w:hint="default" w:ascii="宋体" w:hAnsi="宋体" w:eastAsia="宋体" w:cs="宋体"/>
                <w:color w:val="auto"/>
                <w:highlight w:val="none"/>
                <w:lang w:val="en-US" w:eastAsia="zh-CN"/>
              </w:rPr>
            </w:pPr>
            <w:bookmarkStart w:id="65" w:name="_Toc13271_WPSOffice_Level2"/>
            <w:bookmarkStart w:id="66" w:name="_Toc11959"/>
            <w:r>
              <w:rPr>
                <w:rFonts w:hint="eastAsia" w:ascii="宋体" w:hAnsi="宋体" w:cs="宋体"/>
                <w:color w:val="auto"/>
                <w:highlight w:val="none"/>
                <w:lang w:val="en-US" w:eastAsia="zh-CN"/>
              </w:rPr>
              <w:t>特定资格要求（如有）</w:t>
            </w:r>
          </w:p>
        </w:tc>
        <w:tc>
          <w:tcPr>
            <w:tcW w:w="4032" w:type="dxa"/>
            <w:tcBorders>
              <w:top w:val="outset" w:color="auto" w:sz="6" w:space="0"/>
              <w:left w:val="outset" w:color="auto" w:sz="6" w:space="0"/>
              <w:bottom w:val="outset" w:color="auto" w:sz="6" w:space="0"/>
              <w:right w:val="outset" w:color="auto" w:sz="6" w:space="0"/>
            </w:tcBorders>
            <w:noWrap w:val="0"/>
            <w:vAlign w:val="center"/>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符合招标文件要求</w:t>
            </w:r>
          </w:p>
        </w:tc>
      </w:tr>
    </w:tbl>
    <w:p>
      <w:pPr>
        <w:spacing w:before="156" w:beforeLines="50" w:after="156" w:afterLines="50"/>
        <w:ind w:firstLine="643" w:firstLineChars="200"/>
        <w:outlineLvl w:val="1"/>
        <w:rPr>
          <w:rFonts w:hint="eastAsia" w:ascii="宋体" w:hAnsi="宋体" w:cs="宋体"/>
          <w:b/>
          <w:color w:val="auto"/>
          <w:sz w:val="32"/>
          <w:szCs w:val="32"/>
          <w:highlight w:val="none"/>
        </w:rPr>
      </w:pPr>
      <w:r>
        <w:rPr>
          <w:rFonts w:hint="eastAsia" w:ascii="宋体" w:hAnsi="宋体"/>
          <w:b/>
          <w:color w:val="auto"/>
          <w:sz w:val="32"/>
          <w:szCs w:val="32"/>
          <w:highlight w:val="none"/>
        </w:rPr>
        <w:t>二、评分办法—综合评分法</w:t>
      </w:r>
      <w:bookmarkEnd w:id="65"/>
      <w:bookmarkEnd w:id="66"/>
    </w:p>
    <w:p>
      <w:pPr>
        <w:spacing w:line="500" w:lineRule="exact"/>
        <w:ind w:firstLine="482" w:firstLineChars="200"/>
        <w:jc w:val="left"/>
        <w:rPr>
          <w:rFonts w:hint="eastAsia" w:ascii="宋体" w:hAnsi="宋体" w:cs="宋体"/>
          <w:color w:val="auto"/>
          <w:sz w:val="24"/>
          <w:highlight w:val="none"/>
        </w:rPr>
      </w:pPr>
      <w:r>
        <w:rPr>
          <w:rFonts w:hint="eastAsia" w:ascii="宋体" w:hAnsi="宋体" w:cs="宋体"/>
          <w:b/>
          <w:color w:val="auto"/>
          <w:sz w:val="24"/>
          <w:highlight w:val="none"/>
        </w:rPr>
        <w:t>1、评标办法：</w:t>
      </w:r>
      <w:r>
        <w:rPr>
          <w:rFonts w:hint="eastAsia" w:ascii="宋体" w:hAnsi="宋体" w:cs="宋体"/>
          <w:color w:val="auto"/>
          <w:sz w:val="24"/>
          <w:highlight w:val="none"/>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pPr>
        <w:spacing w:line="5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评标委员会根据评审后投标人排序推荐中标候选人。投标文件满足招标文件全部实质性要求，且评审后排序第一的投标人为第一中标候选人，依次类推。</w:t>
      </w:r>
    </w:p>
    <w:p>
      <w:pPr>
        <w:spacing w:line="50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 xml:space="preserve">综合评分保留至小数点后两位。 </w:t>
      </w:r>
    </w:p>
    <w:p>
      <w:pPr>
        <w:spacing w:line="500" w:lineRule="exact"/>
        <w:ind w:firstLine="482" w:firstLineChars="200"/>
        <w:jc w:val="left"/>
        <w:rPr>
          <w:rFonts w:hint="eastAsia" w:ascii="宋体" w:hAnsi="宋体" w:cs="宋体"/>
          <w:color w:val="auto"/>
          <w:sz w:val="24"/>
          <w:highlight w:val="none"/>
        </w:rPr>
      </w:pPr>
      <w:r>
        <w:rPr>
          <w:rFonts w:hint="eastAsia" w:ascii="宋体" w:hAnsi="宋体" w:cs="宋体"/>
          <w:b/>
          <w:color w:val="auto"/>
          <w:sz w:val="24"/>
          <w:highlight w:val="none"/>
        </w:rPr>
        <w:t>2、符合性审查。</w:t>
      </w:r>
      <w:r>
        <w:rPr>
          <w:rFonts w:hint="eastAsia" w:ascii="宋体" w:hAnsi="宋体" w:cs="宋体"/>
          <w:color w:val="auto"/>
          <w:sz w:val="24"/>
          <w:highlight w:val="none"/>
        </w:rPr>
        <w:t>评标委员会首先按照下列指标对各投标人的投标文件进行符合性审查，未通过审查的为无效标，不再参与评审。</w:t>
      </w:r>
    </w:p>
    <w:tbl>
      <w:tblPr>
        <w:tblStyle w:val="63"/>
        <w:tblW w:w="8860" w:type="dxa"/>
        <w:tblInd w:w="-8"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fixed"/>
        <w:tblCellMar>
          <w:top w:w="0" w:type="dxa"/>
          <w:left w:w="0" w:type="dxa"/>
          <w:bottom w:w="0" w:type="dxa"/>
          <w:right w:w="0" w:type="dxa"/>
        </w:tblCellMar>
      </w:tblPr>
      <w:tblGrid>
        <w:gridCol w:w="4430"/>
        <w:gridCol w:w="4430"/>
      </w:tblGrid>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430" w:type="dxa"/>
            <w:tcBorders>
              <w:top w:val="outset" w:color="auto" w:sz="6" w:space="0"/>
              <w:left w:val="outset" w:color="auto" w:sz="6" w:space="0"/>
              <w:bottom w:val="outset" w:color="auto" w:sz="6" w:space="0"/>
              <w:right w:val="outset" w:color="auto" w:sz="6" w:space="0"/>
            </w:tcBorders>
            <w:noWrap w:val="0"/>
            <w:vAlign w:val="center"/>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符合性审查因素</w:t>
            </w:r>
          </w:p>
        </w:tc>
        <w:tc>
          <w:tcPr>
            <w:tcW w:w="4430" w:type="dxa"/>
            <w:tcBorders>
              <w:top w:val="outset" w:color="auto" w:sz="6" w:space="0"/>
              <w:left w:val="outset" w:color="auto" w:sz="6" w:space="0"/>
              <w:bottom w:val="outset" w:color="auto" w:sz="6" w:space="0"/>
              <w:right w:val="outset" w:color="auto" w:sz="6" w:space="0"/>
            </w:tcBorders>
            <w:noWrap w:val="0"/>
            <w:vAlign w:val="center"/>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审查标准</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430" w:type="dxa"/>
            <w:tcBorders>
              <w:top w:val="outset" w:color="auto" w:sz="6" w:space="0"/>
              <w:left w:val="outset" w:color="auto" w:sz="6" w:space="0"/>
              <w:bottom w:val="outset" w:color="auto" w:sz="6" w:space="0"/>
              <w:right w:val="outset" w:color="auto" w:sz="6" w:space="0"/>
            </w:tcBorders>
            <w:noWrap w:val="0"/>
            <w:vAlign w:val="center"/>
          </w:tcPr>
          <w:p>
            <w:pPr>
              <w:jc w:val="left"/>
              <w:rPr>
                <w:rFonts w:hint="eastAsia" w:ascii="宋体" w:hAnsi="宋体" w:eastAsia="宋体" w:cs="宋体"/>
                <w:color w:val="auto"/>
                <w:highlight w:val="none"/>
              </w:rPr>
            </w:pPr>
            <w:r>
              <w:rPr>
                <w:rFonts w:hint="eastAsia" w:ascii="宋体" w:hAnsi="宋体" w:eastAsia="宋体" w:cs="宋体"/>
                <w:color w:val="auto"/>
                <w:highlight w:val="none"/>
              </w:rPr>
              <w:t>投标函</w:t>
            </w:r>
          </w:p>
        </w:tc>
        <w:tc>
          <w:tcPr>
            <w:tcW w:w="4430" w:type="dxa"/>
            <w:tcBorders>
              <w:top w:val="outset" w:color="auto" w:sz="6" w:space="0"/>
              <w:left w:val="outset" w:color="auto" w:sz="6" w:space="0"/>
              <w:bottom w:val="outset" w:color="auto" w:sz="6" w:space="0"/>
              <w:right w:val="outset" w:color="auto" w:sz="6" w:space="0"/>
            </w:tcBorders>
            <w:noWrap w:val="0"/>
            <w:vAlign w:val="center"/>
          </w:tcPr>
          <w:p>
            <w:pPr>
              <w:jc w:val="left"/>
              <w:rPr>
                <w:rFonts w:hint="eastAsia" w:ascii="宋体" w:hAnsi="宋体" w:eastAsia="宋体" w:cs="宋体"/>
                <w:color w:val="auto"/>
                <w:highlight w:val="none"/>
              </w:rPr>
            </w:pPr>
            <w:r>
              <w:rPr>
                <w:rFonts w:hint="eastAsia" w:ascii="宋体" w:hAnsi="宋体" w:eastAsia="宋体" w:cs="宋体"/>
                <w:color w:val="auto"/>
                <w:highlight w:val="none"/>
              </w:rPr>
              <w:t>符合招标文件第11.2条款的要求</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430" w:type="dxa"/>
            <w:tcBorders>
              <w:top w:val="outset" w:color="auto" w:sz="6" w:space="0"/>
              <w:left w:val="outset" w:color="auto" w:sz="6" w:space="0"/>
              <w:bottom w:val="outset" w:color="auto" w:sz="6" w:space="0"/>
              <w:right w:val="outset" w:color="auto" w:sz="6" w:space="0"/>
            </w:tcBorders>
            <w:noWrap w:val="0"/>
            <w:vAlign w:val="center"/>
          </w:tcPr>
          <w:p>
            <w:pPr>
              <w:jc w:val="left"/>
              <w:rPr>
                <w:rFonts w:hint="eastAsia" w:ascii="宋体" w:hAnsi="宋体" w:eastAsia="宋体" w:cs="宋体"/>
                <w:color w:val="auto"/>
                <w:highlight w:val="none"/>
              </w:rPr>
            </w:pPr>
            <w:r>
              <w:rPr>
                <w:rFonts w:hint="eastAsia" w:ascii="宋体" w:hAnsi="宋体" w:eastAsia="宋体" w:cs="宋体"/>
                <w:color w:val="auto"/>
                <w:highlight w:val="none"/>
              </w:rPr>
              <w:t>法定代表人身份证明或授权委托书</w:t>
            </w:r>
          </w:p>
        </w:tc>
        <w:tc>
          <w:tcPr>
            <w:tcW w:w="4430" w:type="dxa"/>
            <w:tcBorders>
              <w:top w:val="outset" w:color="auto" w:sz="6" w:space="0"/>
              <w:left w:val="outset" w:color="auto" w:sz="6" w:space="0"/>
              <w:bottom w:val="outset" w:color="auto" w:sz="6" w:space="0"/>
              <w:right w:val="outset" w:color="auto" w:sz="6" w:space="0"/>
            </w:tcBorders>
            <w:noWrap w:val="0"/>
            <w:vAlign w:val="center"/>
          </w:tcPr>
          <w:p>
            <w:pPr>
              <w:jc w:val="left"/>
              <w:rPr>
                <w:rFonts w:hint="eastAsia" w:ascii="宋体" w:hAnsi="宋体" w:eastAsia="宋体" w:cs="宋体"/>
                <w:color w:val="auto"/>
                <w:highlight w:val="none"/>
              </w:rPr>
            </w:pPr>
            <w:r>
              <w:rPr>
                <w:rFonts w:hint="eastAsia" w:ascii="宋体" w:hAnsi="宋体" w:eastAsia="宋体" w:cs="宋体"/>
                <w:color w:val="auto"/>
                <w:highlight w:val="none"/>
              </w:rPr>
              <w:t>符合招标文件第11.3条款的要求</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430" w:type="dxa"/>
            <w:tcBorders>
              <w:top w:val="outset" w:color="auto" w:sz="6" w:space="0"/>
              <w:left w:val="outset" w:color="auto" w:sz="6" w:space="0"/>
              <w:bottom w:val="outset" w:color="auto" w:sz="6" w:space="0"/>
              <w:right w:val="outset" w:color="auto" w:sz="6" w:space="0"/>
            </w:tcBorders>
            <w:noWrap w:val="0"/>
            <w:vAlign w:val="center"/>
          </w:tcPr>
          <w:p>
            <w:pPr>
              <w:jc w:val="left"/>
              <w:rPr>
                <w:rFonts w:hint="eastAsia" w:ascii="宋体" w:hAnsi="宋体" w:eastAsia="宋体" w:cs="宋体"/>
                <w:color w:val="auto"/>
                <w:highlight w:val="none"/>
              </w:rPr>
            </w:pPr>
            <w:r>
              <w:rPr>
                <w:rFonts w:hint="eastAsia" w:ascii="宋体" w:hAnsi="宋体" w:eastAsia="宋体" w:cs="宋体"/>
                <w:color w:val="auto"/>
                <w:highlight w:val="none"/>
              </w:rPr>
              <w:t>开标一览表及投标报价</w:t>
            </w:r>
          </w:p>
        </w:tc>
        <w:tc>
          <w:tcPr>
            <w:tcW w:w="4430" w:type="dxa"/>
            <w:tcBorders>
              <w:top w:val="outset" w:color="auto" w:sz="6" w:space="0"/>
              <w:left w:val="outset" w:color="auto" w:sz="6" w:space="0"/>
              <w:bottom w:val="outset" w:color="auto" w:sz="6" w:space="0"/>
              <w:right w:val="outset" w:color="auto" w:sz="6" w:space="0"/>
            </w:tcBorders>
            <w:noWrap w:val="0"/>
            <w:vAlign w:val="center"/>
          </w:tcPr>
          <w:p>
            <w:pPr>
              <w:jc w:val="left"/>
              <w:rPr>
                <w:rFonts w:hint="eastAsia" w:ascii="宋体" w:hAnsi="宋体" w:eastAsia="宋体" w:cs="宋体"/>
                <w:color w:val="auto"/>
                <w:highlight w:val="none"/>
              </w:rPr>
            </w:pPr>
            <w:r>
              <w:rPr>
                <w:rFonts w:hint="eastAsia" w:ascii="宋体" w:hAnsi="宋体" w:eastAsia="宋体" w:cs="宋体"/>
                <w:color w:val="auto"/>
                <w:highlight w:val="none"/>
              </w:rPr>
              <w:t>格式、填写要求符合招标文件规定</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430" w:type="dxa"/>
            <w:tcBorders>
              <w:top w:val="outset" w:color="auto" w:sz="6" w:space="0"/>
              <w:left w:val="outset" w:color="auto" w:sz="6" w:space="0"/>
              <w:bottom w:val="outset" w:color="auto" w:sz="6" w:space="0"/>
              <w:right w:val="outset" w:color="auto" w:sz="6" w:space="0"/>
            </w:tcBorders>
            <w:noWrap w:val="0"/>
            <w:vAlign w:val="center"/>
          </w:tcPr>
          <w:p>
            <w:pPr>
              <w:jc w:val="left"/>
              <w:rPr>
                <w:rFonts w:hint="eastAsia" w:ascii="宋体" w:hAnsi="宋体" w:eastAsia="宋体" w:cs="宋体"/>
                <w:color w:val="auto"/>
                <w:highlight w:val="none"/>
              </w:rPr>
            </w:pPr>
            <w:r>
              <w:rPr>
                <w:rFonts w:hint="eastAsia" w:ascii="宋体" w:hAnsi="宋体" w:eastAsia="宋体" w:cs="宋体"/>
                <w:color w:val="auto"/>
                <w:highlight w:val="none"/>
              </w:rPr>
              <w:t>技术标准和要求</w:t>
            </w:r>
          </w:p>
        </w:tc>
        <w:tc>
          <w:tcPr>
            <w:tcW w:w="4430" w:type="dxa"/>
            <w:tcBorders>
              <w:top w:val="outset" w:color="auto" w:sz="6" w:space="0"/>
              <w:left w:val="outset" w:color="auto" w:sz="6" w:space="0"/>
              <w:bottom w:val="outset" w:color="auto" w:sz="6" w:space="0"/>
              <w:right w:val="outset" w:color="auto" w:sz="6" w:space="0"/>
            </w:tcBorders>
            <w:noWrap w:val="0"/>
            <w:vAlign w:val="center"/>
          </w:tcPr>
          <w:p>
            <w:pPr>
              <w:jc w:val="left"/>
              <w:rPr>
                <w:rFonts w:hint="eastAsia" w:ascii="宋体" w:hAnsi="宋体" w:eastAsia="宋体" w:cs="宋体"/>
                <w:color w:val="auto"/>
                <w:highlight w:val="none"/>
              </w:rPr>
            </w:pPr>
            <w:r>
              <w:rPr>
                <w:rFonts w:hint="eastAsia" w:ascii="宋体" w:hAnsi="宋体" w:eastAsia="宋体" w:cs="宋体"/>
                <w:color w:val="auto"/>
                <w:highlight w:val="none"/>
              </w:rPr>
              <w:t>符合招标文件第11条“投标文件构成”的要求</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4430" w:type="dxa"/>
            <w:tcBorders>
              <w:top w:val="outset" w:color="auto" w:sz="6" w:space="0"/>
              <w:left w:val="outset" w:color="auto" w:sz="6" w:space="0"/>
              <w:bottom w:val="outset" w:color="auto" w:sz="6" w:space="0"/>
              <w:right w:val="outset" w:color="auto" w:sz="6" w:space="0"/>
            </w:tcBorders>
            <w:noWrap w:val="0"/>
            <w:vAlign w:val="center"/>
          </w:tcPr>
          <w:p>
            <w:pPr>
              <w:jc w:val="left"/>
              <w:rPr>
                <w:rFonts w:hint="eastAsia" w:ascii="宋体" w:hAnsi="宋体" w:eastAsia="宋体" w:cs="宋体"/>
                <w:color w:val="auto"/>
                <w:highlight w:val="none"/>
              </w:rPr>
            </w:pPr>
            <w:r>
              <w:rPr>
                <w:rFonts w:hint="eastAsia" w:ascii="宋体" w:hAnsi="宋体" w:eastAsia="宋体" w:cs="宋体"/>
                <w:color w:val="auto"/>
                <w:highlight w:val="none"/>
              </w:rPr>
              <w:t>其他</w:t>
            </w:r>
          </w:p>
        </w:tc>
        <w:tc>
          <w:tcPr>
            <w:tcW w:w="4430" w:type="dxa"/>
            <w:tcBorders>
              <w:top w:val="outset" w:color="auto" w:sz="6" w:space="0"/>
              <w:left w:val="outset" w:color="auto" w:sz="6" w:space="0"/>
              <w:bottom w:val="outset" w:color="auto" w:sz="6" w:space="0"/>
              <w:right w:val="outset" w:color="auto" w:sz="6" w:space="0"/>
            </w:tcBorders>
            <w:noWrap w:val="0"/>
            <w:vAlign w:val="center"/>
          </w:tcPr>
          <w:p>
            <w:pPr>
              <w:jc w:val="left"/>
              <w:rPr>
                <w:rFonts w:hint="eastAsia" w:ascii="宋体" w:hAnsi="宋体" w:eastAsia="宋体" w:cs="宋体"/>
                <w:color w:val="auto"/>
                <w:highlight w:val="none"/>
              </w:rPr>
            </w:pPr>
            <w:r>
              <w:rPr>
                <w:rFonts w:hint="eastAsia" w:ascii="宋体" w:hAnsi="宋体" w:eastAsia="宋体" w:cs="宋体"/>
                <w:color w:val="auto"/>
                <w:highlight w:val="none"/>
              </w:rPr>
              <w:t>符合招标文件第11条“投标文件构成”的要求</w:t>
            </w:r>
          </w:p>
        </w:tc>
      </w:tr>
    </w:tbl>
    <w:p>
      <w:pPr>
        <w:numPr>
          <w:ilvl w:val="0"/>
          <w:numId w:val="11"/>
        </w:numPr>
        <w:spacing w:after="100" w:afterAutospacing="1" w:line="360" w:lineRule="auto"/>
        <w:rPr>
          <w:rFonts w:hint="eastAsia" w:ascii="宋体" w:hAnsi="宋体" w:cs="宋体"/>
          <w:color w:val="auto"/>
          <w:sz w:val="24"/>
          <w:highlight w:val="none"/>
        </w:rPr>
      </w:pPr>
      <w:r>
        <w:rPr>
          <w:rFonts w:hint="eastAsia" w:ascii="宋体" w:hAnsi="宋体" w:cs="宋体"/>
          <w:b/>
          <w:color w:val="auto"/>
          <w:sz w:val="24"/>
          <w:highlight w:val="none"/>
        </w:rPr>
        <w:t>详细评审。</w:t>
      </w:r>
      <w:r>
        <w:rPr>
          <w:rFonts w:hint="eastAsia" w:ascii="宋体" w:hAnsi="宋体" w:cs="宋体"/>
          <w:color w:val="auto"/>
          <w:sz w:val="24"/>
          <w:highlight w:val="none"/>
        </w:rPr>
        <w:t>评标委员会按照招标文件规定的评分标准，对各投标文件进行详细评审打分。评标委员会组长对各评审专家的打分情况进行复核无误后汇总，形成评审报告。</w:t>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br w:type="page"/>
      </w:r>
    </w:p>
    <w:tbl>
      <w:tblPr>
        <w:tblStyle w:val="63"/>
        <w:tblW w:w="5162" w:type="pct"/>
        <w:jc w:val="center"/>
        <w:tblLayout w:type="autofit"/>
        <w:tblCellMar>
          <w:top w:w="0" w:type="dxa"/>
          <w:left w:w="108" w:type="dxa"/>
          <w:bottom w:w="0" w:type="dxa"/>
          <w:right w:w="108" w:type="dxa"/>
        </w:tblCellMar>
      </w:tblPr>
      <w:tblGrid>
        <w:gridCol w:w="907"/>
        <w:gridCol w:w="1039"/>
        <w:gridCol w:w="6784"/>
        <w:gridCol w:w="976"/>
      </w:tblGrid>
      <w:tr>
        <w:tblPrEx>
          <w:tblCellMar>
            <w:top w:w="0" w:type="dxa"/>
            <w:left w:w="108" w:type="dxa"/>
            <w:bottom w:w="0" w:type="dxa"/>
            <w:right w:w="108" w:type="dxa"/>
          </w:tblCellMar>
        </w:tblPrEx>
        <w:trPr>
          <w:jc w:val="center"/>
        </w:trPr>
        <w:tc>
          <w:tcPr>
            <w:tcW w:w="46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评分因素</w:t>
            </w:r>
          </w:p>
        </w:tc>
        <w:tc>
          <w:tcPr>
            <w:tcW w:w="53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评分点</w:t>
            </w:r>
          </w:p>
        </w:tc>
        <w:tc>
          <w:tcPr>
            <w:tcW w:w="3494"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评审细则</w:t>
            </w:r>
          </w:p>
        </w:tc>
        <w:tc>
          <w:tcPr>
            <w:tcW w:w="50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r>
      <w:tr>
        <w:tblPrEx>
          <w:tblCellMar>
            <w:top w:w="0" w:type="dxa"/>
            <w:left w:w="108" w:type="dxa"/>
            <w:bottom w:w="0" w:type="dxa"/>
            <w:right w:w="108" w:type="dxa"/>
          </w:tblCellMar>
        </w:tblPrEx>
        <w:trPr>
          <w:jc w:val="center"/>
        </w:trPr>
        <w:tc>
          <w:tcPr>
            <w:tcW w:w="46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53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tc>
        <w:tc>
          <w:tcPr>
            <w:tcW w:w="3494" w:type="pct"/>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line="400" w:lineRule="exact"/>
              <w:ind w:left="0" w:right="0"/>
              <w:jc w:val="left"/>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基准值=满足文件要求且最后报价最低的供应商的价格为基准价。</w:t>
            </w:r>
          </w:p>
          <w:p>
            <w:pPr>
              <w:keepNext w:val="0"/>
              <w:keepLines w:val="0"/>
              <w:widowControl w:val="0"/>
              <w:suppressLineNumbers w:val="0"/>
              <w:spacing w:before="0" w:beforeAutospacing="0" w:after="0" w:afterAutospacing="0" w:line="400" w:lineRule="exact"/>
              <w:ind w:left="0" w:right="0"/>
              <w:jc w:val="left"/>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报价得分=（基准价/最后报价）×价格权值（30%）×100（四舍五入后保留小数点后两位）。</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
              </w:rPr>
              <w:t>评审小组认为响应人的报价明显低于其他通过符合性审查响应人的报价，有可能影响产品质量或者不能诚信履约的，应当要求其在评审现场合理的时间内提供书面说明，必要时提交相关证明材料；响应人不能证明其报价合理性的，评审小组应当将其作为无效响应处理。</w:t>
            </w:r>
          </w:p>
        </w:tc>
        <w:tc>
          <w:tcPr>
            <w:tcW w:w="50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w:t>
            </w:r>
          </w:p>
        </w:tc>
      </w:tr>
      <w:tr>
        <w:tblPrEx>
          <w:tblCellMar>
            <w:top w:w="0" w:type="dxa"/>
            <w:left w:w="108" w:type="dxa"/>
            <w:bottom w:w="0" w:type="dxa"/>
            <w:right w:w="108" w:type="dxa"/>
          </w:tblCellMar>
        </w:tblPrEx>
        <w:trPr>
          <w:jc w:val="center"/>
        </w:trPr>
        <w:tc>
          <w:tcPr>
            <w:tcW w:w="467" w:type="pct"/>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商务部分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53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tc>
        <w:tc>
          <w:tcPr>
            <w:tcW w:w="3494"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投标人提供自20</w:t>
            </w: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年1月1日以来独立完成的包含分诊叫号导系统项目合同复印件；每提供一个得 1分，最多得3分</w:t>
            </w:r>
          </w:p>
        </w:tc>
        <w:tc>
          <w:tcPr>
            <w:tcW w:w="50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r>
      <w:tr>
        <w:tblPrEx>
          <w:tblCellMar>
            <w:top w:w="0" w:type="dxa"/>
            <w:left w:w="108" w:type="dxa"/>
            <w:bottom w:w="0" w:type="dxa"/>
            <w:right w:w="108" w:type="dxa"/>
          </w:tblCellMar>
        </w:tblPrEx>
        <w:trPr>
          <w:jc w:val="center"/>
        </w:trPr>
        <w:tc>
          <w:tcPr>
            <w:tcW w:w="467" w:type="pct"/>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p>
        </w:tc>
        <w:tc>
          <w:tcPr>
            <w:tcW w:w="535" w:type="pct"/>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证书</w:t>
            </w:r>
          </w:p>
        </w:tc>
        <w:tc>
          <w:tcPr>
            <w:tcW w:w="3494"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投标人提供相关分诊系统发明专利证书（加盖投标人公章）的得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分，不提供不得分。</w:t>
            </w:r>
          </w:p>
        </w:tc>
        <w:tc>
          <w:tcPr>
            <w:tcW w:w="50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p>
        </w:tc>
      </w:tr>
      <w:tr>
        <w:tblPrEx>
          <w:tblCellMar>
            <w:top w:w="0" w:type="dxa"/>
            <w:left w:w="108" w:type="dxa"/>
            <w:bottom w:w="0" w:type="dxa"/>
            <w:right w:w="108" w:type="dxa"/>
          </w:tblCellMar>
        </w:tblPrEx>
        <w:trPr>
          <w:jc w:val="center"/>
        </w:trPr>
        <w:tc>
          <w:tcPr>
            <w:tcW w:w="467" w:type="pct"/>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技术部分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53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主要产品技术要求</w:t>
            </w:r>
          </w:p>
        </w:tc>
        <w:tc>
          <w:tcPr>
            <w:tcW w:w="3494" w:type="pct"/>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对投标人所投货物主要技术指标及配置进行综合评估，以满足招标文件实质性要求为前提，满足全部技术服务要求的得</w:t>
            </w:r>
            <w:r>
              <w:rPr>
                <w:rFonts w:hint="eastAsia" w:ascii="宋体" w:hAnsi="宋体" w:cs="宋体"/>
                <w:color w:val="auto"/>
                <w:sz w:val="24"/>
                <w:szCs w:val="24"/>
                <w:highlight w:val="none"/>
                <w:lang w:val="en-US" w:eastAsia="zh-CN"/>
              </w:rPr>
              <w:t>17</w:t>
            </w:r>
            <w:r>
              <w:rPr>
                <w:rFonts w:hint="eastAsia" w:ascii="宋体" w:hAnsi="宋体" w:eastAsia="宋体" w:cs="宋体"/>
                <w:color w:val="auto"/>
                <w:sz w:val="24"/>
                <w:szCs w:val="24"/>
                <w:highlight w:val="none"/>
              </w:rPr>
              <w:t>分，</w:t>
            </w:r>
            <w:r>
              <w:rPr>
                <w:rFonts w:hint="eastAsia" w:ascii="宋体" w:hAnsi="宋体" w:eastAsia="宋体" w:cs="宋体"/>
                <w:color w:val="auto"/>
                <w:kern w:val="2"/>
                <w:sz w:val="24"/>
                <w:szCs w:val="24"/>
                <w:highlight w:val="none"/>
                <w:lang w:val="en-US" w:eastAsia="zh-CN" w:bidi="ar"/>
              </w:rPr>
              <w:t>每有一项</w:t>
            </w:r>
            <w:r>
              <w:rPr>
                <w:rFonts w:hint="eastAsia" w:ascii="宋体" w:hAnsi="宋体" w:eastAsia="宋体" w:cs="宋体"/>
                <w:b/>
                <w:bCs/>
                <w:color w:val="auto"/>
                <w:kern w:val="2"/>
                <w:sz w:val="21"/>
                <w:szCs w:val="21"/>
                <w:highlight w:val="none"/>
                <w:lang w:val="en-US" w:eastAsia="zh-CN" w:bidi="ar"/>
              </w:rPr>
              <w:t>★</w:t>
            </w:r>
            <w:r>
              <w:rPr>
                <w:rFonts w:hint="eastAsia" w:ascii="宋体" w:hAnsi="宋体" w:eastAsia="宋体" w:cs="宋体"/>
                <w:color w:val="auto"/>
                <w:kern w:val="2"/>
                <w:sz w:val="24"/>
                <w:szCs w:val="24"/>
                <w:highlight w:val="none"/>
                <w:lang w:val="en-US" w:eastAsia="zh-CN" w:bidi="ar"/>
              </w:rPr>
              <w:t>参数负偏离，作无效投标文件处理；每有一项▲参数负偏离扣2分；每有一项普通参数负偏离扣1分</w:t>
            </w:r>
            <w:r>
              <w:rPr>
                <w:rFonts w:hint="eastAsia" w:ascii="宋体" w:hAnsi="宋体" w:cs="宋体"/>
                <w:color w:val="auto"/>
                <w:kern w:val="2"/>
                <w:sz w:val="24"/>
                <w:szCs w:val="24"/>
                <w:highlight w:val="none"/>
                <w:lang w:val="en-US" w:eastAsia="zh-CN" w:bidi="ar"/>
              </w:rPr>
              <w:t>，扣完为止</w:t>
            </w:r>
            <w:r>
              <w:rPr>
                <w:rFonts w:hint="eastAsia" w:ascii="宋体" w:hAnsi="宋体" w:eastAsia="宋体" w:cs="宋体"/>
                <w:color w:val="auto"/>
                <w:kern w:val="2"/>
                <w:sz w:val="24"/>
                <w:szCs w:val="24"/>
                <w:highlight w:val="none"/>
                <w:lang w:val="en-US" w:eastAsia="zh-CN" w:bidi="ar"/>
              </w:rPr>
              <w:t>。</w:t>
            </w:r>
            <w:r>
              <w:rPr>
                <w:rFonts w:hint="eastAsia" w:ascii="宋体" w:hAnsi="宋体" w:cs="宋体"/>
                <w:color w:val="auto"/>
                <w:kern w:val="2"/>
                <w:sz w:val="24"/>
                <w:szCs w:val="24"/>
                <w:highlight w:val="none"/>
                <w:lang w:val="en-US" w:eastAsia="zh-CN" w:bidi="ar"/>
              </w:rPr>
              <w:t>（</w:t>
            </w:r>
            <w:r>
              <w:rPr>
                <w:rFonts w:hint="eastAsia" w:ascii="宋体" w:hAnsi="宋体" w:eastAsia="宋体" w:cs="宋体"/>
                <w:b/>
                <w:bCs/>
                <w:color w:val="auto"/>
                <w:kern w:val="2"/>
                <w:sz w:val="21"/>
                <w:szCs w:val="21"/>
                <w:highlight w:val="none"/>
                <w:lang w:val="en-US" w:eastAsia="zh-CN" w:bidi="ar"/>
              </w:rPr>
              <w:t>★</w:t>
            </w:r>
            <w:r>
              <w:rPr>
                <w:rFonts w:hint="eastAsia" w:ascii="宋体" w:hAnsi="宋体" w:cs="宋体"/>
                <w:b/>
                <w:bCs/>
                <w:color w:val="auto"/>
                <w:kern w:val="2"/>
                <w:sz w:val="21"/>
                <w:szCs w:val="21"/>
                <w:highlight w:val="none"/>
                <w:lang w:val="en-US" w:eastAsia="zh-CN" w:bidi="ar"/>
              </w:rPr>
              <w:t>和</w:t>
            </w:r>
            <w:r>
              <w:rPr>
                <w:rFonts w:hint="eastAsia" w:ascii="宋体" w:hAnsi="宋体" w:eastAsia="宋体" w:cs="宋体"/>
                <w:color w:val="auto"/>
                <w:kern w:val="2"/>
                <w:sz w:val="24"/>
                <w:szCs w:val="24"/>
                <w:highlight w:val="none"/>
                <w:lang w:val="en-US" w:eastAsia="zh-CN" w:bidi="ar"/>
              </w:rPr>
              <w:t>▲参数</w:t>
            </w:r>
            <w:r>
              <w:rPr>
                <w:rFonts w:hint="eastAsia" w:ascii="宋体" w:hAnsi="宋体" w:cs="宋体"/>
                <w:color w:val="auto"/>
                <w:kern w:val="2"/>
                <w:sz w:val="24"/>
                <w:szCs w:val="24"/>
                <w:highlight w:val="none"/>
                <w:lang w:val="en-US" w:eastAsia="zh-CN" w:bidi="ar"/>
              </w:rPr>
              <w:t>须提供证明文件）</w:t>
            </w:r>
          </w:p>
        </w:tc>
        <w:tc>
          <w:tcPr>
            <w:tcW w:w="50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17</w:t>
            </w:r>
          </w:p>
        </w:tc>
      </w:tr>
      <w:tr>
        <w:tblPrEx>
          <w:tblCellMar>
            <w:top w:w="0" w:type="dxa"/>
            <w:left w:w="108" w:type="dxa"/>
            <w:bottom w:w="0" w:type="dxa"/>
            <w:right w:w="108" w:type="dxa"/>
          </w:tblCellMar>
        </w:tblPrEx>
        <w:trPr>
          <w:jc w:val="center"/>
        </w:trPr>
        <w:tc>
          <w:tcPr>
            <w:tcW w:w="467" w:type="pct"/>
            <w:vMerge w:val="continue"/>
            <w:tcBorders>
              <w:left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53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技术方案</w:t>
            </w:r>
          </w:p>
        </w:tc>
        <w:tc>
          <w:tcPr>
            <w:tcW w:w="3494"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方案全面细致，软件业务医疗流程描述全面清晰，软件功能描述全面准确。</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针对本医院的医疗流程提供的设计方案，软件系统功能实现、升级能力。</w:t>
            </w:r>
          </w:p>
          <w:p>
            <w:pPr>
              <w:keepNext w:val="0"/>
              <w:keepLines w:val="0"/>
              <w:pageBreakBefore w:val="0"/>
              <w:widowControl w:val="0"/>
              <w:kinsoku/>
              <w:wordWrap/>
              <w:overflowPunct/>
              <w:topLinePunct w:val="0"/>
              <w:autoSpaceDE/>
              <w:autoSpaceDN/>
              <w:bidi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方案完整可行、针对性强的得</w:t>
            </w: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rPr>
              <w:t>分；</w:t>
            </w:r>
          </w:p>
          <w:p>
            <w:pPr>
              <w:keepNext w:val="0"/>
              <w:keepLines w:val="0"/>
              <w:pageBreakBefore w:val="0"/>
              <w:widowControl w:val="0"/>
              <w:kinsoku/>
              <w:wordWrap/>
              <w:overflowPunct/>
              <w:topLinePunct w:val="0"/>
              <w:autoSpaceDE/>
              <w:autoSpaceDN/>
              <w:bidi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方案完整可行、针对性</w:t>
            </w:r>
            <w:r>
              <w:rPr>
                <w:rFonts w:hint="eastAsia" w:ascii="宋体" w:hAnsi="宋体" w:cs="宋体"/>
                <w:color w:val="auto"/>
                <w:sz w:val="24"/>
                <w:szCs w:val="24"/>
                <w:highlight w:val="none"/>
                <w:lang w:val="en-US" w:eastAsia="zh-CN"/>
              </w:rPr>
              <w:t>较</w:t>
            </w:r>
            <w:r>
              <w:rPr>
                <w:rFonts w:hint="eastAsia" w:ascii="宋体" w:hAnsi="宋体" w:eastAsia="宋体" w:cs="宋体"/>
                <w:color w:val="auto"/>
                <w:sz w:val="24"/>
                <w:szCs w:val="24"/>
                <w:highlight w:val="none"/>
              </w:rPr>
              <w:t>强的得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pPr>
              <w:keepNext w:val="0"/>
              <w:keepLines w:val="0"/>
              <w:pageBreakBefore w:val="0"/>
              <w:widowControl w:val="0"/>
              <w:kinsoku/>
              <w:wordWrap/>
              <w:overflowPunct/>
              <w:topLinePunct w:val="0"/>
              <w:autoSpaceDE/>
              <w:autoSpaceDN/>
              <w:bidi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方案基本可行、针对性</w:t>
            </w:r>
            <w:r>
              <w:rPr>
                <w:rFonts w:hint="eastAsia" w:ascii="宋体" w:hAnsi="宋体" w:cs="宋体"/>
                <w:color w:val="auto"/>
                <w:sz w:val="24"/>
                <w:szCs w:val="24"/>
                <w:highlight w:val="none"/>
                <w:lang w:val="en-US" w:eastAsia="zh-CN"/>
              </w:rPr>
              <w:t>较</w:t>
            </w:r>
            <w:r>
              <w:rPr>
                <w:rFonts w:hint="eastAsia" w:ascii="宋体" w:hAnsi="宋体" w:eastAsia="宋体" w:cs="宋体"/>
                <w:color w:val="auto"/>
                <w:sz w:val="24"/>
                <w:szCs w:val="24"/>
                <w:highlight w:val="none"/>
              </w:rPr>
              <w:t>强的得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pPr>
              <w:keepNext w:val="0"/>
              <w:keepLines w:val="0"/>
              <w:pageBreakBefore w:val="0"/>
              <w:widowControl w:val="0"/>
              <w:kinsoku/>
              <w:wordWrap/>
              <w:overflowPunct/>
              <w:topLinePunct w:val="0"/>
              <w:autoSpaceDE/>
              <w:autoSpaceDN/>
              <w:bidi w:val="0"/>
              <w:spacing w:line="360" w:lineRule="auto"/>
              <w:jc w:val="both"/>
              <w:rPr>
                <w:rFonts w:hint="eastAsia"/>
                <w:color w:val="auto"/>
                <w:highlight w:val="none"/>
              </w:rPr>
            </w:pPr>
            <w:r>
              <w:rPr>
                <w:rFonts w:hint="eastAsia" w:ascii="宋体" w:hAnsi="宋体" w:eastAsia="宋体" w:cs="宋体"/>
                <w:color w:val="auto"/>
                <w:sz w:val="24"/>
                <w:szCs w:val="24"/>
                <w:highlight w:val="none"/>
              </w:rPr>
              <w:t>方案可行</w:t>
            </w:r>
            <w:r>
              <w:rPr>
                <w:rFonts w:hint="eastAsia" w:ascii="宋体" w:hAnsi="宋体" w:cs="宋体"/>
                <w:color w:val="auto"/>
                <w:sz w:val="24"/>
                <w:szCs w:val="24"/>
                <w:highlight w:val="none"/>
                <w:lang w:val="en-US" w:eastAsia="zh-CN"/>
              </w:rPr>
              <w:t>性不高</w:t>
            </w:r>
            <w:r>
              <w:rPr>
                <w:rFonts w:hint="eastAsia" w:ascii="宋体" w:hAnsi="宋体" w:eastAsia="宋体" w:cs="宋体"/>
                <w:color w:val="auto"/>
                <w:sz w:val="24"/>
                <w:szCs w:val="24"/>
                <w:highlight w:val="none"/>
              </w:rPr>
              <w:t>、针对性</w:t>
            </w:r>
            <w:r>
              <w:rPr>
                <w:rFonts w:hint="eastAsia" w:ascii="宋体" w:hAnsi="宋体" w:cs="宋体"/>
                <w:color w:val="auto"/>
                <w:sz w:val="24"/>
                <w:szCs w:val="24"/>
                <w:highlight w:val="none"/>
                <w:lang w:val="en-US" w:eastAsia="zh-CN"/>
              </w:rPr>
              <w:t>不</w:t>
            </w:r>
            <w:r>
              <w:rPr>
                <w:rFonts w:hint="eastAsia" w:ascii="宋体" w:hAnsi="宋体" w:eastAsia="宋体" w:cs="宋体"/>
                <w:color w:val="auto"/>
                <w:sz w:val="24"/>
                <w:szCs w:val="24"/>
                <w:highlight w:val="none"/>
              </w:rPr>
              <w:t>强的得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方案有明显不足之处的或未提供得0分</w:t>
            </w:r>
            <w:r>
              <w:rPr>
                <w:rFonts w:hint="eastAsia" w:ascii="宋体" w:hAnsi="宋体" w:cs="宋体"/>
                <w:color w:val="auto"/>
                <w:sz w:val="24"/>
                <w:szCs w:val="24"/>
                <w:highlight w:val="none"/>
                <w:lang w:eastAsia="zh-CN"/>
              </w:rPr>
              <w:t>。</w:t>
            </w:r>
          </w:p>
        </w:tc>
        <w:tc>
          <w:tcPr>
            <w:tcW w:w="50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w:t>
            </w:r>
          </w:p>
        </w:tc>
      </w:tr>
      <w:tr>
        <w:tblPrEx>
          <w:tblCellMar>
            <w:top w:w="0" w:type="dxa"/>
            <w:left w:w="108" w:type="dxa"/>
            <w:bottom w:w="0" w:type="dxa"/>
            <w:right w:w="108" w:type="dxa"/>
          </w:tblCellMar>
        </w:tblPrEx>
        <w:trPr>
          <w:jc w:val="center"/>
        </w:trPr>
        <w:tc>
          <w:tcPr>
            <w:tcW w:w="467" w:type="pct"/>
            <w:vMerge w:val="continue"/>
            <w:tcBorders>
              <w:left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53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产品兼容性</w:t>
            </w:r>
          </w:p>
        </w:tc>
        <w:tc>
          <w:tcPr>
            <w:tcW w:w="3494"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根据产品与原有平台兼容性优劣进行比较评价：</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根据产品是否可以在招标人原有平台的基础上进行无缝升级或扩容，与现有平台对接兼容性综合评比。</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产品</w:t>
            </w:r>
            <w:r>
              <w:rPr>
                <w:rFonts w:hint="eastAsia" w:ascii="宋体" w:hAnsi="宋体" w:cs="宋体"/>
                <w:color w:val="auto"/>
                <w:sz w:val="24"/>
                <w:szCs w:val="24"/>
                <w:highlight w:val="none"/>
                <w:lang w:val="en-US" w:eastAsia="zh-CN"/>
              </w:rPr>
              <w:t>能够在</w:t>
            </w:r>
            <w:r>
              <w:rPr>
                <w:rFonts w:hint="eastAsia" w:ascii="宋体" w:hAnsi="宋体" w:eastAsia="宋体" w:cs="宋体"/>
                <w:color w:val="auto"/>
                <w:sz w:val="24"/>
                <w:szCs w:val="24"/>
                <w:highlight w:val="none"/>
              </w:rPr>
              <w:t>原有平台的基础上进行无缝升级或扩容</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与原有平台兼容性</w:t>
            </w:r>
            <w:r>
              <w:rPr>
                <w:rFonts w:hint="eastAsia" w:ascii="宋体" w:hAnsi="宋体" w:eastAsia="宋体" w:cs="宋体"/>
                <w:color w:val="auto"/>
                <w:sz w:val="24"/>
                <w:szCs w:val="24"/>
                <w:highlight w:val="none"/>
                <w:lang w:val="en-US" w:eastAsia="zh-CN"/>
              </w:rPr>
              <w:t>好的得</w:t>
            </w:r>
            <w:r>
              <w:rPr>
                <w:rFonts w:hint="eastAsia" w:ascii="宋体" w:hAnsi="宋体" w:eastAsia="宋体" w:cs="宋体"/>
                <w:color w:val="auto"/>
                <w:sz w:val="24"/>
                <w:szCs w:val="24"/>
                <w:highlight w:val="none"/>
              </w:rPr>
              <w:t>6分</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产品</w:t>
            </w:r>
            <w:r>
              <w:rPr>
                <w:rFonts w:hint="eastAsia" w:ascii="宋体" w:hAnsi="宋体" w:cs="宋体"/>
                <w:color w:val="auto"/>
                <w:sz w:val="24"/>
                <w:szCs w:val="24"/>
                <w:highlight w:val="none"/>
                <w:lang w:val="en-US" w:eastAsia="zh-CN"/>
              </w:rPr>
              <w:t>能够在</w:t>
            </w:r>
            <w:r>
              <w:rPr>
                <w:rFonts w:hint="eastAsia" w:ascii="宋体" w:hAnsi="宋体" w:eastAsia="宋体" w:cs="宋体"/>
                <w:color w:val="auto"/>
                <w:sz w:val="24"/>
                <w:szCs w:val="24"/>
                <w:highlight w:val="none"/>
              </w:rPr>
              <w:t>原有平台的基础上进行无缝升级或扩容</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与原有平台兼容性</w:t>
            </w:r>
            <w:r>
              <w:rPr>
                <w:rFonts w:hint="eastAsia" w:ascii="宋体" w:hAnsi="宋体" w:cs="宋体"/>
                <w:color w:val="auto"/>
                <w:sz w:val="24"/>
                <w:szCs w:val="24"/>
                <w:highlight w:val="none"/>
                <w:lang w:val="en-US" w:eastAsia="zh-CN"/>
              </w:rPr>
              <w:t>一般</w:t>
            </w:r>
            <w:r>
              <w:rPr>
                <w:rFonts w:hint="eastAsia" w:ascii="宋体" w:hAnsi="宋体" w:eastAsia="宋体" w:cs="宋体"/>
                <w:color w:val="auto"/>
                <w:sz w:val="24"/>
                <w:szCs w:val="24"/>
                <w:highlight w:val="none"/>
                <w:lang w:val="en-US" w:eastAsia="zh-CN"/>
              </w:rPr>
              <w:t>的得3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w:t>
            </w:r>
            <w:r>
              <w:rPr>
                <w:rFonts w:hint="eastAsia" w:ascii="宋体" w:hAnsi="宋体" w:eastAsia="宋体" w:cs="宋体"/>
                <w:color w:val="auto"/>
                <w:sz w:val="24"/>
                <w:szCs w:val="24"/>
                <w:highlight w:val="none"/>
                <w:lang w:val="en-US" w:eastAsia="zh-CN"/>
              </w:rPr>
              <w:t>不能在</w:t>
            </w:r>
            <w:r>
              <w:rPr>
                <w:rFonts w:hint="eastAsia" w:ascii="宋体" w:hAnsi="宋体" w:eastAsia="宋体" w:cs="宋体"/>
                <w:color w:val="auto"/>
                <w:sz w:val="24"/>
                <w:szCs w:val="24"/>
                <w:highlight w:val="none"/>
              </w:rPr>
              <w:t>原有平台的基础上进行无缝升级或扩容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与原有平台兼容性</w:t>
            </w:r>
            <w:r>
              <w:rPr>
                <w:rFonts w:hint="eastAsia" w:ascii="宋体" w:hAnsi="宋体" w:eastAsia="宋体" w:cs="宋体"/>
                <w:color w:val="auto"/>
                <w:sz w:val="24"/>
                <w:szCs w:val="24"/>
                <w:highlight w:val="none"/>
                <w:lang w:val="en-US" w:eastAsia="zh-CN"/>
              </w:rPr>
              <w:t>差的或</w:t>
            </w:r>
            <w:r>
              <w:rPr>
                <w:rFonts w:hint="eastAsia" w:ascii="宋体" w:hAnsi="宋体" w:eastAsia="宋体" w:cs="宋体"/>
                <w:color w:val="auto"/>
                <w:sz w:val="24"/>
                <w:szCs w:val="24"/>
                <w:highlight w:val="none"/>
              </w:rPr>
              <w:t>未提供</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得0分。</w:t>
            </w:r>
          </w:p>
        </w:tc>
        <w:tc>
          <w:tcPr>
            <w:tcW w:w="50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r>
      <w:tr>
        <w:tblPrEx>
          <w:tblCellMar>
            <w:top w:w="0" w:type="dxa"/>
            <w:left w:w="108" w:type="dxa"/>
            <w:bottom w:w="0" w:type="dxa"/>
            <w:right w:w="108" w:type="dxa"/>
          </w:tblCellMar>
        </w:tblPrEx>
        <w:trPr>
          <w:jc w:val="center"/>
        </w:trPr>
        <w:tc>
          <w:tcPr>
            <w:tcW w:w="467" w:type="pct"/>
            <w:vMerge w:val="continue"/>
            <w:tcBorders>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53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项目组织实施方案</w:t>
            </w:r>
          </w:p>
        </w:tc>
        <w:tc>
          <w:tcPr>
            <w:tcW w:w="3494"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自行制定项目组织实施方案，包括但不限于实施的管理计划及内容（含所投软（硬）件测试、试运行、验收等），人员安排、工作时间进度表、工作程序和步骤、质量保障和风险管理等，由评标委员会进行综合评分：</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1、实施方案全面完善，进度合理，针对性及可行性强，目标及效果明确，得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2、实施方案完整、进度较合理、针对性及可行性较强，目标及效果较明确得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3、实施方案</w:t>
            </w:r>
            <w:r>
              <w:rPr>
                <w:rFonts w:hint="eastAsia" w:ascii="宋体" w:hAnsi="宋体" w:cs="宋体"/>
                <w:color w:val="auto"/>
                <w:sz w:val="24"/>
                <w:szCs w:val="24"/>
                <w:highlight w:val="none"/>
                <w:lang w:val="en-US" w:eastAsia="zh-CN"/>
              </w:rPr>
              <w:t>较</w:t>
            </w:r>
            <w:r>
              <w:rPr>
                <w:rFonts w:hint="eastAsia" w:ascii="宋体" w:hAnsi="宋体" w:eastAsia="宋体" w:cs="宋体"/>
                <w:color w:val="auto"/>
                <w:sz w:val="24"/>
                <w:szCs w:val="24"/>
                <w:highlight w:val="none"/>
              </w:rPr>
              <w:t>完整、进度较合理、针对性及可行性较强，目标及效果较明确得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实施方案完整性欠缺、进度安排欠合理、针对性及可行性有待提升的得1分；</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、差或未提供相关内容的得0分。</w:t>
            </w:r>
          </w:p>
        </w:tc>
        <w:tc>
          <w:tcPr>
            <w:tcW w:w="50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8</w:t>
            </w:r>
          </w:p>
        </w:tc>
      </w:tr>
      <w:tr>
        <w:tblPrEx>
          <w:tblCellMar>
            <w:top w:w="0" w:type="dxa"/>
            <w:left w:w="108" w:type="dxa"/>
            <w:bottom w:w="0" w:type="dxa"/>
            <w:right w:w="108" w:type="dxa"/>
          </w:tblCellMar>
        </w:tblPrEx>
        <w:trPr>
          <w:jc w:val="center"/>
        </w:trPr>
        <w:tc>
          <w:tcPr>
            <w:tcW w:w="467" w:type="pct"/>
            <w:tcBorders>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53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36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方案设计</w:t>
            </w:r>
          </w:p>
        </w:tc>
        <w:tc>
          <w:tcPr>
            <w:tcW w:w="3494"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提供方案设计，整体思路符合本项目建设规划，结合现状，提出合理、充分、详细的需求理解，从架构设计完整性、系统安全可靠性、整体技术方案可行性等进行综合打分：</w:t>
            </w:r>
          </w:p>
          <w:p>
            <w:pPr>
              <w:keepNext w:val="0"/>
              <w:keepLines w:val="0"/>
              <w:pageBreakBefore w:val="0"/>
              <w:widowControl w:val="0"/>
              <w:kinsoku/>
              <w:wordWrap/>
              <w:overflowPunct/>
              <w:topLinePunct w:val="0"/>
              <w:autoSpaceDE/>
              <w:autoSpaceDN/>
              <w:bidi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方案完整可行、针对性强的得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pPr>
              <w:keepNext w:val="0"/>
              <w:keepLines w:val="0"/>
              <w:pageBreakBefore w:val="0"/>
              <w:widowControl w:val="0"/>
              <w:kinsoku/>
              <w:wordWrap/>
              <w:overflowPunct/>
              <w:topLinePunct w:val="0"/>
              <w:autoSpaceDE/>
              <w:autoSpaceDN/>
              <w:bidi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方案完整可行、针对性</w:t>
            </w:r>
            <w:r>
              <w:rPr>
                <w:rFonts w:hint="eastAsia" w:ascii="宋体" w:hAnsi="宋体" w:eastAsia="宋体" w:cs="宋体"/>
                <w:color w:val="auto"/>
                <w:sz w:val="24"/>
                <w:szCs w:val="24"/>
                <w:highlight w:val="none"/>
                <w:lang w:val="en-US" w:eastAsia="zh-CN"/>
              </w:rPr>
              <w:t>较</w:t>
            </w:r>
            <w:r>
              <w:rPr>
                <w:rFonts w:hint="eastAsia" w:ascii="宋体" w:hAnsi="宋体" w:eastAsia="宋体" w:cs="宋体"/>
                <w:color w:val="auto"/>
                <w:sz w:val="24"/>
                <w:szCs w:val="24"/>
                <w:highlight w:val="none"/>
              </w:rPr>
              <w:t>强的得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pPr>
              <w:keepNext w:val="0"/>
              <w:keepLines w:val="0"/>
              <w:pageBreakBefore w:val="0"/>
              <w:widowControl w:val="0"/>
              <w:kinsoku/>
              <w:wordWrap/>
              <w:overflowPunct/>
              <w:topLinePunct w:val="0"/>
              <w:autoSpaceDE/>
              <w:autoSpaceDN/>
              <w:bidi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方案基本可行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针对性</w:t>
            </w:r>
            <w:r>
              <w:rPr>
                <w:rFonts w:hint="eastAsia" w:ascii="宋体" w:hAnsi="宋体" w:eastAsia="宋体" w:cs="宋体"/>
                <w:color w:val="auto"/>
                <w:sz w:val="24"/>
                <w:szCs w:val="24"/>
                <w:highlight w:val="none"/>
                <w:lang w:val="en-US" w:eastAsia="zh-CN"/>
              </w:rPr>
              <w:t>较</w:t>
            </w:r>
            <w:r>
              <w:rPr>
                <w:rFonts w:hint="eastAsia" w:ascii="宋体" w:hAnsi="宋体" w:eastAsia="宋体" w:cs="宋体"/>
                <w:color w:val="auto"/>
                <w:sz w:val="24"/>
                <w:szCs w:val="24"/>
                <w:highlight w:val="none"/>
              </w:rPr>
              <w:t>强的得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pPr>
              <w:keepNext w:val="0"/>
              <w:keepLines w:val="0"/>
              <w:pageBreakBefore w:val="0"/>
              <w:widowControl w:val="0"/>
              <w:kinsoku/>
              <w:wordWrap/>
              <w:overflowPunct/>
              <w:topLinePunct w:val="0"/>
              <w:autoSpaceDE/>
              <w:autoSpaceDN/>
              <w:bidi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方案基本可行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针对性</w:t>
            </w:r>
            <w:r>
              <w:rPr>
                <w:rFonts w:hint="eastAsia" w:ascii="宋体" w:hAnsi="宋体" w:eastAsia="宋体" w:cs="宋体"/>
                <w:color w:val="auto"/>
                <w:sz w:val="24"/>
                <w:szCs w:val="24"/>
                <w:highlight w:val="none"/>
                <w:lang w:val="en-US" w:eastAsia="zh-CN"/>
              </w:rPr>
              <w:t>不</w:t>
            </w:r>
            <w:r>
              <w:rPr>
                <w:rFonts w:hint="eastAsia" w:ascii="宋体" w:hAnsi="宋体" w:eastAsia="宋体" w:cs="宋体"/>
                <w:color w:val="auto"/>
                <w:sz w:val="24"/>
                <w:szCs w:val="24"/>
                <w:highlight w:val="none"/>
              </w:rPr>
              <w:t>强的得1分；</w:t>
            </w:r>
          </w:p>
          <w:p>
            <w:pPr>
              <w:keepNext w:val="0"/>
              <w:keepLines w:val="0"/>
              <w:pageBreakBefore w:val="0"/>
              <w:widowControl w:val="0"/>
              <w:kinsoku/>
              <w:wordWrap/>
              <w:overflowPunct/>
              <w:topLinePunct w:val="0"/>
              <w:autoSpaceDE/>
              <w:autoSpaceDN/>
              <w:bidi w:val="0"/>
              <w:spacing w:line="360" w:lineRule="auto"/>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方案有明显不足之处的或未提供得0分</w:t>
            </w:r>
            <w:r>
              <w:rPr>
                <w:rFonts w:hint="eastAsia" w:ascii="宋体" w:hAnsi="宋体" w:cs="宋体"/>
                <w:color w:val="auto"/>
                <w:sz w:val="24"/>
                <w:szCs w:val="24"/>
                <w:highlight w:val="none"/>
                <w:lang w:eastAsia="zh-CN"/>
              </w:rPr>
              <w:t>。</w:t>
            </w:r>
          </w:p>
        </w:tc>
        <w:tc>
          <w:tcPr>
            <w:tcW w:w="50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spacing w:line="360" w:lineRule="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8</w:t>
            </w:r>
          </w:p>
        </w:tc>
      </w:tr>
      <w:tr>
        <w:tblPrEx>
          <w:tblCellMar>
            <w:top w:w="0" w:type="dxa"/>
            <w:left w:w="108" w:type="dxa"/>
            <w:bottom w:w="0" w:type="dxa"/>
            <w:right w:w="108" w:type="dxa"/>
          </w:tblCellMar>
        </w:tblPrEx>
        <w:trPr>
          <w:jc w:val="center"/>
        </w:trPr>
        <w:tc>
          <w:tcPr>
            <w:tcW w:w="467" w:type="pct"/>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服务部分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53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服务保障</w:t>
            </w:r>
          </w:p>
        </w:tc>
        <w:tc>
          <w:tcPr>
            <w:tcW w:w="3494"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评标委员会根据投标人提供售后服务方案综合评审，具体包含以下内容：</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1、应急服务实施方案及承诺</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2、对投标产品在质保期内、外的服务承诺及对采购人使用的培训计划</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3、质保期内的免费维修服务，故障解决处理等方案。</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方案设计科学合理、针对性强的得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方案设计较为合理、针对性较强的得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方案设计基本合理、针对性有待进一步提升的得1分</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方案设计差或未提供相关内容的得0分。</w:t>
            </w:r>
          </w:p>
        </w:tc>
        <w:tc>
          <w:tcPr>
            <w:tcW w:w="50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r>
      <w:tr>
        <w:tblPrEx>
          <w:tblCellMar>
            <w:top w:w="0" w:type="dxa"/>
            <w:left w:w="108" w:type="dxa"/>
            <w:bottom w:w="0" w:type="dxa"/>
            <w:right w:w="108" w:type="dxa"/>
          </w:tblCellMar>
        </w:tblPrEx>
        <w:trPr>
          <w:jc w:val="center"/>
        </w:trPr>
        <w:tc>
          <w:tcPr>
            <w:tcW w:w="467" w:type="pct"/>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535" w:type="pct"/>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bidi="ar"/>
              </w:rPr>
              <w:t>培训方案</w:t>
            </w:r>
          </w:p>
        </w:tc>
        <w:tc>
          <w:tcPr>
            <w:tcW w:w="3494" w:type="pct"/>
            <w:tcBorders>
              <w:top w:val="single" w:color="auto" w:sz="4" w:space="0"/>
              <w:left w:val="single" w:color="auto" w:sz="4" w:space="0"/>
              <w:bottom w:val="single" w:color="auto" w:sz="4" w:space="0"/>
              <w:right w:val="single" w:color="auto" w:sz="4" w:space="0"/>
            </w:tcBorders>
            <w:vAlign w:val="center"/>
          </w:tcPr>
          <w:p>
            <w:pPr>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lang w:bidi="ar"/>
              </w:rPr>
              <w:t>针对该项目的培训方案进行评价。</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内容详细、具体，针对性强的得6分；</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内容基本完整，针对性一般的得3分；</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内容不完整，针对性不强的得1分；</w:t>
            </w:r>
          </w:p>
          <w:p>
            <w:pPr>
              <w:spacing w:line="400" w:lineRule="exact"/>
              <w:jc w:val="left"/>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rPr>
              <w:t>未提供得0分。</w:t>
            </w:r>
          </w:p>
        </w:tc>
        <w:tc>
          <w:tcPr>
            <w:tcW w:w="502" w:type="pct"/>
            <w:tcBorders>
              <w:top w:val="single" w:color="auto" w:sz="4" w:space="0"/>
              <w:left w:val="single" w:color="auto" w:sz="4" w:space="0"/>
              <w:bottom w:val="single" w:color="auto" w:sz="4" w:space="0"/>
              <w:right w:val="single" w:color="auto" w:sz="4" w:space="0"/>
            </w:tcBorders>
            <w:vAlign w:val="center"/>
          </w:tcPr>
          <w:p>
            <w:pPr>
              <w:jc w:val="left"/>
              <w:rPr>
                <w:rFonts w:hint="eastAsia" w:ascii="Times New Roman" w:hAnsi="Times New Roman" w:eastAsia="宋体" w:cs="Times New Roman"/>
                <w:color w:val="auto"/>
                <w:kern w:val="2"/>
                <w:sz w:val="24"/>
                <w:szCs w:val="24"/>
                <w:highlight w:val="none"/>
                <w:lang w:val="en-US" w:eastAsia="zh-CN" w:bidi="ar-SA"/>
              </w:rPr>
            </w:pPr>
            <w:r>
              <w:rPr>
                <w:rFonts w:hint="eastAsia"/>
                <w:color w:val="auto"/>
                <w:sz w:val="24"/>
                <w:szCs w:val="24"/>
                <w:highlight w:val="none"/>
                <w:lang w:bidi="ar"/>
              </w:rPr>
              <w:t>6</w:t>
            </w:r>
          </w:p>
        </w:tc>
      </w:tr>
      <w:tr>
        <w:tblPrEx>
          <w:tblCellMar>
            <w:top w:w="0" w:type="dxa"/>
            <w:left w:w="108" w:type="dxa"/>
            <w:bottom w:w="0" w:type="dxa"/>
            <w:right w:w="108" w:type="dxa"/>
          </w:tblCellMar>
        </w:tblPrEx>
        <w:trPr>
          <w:jc w:val="center"/>
        </w:trPr>
        <w:tc>
          <w:tcPr>
            <w:tcW w:w="467" w:type="pct"/>
            <w:vMerge w:val="continue"/>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c>
          <w:tcPr>
            <w:tcW w:w="535"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w:t>
            </w:r>
          </w:p>
        </w:tc>
        <w:tc>
          <w:tcPr>
            <w:tcW w:w="3494" w:type="pct"/>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工作人员在出现故障30小时响应时间，2小时到达现场维修，提供7*24小时响应报修服务。满足要求得1分，不满足不得分。</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每个月不低于2次巡检，每年不少于24次定期巡检，向信息科室提交纸质巡检报告，满足要求得1分，不满足不得分。</w:t>
            </w:r>
          </w:p>
          <w:p>
            <w:pPr>
              <w:pStyle w:val="2"/>
              <w:rPr>
                <w:rFonts w:hint="eastAsia" w:eastAsia="宋体"/>
                <w:color w:val="auto"/>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提供承诺书并加盖公章</w:t>
            </w:r>
            <w:r>
              <w:rPr>
                <w:rFonts w:hint="eastAsia" w:ascii="宋体" w:hAnsi="宋体" w:eastAsia="宋体" w:cs="宋体"/>
                <w:color w:val="auto"/>
                <w:sz w:val="24"/>
                <w:szCs w:val="24"/>
                <w:highlight w:val="none"/>
                <w:lang w:eastAsia="zh-CN"/>
              </w:rPr>
              <w:t>）</w:t>
            </w:r>
          </w:p>
        </w:tc>
        <w:tc>
          <w:tcPr>
            <w:tcW w:w="50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r>
      <w:tr>
        <w:tblPrEx>
          <w:tblCellMar>
            <w:top w:w="0" w:type="dxa"/>
            <w:left w:w="108" w:type="dxa"/>
            <w:bottom w:w="0" w:type="dxa"/>
            <w:right w:w="108" w:type="dxa"/>
          </w:tblCellMar>
        </w:tblPrEx>
        <w:trPr>
          <w:jc w:val="center"/>
        </w:trPr>
        <w:tc>
          <w:tcPr>
            <w:tcW w:w="4497" w:type="pct"/>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c>
          <w:tcPr>
            <w:tcW w:w="50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r>
      <w:tr>
        <w:tblPrEx>
          <w:tblCellMar>
            <w:top w:w="0" w:type="dxa"/>
            <w:left w:w="108" w:type="dxa"/>
            <w:bottom w:w="0" w:type="dxa"/>
            <w:right w:w="108" w:type="dxa"/>
          </w:tblCellMar>
        </w:tblPrEx>
        <w:trPr>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注：评标委员会成员的各评分点分项计分保留小数点后三位；评分总分保留小数点后两位，小数点后第三位“四舍五入”。</w:t>
            </w:r>
          </w:p>
        </w:tc>
      </w:tr>
    </w:tbl>
    <w:p>
      <w:pPr>
        <w:pStyle w:val="2"/>
        <w:rPr>
          <w:rFonts w:hint="default" w:ascii="宋体" w:hAnsi="宋体" w:eastAsia="宋体" w:cs="宋体"/>
          <w:color w:val="auto"/>
          <w:sz w:val="24"/>
          <w:highlight w:val="none"/>
          <w:lang w:val="en-US" w:eastAsia="zh-CN"/>
        </w:rPr>
      </w:pPr>
    </w:p>
    <w:p>
      <w:pPr>
        <w:pStyle w:val="2"/>
        <w:rPr>
          <w:rFonts w:hint="default" w:ascii="宋体" w:hAnsi="宋体" w:eastAsia="宋体" w:cs="宋体"/>
          <w:color w:val="auto"/>
          <w:sz w:val="24"/>
          <w:highlight w:val="none"/>
          <w:lang w:val="en-US" w:eastAsia="zh-CN"/>
        </w:rPr>
      </w:pPr>
    </w:p>
    <w:p>
      <w:pPr>
        <w:adjustRightInd w:val="0"/>
        <w:snapToGrid w:val="0"/>
        <w:spacing w:line="360" w:lineRule="auto"/>
        <w:ind w:right="-10" w:firstLine="80" w:firstLineChars="200"/>
        <w:rPr>
          <w:rFonts w:hint="eastAsia" w:ascii="宋体" w:hAnsi="宋体" w:cs="宋体"/>
          <w:color w:val="auto"/>
          <w:sz w:val="4"/>
          <w:szCs w:val="2"/>
          <w:highlight w:val="none"/>
        </w:rPr>
      </w:pPr>
    </w:p>
    <w:p>
      <w:pPr>
        <w:adjustRightInd w:val="0"/>
        <w:snapToGrid w:val="0"/>
        <w:spacing w:line="360" w:lineRule="auto"/>
        <w:ind w:right="-10" w:firstLine="480" w:firstLineChars="200"/>
        <w:rPr>
          <w:rFonts w:hint="eastAsia" w:ascii="宋体" w:hAnsi="宋体" w:cs="宋体"/>
          <w:color w:val="auto"/>
          <w:sz w:val="24"/>
          <w:highlight w:val="none"/>
        </w:rPr>
      </w:pPr>
      <w:r>
        <w:rPr>
          <w:rFonts w:hint="eastAsia" w:ascii="宋体" w:hAnsi="宋体" w:cs="宋体"/>
          <w:color w:val="auto"/>
          <w:sz w:val="24"/>
          <w:highlight w:val="none"/>
        </w:rPr>
        <w:t>说明：</w:t>
      </w:r>
    </w:p>
    <w:p>
      <w:pPr>
        <w:adjustRightInd w:val="0"/>
        <w:snapToGrid w:val="0"/>
        <w:spacing w:line="360" w:lineRule="auto"/>
        <w:ind w:right="-10" w:firstLine="480" w:firstLineChars="200"/>
        <w:rPr>
          <w:rFonts w:ascii="宋体" w:hAnsi="宋体" w:cs="宋体"/>
          <w:color w:val="auto"/>
          <w:sz w:val="24"/>
          <w:highlight w:val="none"/>
        </w:rPr>
      </w:pPr>
      <w:r>
        <w:rPr>
          <w:rFonts w:hint="eastAsia" w:ascii="宋体" w:hAnsi="宋体" w:cs="宋体"/>
          <w:color w:val="auto"/>
          <w:sz w:val="24"/>
          <w:highlight w:val="none"/>
        </w:rPr>
        <w:t>（1）小微企业的价格扣除</w:t>
      </w:r>
    </w:p>
    <w:p>
      <w:pPr>
        <w:adjustRightInd w:val="0"/>
        <w:snapToGrid w:val="0"/>
        <w:spacing w:line="360" w:lineRule="auto"/>
        <w:ind w:right="-10" w:firstLine="480" w:firstLineChars="200"/>
        <w:rPr>
          <w:rFonts w:hint="eastAsia" w:ascii="宋体" w:hAnsi="宋体" w:cs="宋体"/>
          <w:color w:val="auto"/>
          <w:sz w:val="24"/>
          <w:highlight w:val="none"/>
        </w:rPr>
      </w:pPr>
      <w:r>
        <w:rPr>
          <w:rFonts w:hint="eastAsia" w:ascii="宋体" w:hAnsi="宋体" w:cs="宋体"/>
          <w:color w:val="auto"/>
          <w:sz w:val="24"/>
          <w:highlight w:val="none"/>
        </w:rPr>
        <w:t>（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p>
    <w:p>
      <w:pPr>
        <w:adjustRightInd w:val="0"/>
        <w:snapToGrid w:val="0"/>
        <w:spacing w:line="360" w:lineRule="auto"/>
        <w:ind w:right="-10" w:firstLine="480" w:firstLineChars="200"/>
        <w:rPr>
          <w:rFonts w:hint="eastAsia" w:ascii="宋体" w:hAnsi="宋体" w:cs="宋体"/>
          <w:color w:val="auto"/>
          <w:sz w:val="24"/>
          <w:highlight w:val="none"/>
        </w:rPr>
      </w:pPr>
      <w:r>
        <w:rPr>
          <w:rFonts w:hint="eastAsia" w:ascii="宋体" w:hAnsi="宋体" w:cs="宋体"/>
          <w:color w:val="auto"/>
          <w:sz w:val="24"/>
          <w:highlight w:val="none"/>
        </w:rPr>
        <w:t>（1.2）价格扣除比例或者价格分加分比例对小型企业和微型企业同等对待，不作区分。</w:t>
      </w:r>
    </w:p>
    <w:p>
      <w:pPr>
        <w:adjustRightInd w:val="0"/>
        <w:snapToGrid w:val="0"/>
        <w:spacing w:line="360" w:lineRule="auto"/>
        <w:ind w:right="-10" w:firstLine="480" w:firstLineChars="200"/>
        <w:rPr>
          <w:rFonts w:hint="eastAsia" w:ascii="宋体" w:hAnsi="宋体" w:cs="宋体"/>
          <w:color w:val="auto"/>
          <w:sz w:val="24"/>
          <w:highlight w:val="none"/>
        </w:rPr>
      </w:pPr>
      <w:r>
        <w:rPr>
          <w:rFonts w:hint="eastAsia" w:ascii="宋体" w:hAnsi="宋体" w:cs="宋体"/>
          <w:color w:val="auto"/>
          <w:sz w:val="24"/>
          <w:highlight w:val="none"/>
        </w:rPr>
        <w:t>（2）监狱和戒毒企业的价格扣除</w:t>
      </w:r>
    </w:p>
    <w:p>
      <w:pPr>
        <w:adjustRightInd w:val="0"/>
        <w:snapToGrid w:val="0"/>
        <w:spacing w:line="360" w:lineRule="auto"/>
        <w:ind w:right="-10" w:firstLine="480" w:firstLineChars="200"/>
        <w:rPr>
          <w:rFonts w:hint="eastAsia" w:ascii="宋体" w:hAnsi="宋体" w:cs="宋体"/>
          <w:color w:val="auto"/>
          <w:sz w:val="24"/>
          <w:highlight w:val="none"/>
        </w:rPr>
      </w:pPr>
      <w:r>
        <w:rPr>
          <w:rFonts w:hint="eastAsia" w:ascii="宋体" w:hAnsi="宋体" w:cs="宋体"/>
          <w:color w:val="auto"/>
          <w:sz w:val="24"/>
          <w:highlight w:val="none"/>
        </w:rPr>
        <w:t>（2.1）本项目对监狱和戒毒企业（简称监狱企业），给予10%的价格扣除，用扣除后的价格参与评审。</w:t>
      </w:r>
    </w:p>
    <w:p>
      <w:pPr>
        <w:adjustRightInd w:val="0"/>
        <w:snapToGrid w:val="0"/>
        <w:spacing w:line="360" w:lineRule="auto"/>
        <w:ind w:right="-10" w:firstLine="480" w:firstLineChars="200"/>
        <w:rPr>
          <w:rFonts w:hint="eastAsia" w:ascii="宋体" w:hAnsi="宋体" w:cs="宋体"/>
          <w:color w:val="auto"/>
          <w:sz w:val="24"/>
          <w:highlight w:val="none"/>
        </w:rPr>
      </w:pPr>
      <w:r>
        <w:rPr>
          <w:rFonts w:hint="eastAsia" w:ascii="宋体" w:hAnsi="宋体" w:cs="宋体"/>
          <w:color w:val="auto"/>
          <w:sz w:val="24"/>
          <w:highlight w:val="none"/>
        </w:rPr>
        <w:t>（2.2）监狱企业需提供由省级以上监狱管理局、戒毒管理局（含新疆生产建设兵团）出具的属于监狱企业的证明文件。</w:t>
      </w:r>
    </w:p>
    <w:p>
      <w:pPr>
        <w:adjustRightInd w:val="0"/>
        <w:snapToGrid w:val="0"/>
        <w:spacing w:line="360" w:lineRule="auto"/>
        <w:ind w:right="-10" w:firstLine="480" w:firstLineChars="200"/>
        <w:rPr>
          <w:rFonts w:hint="eastAsia" w:ascii="宋体" w:hAnsi="宋体" w:cs="宋体"/>
          <w:color w:val="auto"/>
          <w:sz w:val="24"/>
          <w:highlight w:val="none"/>
        </w:rPr>
      </w:pPr>
      <w:r>
        <w:rPr>
          <w:rFonts w:hint="eastAsia" w:ascii="宋体" w:hAnsi="宋体" w:cs="宋体"/>
          <w:color w:val="auto"/>
          <w:sz w:val="24"/>
          <w:highlight w:val="none"/>
        </w:rPr>
        <w:t>（2.3）监狱企业标准请参照《关于政府采购支持监狱企业发展有关问题的通知》（财库[2014]68号）。</w:t>
      </w:r>
    </w:p>
    <w:p>
      <w:pPr>
        <w:adjustRightInd w:val="0"/>
        <w:snapToGrid w:val="0"/>
        <w:spacing w:line="360" w:lineRule="auto"/>
        <w:ind w:right="-10" w:firstLine="480" w:firstLineChars="200"/>
        <w:rPr>
          <w:rFonts w:hint="eastAsia" w:ascii="宋体" w:hAnsi="宋体" w:cs="宋体"/>
          <w:color w:val="auto"/>
          <w:sz w:val="24"/>
          <w:highlight w:val="none"/>
        </w:rPr>
      </w:pPr>
      <w:r>
        <w:rPr>
          <w:rFonts w:hint="eastAsia" w:ascii="宋体" w:hAnsi="宋体" w:cs="宋体"/>
          <w:color w:val="auto"/>
          <w:sz w:val="24"/>
          <w:highlight w:val="none"/>
        </w:rPr>
        <w:t>（3）残疾人福利性单位的价格扣除</w:t>
      </w:r>
    </w:p>
    <w:p>
      <w:pPr>
        <w:adjustRightInd w:val="0"/>
        <w:snapToGrid w:val="0"/>
        <w:spacing w:line="360" w:lineRule="auto"/>
        <w:ind w:right="-10" w:firstLine="480" w:firstLineChars="200"/>
        <w:rPr>
          <w:rFonts w:hint="eastAsia" w:ascii="宋体" w:hAnsi="宋体" w:cs="宋体"/>
          <w:color w:val="auto"/>
          <w:sz w:val="24"/>
          <w:highlight w:val="none"/>
        </w:rPr>
      </w:pPr>
      <w:r>
        <w:rPr>
          <w:rFonts w:hint="eastAsia" w:ascii="宋体" w:hAnsi="宋体" w:cs="宋体"/>
          <w:color w:val="auto"/>
          <w:sz w:val="24"/>
          <w:highlight w:val="none"/>
        </w:rPr>
        <w:t>（3.1）本项目对残疾人福利性单位，给予10%的价格扣除，用扣除后的价格参与评审。</w:t>
      </w:r>
    </w:p>
    <w:p>
      <w:pPr>
        <w:adjustRightInd w:val="0"/>
        <w:snapToGrid w:val="0"/>
        <w:spacing w:line="360" w:lineRule="auto"/>
        <w:ind w:right="-10" w:firstLine="480" w:firstLineChars="200"/>
        <w:rPr>
          <w:rFonts w:hint="eastAsia" w:ascii="宋体" w:hAnsi="宋体" w:cs="宋体"/>
          <w:color w:val="auto"/>
          <w:sz w:val="24"/>
          <w:highlight w:val="none"/>
        </w:rPr>
      </w:pPr>
      <w:r>
        <w:rPr>
          <w:rFonts w:hint="eastAsia" w:ascii="宋体" w:hAnsi="宋体" w:cs="宋体"/>
          <w:color w:val="auto"/>
          <w:sz w:val="24"/>
          <w:highlight w:val="none"/>
        </w:rPr>
        <w:t>（3.2）残疾人福利单位需按照招标文件的要求提供《残疾人福利性单位声明函》。</w:t>
      </w:r>
    </w:p>
    <w:p>
      <w:pPr>
        <w:adjustRightInd w:val="0"/>
        <w:snapToGrid w:val="0"/>
        <w:spacing w:line="360" w:lineRule="auto"/>
        <w:ind w:right="-10" w:firstLine="480" w:firstLineChars="200"/>
        <w:rPr>
          <w:rFonts w:hint="eastAsia" w:ascii="宋体" w:hAnsi="宋体" w:cs="宋体"/>
          <w:color w:val="auto"/>
          <w:sz w:val="24"/>
          <w:highlight w:val="none"/>
        </w:rPr>
      </w:pPr>
      <w:r>
        <w:rPr>
          <w:rFonts w:hint="eastAsia" w:ascii="宋体" w:hAnsi="宋体" w:cs="宋体"/>
          <w:color w:val="auto"/>
          <w:sz w:val="24"/>
          <w:highlight w:val="none"/>
        </w:rPr>
        <w:t>（3.3）残疾人福利单位标准请参照《关于促进残疾人就业政府采购政策的通知》（财库〔2017〕141号）。</w:t>
      </w:r>
    </w:p>
    <w:p>
      <w:pPr>
        <w:adjustRightInd w:val="0"/>
        <w:snapToGrid w:val="0"/>
        <w:spacing w:line="360" w:lineRule="auto"/>
        <w:ind w:right="-10" w:firstLine="480" w:firstLineChars="200"/>
        <w:rPr>
          <w:rFonts w:hint="eastAsia" w:ascii="宋体" w:hAnsi="宋体" w:cs="宋体"/>
          <w:color w:val="auto"/>
          <w:sz w:val="24"/>
          <w:highlight w:val="none"/>
        </w:rPr>
      </w:pPr>
      <w:r>
        <w:rPr>
          <w:rFonts w:hint="eastAsia" w:ascii="宋体" w:hAnsi="宋体" w:cs="宋体"/>
          <w:color w:val="auto"/>
          <w:sz w:val="24"/>
          <w:highlight w:val="none"/>
        </w:rPr>
        <w:t>（4）监狱企业、残疾人福利单位属于小型、微型企业的，不重复享受政策。</w:t>
      </w:r>
    </w:p>
    <w:p>
      <w:pPr>
        <w:adjustRightInd w:val="0"/>
        <w:snapToGrid w:val="0"/>
        <w:spacing w:line="360" w:lineRule="auto"/>
        <w:ind w:left="719" w:leftChars="228" w:right="-10" w:hanging="240" w:hangingChars="100"/>
        <w:rPr>
          <w:rFonts w:hint="eastAsia" w:ascii="宋体" w:hAnsi="宋体" w:cs="宋体"/>
          <w:b/>
          <w:color w:val="auto"/>
          <w:sz w:val="24"/>
          <w:highlight w:val="none"/>
        </w:rPr>
      </w:pPr>
      <w:r>
        <w:rPr>
          <w:rFonts w:hint="eastAsia" w:ascii="宋体" w:hAnsi="宋体" w:cs="宋体"/>
          <w:color w:val="auto"/>
          <w:sz w:val="24"/>
          <w:highlight w:val="none"/>
        </w:rPr>
        <w:t>（5）所有认证、证明和业绩均以复印件加盖公章作为依据（文件中明确要求原件的除外），原件标后备查。</w:t>
      </w:r>
    </w:p>
    <w:p>
      <w:pPr>
        <w:pStyle w:val="2"/>
        <w:rPr>
          <w:rFonts w:hint="eastAsia" w:ascii="宋体" w:hAnsi="宋体" w:eastAsia="宋体" w:cs="宋体"/>
          <w:b/>
          <w:color w:val="auto"/>
          <w:sz w:val="24"/>
          <w:highlight w:val="none"/>
        </w:rPr>
      </w:pPr>
    </w:p>
    <w:p>
      <w:pPr>
        <w:adjustRightInd w:val="0"/>
        <w:snapToGrid w:val="0"/>
        <w:spacing w:line="360" w:lineRule="auto"/>
        <w:ind w:right="-10" w:firstLine="482" w:firstLineChars="200"/>
        <w:rPr>
          <w:rFonts w:hint="eastAsia" w:ascii="宋体" w:hAnsi="宋体" w:cs="宋体"/>
          <w:color w:val="auto"/>
          <w:sz w:val="24"/>
          <w:highlight w:val="none"/>
        </w:rPr>
      </w:pPr>
      <w:r>
        <w:rPr>
          <w:rFonts w:hint="eastAsia" w:ascii="宋体" w:hAnsi="宋体" w:cs="宋体"/>
          <w:b/>
          <w:color w:val="auto"/>
          <w:sz w:val="24"/>
          <w:highlight w:val="none"/>
        </w:rPr>
        <w:t>4、评标结果。</w:t>
      </w:r>
      <w:r>
        <w:rPr>
          <w:rFonts w:hint="eastAsia" w:ascii="宋体" w:hAnsi="宋体" w:cs="宋体"/>
          <w:color w:val="auto"/>
          <w:sz w:val="24"/>
          <w:highlight w:val="none"/>
        </w:rPr>
        <w:t>评标委员会按照本办法规定推荐中标候选人，并形成评标报告。</w:t>
      </w:r>
    </w:p>
    <w:p>
      <w:pPr>
        <w:rPr>
          <w:rFonts w:hint="eastAsia" w:ascii="宋体" w:hAnsi="宋体" w:cs="宋体"/>
          <w:color w:val="auto"/>
          <w:highlight w:val="none"/>
        </w:rPr>
      </w:pPr>
      <w:r>
        <w:rPr>
          <w:rFonts w:hint="eastAsia" w:ascii="宋体" w:hAnsi="宋体" w:cs="宋体"/>
          <w:color w:val="auto"/>
          <w:sz w:val="20"/>
          <w:highlight w:val="none"/>
        </w:rPr>
        <w:t xml:space="preserve"> </w:t>
      </w:r>
    </w:p>
    <w:p>
      <w:pPr>
        <w:rPr>
          <w:rFonts w:hint="eastAsia" w:ascii="宋体" w:hAnsi="宋体" w:cs="宋体"/>
          <w:color w:val="auto"/>
          <w:highlight w:val="none"/>
        </w:rPr>
      </w:pPr>
      <w:bookmarkStart w:id="67" w:name="EBd5bea3a3c3254523b93c8abaa514fb10"/>
      <w:r>
        <w:rPr>
          <w:rFonts w:hint="eastAsia" w:ascii="宋体" w:hAnsi="宋体" w:cs="宋体"/>
          <w:color w:val="auto"/>
          <w:sz w:val="20"/>
          <w:highlight w:val="none"/>
        </w:rPr>
        <w:t xml:space="preserve"> </w:t>
      </w:r>
      <w:bookmarkEnd w:id="67"/>
    </w:p>
    <w:p>
      <w:pPr>
        <w:rPr>
          <w:rFonts w:hint="eastAsia" w:ascii="宋体" w:hAnsi="宋体" w:cs="宋体"/>
          <w:color w:val="auto"/>
          <w:sz w:val="20"/>
          <w:highlight w:val="none"/>
        </w:rPr>
      </w:pPr>
      <w:bookmarkStart w:id="68" w:name="EB82fc76f7757048998b4e7a05c212bfb9"/>
      <w:r>
        <w:rPr>
          <w:rFonts w:hint="eastAsia" w:ascii="宋体" w:hAnsi="宋体" w:cs="宋体"/>
          <w:color w:val="auto"/>
          <w:sz w:val="20"/>
          <w:highlight w:val="none"/>
        </w:rPr>
        <w:t xml:space="preserve"> </w:t>
      </w:r>
      <w:bookmarkEnd w:id="68"/>
    </w:p>
    <w:p>
      <w:pPr>
        <w:jc w:val="center"/>
        <w:outlineLvl w:val="0"/>
        <w:rPr>
          <w:rFonts w:hint="eastAsia" w:ascii="宋体" w:hAnsi="宋体"/>
          <w:b/>
          <w:color w:val="auto"/>
          <w:sz w:val="44"/>
          <w:szCs w:val="44"/>
          <w:highlight w:val="none"/>
        </w:rPr>
      </w:pPr>
      <w:bookmarkStart w:id="69" w:name="EBae7807b0bcbc478ea1f502c8f1955356"/>
      <w:bookmarkEnd w:id="69"/>
      <w:bookmarkStart w:id="70" w:name="_Toc514054481"/>
      <w:r>
        <w:rPr>
          <w:rFonts w:hint="eastAsia" w:ascii="宋体" w:hAnsi="宋体"/>
          <w:b/>
          <w:color w:val="auto"/>
          <w:sz w:val="44"/>
          <w:szCs w:val="44"/>
          <w:highlight w:val="none"/>
        </w:rPr>
        <w:br w:type="page"/>
      </w:r>
      <w:bookmarkStart w:id="71" w:name="_Toc1505"/>
      <w:r>
        <w:rPr>
          <w:rFonts w:hint="eastAsia" w:ascii="宋体" w:hAnsi="宋体"/>
          <w:b/>
          <w:color w:val="auto"/>
          <w:sz w:val="44"/>
          <w:szCs w:val="44"/>
          <w:highlight w:val="none"/>
        </w:rPr>
        <w:t>第四部分</w:t>
      </w:r>
      <w:r>
        <w:rPr>
          <w:rFonts w:ascii="宋体" w:hAnsi="宋体"/>
          <w:b/>
          <w:color w:val="auto"/>
          <w:sz w:val="44"/>
          <w:szCs w:val="44"/>
          <w:highlight w:val="none"/>
        </w:rPr>
        <w:t xml:space="preserve">  </w:t>
      </w:r>
      <w:r>
        <w:rPr>
          <w:rFonts w:hint="eastAsia" w:ascii="宋体" w:hAnsi="宋体"/>
          <w:b/>
          <w:color w:val="auto"/>
          <w:sz w:val="44"/>
          <w:szCs w:val="44"/>
          <w:highlight w:val="none"/>
        </w:rPr>
        <w:t>采购需求</w:t>
      </w:r>
      <w:bookmarkEnd w:id="70"/>
      <w:bookmarkEnd w:id="71"/>
    </w:p>
    <w:p>
      <w:pPr>
        <w:pStyle w:val="90"/>
        <w:tabs>
          <w:tab w:val="left" w:pos="630"/>
        </w:tabs>
        <w:ind w:left="630"/>
        <w:jc w:val="center"/>
        <w:outlineLvl w:val="1"/>
        <w:rPr>
          <w:rFonts w:hint="eastAsia" w:ascii="宋体" w:hAnsi="宋体"/>
          <w:b/>
          <w:color w:val="auto"/>
          <w:sz w:val="32"/>
          <w:highlight w:val="none"/>
        </w:rPr>
      </w:pPr>
      <w:bookmarkStart w:id="72" w:name="_Toc7704_WPSOffice_Level2"/>
      <w:bookmarkStart w:id="73" w:name="_Toc28714"/>
      <w:bookmarkStart w:id="74" w:name="_Toc514054482"/>
      <w:bookmarkStart w:id="75" w:name="_Toc9306"/>
      <w:r>
        <w:rPr>
          <w:rFonts w:hint="eastAsia" w:ascii="宋体" w:hAnsi="宋体"/>
          <w:b/>
          <w:color w:val="auto"/>
          <w:sz w:val="32"/>
          <w:highlight w:val="none"/>
        </w:rPr>
        <w:t>货物需求一览表</w:t>
      </w:r>
      <w:bookmarkEnd w:id="72"/>
      <w:bookmarkEnd w:id="73"/>
    </w:p>
    <w:tbl>
      <w:tblPr>
        <w:tblStyle w:val="63"/>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882"/>
        <w:gridCol w:w="2283"/>
        <w:gridCol w:w="1064"/>
        <w:gridCol w:w="1863"/>
        <w:gridCol w:w="2306"/>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921" w:hRule="atLeast"/>
          <w:jc w:val="center"/>
        </w:trPr>
        <w:tc>
          <w:tcPr>
            <w:tcW w:w="882" w:type="dxa"/>
            <w:tcBorders>
              <w:top w:val="single" w:color="auto" w:sz="4" w:space="0"/>
              <w:left w:val="single" w:color="auto" w:sz="6" w:space="0"/>
              <w:bottom w:val="single" w:color="auto" w:sz="4" w:space="0"/>
              <w:right w:val="single" w:color="auto" w:sz="4" w:space="0"/>
            </w:tcBorders>
            <w:noWrap w:val="0"/>
            <w:vAlign w:val="center"/>
          </w:tcPr>
          <w:p>
            <w:pPr>
              <w:pStyle w:val="90"/>
              <w:jc w:val="center"/>
              <w:rPr>
                <w:rFonts w:ascii="宋体" w:hAnsi="宋体" w:eastAsia="宋体" w:cs="Times New Roman"/>
                <w:color w:val="auto"/>
                <w:sz w:val="24"/>
                <w:highlight w:val="none"/>
              </w:rPr>
            </w:pPr>
            <w:r>
              <w:rPr>
                <w:rFonts w:hint="eastAsia" w:ascii="宋体" w:hAnsi="宋体" w:eastAsia="宋体" w:cs="宋体"/>
                <w:color w:val="auto"/>
                <w:sz w:val="24"/>
                <w:highlight w:val="none"/>
              </w:rPr>
              <w:t>包号</w:t>
            </w:r>
          </w:p>
        </w:tc>
        <w:tc>
          <w:tcPr>
            <w:tcW w:w="2283" w:type="dxa"/>
            <w:tcBorders>
              <w:top w:val="single" w:color="auto" w:sz="4" w:space="0"/>
              <w:left w:val="single" w:color="auto" w:sz="4" w:space="0"/>
              <w:bottom w:val="single" w:color="auto" w:sz="4" w:space="0"/>
              <w:right w:val="single" w:color="auto" w:sz="4" w:space="0"/>
            </w:tcBorders>
            <w:noWrap w:val="0"/>
            <w:vAlign w:val="center"/>
          </w:tcPr>
          <w:p>
            <w:pPr>
              <w:pStyle w:val="90"/>
              <w:jc w:val="center"/>
              <w:rPr>
                <w:rFonts w:ascii="宋体" w:hAnsi="宋体" w:eastAsia="宋体" w:cs="Times New Roman"/>
                <w:color w:val="auto"/>
                <w:sz w:val="24"/>
                <w:highlight w:val="none"/>
              </w:rPr>
            </w:pPr>
            <w:r>
              <w:rPr>
                <w:rFonts w:hint="eastAsia" w:ascii="宋体" w:hAnsi="宋体" w:eastAsia="宋体" w:cs="宋体"/>
                <w:color w:val="auto"/>
                <w:sz w:val="24"/>
                <w:highlight w:val="none"/>
              </w:rPr>
              <w:t>货物名称</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pStyle w:val="90"/>
              <w:jc w:val="center"/>
              <w:rPr>
                <w:rFonts w:ascii="宋体" w:hAnsi="宋体" w:eastAsia="宋体" w:cs="Times New Roman"/>
                <w:color w:val="auto"/>
                <w:sz w:val="24"/>
                <w:highlight w:val="none"/>
              </w:rPr>
            </w:pPr>
            <w:r>
              <w:rPr>
                <w:rFonts w:hint="eastAsia" w:ascii="宋体" w:hAnsi="宋体" w:eastAsia="宋体" w:cs="宋体"/>
                <w:color w:val="auto"/>
                <w:sz w:val="24"/>
                <w:highlight w:val="none"/>
              </w:rPr>
              <w:t>数量</w:t>
            </w:r>
          </w:p>
        </w:tc>
        <w:tc>
          <w:tcPr>
            <w:tcW w:w="1863" w:type="dxa"/>
            <w:tcBorders>
              <w:top w:val="single" w:color="auto" w:sz="4" w:space="0"/>
              <w:left w:val="single" w:color="auto" w:sz="4" w:space="0"/>
              <w:bottom w:val="single" w:color="auto" w:sz="4" w:space="0"/>
              <w:right w:val="single" w:color="auto" w:sz="4" w:space="0"/>
            </w:tcBorders>
            <w:noWrap w:val="0"/>
            <w:vAlign w:val="center"/>
          </w:tcPr>
          <w:p>
            <w:pPr>
              <w:pStyle w:val="90"/>
              <w:jc w:val="center"/>
              <w:rPr>
                <w:rFonts w:hint="default" w:ascii="宋体" w:hAnsi="宋体" w:eastAsia="宋体" w:cs="Times New Roman"/>
                <w:color w:val="auto"/>
                <w:sz w:val="24"/>
                <w:highlight w:val="none"/>
                <w:lang w:val="en-US" w:eastAsia="zh-CN"/>
              </w:rPr>
            </w:pPr>
            <w:r>
              <w:rPr>
                <w:rFonts w:hint="eastAsia" w:ascii="宋体" w:hAnsi="宋体" w:eastAsia="宋体" w:cs="宋体"/>
                <w:color w:val="auto"/>
                <w:sz w:val="24"/>
                <w:highlight w:val="none"/>
              </w:rPr>
              <w:t>*</w:t>
            </w:r>
            <w:r>
              <w:rPr>
                <w:rFonts w:hint="eastAsia" w:ascii="宋体" w:hAnsi="宋体" w:eastAsia="宋体" w:cs="Times New Roman"/>
                <w:color w:val="auto"/>
                <w:sz w:val="24"/>
                <w:highlight w:val="none"/>
              </w:rPr>
              <w:t>交货期</w:t>
            </w:r>
            <w:r>
              <w:rPr>
                <w:rFonts w:hint="eastAsia" w:ascii="宋体" w:hAnsi="宋体" w:cs="Times New Roman"/>
                <w:color w:val="auto"/>
                <w:sz w:val="24"/>
                <w:highlight w:val="none"/>
                <w:lang w:val="en-US" w:eastAsia="zh-CN"/>
              </w:rPr>
              <w:t>/实施期限</w:t>
            </w:r>
          </w:p>
        </w:tc>
        <w:tc>
          <w:tcPr>
            <w:tcW w:w="2306" w:type="dxa"/>
            <w:tcBorders>
              <w:top w:val="single" w:color="auto" w:sz="4" w:space="0"/>
              <w:left w:val="single" w:color="auto" w:sz="4" w:space="0"/>
              <w:bottom w:val="single" w:color="auto" w:sz="4" w:space="0"/>
              <w:right w:val="single" w:color="auto" w:sz="4" w:space="0"/>
            </w:tcBorders>
            <w:noWrap w:val="0"/>
            <w:vAlign w:val="center"/>
          </w:tcPr>
          <w:p>
            <w:pPr>
              <w:pStyle w:val="90"/>
              <w:jc w:val="center"/>
              <w:rPr>
                <w:rFonts w:ascii="宋体" w:hAnsi="宋体" w:eastAsia="宋体" w:cs="Times New Roman"/>
                <w:color w:val="auto"/>
                <w:sz w:val="24"/>
                <w:highlight w:val="none"/>
              </w:rPr>
            </w:pPr>
            <w:r>
              <w:rPr>
                <w:rFonts w:hint="eastAsia" w:ascii="宋体" w:hAnsi="宋体" w:eastAsia="宋体" w:cs="Times New Roman"/>
                <w:color w:val="auto"/>
                <w:sz w:val="24"/>
                <w:highlight w:val="none"/>
              </w:rPr>
              <w:t>交货地点</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836" w:hRule="atLeast"/>
          <w:jc w:val="center"/>
        </w:trPr>
        <w:tc>
          <w:tcPr>
            <w:tcW w:w="882" w:type="dxa"/>
            <w:tcBorders>
              <w:top w:val="single" w:color="auto" w:sz="4" w:space="0"/>
              <w:left w:val="single" w:color="auto" w:sz="6" w:space="0"/>
              <w:bottom w:val="single" w:color="auto" w:sz="4" w:space="0"/>
              <w:right w:val="single" w:color="auto" w:sz="4" w:space="0"/>
            </w:tcBorders>
            <w:shd w:val="clear" w:color="auto" w:fill="auto"/>
            <w:noWrap w:val="0"/>
            <w:vAlign w:val="center"/>
          </w:tcPr>
          <w:p>
            <w:pPr>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1</w:t>
            </w:r>
          </w:p>
        </w:tc>
        <w:tc>
          <w:tcPr>
            <w:tcW w:w="228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门诊排队叫号系统项目</w:t>
            </w:r>
          </w:p>
        </w:tc>
        <w:tc>
          <w:tcPr>
            <w:tcW w:w="106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1套</w:t>
            </w:r>
          </w:p>
        </w:tc>
        <w:tc>
          <w:tcPr>
            <w:tcW w:w="1863"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合同签订后</w:t>
            </w:r>
            <w:r>
              <w:rPr>
                <w:rFonts w:hint="eastAsia" w:ascii="宋体" w:hAnsi="宋体" w:cs="宋体"/>
                <w:color w:val="auto"/>
                <w:sz w:val="24"/>
                <w:szCs w:val="24"/>
                <w:highlight w:val="none"/>
                <w:lang w:val="en-US" w:eastAsia="zh-CN"/>
              </w:rPr>
              <w:t>20天</w:t>
            </w:r>
            <w:r>
              <w:rPr>
                <w:rFonts w:hint="eastAsia" w:ascii="宋体" w:hAnsi="宋体" w:eastAsia="宋体" w:cs="宋体"/>
                <w:color w:val="auto"/>
                <w:sz w:val="24"/>
                <w:szCs w:val="24"/>
                <w:highlight w:val="none"/>
              </w:rPr>
              <w:t>内</w:t>
            </w:r>
          </w:p>
        </w:tc>
        <w:tc>
          <w:tcPr>
            <w:tcW w:w="2306" w:type="dxa"/>
            <w:tcBorders>
              <w:top w:val="single" w:color="auto" w:sz="4" w:space="0"/>
              <w:left w:val="single" w:color="auto" w:sz="4" w:space="0"/>
              <w:bottom w:val="single" w:color="auto" w:sz="4" w:space="0"/>
              <w:right w:val="single" w:color="auto" w:sz="4" w:space="0"/>
            </w:tcBorders>
            <w:noWrap w:val="0"/>
            <w:vAlign w:val="top"/>
          </w:tcPr>
          <w:p>
            <w:pPr>
              <w:widowControl/>
              <w:jc w:val="center"/>
              <w:textAlignment w:val="center"/>
              <w:rPr>
                <w:rFonts w:ascii="宋体" w:hAnsi="宋体" w:eastAsia="宋体" w:cs="宋体"/>
                <w:color w:val="auto"/>
                <w:sz w:val="24"/>
                <w:szCs w:val="24"/>
                <w:highlight w:val="none"/>
              </w:rPr>
            </w:pPr>
          </w:p>
          <w:p>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院方指定地点</w:t>
            </w:r>
          </w:p>
        </w:tc>
      </w:tr>
    </w:tbl>
    <w:p>
      <w:pPr>
        <w:pStyle w:val="2"/>
        <w:jc w:val="center"/>
        <w:outlineLvl w:val="0"/>
        <w:rPr>
          <w:rFonts w:ascii="宋体" w:hAnsi="宋体" w:eastAsia="宋体"/>
          <w:b/>
          <w:color w:val="auto"/>
          <w:sz w:val="44"/>
          <w:szCs w:val="44"/>
          <w:highlight w:val="none"/>
        </w:rPr>
      </w:pPr>
    </w:p>
    <w:p>
      <w:pPr>
        <w:pStyle w:val="90"/>
        <w:tabs>
          <w:tab w:val="left" w:pos="630"/>
        </w:tabs>
        <w:ind w:left="630"/>
        <w:jc w:val="center"/>
        <w:outlineLvl w:val="1"/>
        <w:rPr>
          <w:rFonts w:hint="eastAsia" w:ascii="宋体" w:hAnsi="宋体"/>
          <w:b/>
          <w:color w:val="auto"/>
          <w:highlight w:val="none"/>
        </w:rPr>
      </w:pPr>
      <w:r>
        <w:rPr>
          <w:rFonts w:ascii="宋体" w:hAnsi="宋体"/>
          <w:b/>
          <w:color w:val="auto"/>
          <w:highlight w:val="none"/>
        </w:rPr>
        <w:br w:type="page"/>
      </w:r>
      <w:r>
        <w:rPr>
          <w:rFonts w:hint="eastAsia" w:ascii="宋体" w:hAnsi="宋体"/>
          <w:b/>
          <w:color w:val="auto"/>
          <w:sz w:val="32"/>
          <w:highlight w:val="none"/>
        </w:rPr>
        <w:t>技术需求</w:t>
      </w:r>
    </w:p>
    <w:p>
      <w:pPr>
        <w:pStyle w:val="435"/>
        <w:pageBreakBefore w:val="0"/>
        <w:widowControl w:val="0"/>
        <w:numPr>
          <w:ilvl w:val="0"/>
          <w:numId w:val="0"/>
        </w:numPr>
        <w:kinsoku/>
        <w:wordWrap/>
        <w:topLinePunct w:val="0"/>
        <w:autoSpaceDE/>
        <w:autoSpaceDN/>
        <w:bidi w:val="0"/>
        <w:spacing w:before="0" w:after="0" w:line="360" w:lineRule="auto"/>
        <w:jc w:val="left"/>
        <w:outlineLvl w:val="1"/>
        <w:rPr>
          <w:rFonts w:ascii="宋体" w:hAnsi="宋体" w:cs="宋体"/>
          <w:b/>
          <w:bCs w:val="0"/>
          <w:i/>
          <w:iCs/>
          <w:color w:val="auto"/>
          <w:sz w:val="24"/>
          <w:szCs w:val="24"/>
          <w:highlight w:val="none"/>
        </w:rPr>
      </w:pPr>
      <w:r>
        <w:rPr>
          <w:rFonts w:hint="eastAsia" w:ascii="宋体" w:hAnsi="宋体" w:cs="宋体"/>
          <w:b/>
          <w:bCs w:val="0"/>
          <w:i/>
          <w:iCs/>
          <w:color w:val="auto"/>
          <w:sz w:val="24"/>
          <w:szCs w:val="24"/>
          <w:highlight w:val="none"/>
        </w:rPr>
        <w:t>一、投标产品须注明生产厂家及型号规格</w:t>
      </w:r>
    </w:p>
    <w:p>
      <w:pPr>
        <w:pStyle w:val="436"/>
        <w:pageBreakBefore w:val="0"/>
        <w:widowControl w:val="0"/>
        <w:kinsoku/>
        <w:wordWrap/>
        <w:topLinePunct w:val="0"/>
        <w:autoSpaceDE/>
        <w:autoSpaceDN/>
        <w:bidi w:val="0"/>
        <w:spacing w:beforeLines="0" w:afterLines="0" w:line="360" w:lineRule="auto"/>
        <w:rPr>
          <w:rFonts w:ascii="宋体" w:hAnsi="宋体" w:cs="宋体"/>
          <w:i/>
          <w:iCs/>
          <w:color w:val="auto"/>
          <w:sz w:val="24"/>
          <w:szCs w:val="24"/>
          <w:highlight w:val="none"/>
        </w:rPr>
      </w:pPr>
      <w:r>
        <w:rPr>
          <w:rFonts w:hint="eastAsia" w:ascii="宋体" w:hAnsi="宋体" w:cs="宋体"/>
          <w:i/>
          <w:iCs/>
          <w:color w:val="auto"/>
          <w:sz w:val="24"/>
          <w:szCs w:val="24"/>
          <w:highlight w:val="none"/>
        </w:rPr>
        <w:t>二、</w:t>
      </w:r>
      <w:r>
        <w:rPr>
          <w:rFonts w:hint="eastAsia" w:ascii="宋体" w:hAnsi="宋体" w:cs="宋体"/>
          <w:bCs/>
          <w:i/>
          <w:iCs/>
          <w:color w:val="auto"/>
          <w:sz w:val="24"/>
          <w:szCs w:val="24"/>
          <w:highlight w:val="none"/>
        </w:rPr>
        <w:t>商务要求</w:t>
      </w:r>
      <w:r>
        <w:rPr>
          <w:rFonts w:hint="eastAsia" w:ascii="宋体" w:hAnsi="宋体" w:cs="宋体"/>
          <w:i/>
          <w:iCs/>
          <w:color w:val="auto"/>
          <w:sz w:val="24"/>
          <w:szCs w:val="24"/>
          <w:highlight w:val="none"/>
        </w:rPr>
        <w:t>：</w:t>
      </w:r>
    </w:p>
    <w:p>
      <w:pPr>
        <w:pageBreakBefore w:val="0"/>
        <w:widowControl w:val="0"/>
        <w:kinsoku/>
        <w:wordWrap/>
        <w:topLinePunct w:val="0"/>
        <w:autoSpaceDE/>
        <w:autoSpaceDN/>
        <w:bidi w:val="0"/>
        <w:spacing w:line="360" w:lineRule="auto"/>
        <w:jc w:val="left"/>
        <w:rPr>
          <w:color w:val="auto"/>
          <w:sz w:val="24"/>
          <w:szCs w:val="24"/>
          <w:highlight w:val="none"/>
        </w:rPr>
      </w:pPr>
      <w:r>
        <w:rPr>
          <w:rFonts w:hint="eastAsia"/>
          <w:color w:val="auto"/>
          <w:sz w:val="24"/>
          <w:szCs w:val="24"/>
          <w:highlight w:val="none"/>
        </w:rPr>
        <w:t>一、项目实施</w:t>
      </w:r>
    </w:p>
    <w:p>
      <w:pPr>
        <w:pStyle w:val="88"/>
        <w:pageBreakBefore w:val="0"/>
        <w:widowControl w:val="0"/>
        <w:numPr>
          <w:ilvl w:val="0"/>
          <w:numId w:val="12"/>
        </w:numPr>
        <w:kinsoku/>
        <w:wordWrap/>
        <w:topLinePunct w:val="0"/>
        <w:autoSpaceDE/>
        <w:autoSpaceDN/>
        <w:bidi w:val="0"/>
        <w:spacing w:line="360" w:lineRule="auto"/>
        <w:ind w:firstLineChars="0"/>
        <w:jc w:val="left"/>
        <w:rPr>
          <w:color w:val="auto"/>
          <w:kern w:val="0"/>
          <w:sz w:val="24"/>
          <w:szCs w:val="24"/>
          <w:highlight w:val="none"/>
        </w:rPr>
      </w:pPr>
      <w:r>
        <w:rPr>
          <w:rFonts w:hint="eastAsia"/>
          <w:color w:val="auto"/>
          <w:kern w:val="0"/>
          <w:sz w:val="24"/>
          <w:szCs w:val="24"/>
          <w:highlight w:val="none"/>
        </w:rPr>
        <w:t>供方具有合理的维护团队，保证项目的正常维护；</w:t>
      </w:r>
    </w:p>
    <w:p>
      <w:pPr>
        <w:pStyle w:val="88"/>
        <w:pageBreakBefore w:val="0"/>
        <w:widowControl w:val="0"/>
        <w:numPr>
          <w:ilvl w:val="0"/>
          <w:numId w:val="12"/>
        </w:numPr>
        <w:kinsoku/>
        <w:wordWrap/>
        <w:topLinePunct w:val="0"/>
        <w:autoSpaceDE/>
        <w:autoSpaceDN/>
        <w:bidi w:val="0"/>
        <w:spacing w:line="360" w:lineRule="auto"/>
        <w:ind w:firstLineChars="0"/>
        <w:jc w:val="left"/>
        <w:rPr>
          <w:color w:val="auto"/>
          <w:kern w:val="0"/>
          <w:sz w:val="24"/>
          <w:szCs w:val="24"/>
          <w:highlight w:val="none"/>
        </w:rPr>
      </w:pPr>
      <w:r>
        <w:rPr>
          <w:rFonts w:hint="eastAsia"/>
          <w:color w:val="auto"/>
          <w:kern w:val="0"/>
          <w:sz w:val="24"/>
          <w:szCs w:val="24"/>
          <w:highlight w:val="none"/>
        </w:rPr>
        <w:t>供方提供完整的方案，并保证切实可行；</w:t>
      </w:r>
    </w:p>
    <w:p>
      <w:pPr>
        <w:pStyle w:val="88"/>
        <w:pageBreakBefore w:val="0"/>
        <w:widowControl w:val="0"/>
        <w:numPr>
          <w:ilvl w:val="0"/>
          <w:numId w:val="12"/>
        </w:numPr>
        <w:kinsoku/>
        <w:wordWrap/>
        <w:topLinePunct w:val="0"/>
        <w:autoSpaceDE/>
        <w:autoSpaceDN/>
        <w:bidi w:val="0"/>
        <w:spacing w:line="360" w:lineRule="auto"/>
        <w:ind w:firstLineChars="0"/>
        <w:jc w:val="left"/>
        <w:rPr>
          <w:color w:val="auto"/>
          <w:kern w:val="0"/>
          <w:sz w:val="24"/>
          <w:szCs w:val="24"/>
          <w:highlight w:val="none"/>
        </w:rPr>
      </w:pPr>
      <w:r>
        <w:rPr>
          <w:rFonts w:hint="eastAsia"/>
          <w:color w:val="auto"/>
          <w:kern w:val="0"/>
          <w:sz w:val="24"/>
          <w:szCs w:val="24"/>
          <w:highlight w:val="none"/>
        </w:rPr>
        <w:t>谈判结束后选定的供方需在一周内进场；</w:t>
      </w:r>
    </w:p>
    <w:p>
      <w:pPr>
        <w:pStyle w:val="88"/>
        <w:pageBreakBefore w:val="0"/>
        <w:widowControl w:val="0"/>
        <w:numPr>
          <w:ilvl w:val="0"/>
          <w:numId w:val="12"/>
        </w:numPr>
        <w:kinsoku/>
        <w:wordWrap/>
        <w:topLinePunct w:val="0"/>
        <w:autoSpaceDE/>
        <w:autoSpaceDN/>
        <w:bidi w:val="0"/>
        <w:spacing w:line="360" w:lineRule="auto"/>
        <w:ind w:firstLineChars="0"/>
        <w:jc w:val="left"/>
        <w:rPr>
          <w:color w:val="auto"/>
          <w:kern w:val="0"/>
          <w:sz w:val="24"/>
          <w:szCs w:val="24"/>
          <w:highlight w:val="none"/>
        </w:rPr>
      </w:pPr>
      <w:r>
        <w:rPr>
          <w:rFonts w:hint="eastAsia" w:ascii="宋体" w:hAnsi="宋体" w:eastAsia="宋体" w:cs="宋体"/>
          <w:b/>
          <w:bCs/>
          <w:color w:val="auto"/>
          <w:sz w:val="24"/>
          <w:szCs w:val="24"/>
          <w:highlight w:val="none"/>
        </w:rPr>
        <w:t>★</w:t>
      </w:r>
      <w:r>
        <w:rPr>
          <w:rFonts w:hint="eastAsia"/>
          <w:color w:val="auto"/>
          <w:kern w:val="0"/>
          <w:sz w:val="24"/>
          <w:szCs w:val="24"/>
          <w:highlight w:val="none"/>
        </w:rPr>
        <w:t>供货及调试20天内完成；</w:t>
      </w:r>
    </w:p>
    <w:p>
      <w:pPr>
        <w:pageBreakBefore w:val="0"/>
        <w:widowControl w:val="0"/>
        <w:kinsoku/>
        <w:wordWrap/>
        <w:topLinePunct w:val="0"/>
        <w:autoSpaceDE/>
        <w:autoSpaceDN/>
        <w:bidi w:val="0"/>
        <w:spacing w:line="360" w:lineRule="auto"/>
        <w:jc w:val="left"/>
        <w:rPr>
          <w:color w:val="auto"/>
          <w:sz w:val="24"/>
          <w:szCs w:val="24"/>
          <w:highlight w:val="none"/>
        </w:rPr>
      </w:pPr>
      <w:r>
        <w:rPr>
          <w:rFonts w:hint="eastAsia" w:ascii="宋体" w:hAnsi="宋体" w:eastAsia="宋体" w:cs="宋体"/>
          <w:b/>
          <w:bCs/>
          <w:color w:val="auto"/>
          <w:sz w:val="24"/>
          <w:szCs w:val="24"/>
          <w:highlight w:val="none"/>
        </w:rPr>
        <w:t>★</w:t>
      </w:r>
      <w:r>
        <w:rPr>
          <w:rFonts w:hint="eastAsia"/>
          <w:color w:val="auto"/>
          <w:sz w:val="24"/>
          <w:szCs w:val="24"/>
          <w:highlight w:val="none"/>
          <w:lang w:val="en-US" w:eastAsia="zh-CN"/>
        </w:rPr>
        <w:t>二</w:t>
      </w:r>
      <w:r>
        <w:rPr>
          <w:rFonts w:hint="eastAsia"/>
          <w:color w:val="auto"/>
          <w:sz w:val="24"/>
          <w:szCs w:val="24"/>
          <w:highlight w:val="none"/>
        </w:rPr>
        <w:t>、付款方式</w:t>
      </w:r>
    </w:p>
    <w:p>
      <w:pPr>
        <w:pageBreakBefore w:val="0"/>
        <w:widowControl w:val="0"/>
        <w:kinsoku/>
        <w:wordWrap/>
        <w:topLinePunct w:val="0"/>
        <w:autoSpaceDE/>
        <w:autoSpaceDN/>
        <w:bidi w:val="0"/>
        <w:spacing w:line="360" w:lineRule="auto"/>
        <w:jc w:val="left"/>
        <w:rPr>
          <w:color w:val="auto"/>
          <w:sz w:val="24"/>
          <w:szCs w:val="24"/>
          <w:highlight w:val="none"/>
        </w:rPr>
      </w:pPr>
      <w:r>
        <w:rPr>
          <w:rFonts w:hint="eastAsia"/>
          <w:color w:val="auto"/>
          <w:sz w:val="24"/>
          <w:szCs w:val="24"/>
          <w:highlight w:val="none"/>
        </w:rPr>
        <w:t>合同签订后，项目到货验收合格后支付50%款项，项目验收合格后支付45%款项，验收合格1年后支付剩余款项。</w:t>
      </w:r>
    </w:p>
    <w:p>
      <w:pPr>
        <w:pageBreakBefore w:val="0"/>
        <w:widowControl w:val="0"/>
        <w:kinsoku/>
        <w:wordWrap/>
        <w:topLinePunct w:val="0"/>
        <w:autoSpaceDE/>
        <w:autoSpaceDN/>
        <w:bidi w:val="0"/>
        <w:spacing w:line="360" w:lineRule="auto"/>
        <w:jc w:val="left"/>
        <w:rPr>
          <w:color w:val="auto"/>
          <w:sz w:val="24"/>
          <w:szCs w:val="24"/>
          <w:highlight w:val="none"/>
        </w:rPr>
      </w:pPr>
    </w:p>
    <w:p>
      <w:pPr>
        <w:pStyle w:val="436"/>
        <w:pageBreakBefore w:val="0"/>
        <w:widowControl w:val="0"/>
        <w:kinsoku/>
        <w:wordWrap/>
        <w:topLinePunct w:val="0"/>
        <w:autoSpaceDE/>
        <w:autoSpaceDN/>
        <w:bidi w:val="0"/>
        <w:spacing w:beforeLines="0" w:afterLines="0" w:line="360" w:lineRule="auto"/>
        <w:rPr>
          <w:rFonts w:ascii="宋体" w:hAnsi="宋体" w:cs="宋体"/>
          <w:i/>
          <w:iCs/>
          <w:color w:val="auto"/>
          <w:sz w:val="24"/>
          <w:szCs w:val="24"/>
          <w:highlight w:val="none"/>
        </w:rPr>
      </w:pPr>
      <w:r>
        <w:rPr>
          <w:rFonts w:hint="eastAsia" w:ascii="宋体" w:hAnsi="宋体" w:cs="宋体"/>
          <w:i/>
          <w:iCs/>
          <w:color w:val="auto"/>
          <w:sz w:val="24"/>
          <w:szCs w:val="24"/>
          <w:highlight w:val="none"/>
        </w:rPr>
        <w:t>三、技术要求：</w:t>
      </w:r>
    </w:p>
    <w:p>
      <w:pPr>
        <w:pStyle w:val="2"/>
        <w:pageBreakBefore w:val="0"/>
        <w:widowControl w:val="0"/>
        <w:kinsoku/>
        <w:wordWrap/>
        <w:topLinePunct w:val="0"/>
        <w:autoSpaceDE/>
        <w:autoSpaceDN/>
        <w:bidi w:val="0"/>
        <w:spacing w:line="360" w:lineRule="auto"/>
        <w:jc w:val="left"/>
        <w:rPr>
          <w:color w:val="auto"/>
          <w:sz w:val="24"/>
          <w:szCs w:val="24"/>
          <w:highlight w:val="none"/>
        </w:rPr>
      </w:pPr>
      <w:r>
        <w:rPr>
          <w:rFonts w:hint="eastAsia"/>
          <w:color w:val="auto"/>
          <w:sz w:val="24"/>
          <w:szCs w:val="24"/>
          <w:highlight w:val="none"/>
        </w:rPr>
        <w:t>1.采购清单</w:t>
      </w:r>
    </w:p>
    <w:tbl>
      <w:tblPr>
        <w:tblStyle w:val="63"/>
        <w:tblW w:w="8407" w:type="dxa"/>
        <w:jc w:val="center"/>
        <w:tblLayout w:type="fixed"/>
        <w:tblCellMar>
          <w:top w:w="0" w:type="dxa"/>
          <w:left w:w="108" w:type="dxa"/>
          <w:bottom w:w="0" w:type="dxa"/>
          <w:right w:w="108" w:type="dxa"/>
        </w:tblCellMar>
      </w:tblPr>
      <w:tblGrid>
        <w:gridCol w:w="756"/>
        <w:gridCol w:w="4129"/>
        <w:gridCol w:w="851"/>
        <w:gridCol w:w="1171"/>
        <w:gridCol w:w="1500"/>
      </w:tblGrid>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项目</w:t>
            </w:r>
            <w:r>
              <w:rPr>
                <w:b/>
                <w:bCs/>
                <w:color w:val="auto"/>
                <w:sz w:val="24"/>
                <w:szCs w:val="24"/>
                <w:highlight w:val="none"/>
              </w:rPr>
              <w:t>项目</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单位</w:t>
            </w: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数量</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备注</w:t>
            </w: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color w:val="auto"/>
                <w:kern w:val="2"/>
                <w:sz w:val="24"/>
                <w:szCs w:val="24"/>
                <w:highlight w:val="none"/>
              </w:rPr>
            </w:pPr>
            <w:r>
              <w:rPr>
                <w:color w:val="auto"/>
                <w:kern w:val="2"/>
                <w:sz w:val="24"/>
                <w:szCs w:val="24"/>
                <w:highlight w:val="none"/>
              </w:rPr>
              <w:t>1</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ascii="宋体" w:hAnsi="宋体" w:cs="宋体"/>
                <w:color w:val="auto"/>
                <w:kern w:val="2"/>
                <w:sz w:val="24"/>
                <w:szCs w:val="24"/>
                <w:highlight w:val="none"/>
              </w:rPr>
            </w:pPr>
            <w:r>
              <w:rPr>
                <w:rFonts w:hint="eastAsia"/>
                <w:color w:val="auto"/>
                <w:kern w:val="2"/>
                <w:sz w:val="24"/>
                <w:szCs w:val="24"/>
                <w:highlight w:val="none"/>
              </w:rPr>
              <w:t>24寸诊室显示屏含设备箱</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台</w:t>
            </w: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color w:val="auto"/>
                <w:kern w:val="2"/>
                <w:sz w:val="24"/>
                <w:szCs w:val="24"/>
                <w:highlight w:val="none"/>
              </w:rPr>
              <w:t>1</w:t>
            </w:r>
            <w:r>
              <w:rPr>
                <w:rFonts w:hint="eastAsia"/>
                <w:color w:val="auto"/>
                <w:kern w:val="2"/>
                <w:sz w:val="24"/>
                <w:szCs w:val="24"/>
                <w:highlight w:val="none"/>
              </w:rPr>
              <w:t>4</w:t>
            </w:r>
            <w:r>
              <w:rPr>
                <w:color w:val="auto"/>
                <w:kern w:val="2"/>
                <w:sz w:val="24"/>
                <w:szCs w:val="24"/>
                <w:highlight w:val="none"/>
              </w:rPr>
              <w:t>8</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ascii="宋体" w:hAnsi="宋体" w:cs="宋体"/>
                <w:color w:val="auto"/>
                <w:kern w:val="2"/>
                <w:sz w:val="24"/>
                <w:szCs w:val="24"/>
                <w:highlight w:val="none"/>
              </w:rPr>
              <w:t>新诊区</w:t>
            </w:r>
            <w:r>
              <w:rPr>
                <w:rFonts w:hint="eastAsia" w:ascii="宋体" w:hAnsi="宋体" w:cs="宋体"/>
                <w:color w:val="auto"/>
                <w:kern w:val="2"/>
                <w:sz w:val="24"/>
                <w:szCs w:val="24"/>
                <w:highlight w:val="none"/>
              </w:rPr>
              <w:t>108</w:t>
            </w:r>
          </w:p>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检查科室40</w:t>
            </w: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color w:val="auto"/>
                <w:kern w:val="2"/>
                <w:sz w:val="24"/>
                <w:szCs w:val="24"/>
                <w:highlight w:val="none"/>
              </w:rPr>
            </w:pPr>
            <w:r>
              <w:rPr>
                <w:color w:val="auto"/>
                <w:kern w:val="2"/>
                <w:sz w:val="24"/>
                <w:szCs w:val="24"/>
                <w:highlight w:val="none"/>
              </w:rPr>
              <w:t>2</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ascii="宋体" w:hAnsi="宋体" w:cs="宋体"/>
                <w:color w:val="auto"/>
                <w:kern w:val="2"/>
                <w:sz w:val="24"/>
                <w:szCs w:val="24"/>
                <w:highlight w:val="none"/>
              </w:rPr>
            </w:pPr>
            <w:r>
              <w:rPr>
                <w:rFonts w:hint="eastAsia"/>
                <w:color w:val="auto"/>
                <w:kern w:val="2"/>
                <w:sz w:val="24"/>
                <w:szCs w:val="24"/>
                <w:highlight w:val="none"/>
              </w:rPr>
              <w:t>55寸候诊显示屏含安装架</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台</w:t>
            </w: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35</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新诊区28</w:t>
            </w:r>
          </w:p>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检查科室7</w:t>
            </w: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color w:val="auto"/>
                <w:kern w:val="2"/>
                <w:sz w:val="24"/>
                <w:szCs w:val="24"/>
                <w:highlight w:val="none"/>
              </w:rPr>
            </w:pPr>
            <w:r>
              <w:rPr>
                <w:rFonts w:hint="eastAsia"/>
                <w:color w:val="auto"/>
                <w:kern w:val="2"/>
                <w:sz w:val="24"/>
                <w:szCs w:val="24"/>
                <w:highlight w:val="none"/>
              </w:rPr>
              <w:t>3</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ascii="宋体" w:hAnsi="宋体" w:cs="宋体"/>
                <w:color w:val="auto"/>
                <w:kern w:val="2"/>
                <w:sz w:val="24"/>
                <w:szCs w:val="24"/>
                <w:highlight w:val="none"/>
              </w:rPr>
            </w:pPr>
            <w:r>
              <w:rPr>
                <w:rFonts w:hint="eastAsia"/>
                <w:color w:val="auto"/>
                <w:kern w:val="2"/>
                <w:sz w:val="24"/>
                <w:szCs w:val="24"/>
                <w:highlight w:val="none"/>
              </w:rPr>
              <w:t>43寸候诊显示屏含安装架</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台</w:t>
            </w: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检查科室</w:t>
            </w: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color w:val="auto"/>
                <w:kern w:val="2"/>
                <w:sz w:val="24"/>
                <w:szCs w:val="24"/>
                <w:highlight w:val="none"/>
              </w:rPr>
            </w:pPr>
            <w:r>
              <w:rPr>
                <w:rFonts w:hint="eastAsia"/>
                <w:color w:val="auto"/>
                <w:kern w:val="2"/>
                <w:sz w:val="24"/>
                <w:szCs w:val="24"/>
                <w:highlight w:val="none"/>
              </w:rPr>
              <w:t>4</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color w:val="auto"/>
                <w:kern w:val="2"/>
                <w:sz w:val="24"/>
                <w:szCs w:val="24"/>
                <w:highlight w:val="none"/>
              </w:rPr>
            </w:pPr>
            <w:r>
              <w:rPr>
                <w:rFonts w:hint="eastAsia"/>
                <w:color w:val="auto"/>
                <w:kern w:val="2"/>
                <w:sz w:val="24"/>
                <w:szCs w:val="24"/>
                <w:highlight w:val="none"/>
              </w:rPr>
              <w:t>嵌入式控制器</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val="0"/>
              <w:kinsoku/>
              <w:wordWrap/>
              <w:topLinePunct w:val="0"/>
              <w:autoSpaceDE/>
              <w:autoSpaceDN/>
              <w:bidi w:val="0"/>
              <w:spacing w:line="360" w:lineRule="auto"/>
              <w:textAlignment w:val="center"/>
              <w:rPr>
                <w:color w:val="auto"/>
                <w:kern w:val="2"/>
                <w:sz w:val="24"/>
                <w:szCs w:val="24"/>
                <w:highlight w:val="none"/>
              </w:rPr>
            </w:pPr>
            <w:r>
              <w:rPr>
                <w:rFonts w:hint="eastAsia"/>
                <w:color w:val="auto"/>
                <w:kern w:val="2"/>
                <w:sz w:val="24"/>
                <w:szCs w:val="24"/>
                <w:highlight w:val="none"/>
              </w:rPr>
              <w:t>台</w:t>
            </w:r>
          </w:p>
        </w:tc>
        <w:tc>
          <w:tcPr>
            <w:tcW w:w="1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val="0"/>
              <w:kinsoku/>
              <w:wordWrap/>
              <w:topLinePunct w:val="0"/>
              <w:autoSpaceDE/>
              <w:autoSpaceDN/>
              <w:bidi w:val="0"/>
              <w:spacing w:line="360" w:lineRule="auto"/>
              <w:textAlignment w:val="center"/>
              <w:rPr>
                <w:color w:val="auto"/>
                <w:kern w:val="2"/>
                <w:sz w:val="24"/>
                <w:szCs w:val="24"/>
                <w:highlight w:val="none"/>
              </w:rPr>
            </w:pPr>
            <w:r>
              <w:rPr>
                <w:rFonts w:hint="eastAsia"/>
                <w:color w:val="auto"/>
                <w:kern w:val="2"/>
                <w:sz w:val="24"/>
                <w:szCs w:val="24"/>
                <w:highlight w:val="none"/>
              </w:rPr>
              <w:t>209</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新诊区160</w:t>
            </w:r>
          </w:p>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检查科室</w:t>
            </w:r>
            <w:r>
              <w:rPr>
                <w:rFonts w:ascii="宋体" w:hAnsi="宋体" w:cs="宋体"/>
                <w:color w:val="auto"/>
                <w:kern w:val="2"/>
                <w:sz w:val="24"/>
                <w:szCs w:val="24"/>
                <w:highlight w:val="none"/>
              </w:rPr>
              <w:t>49</w:t>
            </w: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color w:val="auto"/>
                <w:kern w:val="2"/>
                <w:sz w:val="24"/>
                <w:szCs w:val="24"/>
                <w:highlight w:val="none"/>
              </w:rPr>
            </w:pPr>
            <w:r>
              <w:rPr>
                <w:rFonts w:hint="eastAsia"/>
                <w:color w:val="auto"/>
                <w:kern w:val="2"/>
                <w:sz w:val="24"/>
                <w:szCs w:val="24"/>
                <w:highlight w:val="none"/>
              </w:rPr>
              <w:t>5</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color w:val="auto"/>
                <w:kern w:val="2"/>
                <w:sz w:val="24"/>
                <w:szCs w:val="24"/>
                <w:highlight w:val="none"/>
              </w:rPr>
            </w:pPr>
            <w:r>
              <w:rPr>
                <w:rFonts w:hint="eastAsia"/>
                <w:color w:val="auto"/>
                <w:kern w:val="2"/>
                <w:sz w:val="24"/>
                <w:szCs w:val="24"/>
                <w:highlight w:val="none"/>
              </w:rPr>
              <w:t>自助报到机</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val="0"/>
              <w:kinsoku/>
              <w:wordWrap/>
              <w:topLinePunct w:val="0"/>
              <w:autoSpaceDE/>
              <w:autoSpaceDN/>
              <w:bidi w:val="0"/>
              <w:spacing w:line="360" w:lineRule="auto"/>
              <w:textAlignment w:val="center"/>
              <w:rPr>
                <w:color w:val="auto"/>
                <w:kern w:val="2"/>
                <w:sz w:val="24"/>
                <w:szCs w:val="24"/>
                <w:highlight w:val="none"/>
              </w:rPr>
            </w:pPr>
            <w:r>
              <w:rPr>
                <w:rFonts w:hint="eastAsia"/>
                <w:color w:val="auto"/>
                <w:kern w:val="2"/>
                <w:sz w:val="24"/>
                <w:szCs w:val="24"/>
                <w:highlight w:val="none"/>
              </w:rPr>
              <w:t>台</w:t>
            </w:r>
          </w:p>
        </w:tc>
        <w:tc>
          <w:tcPr>
            <w:tcW w:w="1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val="0"/>
              <w:kinsoku/>
              <w:wordWrap/>
              <w:topLinePunct w:val="0"/>
              <w:autoSpaceDE/>
              <w:autoSpaceDN/>
              <w:bidi w:val="0"/>
              <w:spacing w:line="360" w:lineRule="auto"/>
              <w:textAlignment w:val="center"/>
              <w:rPr>
                <w:color w:val="auto"/>
                <w:kern w:val="2"/>
                <w:sz w:val="24"/>
                <w:szCs w:val="24"/>
                <w:highlight w:val="none"/>
              </w:rPr>
            </w:pPr>
            <w:r>
              <w:rPr>
                <w:rFonts w:hint="eastAsia"/>
                <w:color w:val="auto"/>
                <w:kern w:val="2"/>
                <w:sz w:val="24"/>
                <w:szCs w:val="24"/>
                <w:highlight w:val="none"/>
              </w:rPr>
              <w:t>20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新诊区13</w:t>
            </w:r>
          </w:p>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检查科室</w:t>
            </w:r>
            <w:r>
              <w:rPr>
                <w:rFonts w:ascii="宋体" w:hAnsi="宋体" w:cs="宋体"/>
                <w:color w:val="auto"/>
                <w:kern w:val="2"/>
                <w:sz w:val="24"/>
                <w:szCs w:val="24"/>
                <w:highlight w:val="none"/>
              </w:rPr>
              <w:t>7</w:t>
            </w: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color w:val="auto"/>
                <w:kern w:val="2"/>
                <w:sz w:val="24"/>
                <w:szCs w:val="24"/>
                <w:highlight w:val="none"/>
              </w:rPr>
            </w:pPr>
            <w:r>
              <w:rPr>
                <w:rFonts w:hint="eastAsia"/>
                <w:color w:val="auto"/>
                <w:kern w:val="2"/>
                <w:sz w:val="24"/>
                <w:szCs w:val="24"/>
                <w:highlight w:val="none"/>
              </w:rPr>
              <w:t>6</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ascii="宋体" w:hAnsi="宋体" w:cs="宋体"/>
                <w:color w:val="auto"/>
                <w:kern w:val="2"/>
                <w:sz w:val="24"/>
                <w:szCs w:val="24"/>
                <w:highlight w:val="none"/>
              </w:rPr>
            </w:pPr>
            <w:r>
              <w:rPr>
                <w:rFonts w:hint="eastAsia"/>
                <w:color w:val="auto"/>
                <w:kern w:val="2"/>
                <w:sz w:val="24"/>
                <w:szCs w:val="24"/>
                <w:highlight w:val="none"/>
              </w:rPr>
              <w:t>语音功放</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台</w:t>
            </w:r>
          </w:p>
        </w:tc>
        <w:tc>
          <w:tcPr>
            <w:tcW w:w="1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37</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新诊区33</w:t>
            </w:r>
          </w:p>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检查科室4</w:t>
            </w: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color w:val="auto"/>
                <w:kern w:val="2"/>
                <w:sz w:val="24"/>
                <w:szCs w:val="24"/>
                <w:highlight w:val="none"/>
              </w:rPr>
            </w:pPr>
            <w:r>
              <w:rPr>
                <w:rFonts w:hint="eastAsia"/>
                <w:color w:val="auto"/>
                <w:kern w:val="2"/>
                <w:sz w:val="24"/>
                <w:szCs w:val="24"/>
                <w:highlight w:val="none"/>
              </w:rPr>
              <w:t>7</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ascii="宋体" w:hAnsi="宋体" w:cs="宋体"/>
                <w:color w:val="auto"/>
                <w:kern w:val="2"/>
                <w:sz w:val="24"/>
                <w:szCs w:val="24"/>
                <w:highlight w:val="none"/>
              </w:rPr>
            </w:pPr>
            <w:r>
              <w:rPr>
                <w:rFonts w:hint="eastAsia"/>
                <w:color w:val="auto"/>
                <w:kern w:val="2"/>
                <w:sz w:val="24"/>
                <w:szCs w:val="24"/>
                <w:highlight w:val="none"/>
              </w:rPr>
              <w:t>区域功放</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套</w:t>
            </w:r>
          </w:p>
        </w:tc>
        <w:tc>
          <w:tcPr>
            <w:tcW w:w="1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color w:val="auto"/>
                <w:kern w:val="2"/>
                <w:sz w:val="24"/>
                <w:szCs w:val="24"/>
                <w:highlight w:val="none"/>
              </w:rPr>
              <w:t>6</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新诊区</w:t>
            </w: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color w:val="auto"/>
                <w:kern w:val="2"/>
                <w:sz w:val="24"/>
                <w:szCs w:val="24"/>
                <w:highlight w:val="none"/>
              </w:rPr>
              <w:t>8</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ascii="宋体" w:hAnsi="宋体" w:cs="宋体"/>
                <w:color w:val="auto"/>
                <w:kern w:val="2"/>
                <w:sz w:val="24"/>
                <w:szCs w:val="24"/>
                <w:highlight w:val="none"/>
              </w:rPr>
            </w:pPr>
            <w:r>
              <w:rPr>
                <w:rFonts w:hint="eastAsia"/>
                <w:color w:val="auto"/>
                <w:kern w:val="2"/>
                <w:sz w:val="24"/>
                <w:szCs w:val="24"/>
                <w:highlight w:val="none"/>
              </w:rPr>
              <w:t>麦克风</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台</w:t>
            </w:r>
          </w:p>
        </w:tc>
        <w:tc>
          <w:tcPr>
            <w:tcW w:w="1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color w:val="auto"/>
                <w:kern w:val="2"/>
                <w:sz w:val="24"/>
                <w:szCs w:val="24"/>
                <w:highlight w:val="none"/>
              </w:rPr>
              <w:t>6</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新诊区</w:t>
            </w: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color w:val="auto"/>
                <w:kern w:val="2"/>
                <w:sz w:val="24"/>
                <w:szCs w:val="24"/>
                <w:highlight w:val="none"/>
              </w:rPr>
              <w:t>9</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ascii="宋体" w:hAnsi="宋体" w:cs="宋体"/>
                <w:color w:val="auto"/>
                <w:kern w:val="2"/>
                <w:sz w:val="24"/>
                <w:szCs w:val="24"/>
                <w:highlight w:val="none"/>
              </w:rPr>
            </w:pPr>
            <w:r>
              <w:rPr>
                <w:rFonts w:hint="eastAsia"/>
                <w:color w:val="auto"/>
                <w:kern w:val="2"/>
                <w:sz w:val="24"/>
                <w:szCs w:val="24"/>
                <w:highlight w:val="none"/>
              </w:rPr>
              <w:t>窗口麦克风</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套</w:t>
            </w:r>
          </w:p>
        </w:tc>
        <w:tc>
          <w:tcPr>
            <w:tcW w:w="1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color w:val="auto"/>
                <w:kern w:val="2"/>
                <w:sz w:val="24"/>
                <w:szCs w:val="24"/>
                <w:highlight w:val="none"/>
              </w:rPr>
              <w:t>31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新诊区</w:t>
            </w: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color w:val="auto"/>
                <w:kern w:val="2"/>
                <w:sz w:val="24"/>
                <w:szCs w:val="24"/>
                <w:highlight w:val="none"/>
              </w:rPr>
              <w:t>10</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ascii="宋体" w:hAnsi="宋体" w:cs="宋体"/>
                <w:color w:val="auto"/>
                <w:kern w:val="2"/>
                <w:sz w:val="24"/>
                <w:szCs w:val="24"/>
                <w:highlight w:val="none"/>
              </w:rPr>
            </w:pPr>
            <w:r>
              <w:rPr>
                <w:rFonts w:hint="eastAsia"/>
                <w:color w:val="auto"/>
                <w:kern w:val="2"/>
                <w:sz w:val="24"/>
                <w:szCs w:val="24"/>
                <w:highlight w:val="none"/>
              </w:rPr>
              <w:t>吸顶喇叭</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个</w:t>
            </w:r>
          </w:p>
        </w:tc>
        <w:tc>
          <w:tcPr>
            <w:tcW w:w="1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76</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新诊区67</w:t>
            </w:r>
          </w:p>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检查科室9</w:t>
            </w: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color w:val="auto"/>
                <w:kern w:val="2"/>
                <w:sz w:val="24"/>
                <w:szCs w:val="24"/>
                <w:highlight w:val="none"/>
              </w:rPr>
              <w:t>11</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ascii="宋体" w:hAnsi="宋体" w:cs="宋体"/>
                <w:color w:val="auto"/>
                <w:kern w:val="2"/>
                <w:sz w:val="24"/>
                <w:szCs w:val="24"/>
                <w:highlight w:val="none"/>
              </w:rPr>
            </w:pPr>
            <w:r>
              <w:rPr>
                <w:rFonts w:hint="eastAsia"/>
                <w:color w:val="auto"/>
                <w:kern w:val="2"/>
                <w:sz w:val="24"/>
                <w:szCs w:val="24"/>
                <w:highlight w:val="none"/>
              </w:rPr>
              <w:t>签到机打印机</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台</w:t>
            </w:r>
          </w:p>
        </w:tc>
        <w:tc>
          <w:tcPr>
            <w:tcW w:w="1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检查科室</w:t>
            </w: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color w:val="auto"/>
                <w:kern w:val="2"/>
                <w:sz w:val="24"/>
                <w:szCs w:val="24"/>
                <w:highlight w:val="none"/>
              </w:rPr>
              <w:t>12</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ascii="宋体" w:hAnsi="宋体" w:cs="宋体"/>
                <w:color w:val="auto"/>
                <w:kern w:val="2"/>
                <w:sz w:val="24"/>
                <w:szCs w:val="24"/>
                <w:highlight w:val="none"/>
              </w:rPr>
            </w:pPr>
            <w:r>
              <w:rPr>
                <w:rFonts w:hint="eastAsia"/>
                <w:color w:val="auto"/>
                <w:kern w:val="2"/>
                <w:sz w:val="24"/>
                <w:szCs w:val="24"/>
                <w:highlight w:val="none"/>
              </w:rPr>
              <w:t>智慧分诊系统管理软件（二次分诊）</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套</w:t>
            </w:r>
          </w:p>
        </w:tc>
        <w:tc>
          <w:tcPr>
            <w:tcW w:w="11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9</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新诊区8</w:t>
            </w:r>
          </w:p>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检查科室1</w:t>
            </w: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color w:val="auto"/>
                <w:kern w:val="2"/>
                <w:sz w:val="24"/>
                <w:szCs w:val="24"/>
                <w:highlight w:val="none"/>
              </w:rPr>
              <w:t>13</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ascii="宋体" w:hAnsi="宋体" w:cs="宋体"/>
                <w:color w:val="auto"/>
                <w:kern w:val="2"/>
                <w:sz w:val="24"/>
                <w:szCs w:val="24"/>
                <w:highlight w:val="none"/>
              </w:rPr>
            </w:pPr>
            <w:r>
              <w:rPr>
                <w:rFonts w:hint="eastAsia"/>
                <w:color w:val="auto"/>
                <w:kern w:val="2"/>
                <w:sz w:val="24"/>
                <w:szCs w:val="24"/>
                <w:highlight w:val="none"/>
              </w:rPr>
              <w:t>患者门诊自助服务系统软件</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套</w:t>
            </w: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2</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新诊区1</w:t>
            </w:r>
          </w:p>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检查科室1</w:t>
            </w: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color w:val="auto"/>
                <w:kern w:val="2"/>
                <w:sz w:val="24"/>
                <w:szCs w:val="24"/>
                <w:highlight w:val="none"/>
              </w:rPr>
              <w:t>14</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ascii="宋体" w:hAnsi="宋体" w:cs="宋体"/>
                <w:color w:val="auto"/>
                <w:kern w:val="2"/>
                <w:sz w:val="24"/>
                <w:szCs w:val="24"/>
                <w:highlight w:val="none"/>
              </w:rPr>
            </w:pPr>
            <w:r>
              <w:rPr>
                <w:rFonts w:hint="eastAsia"/>
                <w:color w:val="auto"/>
                <w:kern w:val="2"/>
                <w:sz w:val="24"/>
                <w:szCs w:val="24"/>
                <w:highlight w:val="none"/>
              </w:rPr>
              <w:t>检验分诊导医软件</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套</w:t>
            </w: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color w:val="auto"/>
                <w:kern w:val="2"/>
                <w:sz w:val="24"/>
                <w:szCs w:val="24"/>
                <w:highlight w:val="none"/>
              </w:rPr>
              <w:t>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新诊区</w:t>
            </w: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color w:val="auto"/>
                <w:kern w:val="2"/>
                <w:sz w:val="24"/>
                <w:szCs w:val="24"/>
                <w:highlight w:val="none"/>
              </w:rPr>
              <w:t>15</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ascii="宋体" w:hAnsi="宋体" w:cs="宋体"/>
                <w:color w:val="auto"/>
                <w:kern w:val="2"/>
                <w:sz w:val="24"/>
                <w:szCs w:val="24"/>
                <w:highlight w:val="none"/>
              </w:rPr>
            </w:pPr>
            <w:r>
              <w:rPr>
                <w:rFonts w:hint="eastAsia"/>
                <w:color w:val="auto"/>
                <w:kern w:val="2"/>
                <w:sz w:val="24"/>
                <w:szCs w:val="24"/>
                <w:highlight w:val="none"/>
              </w:rPr>
              <w:t>超声检查分诊导医软件新增及升级改造</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套</w:t>
            </w: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2</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新诊区1</w:t>
            </w:r>
          </w:p>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检查科室1</w:t>
            </w: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color w:val="auto"/>
                <w:kern w:val="2"/>
                <w:sz w:val="24"/>
                <w:szCs w:val="24"/>
                <w:highlight w:val="none"/>
              </w:rPr>
              <w:t>16</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ascii="宋体" w:hAnsi="宋体" w:cs="宋体"/>
                <w:color w:val="auto"/>
                <w:kern w:val="2"/>
                <w:sz w:val="24"/>
                <w:szCs w:val="24"/>
                <w:highlight w:val="none"/>
              </w:rPr>
            </w:pPr>
            <w:r>
              <w:rPr>
                <w:rFonts w:hint="eastAsia"/>
                <w:color w:val="auto"/>
                <w:kern w:val="2"/>
                <w:sz w:val="24"/>
                <w:szCs w:val="24"/>
                <w:highlight w:val="none"/>
              </w:rPr>
              <w:t>放射科分诊导医软件新增及升级改造</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套</w:t>
            </w: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2</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新诊区1</w:t>
            </w:r>
          </w:p>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检查科室1</w:t>
            </w: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color w:val="auto"/>
                <w:kern w:val="2"/>
                <w:sz w:val="24"/>
                <w:szCs w:val="24"/>
                <w:highlight w:val="none"/>
              </w:rPr>
              <w:t>17</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ascii="宋体" w:hAnsi="宋体" w:cs="宋体"/>
                <w:color w:val="auto"/>
                <w:kern w:val="2"/>
                <w:sz w:val="24"/>
                <w:szCs w:val="24"/>
                <w:highlight w:val="none"/>
              </w:rPr>
            </w:pPr>
            <w:r>
              <w:rPr>
                <w:rFonts w:hint="eastAsia"/>
                <w:color w:val="auto"/>
                <w:kern w:val="2"/>
                <w:sz w:val="24"/>
                <w:szCs w:val="24"/>
                <w:highlight w:val="none"/>
              </w:rPr>
              <w:t>心电图分诊导医软件</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套</w:t>
            </w: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2</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新诊区1</w:t>
            </w:r>
          </w:p>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检查科室1</w:t>
            </w: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color w:val="auto"/>
                <w:kern w:val="2"/>
                <w:sz w:val="24"/>
                <w:szCs w:val="24"/>
                <w:highlight w:val="none"/>
              </w:rPr>
            </w:pPr>
            <w:r>
              <w:rPr>
                <w:color w:val="auto"/>
                <w:kern w:val="2"/>
                <w:sz w:val="24"/>
                <w:szCs w:val="24"/>
                <w:highlight w:val="none"/>
              </w:rPr>
              <w:t>18</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color w:val="auto"/>
                <w:kern w:val="2"/>
                <w:sz w:val="24"/>
                <w:szCs w:val="24"/>
                <w:highlight w:val="none"/>
              </w:rPr>
            </w:pPr>
            <w:r>
              <w:rPr>
                <w:rFonts w:hint="eastAsia"/>
                <w:color w:val="auto"/>
                <w:kern w:val="2"/>
                <w:sz w:val="24"/>
                <w:szCs w:val="24"/>
                <w:highlight w:val="none"/>
              </w:rPr>
              <w:t>检查自助报到与查询软件及升级改造</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color w:val="auto"/>
                <w:kern w:val="2"/>
                <w:sz w:val="24"/>
                <w:szCs w:val="24"/>
                <w:highlight w:val="none"/>
              </w:rPr>
            </w:pPr>
            <w:r>
              <w:rPr>
                <w:rFonts w:hint="eastAsia"/>
                <w:color w:val="auto"/>
                <w:kern w:val="2"/>
                <w:sz w:val="24"/>
                <w:szCs w:val="24"/>
                <w:highlight w:val="none"/>
              </w:rPr>
              <w:t>套</w:t>
            </w: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color w:val="auto"/>
                <w:kern w:val="2"/>
                <w:sz w:val="24"/>
                <w:szCs w:val="24"/>
                <w:highlight w:val="none"/>
              </w:rPr>
            </w:pPr>
            <w:r>
              <w:rPr>
                <w:rFonts w:hint="eastAsia"/>
                <w:color w:val="auto"/>
                <w:kern w:val="2"/>
                <w:sz w:val="24"/>
                <w:szCs w:val="24"/>
                <w:highlight w:val="none"/>
              </w:rPr>
              <w:t>2</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新诊区1</w:t>
            </w:r>
          </w:p>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检查科室1</w:t>
            </w: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color w:val="auto"/>
                <w:kern w:val="2"/>
                <w:sz w:val="24"/>
                <w:szCs w:val="24"/>
                <w:highlight w:val="none"/>
              </w:rPr>
              <w:t>19</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ascii="宋体" w:hAnsi="宋体" w:cs="宋体"/>
                <w:color w:val="auto"/>
                <w:kern w:val="2"/>
                <w:sz w:val="24"/>
                <w:szCs w:val="24"/>
                <w:highlight w:val="none"/>
              </w:rPr>
            </w:pPr>
            <w:r>
              <w:rPr>
                <w:rFonts w:hint="eastAsia"/>
                <w:color w:val="auto"/>
                <w:kern w:val="2"/>
                <w:sz w:val="24"/>
                <w:szCs w:val="24"/>
                <w:highlight w:val="none"/>
              </w:rPr>
              <w:t>语音合成软件</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个</w:t>
            </w: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color w:val="auto"/>
                <w:kern w:val="2"/>
                <w:sz w:val="24"/>
                <w:szCs w:val="24"/>
                <w:highlight w:val="none"/>
              </w:rPr>
              <w:t>1</w:t>
            </w:r>
            <w:r>
              <w:rPr>
                <w:rFonts w:hint="eastAsia"/>
                <w:color w:val="auto"/>
                <w:kern w:val="2"/>
                <w:sz w:val="24"/>
                <w:szCs w:val="24"/>
                <w:highlight w:val="none"/>
              </w:rPr>
              <w:t>2</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新诊区11</w:t>
            </w:r>
          </w:p>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检查科室1</w:t>
            </w: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color w:val="auto"/>
                <w:kern w:val="2"/>
                <w:sz w:val="24"/>
                <w:szCs w:val="24"/>
                <w:highlight w:val="none"/>
              </w:rPr>
              <w:t>20</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ascii="宋体" w:hAnsi="宋体" w:cs="宋体"/>
                <w:color w:val="auto"/>
                <w:kern w:val="2"/>
                <w:sz w:val="24"/>
                <w:szCs w:val="24"/>
                <w:highlight w:val="none"/>
              </w:rPr>
            </w:pPr>
            <w:r>
              <w:rPr>
                <w:rFonts w:hint="eastAsia"/>
                <w:color w:val="auto"/>
                <w:kern w:val="2"/>
                <w:sz w:val="24"/>
                <w:szCs w:val="24"/>
                <w:highlight w:val="none"/>
              </w:rPr>
              <w:t>门诊虚拟呼叫软件</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套</w:t>
            </w: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新诊区</w:t>
            </w: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color w:val="auto"/>
                <w:kern w:val="2"/>
                <w:sz w:val="24"/>
                <w:szCs w:val="24"/>
                <w:highlight w:val="none"/>
              </w:rPr>
              <w:t>21</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ascii="宋体" w:hAnsi="宋体" w:cs="宋体"/>
                <w:color w:val="auto"/>
                <w:kern w:val="2"/>
                <w:sz w:val="24"/>
                <w:szCs w:val="24"/>
                <w:highlight w:val="none"/>
              </w:rPr>
            </w:pPr>
            <w:r>
              <w:rPr>
                <w:rFonts w:hint="eastAsia"/>
                <w:color w:val="auto"/>
                <w:kern w:val="2"/>
                <w:sz w:val="24"/>
                <w:szCs w:val="24"/>
                <w:highlight w:val="none"/>
              </w:rPr>
              <w:t>检查虚拟呼叫软件</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套</w:t>
            </w: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新诊区</w:t>
            </w: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color w:val="auto"/>
                <w:kern w:val="2"/>
                <w:sz w:val="24"/>
                <w:szCs w:val="24"/>
                <w:highlight w:val="none"/>
              </w:rPr>
              <w:t>22</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ascii="宋体" w:hAnsi="宋体" w:cs="宋体"/>
                <w:color w:val="auto"/>
                <w:kern w:val="2"/>
                <w:sz w:val="24"/>
                <w:szCs w:val="24"/>
                <w:highlight w:val="none"/>
              </w:rPr>
            </w:pPr>
            <w:r>
              <w:rPr>
                <w:rFonts w:hint="eastAsia"/>
                <w:color w:val="auto"/>
                <w:kern w:val="2"/>
                <w:sz w:val="24"/>
                <w:szCs w:val="24"/>
                <w:highlight w:val="none"/>
              </w:rPr>
              <w:t>候诊综合信息实时显示软件</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套</w:t>
            </w: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color w:val="auto"/>
                <w:kern w:val="2"/>
                <w:sz w:val="24"/>
                <w:szCs w:val="24"/>
                <w:highlight w:val="none"/>
              </w:rPr>
              <w:t>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新诊区</w:t>
            </w: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color w:val="auto"/>
                <w:kern w:val="2"/>
                <w:sz w:val="24"/>
                <w:szCs w:val="24"/>
                <w:highlight w:val="none"/>
              </w:rPr>
            </w:pPr>
            <w:r>
              <w:rPr>
                <w:color w:val="auto"/>
                <w:kern w:val="2"/>
                <w:sz w:val="24"/>
                <w:szCs w:val="24"/>
                <w:highlight w:val="none"/>
              </w:rPr>
              <w:t>23</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color w:val="auto"/>
                <w:kern w:val="2"/>
                <w:sz w:val="24"/>
                <w:szCs w:val="24"/>
                <w:highlight w:val="none"/>
              </w:rPr>
            </w:pPr>
            <w:r>
              <w:rPr>
                <w:rFonts w:hint="eastAsia"/>
                <w:color w:val="auto"/>
                <w:kern w:val="2"/>
                <w:sz w:val="24"/>
                <w:szCs w:val="24"/>
                <w:highlight w:val="none"/>
              </w:rPr>
              <w:t>诊室显示软件</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color w:val="auto"/>
                <w:kern w:val="2"/>
                <w:sz w:val="24"/>
                <w:szCs w:val="24"/>
                <w:highlight w:val="none"/>
              </w:rPr>
            </w:pPr>
            <w:r>
              <w:rPr>
                <w:rFonts w:hint="eastAsia"/>
                <w:color w:val="auto"/>
                <w:kern w:val="2"/>
                <w:sz w:val="24"/>
                <w:szCs w:val="24"/>
                <w:highlight w:val="none"/>
              </w:rPr>
              <w:t>套</w:t>
            </w: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color w:val="auto"/>
                <w:kern w:val="2"/>
                <w:sz w:val="24"/>
                <w:szCs w:val="24"/>
                <w:highlight w:val="none"/>
              </w:rPr>
            </w:pPr>
            <w:r>
              <w:rPr>
                <w:color w:val="auto"/>
                <w:kern w:val="2"/>
                <w:sz w:val="24"/>
                <w:szCs w:val="24"/>
                <w:highlight w:val="none"/>
              </w:rPr>
              <w:t>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color w:val="auto"/>
                <w:kern w:val="2"/>
                <w:sz w:val="24"/>
                <w:szCs w:val="24"/>
                <w:highlight w:val="none"/>
              </w:rPr>
            </w:pPr>
            <w:r>
              <w:rPr>
                <w:rFonts w:hint="eastAsia" w:ascii="宋体" w:hAnsi="宋体" w:cs="宋体"/>
                <w:color w:val="auto"/>
                <w:kern w:val="2"/>
                <w:sz w:val="24"/>
                <w:szCs w:val="24"/>
                <w:highlight w:val="none"/>
              </w:rPr>
              <w:t>检查科室</w:t>
            </w: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color w:val="auto"/>
                <w:kern w:val="2"/>
                <w:sz w:val="24"/>
                <w:szCs w:val="24"/>
                <w:highlight w:val="none"/>
              </w:rPr>
            </w:pPr>
            <w:r>
              <w:rPr>
                <w:color w:val="auto"/>
                <w:kern w:val="2"/>
                <w:sz w:val="24"/>
                <w:szCs w:val="24"/>
                <w:highlight w:val="none"/>
              </w:rPr>
              <w:t>24</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ascii="宋体" w:hAnsi="宋体" w:cs="宋体"/>
                <w:color w:val="auto"/>
                <w:kern w:val="2"/>
                <w:sz w:val="24"/>
                <w:szCs w:val="24"/>
                <w:highlight w:val="none"/>
              </w:rPr>
            </w:pPr>
            <w:r>
              <w:rPr>
                <w:rFonts w:hint="eastAsia"/>
                <w:color w:val="auto"/>
                <w:kern w:val="2"/>
                <w:sz w:val="24"/>
                <w:szCs w:val="24"/>
                <w:highlight w:val="none"/>
              </w:rPr>
              <w:t>检查科室数据库服务端升级改造</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套</w:t>
            </w: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检查科室</w:t>
            </w: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color w:val="auto"/>
                <w:kern w:val="2"/>
                <w:sz w:val="24"/>
                <w:szCs w:val="24"/>
                <w:highlight w:val="none"/>
              </w:rPr>
            </w:pPr>
            <w:r>
              <w:rPr>
                <w:rFonts w:hint="eastAsia"/>
                <w:color w:val="auto"/>
                <w:kern w:val="2"/>
                <w:sz w:val="24"/>
                <w:szCs w:val="24"/>
                <w:highlight w:val="none"/>
              </w:rPr>
              <w:t>25</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ascii="宋体" w:hAnsi="宋体" w:cs="宋体"/>
                <w:color w:val="auto"/>
                <w:kern w:val="2"/>
                <w:sz w:val="24"/>
                <w:szCs w:val="24"/>
                <w:highlight w:val="none"/>
              </w:rPr>
            </w:pPr>
            <w:r>
              <w:rPr>
                <w:rFonts w:hint="eastAsia"/>
                <w:color w:val="auto"/>
                <w:kern w:val="2"/>
                <w:sz w:val="24"/>
                <w:szCs w:val="24"/>
                <w:highlight w:val="none"/>
              </w:rPr>
              <w:t>检查科室候诊信息推送软件</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套</w:t>
            </w: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检查科室</w:t>
            </w: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color w:val="auto"/>
                <w:kern w:val="2"/>
                <w:sz w:val="24"/>
                <w:szCs w:val="24"/>
                <w:highlight w:val="none"/>
              </w:rPr>
            </w:pPr>
            <w:r>
              <w:rPr>
                <w:color w:val="auto"/>
                <w:kern w:val="2"/>
                <w:sz w:val="24"/>
                <w:szCs w:val="24"/>
                <w:highlight w:val="none"/>
              </w:rPr>
              <w:t>26</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ascii="宋体" w:hAnsi="宋体" w:cs="宋体"/>
                <w:color w:val="auto"/>
                <w:kern w:val="2"/>
                <w:sz w:val="24"/>
                <w:szCs w:val="24"/>
                <w:highlight w:val="none"/>
              </w:rPr>
            </w:pPr>
            <w:r>
              <w:rPr>
                <w:rFonts w:hint="eastAsia"/>
                <w:color w:val="auto"/>
                <w:kern w:val="2"/>
                <w:sz w:val="24"/>
                <w:szCs w:val="24"/>
                <w:highlight w:val="none"/>
              </w:rPr>
              <w:t>集成平台接口定制开发</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项</w:t>
            </w: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color w:val="auto"/>
                <w:kern w:val="2"/>
                <w:sz w:val="24"/>
                <w:szCs w:val="24"/>
                <w:highlight w:val="none"/>
              </w:rPr>
              <w:t>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ascii="宋体" w:hAnsi="宋体" w:cs="宋体"/>
                <w:color w:val="auto"/>
                <w:kern w:val="2"/>
                <w:sz w:val="24"/>
                <w:szCs w:val="24"/>
                <w:highlight w:val="none"/>
              </w:rPr>
              <w:t>全院</w:t>
            </w: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color w:val="auto"/>
                <w:kern w:val="2"/>
                <w:sz w:val="24"/>
                <w:szCs w:val="24"/>
                <w:highlight w:val="none"/>
              </w:rPr>
            </w:pPr>
            <w:r>
              <w:rPr>
                <w:color w:val="auto"/>
                <w:kern w:val="2"/>
                <w:sz w:val="24"/>
                <w:szCs w:val="24"/>
                <w:highlight w:val="none"/>
              </w:rPr>
              <w:t>27</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ascii="宋体" w:hAnsi="宋体" w:cs="宋体"/>
                <w:color w:val="auto"/>
                <w:kern w:val="2"/>
                <w:sz w:val="24"/>
                <w:szCs w:val="24"/>
                <w:highlight w:val="none"/>
              </w:rPr>
            </w:pPr>
            <w:r>
              <w:rPr>
                <w:rFonts w:hint="eastAsia" w:ascii="宋体" w:hAnsi="宋体"/>
                <w:color w:val="auto"/>
                <w:kern w:val="2"/>
                <w:sz w:val="24"/>
                <w:szCs w:val="24"/>
                <w:highlight w:val="none"/>
              </w:rPr>
              <w:t>外网防火墙</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olor w:val="auto"/>
                <w:kern w:val="2"/>
                <w:sz w:val="24"/>
                <w:szCs w:val="24"/>
                <w:highlight w:val="none"/>
              </w:rPr>
              <w:t>台</w:t>
            </w: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olor w:val="auto"/>
                <w:kern w:val="2"/>
                <w:sz w:val="24"/>
                <w:szCs w:val="24"/>
                <w:highlight w:val="none"/>
              </w:rPr>
              <w:t>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color w:val="auto"/>
                <w:kern w:val="2"/>
                <w:sz w:val="24"/>
                <w:szCs w:val="24"/>
                <w:highlight w:val="none"/>
              </w:rPr>
            </w:pPr>
            <w:r>
              <w:rPr>
                <w:color w:val="auto"/>
                <w:kern w:val="2"/>
                <w:sz w:val="24"/>
                <w:szCs w:val="24"/>
                <w:highlight w:val="none"/>
              </w:rPr>
              <w:t>28</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ascii="宋体" w:hAnsi="宋体" w:cs="宋体"/>
                <w:color w:val="auto"/>
                <w:kern w:val="2"/>
                <w:sz w:val="24"/>
                <w:szCs w:val="24"/>
                <w:highlight w:val="none"/>
              </w:rPr>
            </w:pPr>
            <w:r>
              <w:rPr>
                <w:rFonts w:hint="eastAsia" w:ascii="宋体" w:hAnsi="宋体"/>
                <w:color w:val="auto"/>
                <w:kern w:val="2"/>
                <w:sz w:val="24"/>
                <w:szCs w:val="24"/>
                <w:highlight w:val="none"/>
              </w:rPr>
              <w:t>网络入侵防御系统(I</w:t>
            </w:r>
            <w:r>
              <w:rPr>
                <w:rFonts w:ascii="宋体" w:hAnsi="宋体"/>
                <w:color w:val="auto"/>
                <w:kern w:val="2"/>
                <w:sz w:val="24"/>
                <w:szCs w:val="24"/>
                <w:highlight w:val="none"/>
              </w:rPr>
              <w:t>PS)</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olor w:val="auto"/>
                <w:kern w:val="2"/>
                <w:sz w:val="24"/>
                <w:szCs w:val="24"/>
                <w:highlight w:val="none"/>
              </w:rPr>
              <w:t>台</w:t>
            </w: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olor w:val="auto"/>
                <w:kern w:val="2"/>
                <w:sz w:val="24"/>
                <w:szCs w:val="24"/>
                <w:highlight w:val="none"/>
              </w:rPr>
              <w:t>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color w:val="auto"/>
                <w:kern w:val="2"/>
                <w:sz w:val="24"/>
                <w:szCs w:val="24"/>
                <w:highlight w:val="none"/>
              </w:rPr>
            </w:pPr>
            <w:r>
              <w:rPr>
                <w:color w:val="auto"/>
                <w:kern w:val="2"/>
                <w:sz w:val="24"/>
                <w:szCs w:val="24"/>
                <w:highlight w:val="none"/>
              </w:rPr>
              <w:t>29</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ascii="宋体" w:hAnsi="宋体" w:cs="宋体"/>
                <w:color w:val="auto"/>
                <w:kern w:val="2"/>
                <w:sz w:val="24"/>
                <w:szCs w:val="24"/>
                <w:highlight w:val="none"/>
              </w:rPr>
            </w:pPr>
            <w:r>
              <w:rPr>
                <w:rFonts w:hint="eastAsia" w:ascii="宋体" w:hAnsi="宋体"/>
                <w:color w:val="auto"/>
                <w:kern w:val="2"/>
                <w:sz w:val="24"/>
                <w:szCs w:val="24"/>
                <w:highlight w:val="none"/>
              </w:rPr>
              <w:t>web应用防护系统(WAF)</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olor w:val="auto"/>
                <w:kern w:val="2"/>
                <w:sz w:val="24"/>
                <w:szCs w:val="24"/>
                <w:highlight w:val="none"/>
              </w:rPr>
              <w:t>台</w:t>
            </w: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olor w:val="auto"/>
                <w:kern w:val="2"/>
                <w:sz w:val="24"/>
                <w:szCs w:val="24"/>
                <w:highlight w:val="none"/>
              </w:rPr>
              <w:t>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color w:val="auto"/>
                <w:kern w:val="2"/>
                <w:sz w:val="24"/>
                <w:szCs w:val="24"/>
                <w:highlight w:val="none"/>
              </w:rPr>
              <w:t>30</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ascii="宋体" w:hAnsi="宋体" w:cs="宋体"/>
                <w:color w:val="auto"/>
                <w:kern w:val="2"/>
                <w:sz w:val="24"/>
                <w:szCs w:val="24"/>
                <w:highlight w:val="none"/>
              </w:rPr>
            </w:pPr>
            <w:r>
              <w:rPr>
                <w:rFonts w:hint="eastAsia" w:ascii="宋体" w:hAnsi="宋体"/>
                <w:color w:val="auto"/>
                <w:kern w:val="2"/>
                <w:sz w:val="24"/>
                <w:szCs w:val="24"/>
                <w:highlight w:val="none"/>
              </w:rPr>
              <w:t>门诊医疗业务系统服务及保障</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olor w:val="auto"/>
                <w:kern w:val="2"/>
                <w:sz w:val="24"/>
                <w:szCs w:val="24"/>
                <w:highlight w:val="none"/>
              </w:rPr>
              <w:t>次</w:t>
            </w: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r>
              <w:rPr>
                <w:rFonts w:hint="eastAsia" w:ascii="宋体" w:hAnsi="宋体"/>
                <w:color w:val="auto"/>
                <w:kern w:val="2"/>
                <w:sz w:val="24"/>
                <w:szCs w:val="24"/>
                <w:highlight w:val="none"/>
              </w:rPr>
              <w:t>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p>
        </w:tc>
      </w:tr>
      <w:tr>
        <w:tblPrEx>
          <w:tblCellMar>
            <w:top w:w="0" w:type="dxa"/>
            <w:left w:w="108" w:type="dxa"/>
            <w:bottom w:w="0" w:type="dxa"/>
            <w:right w:w="108" w:type="dxa"/>
          </w:tblCellMar>
        </w:tblPrEx>
        <w:trPr>
          <w:trHeight w:val="401" w:hRule="atLeast"/>
          <w:jc w:val="center"/>
        </w:trPr>
        <w:tc>
          <w:tcPr>
            <w:tcW w:w="756" w:type="dxa"/>
            <w:tcBorders>
              <w:top w:val="single" w:color="000000" w:sz="4" w:space="0"/>
              <w:left w:val="single" w:color="000000" w:sz="8"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color w:val="auto"/>
                <w:kern w:val="2"/>
                <w:sz w:val="24"/>
                <w:szCs w:val="24"/>
                <w:highlight w:val="none"/>
              </w:rPr>
            </w:pPr>
            <w:r>
              <w:rPr>
                <w:rFonts w:hint="eastAsia"/>
                <w:color w:val="auto"/>
                <w:kern w:val="2"/>
                <w:sz w:val="24"/>
                <w:szCs w:val="24"/>
                <w:highlight w:val="none"/>
              </w:rPr>
              <w:t>31</w:t>
            </w:r>
          </w:p>
        </w:tc>
        <w:tc>
          <w:tcPr>
            <w:tcW w:w="4129"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hint="eastAsia" w:ascii="宋体" w:hAnsi="宋体"/>
                <w:color w:val="auto"/>
                <w:kern w:val="2"/>
                <w:sz w:val="24"/>
                <w:szCs w:val="24"/>
                <w:highlight w:val="none"/>
              </w:rPr>
            </w:pPr>
            <w:r>
              <w:rPr>
                <w:rFonts w:hint="eastAsia" w:ascii="宋体" w:hAnsi="宋体"/>
                <w:color w:val="auto"/>
                <w:kern w:val="2"/>
                <w:sz w:val="24"/>
                <w:szCs w:val="24"/>
                <w:highlight w:val="none"/>
              </w:rPr>
              <w:t>施工、辅材、安装、调试等</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hint="eastAsia" w:ascii="宋体" w:hAnsi="宋体"/>
                <w:color w:val="auto"/>
                <w:kern w:val="2"/>
                <w:sz w:val="24"/>
                <w:szCs w:val="24"/>
                <w:highlight w:val="none"/>
              </w:rPr>
            </w:pPr>
            <w:r>
              <w:rPr>
                <w:rFonts w:hint="eastAsia" w:ascii="宋体" w:hAnsi="宋体"/>
                <w:color w:val="auto"/>
                <w:kern w:val="2"/>
                <w:sz w:val="24"/>
                <w:szCs w:val="24"/>
                <w:highlight w:val="none"/>
              </w:rPr>
              <w:t>项</w:t>
            </w: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jc w:val="left"/>
              <w:textAlignment w:val="center"/>
              <w:rPr>
                <w:rFonts w:hint="eastAsia" w:ascii="宋体" w:hAnsi="宋体"/>
                <w:color w:val="auto"/>
                <w:kern w:val="2"/>
                <w:sz w:val="24"/>
                <w:szCs w:val="24"/>
                <w:highlight w:val="none"/>
              </w:rPr>
            </w:pPr>
            <w:r>
              <w:rPr>
                <w:rFonts w:hint="eastAsia" w:ascii="宋体" w:hAnsi="宋体"/>
                <w:color w:val="auto"/>
                <w:kern w:val="2"/>
                <w:sz w:val="24"/>
                <w:szCs w:val="24"/>
                <w:highlight w:val="none"/>
              </w:rPr>
              <w:t>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widowControl w:val="0"/>
              <w:kinsoku/>
              <w:wordWrap/>
              <w:topLinePunct w:val="0"/>
              <w:autoSpaceDE/>
              <w:autoSpaceDN/>
              <w:bidi w:val="0"/>
              <w:spacing w:line="360" w:lineRule="auto"/>
              <w:textAlignment w:val="center"/>
              <w:rPr>
                <w:rFonts w:ascii="宋体" w:hAnsi="宋体" w:cs="宋体"/>
                <w:color w:val="auto"/>
                <w:kern w:val="2"/>
                <w:sz w:val="24"/>
                <w:szCs w:val="24"/>
                <w:highlight w:val="none"/>
              </w:rPr>
            </w:pPr>
          </w:p>
        </w:tc>
      </w:tr>
    </w:tbl>
    <w:p>
      <w:pPr>
        <w:pageBreakBefore w:val="0"/>
        <w:widowControl w:val="0"/>
        <w:kinsoku/>
        <w:wordWrap/>
        <w:topLinePunct w:val="0"/>
        <w:autoSpaceDE/>
        <w:autoSpaceDN/>
        <w:bidi w:val="0"/>
        <w:adjustRightInd w:val="0"/>
        <w:snapToGrid w:val="0"/>
        <w:spacing w:line="360" w:lineRule="auto"/>
        <w:jc w:val="left"/>
        <w:outlineLvl w:val="0"/>
        <w:rPr>
          <w:b/>
          <w:color w:val="auto"/>
          <w:spacing w:val="4"/>
          <w:kern w:val="2"/>
          <w:sz w:val="24"/>
          <w:szCs w:val="24"/>
          <w:highlight w:val="none"/>
        </w:rPr>
      </w:pPr>
      <w:r>
        <w:rPr>
          <w:rFonts w:hint="eastAsia"/>
          <w:b/>
          <w:color w:val="auto"/>
          <w:spacing w:val="4"/>
          <w:kern w:val="2"/>
          <w:sz w:val="24"/>
          <w:szCs w:val="24"/>
          <w:highlight w:val="none"/>
        </w:rPr>
        <w:t>2.</w:t>
      </w:r>
      <w:r>
        <w:rPr>
          <w:b/>
          <w:color w:val="auto"/>
          <w:spacing w:val="4"/>
          <w:kern w:val="2"/>
          <w:sz w:val="24"/>
          <w:szCs w:val="24"/>
          <w:highlight w:val="none"/>
        </w:rPr>
        <w:t>主要技术参数要求</w:t>
      </w:r>
    </w:p>
    <w:p>
      <w:pPr>
        <w:pageBreakBefore w:val="0"/>
        <w:widowControl w:val="0"/>
        <w:kinsoku/>
        <w:wordWrap/>
        <w:topLinePunct w:val="0"/>
        <w:autoSpaceDE/>
        <w:autoSpaceDN/>
        <w:bidi w:val="0"/>
        <w:adjustRightInd w:val="0"/>
        <w:snapToGrid w:val="0"/>
        <w:spacing w:line="360" w:lineRule="auto"/>
        <w:jc w:val="both"/>
        <w:rPr>
          <w:rFonts w:ascii="宋体" w:hAnsi="宋体" w:cs="宋体"/>
          <w:b/>
          <w:bCs/>
          <w:color w:val="auto"/>
          <w:sz w:val="24"/>
          <w:szCs w:val="24"/>
          <w:highlight w:val="none"/>
        </w:rPr>
      </w:pPr>
      <w:r>
        <w:rPr>
          <w:rFonts w:hint="eastAsia" w:ascii="宋体" w:hAnsi="宋体" w:cs="宋体"/>
          <w:b/>
          <w:bCs/>
          <w:color w:val="auto"/>
          <w:sz w:val="24"/>
          <w:szCs w:val="24"/>
          <w:highlight w:val="none"/>
        </w:rPr>
        <w:t>（一）总体技术要求</w:t>
      </w:r>
    </w:p>
    <w:p>
      <w:pPr>
        <w:pageBreakBefore w:val="0"/>
        <w:widowControl w:val="0"/>
        <w:tabs>
          <w:tab w:val="left" w:pos="1134"/>
          <w:tab w:val="left" w:pos="5481"/>
          <w:tab w:val="left" w:pos="5859"/>
        </w:tabs>
        <w:kinsoku/>
        <w:wordWrap/>
        <w:topLinePunct w:val="0"/>
        <w:autoSpaceDE/>
        <w:autoSpaceDN/>
        <w:bidi w:val="0"/>
        <w:adjustRightInd w:val="0"/>
        <w:snapToGrid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通过本次项目的建设，是基于现有的分诊叫号系统扩展改造，系统统一对医院的就诊引导、分诊叫号进行统一管理，及时了解医疗资源的使用情况和患者的就医状况。同时，可以降低系统的建设和运维成本，以及后期的运维服务。</w:t>
      </w:r>
    </w:p>
    <w:p>
      <w:pPr>
        <w:pageBreakBefore w:val="0"/>
        <w:widowControl w:val="0"/>
        <w:tabs>
          <w:tab w:val="left" w:pos="1134"/>
          <w:tab w:val="left" w:pos="5481"/>
          <w:tab w:val="left" w:pos="5859"/>
        </w:tabs>
        <w:kinsoku/>
        <w:wordWrap/>
        <w:topLinePunct w:val="0"/>
        <w:autoSpaceDE/>
        <w:autoSpaceDN/>
        <w:bidi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1、系统需要与HIS等系统对接。</w:t>
      </w:r>
    </w:p>
    <w:p>
      <w:pPr>
        <w:pageBreakBefore w:val="0"/>
        <w:widowControl w:val="0"/>
        <w:tabs>
          <w:tab w:val="left" w:pos="1134"/>
          <w:tab w:val="left" w:pos="5481"/>
          <w:tab w:val="left" w:pos="5859"/>
        </w:tabs>
        <w:kinsoku/>
        <w:wordWrap/>
        <w:topLinePunct w:val="0"/>
        <w:autoSpaceDE/>
        <w:autoSpaceDN/>
        <w:bidi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2、在候诊区采用55寸候诊显示屏，可根据所在科室的业务需求动态调整，也可发布叫号信息、宣教信息、宣教信息上叠加叫号。</w:t>
      </w:r>
    </w:p>
    <w:p>
      <w:pPr>
        <w:pageBreakBefore w:val="0"/>
        <w:widowControl w:val="0"/>
        <w:tabs>
          <w:tab w:val="left" w:pos="1134"/>
          <w:tab w:val="left" w:pos="5481"/>
          <w:tab w:val="left" w:pos="5859"/>
        </w:tabs>
        <w:kinsoku/>
        <w:wordWrap/>
        <w:topLinePunct w:val="0"/>
        <w:autoSpaceDE/>
        <w:autoSpaceDN/>
        <w:bidi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3、采用报到机，在患者出诊、复诊等还节采用自助报到模式。可采用二维码、磁条卡、保障卡进行报到，获取分诊系统中的实时排队信息，按照分诊系统的分诊与排队规则的算法，进行解决患者预约、提前、迟到与爽约等问题。</w:t>
      </w:r>
    </w:p>
    <w:p>
      <w:pPr>
        <w:pageBreakBefore w:val="0"/>
        <w:widowControl w:val="0"/>
        <w:tabs>
          <w:tab w:val="left" w:pos="1134"/>
          <w:tab w:val="left" w:pos="5481"/>
          <w:tab w:val="left" w:pos="5859"/>
        </w:tabs>
        <w:kinsoku/>
        <w:wordWrap/>
        <w:topLinePunct w:val="0"/>
        <w:autoSpaceDE/>
        <w:autoSpaceDN/>
        <w:bidi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4、</w:t>
      </w:r>
      <w:r>
        <w:rPr>
          <w:rFonts w:hint="eastAsia" w:ascii="仿宋" w:hAnsi="仿宋" w:eastAsia="仿宋" w:cs="仿宋"/>
          <w:color w:val="auto"/>
          <w:kern w:val="2"/>
          <w:sz w:val="24"/>
          <w:szCs w:val="24"/>
          <w:highlight w:val="none"/>
        </w:rPr>
        <w:t>★</w:t>
      </w:r>
      <w:r>
        <w:rPr>
          <w:rFonts w:hint="eastAsia" w:ascii="宋体" w:hAnsi="宋体" w:cs="宋体"/>
          <w:color w:val="auto"/>
          <w:kern w:val="2"/>
          <w:sz w:val="24"/>
          <w:szCs w:val="24"/>
          <w:highlight w:val="none"/>
        </w:rPr>
        <w:t>所有显示控制系统为windows系统，提供承诺函。</w:t>
      </w:r>
    </w:p>
    <w:p>
      <w:pPr>
        <w:pageBreakBefore w:val="0"/>
        <w:widowControl w:val="0"/>
        <w:tabs>
          <w:tab w:val="left" w:pos="1134"/>
          <w:tab w:val="left" w:pos="5481"/>
          <w:tab w:val="left" w:pos="5859"/>
        </w:tabs>
        <w:kinsoku/>
        <w:wordWrap/>
        <w:topLinePunct w:val="0"/>
        <w:autoSpaceDE/>
        <w:autoSpaceDN/>
        <w:bidi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5、</w:t>
      </w:r>
      <w:r>
        <w:rPr>
          <w:rFonts w:hint="eastAsia" w:ascii="仿宋" w:hAnsi="仿宋" w:eastAsia="仿宋" w:cs="仿宋"/>
          <w:color w:val="auto"/>
          <w:kern w:val="2"/>
          <w:sz w:val="24"/>
          <w:szCs w:val="24"/>
          <w:highlight w:val="none"/>
        </w:rPr>
        <w:t>★</w:t>
      </w:r>
      <w:r>
        <w:rPr>
          <w:rFonts w:hint="eastAsia" w:ascii="宋体" w:hAnsi="宋体" w:cs="宋体"/>
          <w:color w:val="auto"/>
          <w:kern w:val="2"/>
          <w:sz w:val="24"/>
          <w:szCs w:val="24"/>
          <w:highlight w:val="none"/>
        </w:rPr>
        <w:t>门诊部扩展项目相关科室的智能分诊叫号系统，需要与原门诊部运行的智能分诊叫号系统系统融为一体，无缝对接，提供承诺函。</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yellow"/>
        </w:rPr>
      </w:pPr>
      <w:r>
        <w:rPr>
          <w:rFonts w:hint="eastAsia" w:ascii="宋体" w:hAnsi="宋体" w:cs="宋体"/>
          <w:color w:val="auto"/>
          <w:sz w:val="24"/>
          <w:szCs w:val="24"/>
          <w:highlight w:val="none"/>
        </w:rPr>
        <w:t>6、</w:t>
      </w:r>
      <w:r>
        <w:rPr>
          <w:rFonts w:hint="eastAsia" w:ascii="宋体" w:hAnsi="宋体" w:eastAsia="宋体" w:cs="宋体"/>
          <w:color w:val="auto"/>
          <w:kern w:val="2"/>
          <w:sz w:val="24"/>
          <w:szCs w:val="24"/>
          <w:highlight w:val="none"/>
          <w:lang w:val="en-US" w:eastAsia="zh-CN" w:bidi="ar"/>
        </w:rPr>
        <w:t>▲为保障新扩增的影像系统与</w:t>
      </w:r>
      <w:r>
        <w:rPr>
          <w:rFonts w:hint="eastAsia" w:ascii="宋体" w:hAnsi="宋体" w:cs="宋体"/>
          <w:color w:val="auto"/>
          <w:kern w:val="2"/>
          <w:sz w:val="24"/>
          <w:szCs w:val="24"/>
          <w:highlight w:val="none"/>
          <w:lang w:val="en-US" w:eastAsia="zh-CN"/>
        </w:rPr>
        <w:t>医院主体影像系统的融为一体，供应商须提供接口</w:t>
      </w:r>
      <w:r>
        <w:rPr>
          <w:rFonts w:hint="eastAsia" w:ascii="宋体" w:hAnsi="宋体" w:eastAsia="宋体" w:cs="宋体"/>
          <w:color w:val="auto"/>
          <w:kern w:val="2"/>
          <w:sz w:val="24"/>
          <w:szCs w:val="24"/>
          <w:highlight w:val="none"/>
          <w:lang w:val="en-US" w:eastAsia="zh-CN" w:bidi="ar"/>
        </w:rPr>
        <w:t>对接能力证明，并承担与医院现有 PACS 系统对接的费用，提供详细报价清单。</w:t>
      </w:r>
    </w:p>
    <w:p>
      <w:pPr>
        <w:pageBreakBefore w:val="0"/>
        <w:widowControl w:val="0"/>
        <w:kinsoku/>
        <w:wordWrap/>
        <w:topLinePunct w:val="0"/>
        <w:autoSpaceDE/>
        <w:autoSpaceDN/>
        <w:bidi w:val="0"/>
        <w:adjustRightInd w:val="0"/>
        <w:snapToGrid w:val="0"/>
        <w:spacing w:line="360" w:lineRule="auto"/>
        <w:jc w:val="both"/>
        <w:rPr>
          <w:rFonts w:ascii="宋体" w:hAnsi="宋体" w:cs="宋体"/>
          <w:b/>
          <w:bCs/>
          <w:color w:val="auto"/>
          <w:sz w:val="24"/>
          <w:szCs w:val="24"/>
          <w:highlight w:val="none"/>
        </w:rPr>
      </w:pPr>
      <w:r>
        <w:rPr>
          <w:rFonts w:hint="eastAsia" w:ascii="宋体" w:hAnsi="宋体" w:cs="宋体"/>
          <w:b/>
          <w:bCs/>
          <w:color w:val="auto"/>
          <w:sz w:val="24"/>
          <w:szCs w:val="24"/>
          <w:highlight w:val="none"/>
        </w:rPr>
        <w:t>（二）产品参数</w:t>
      </w:r>
    </w:p>
    <w:p>
      <w:pPr>
        <w:pageBreakBefore w:val="0"/>
        <w:widowControl w:val="0"/>
        <w:kinsoku/>
        <w:wordWrap/>
        <w:overflowPunct w:val="0"/>
        <w:topLinePunct w:val="0"/>
        <w:autoSpaceDE/>
        <w:autoSpaceDN/>
        <w:bidi w:val="0"/>
        <w:adjustRightInd w:val="0"/>
        <w:snapToGrid w:val="0"/>
        <w:spacing w:line="360" w:lineRule="auto"/>
        <w:ind w:firstLine="482" w:firstLineChars="20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1、24寸诊室显示屏含设备箱</w:t>
      </w:r>
    </w:p>
    <w:p>
      <w:pPr>
        <w:pageBreakBefore w:val="0"/>
        <w:widowControl w:val="0"/>
        <w:numPr>
          <w:ilvl w:val="0"/>
          <w:numId w:val="13"/>
        </w:numPr>
        <w:kinsoku/>
        <w:wordWrap/>
        <w:overflowPunct w:val="0"/>
        <w:topLinePunct w:val="0"/>
        <w:autoSpaceDE/>
        <w:autoSpaceDN/>
        <w:bidi w:val="0"/>
        <w:adjustRightInd w:val="0"/>
        <w:snapToGrid w:val="0"/>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屏幕宽高比16:9；</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 xml:space="preserve">    2）亮度（cd/m2）不≧250，对比度(典型) ≧1200：1； </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 xml:space="preserve">    3）视角(H/V) 178/178，分辨率≧1920×1080；</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 xml:space="preserve">    4）显示色彩≧16.7M， 响应时间(ms)≦6；</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 xml:space="preserve">    5）屏幕显示语言 英/中，寿命≧30000h；</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 xml:space="preserve">    6）AV输入、HDMI输入；</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 xml:space="preserve">    7）电源范围 交流110V－240V（50/60Hz），功率消耗(额定) ≦+35W；</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 xml:space="preserve">    8）工作温度0°~40°C，工作湿度20%~80%；</w:t>
      </w:r>
      <w:r>
        <w:rPr>
          <w:rFonts w:hint="eastAsia" w:ascii="宋体" w:hAnsi="宋体" w:cs="宋体"/>
          <w:color w:val="auto"/>
          <w:sz w:val="24"/>
          <w:szCs w:val="24"/>
          <w:highlight w:val="none"/>
        </w:rPr>
        <w:br w:type="textWrapping"/>
      </w:r>
      <w:r>
        <w:rPr>
          <w:rFonts w:hint="eastAsia" w:ascii="宋体" w:hAnsi="宋体" w:cs="宋体"/>
          <w:b/>
          <w:bCs/>
          <w:color w:val="auto"/>
          <w:kern w:val="2"/>
          <w:sz w:val="24"/>
          <w:szCs w:val="24"/>
          <w:highlight w:val="none"/>
        </w:rPr>
        <w:t xml:space="preserve">     2、55寸候诊显示屏含安装架</w:t>
      </w:r>
    </w:p>
    <w:p>
      <w:pPr>
        <w:pageBreakBefore w:val="0"/>
        <w:widowControl w:val="0"/>
        <w:numPr>
          <w:ilvl w:val="0"/>
          <w:numId w:val="14"/>
        </w:numPr>
        <w:tabs>
          <w:tab w:val="left" w:pos="1134"/>
          <w:tab w:val="left" w:pos="5481"/>
          <w:tab w:val="left" w:pos="5859"/>
        </w:tabs>
        <w:kinsoku/>
        <w:wordWrap/>
        <w:topLinePunct w:val="0"/>
        <w:autoSpaceDE/>
        <w:autoSpaceDN/>
        <w:bidi w:val="0"/>
        <w:adjustRightInd w:val="0"/>
        <w:snapToGrid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屏幕尺寸55英寸，屏幕宽高比16:9；</w:t>
      </w:r>
    </w:p>
    <w:p>
      <w:pPr>
        <w:pageBreakBefore w:val="0"/>
        <w:widowControl w:val="0"/>
        <w:numPr>
          <w:ilvl w:val="0"/>
          <w:numId w:val="14"/>
        </w:numPr>
        <w:tabs>
          <w:tab w:val="left" w:pos="1134"/>
          <w:tab w:val="left" w:pos="5481"/>
          <w:tab w:val="left" w:pos="5859"/>
        </w:tabs>
        <w:kinsoku/>
        <w:wordWrap/>
        <w:topLinePunct w:val="0"/>
        <w:autoSpaceDE/>
        <w:autoSpaceDN/>
        <w:bidi w:val="0"/>
        <w:adjustRightInd w:val="0"/>
        <w:snapToGrid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亮度（cd/m2）不≧250，对比度(典型) ≧1200：1；</w:t>
      </w:r>
    </w:p>
    <w:p>
      <w:pPr>
        <w:pageBreakBefore w:val="0"/>
        <w:widowControl w:val="0"/>
        <w:tabs>
          <w:tab w:val="left" w:pos="1134"/>
          <w:tab w:val="left" w:pos="5481"/>
          <w:tab w:val="left" w:pos="5859"/>
        </w:tabs>
        <w:kinsoku/>
        <w:wordWrap/>
        <w:topLinePunct w:val="0"/>
        <w:autoSpaceDE/>
        <w:autoSpaceDN/>
        <w:bidi w:val="0"/>
        <w:adjustRightInd w:val="0"/>
        <w:snapToGrid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3）视角(H/V) 178/178，分辨率&gt;=1920×1080；</w:t>
      </w:r>
    </w:p>
    <w:p>
      <w:pPr>
        <w:pageBreakBefore w:val="0"/>
        <w:widowControl w:val="0"/>
        <w:tabs>
          <w:tab w:val="left" w:pos="1134"/>
          <w:tab w:val="left" w:pos="5481"/>
          <w:tab w:val="left" w:pos="5859"/>
        </w:tabs>
        <w:kinsoku/>
        <w:wordWrap/>
        <w:topLinePunct w:val="0"/>
        <w:autoSpaceDE/>
        <w:autoSpaceDN/>
        <w:bidi w:val="0"/>
        <w:adjustRightInd w:val="0"/>
        <w:snapToGrid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4）显示色彩≧16.7M， 响应时间(ms)≦6；</w:t>
      </w:r>
    </w:p>
    <w:p>
      <w:pPr>
        <w:pageBreakBefore w:val="0"/>
        <w:widowControl w:val="0"/>
        <w:tabs>
          <w:tab w:val="left" w:pos="1134"/>
          <w:tab w:val="left" w:pos="5481"/>
          <w:tab w:val="left" w:pos="5859"/>
        </w:tabs>
        <w:kinsoku/>
        <w:wordWrap/>
        <w:topLinePunct w:val="0"/>
        <w:autoSpaceDE/>
        <w:autoSpaceDN/>
        <w:bidi w:val="0"/>
        <w:adjustRightInd w:val="0"/>
        <w:snapToGrid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5）屏幕显示语言英/中，寿命≧30000h；</w:t>
      </w:r>
    </w:p>
    <w:p>
      <w:pPr>
        <w:pageBreakBefore w:val="0"/>
        <w:widowControl w:val="0"/>
        <w:tabs>
          <w:tab w:val="left" w:pos="1134"/>
          <w:tab w:val="left" w:pos="5481"/>
          <w:tab w:val="left" w:pos="5859"/>
        </w:tabs>
        <w:kinsoku/>
        <w:wordWrap/>
        <w:topLinePunct w:val="0"/>
        <w:autoSpaceDE/>
        <w:autoSpaceDN/>
        <w:bidi w:val="0"/>
        <w:adjustRightInd w:val="0"/>
        <w:snapToGrid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6）AV输入、HDMI输入，USB2.0输入；</w:t>
      </w:r>
    </w:p>
    <w:p>
      <w:pPr>
        <w:pageBreakBefore w:val="0"/>
        <w:widowControl w:val="0"/>
        <w:tabs>
          <w:tab w:val="left" w:pos="1134"/>
          <w:tab w:val="left" w:pos="5481"/>
          <w:tab w:val="left" w:pos="5859"/>
        </w:tabs>
        <w:kinsoku/>
        <w:wordWrap/>
        <w:topLinePunct w:val="0"/>
        <w:autoSpaceDE/>
        <w:autoSpaceDN/>
        <w:bidi w:val="0"/>
        <w:adjustRightInd w:val="0"/>
        <w:snapToGrid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7）电源范围：交流110V－240V（50/60Hz），功率消耗(额定) ≦150W；</w:t>
      </w:r>
    </w:p>
    <w:p>
      <w:pPr>
        <w:pageBreakBefore w:val="0"/>
        <w:widowControl w:val="0"/>
        <w:tabs>
          <w:tab w:val="left" w:pos="1134"/>
          <w:tab w:val="left" w:pos="5481"/>
          <w:tab w:val="left" w:pos="5859"/>
        </w:tabs>
        <w:kinsoku/>
        <w:wordWrap/>
        <w:topLinePunct w:val="0"/>
        <w:autoSpaceDE/>
        <w:autoSpaceDN/>
        <w:bidi w:val="0"/>
        <w:adjustRightInd w:val="0"/>
        <w:snapToGrid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8）工作温度0°~40°C，工作湿度20%~80%。</w:t>
      </w:r>
    </w:p>
    <w:p>
      <w:pPr>
        <w:pageBreakBefore w:val="0"/>
        <w:widowControl w:val="0"/>
        <w:tabs>
          <w:tab w:val="left" w:pos="1134"/>
          <w:tab w:val="left" w:pos="5481"/>
          <w:tab w:val="left" w:pos="5859"/>
        </w:tabs>
        <w:kinsoku/>
        <w:wordWrap/>
        <w:topLinePunct w:val="0"/>
        <w:autoSpaceDE/>
        <w:autoSpaceDN/>
        <w:bidi w:val="0"/>
        <w:spacing w:line="360" w:lineRule="auto"/>
        <w:ind w:right="-147" w:rightChars="-70" w:firstLine="482" w:firstLineChars="200"/>
        <w:jc w:val="left"/>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3、43寸候诊显示屏含安装架</w:t>
      </w:r>
    </w:p>
    <w:p>
      <w:pPr>
        <w:pageBreakBefore w:val="0"/>
        <w:widowControl w:val="0"/>
        <w:tabs>
          <w:tab w:val="left" w:pos="1134"/>
          <w:tab w:val="left" w:pos="5481"/>
          <w:tab w:val="left" w:pos="5859"/>
        </w:tabs>
        <w:kinsoku/>
        <w:wordWrap/>
        <w:topLinePunct w:val="0"/>
        <w:autoSpaceDE/>
        <w:autoSpaceDN/>
        <w:bidi w:val="0"/>
        <w:spacing w:line="360" w:lineRule="auto"/>
        <w:ind w:right="-147" w:rightChars="-70" w:firstLine="480" w:firstLineChars="200"/>
        <w:jc w:val="left"/>
        <w:rPr>
          <w:rFonts w:ascii="宋体" w:hAnsi="宋体" w:cs="宋体"/>
          <w:color w:val="auto"/>
          <w:kern w:val="2"/>
          <w:sz w:val="24"/>
          <w:szCs w:val="24"/>
          <w:highlight w:val="none"/>
        </w:rPr>
      </w:pPr>
      <w:r>
        <w:rPr>
          <w:rFonts w:hint="eastAsia" w:ascii="宋体" w:hAnsi="宋体" w:cs="宋体"/>
          <w:color w:val="auto"/>
          <w:kern w:val="2"/>
          <w:sz w:val="24"/>
          <w:szCs w:val="24"/>
          <w:highlight w:val="none"/>
        </w:rPr>
        <w:t>1）屏幕宽高比16:9；</w:t>
      </w:r>
    </w:p>
    <w:p>
      <w:pPr>
        <w:pageBreakBefore w:val="0"/>
        <w:widowControl w:val="0"/>
        <w:tabs>
          <w:tab w:val="left" w:pos="1134"/>
          <w:tab w:val="left" w:pos="5481"/>
          <w:tab w:val="left" w:pos="5859"/>
        </w:tabs>
        <w:kinsoku/>
        <w:wordWrap/>
        <w:topLinePunct w:val="0"/>
        <w:autoSpaceDE/>
        <w:autoSpaceDN/>
        <w:bidi w:val="0"/>
        <w:spacing w:line="360" w:lineRule="auto"/>
        <w:ind w:right="-147" w:rightChars="-70" w:firstLine="480" w:firstLineChars="200"/>
        <w:jc w:val="left"/>
        <w:rPr>
          <w:rFonts w:ascii="宋体" w:hAnsi="宋体" w:cs="宋体"/>
          <w:color w:val="auto"/>
          <w:kern w:val="2"/>
          <w:sz w:val="24"/>
          <w:szCs w:val="24"/>
          <w:highlight w:val="none"/>
        </w:rPr>
      </w:pPr>
      <w:r>
        <w:rPr>
          <w:rFonts w:hint="eastAsia" w:ascii="宋体" w:hAnsi="宋体" w:cs="宋体"/>
          <w:color w:val="auto"/>
          <w:kern w:val="2"/>
          <w:sz w:val="24"/>
          <w:szCs w:val="24"/>
          <w:highlight w:val="none"/>
        </w:rPr>
        <w:t>2）亮度（cd/m2）不≧250，对比度(典型) ≧1200：1；</w:t>
      </w:r>
    </w:p>
    <w:p>
      <w:pPr>
        <w:pageBreakBefore w:val="0"/>
        <w:widowControl w:val="0"/>
        <w:tabs>
          <w:tab w:val="left" w:pos="1134"/>
          <w:tab w:val="left" w:pos="5481"/>
          <w:tab w:val="left" w:pos="5859"/>
        </w:tabs>
        <w:kinsoku/>
        <w:wordWrap/>
        <w:topLinePunct w:val="0"/>
        <w:autoSpaceDE/>
        <w:autoSpaceDN/>
        <w:bidi w:val="0"/>
        <w:spacing w:line="360" w:lineRule="auto"/>
        <w:ind w:right="-147" w:rightChars="-70" w:firstLine="480" w:firstLineChars="200"/>
        <w:jc w:val="left"/>
        <w:rPr>
          <w:rFonts w:ascii="宋体" w:hAnsi="宋体" w:cs="宋体"/>
          <w:color w:val="auto"/>
          <w:kern w:val="2"/>
          <w:sz w:val="24"/>
          <w:szCs w:val="24"/>
          <w:highlight w:val="none"/>
        </w:rPr>
      </w:pPr>
      <w:r>
        <w:rPr>
          <w:rFonts w:hint="eastAsia" w:ascii="宋体" w:hAnsi="宋体" w:cs="宋体"/>
          <w:color w:val="auto"/>
          <w:kern w:val="2"/>
          <w:sz w:val="24"/>
          <w:szCs w:val="24"/>
          <w:highlight w:val="none"/>
        </w:rPr>
        <w:t>3）视角(H/V) 178/178，分辨率&gt;=1920×1080；</w:t>
      </w:r>
    </w:p>
    <w:p>
      <w:pPr>
        <w:pageBreakBefore w:val="0"/>
        <w:widowControl w:val="0"/>
        <w:tabs>
          <w:tab w:val="left" w:pos="1134"/>
          <w:tab w:val="left" w:pos="5481"/>
          <w:tab w:val="left" w:pos="5859"/>
        </w:tabs>
        <w:kinsoku/>
        <w:wordWrap/>
        <w:topLinePunct w:val="0"/>
        <w:autoSpaceDE/>
        <w:autoSpaceDN/>
        <w:bidi w:val="0"/>
        <w:spacing w:line="360" w:lineRule="auto"/>
        <w:ind w:right="-147" w:rightChars="-70" w:firstLine="480" w:firstLineChars="200"/>
        <w:jc w:val="left"/>
        <w:rPr>
          <w:rFonts w:ascii="宋体" w:hAnsi="宋体" w:cs="宋体"/>
          <w:color w:val="auto"/>
          <w:kern w:val="2"/>
          <w:sz w:val="24"/>
          <w:szCs w:val="24"/>
          <w:highlight w:val="none"/>
        </w:rPr>
      </w:pPr>
      <w:r>
        <w:rPr>
          <w:rFonts w:hint="eastAsia" w:ascii="宋体" w:hAnsi="宋体" w:cs="宋体"/>
          <w:color w:val="auto"/>
          <w:kern w:val="2"/>
          <w:sz w:val="24"/>
          <w:szCs w:val="24"/>
          <w:highlight w:val="none"/>
        </w:rPr>
        <w:t>4）显示色彩≧16.7M， 响应时间(ms)≦6；</w:t>
      </w:r>
    </w:p>
    <w:p>
      <w:pPr>
        <w:pageBreakBefore w:val="0"/>
        <w:widowControl w:val="0"/>
        <w:tabs>
          <w:tab w:val="left" w:pos="1134"/>
          <w:tab w:val="left" w:pos="5481"/>
          <w:tab w:val="left" w:pos="5859"/>
        </w:tabs>
        <w:kinsoku/>
        <w:wordWrap/>
        <w:topLinePunct w:val="0"/>
        <w:autoSpaceDE/>
        <w:autoSpaceDN/>
        <w:bidi w:val="0"/>
        <w:spacing w:line="360" w:lineRule="auto"/>
        <w:ind w:right="-147" w:rightChars="-70" w:firstLine="480" w:firstLineChars="200"/>
        <w:jc w:val="left"/>
        <w:rPr>
          <w:rFonts w:ascii="宋体" w:hAnsi="宋体" w:cs="宋体"/>
          <w:color w:val="auto"/>
          <w:kern w:val="2"/>
          <w:sz w:val="24"/>
          <w:szCs w:val="24"/>
          <w:highlight w:val="none"/>
        </w:rPr>
      </w:pPr>
      <w:r>
        <w:rPr>
          <w:rFonts w:hint="eastAsia" w:ascii="宋体" w:hAnsi="宋体" w:cs="宋体"/>
          <w:color w:val="auto"/>
          <w:kern w:val="2"/>
          <w:sz w:val="24"/>
          <w:szCs w:val="24"/>
          <w:highlight w:val="none"/>
        </w:rPr>
        <w:t>5）屏幕显示语言英/中，寿命≧30000h；</w:t>
      </w:r>
    </w:p>
    <w:p>
      <w:pPr>
        <w:pageBreakBefore w:val="0"/>
        <w:widowControl w:val="0"/>
        <w:tabs>
          <w:tab w:val="left" w:pos="1134"/>
          <w:tab w:val="left" w:pos="5481"/>
          <w:tab w:val="left" w:pos="5859"/>
        </w:tabs>
        <w:kinsoku/>
        <w:wordWrap/>
        <w:topLinePunct w:val="0"/>
        <w:autoSpaceDE/>
        <w:autoSpaceDN/>
        <w:bidi w:val="0"/>
        <w:spacing w:line="360" w:lineRule="auto"/>
        <w:ind w:right="-147" w:rightChars="-70" w:firstLine="480" w:firstLineChars="200"/>
        <w:jc w:val="left"/>
        <w:rPr>
          <w:rFonts w:ascii="宋体" w:hAnsi="宋体" w:cs="宋体"/>
          <w:color w:val="auto"/>
          <w:kern w:val="2"/>
          <w:sz w:val="24"/>
          <w:szCs w:val="24"/>
          <w:highlight w:val="none"/>
        </w:rPr>
      </w:pPr>
      <w:r>
        <w:rPr>
          <w:rFonts w:hint="eastAsia" w:ascii="宋体" w:hAnsi="宋体" w:cs="宋体"/>
          <w:color w:val="auto"/>
          <w:kern w:val="2"/>
          <w:sz w:val="24"/>
          <w:szCs w:val="24"/>
          <w:highlight w:val="none"/>
        </w:rPr>
        <w:t>6）AV输入、HDMI输入，USB2.0输入；</w:t>
      </w:r>
    </w:p>
    <w:p>
      <w:pPr>
        <w:pageBreakBefore w:val="0"/>
        <w:widowControl w:val="0"/>
        <w:tabs>
          <w:tab w:val="left" w:pos="1134"/>
          <w:tab w:val="left" w:pos="5481"/>
          <w:tab w:val="left" w:pos="5859"/>
        </w:tabs>
        <w:kinsoku/>
        <w:wordWrap/>
        <w:topLinePunct w:val="0"/>
        <w:autoSpaceDE/>
        <w:autoSpaceDN/>
        <w:bidi w:val="0"/>
        <w:spacing w:line="360" w:lineRule="auto"/>
        <w:ind w:right="-147" w:rightChars="-70" w:firstLine="480" w:firstLineChars="200"/>
        <w:jc w:val="left"/>
        <w:rPr>
          <w:rFonts w:ascii="宋体" w:hAnsi="宋体" w:cs="宋体"/>
          <w:color w:val="auto"/>
          <w:kern w:val="2"/>
          <w:sz w:val="24"/>
          <w:szCs w:val="24"/>
          <w:highlight w:val="none"/>
        </w:rPr>
      </w:pPr>
      <w:r>
        <w:rPr>
          <w:rFonts w:hint="eastAsia" w:ascii="宋体" w:hAnsi="宋体" w:cs="宋体"/>
          <w:color w:val="auto"/>
          <w:kern w:val="2"/>
          <w:sz w:val="24"/>
          <w:szCs w:val="24"/>
          <w:highlight w:val="none"/>
        </w:rPr>
        <w:t>7）电源范围：交流110V－240V（50/60Hz），功率消耗(额定) ≦100W；</w:t>
      </w:r>
    </w:p>
    <w:p>
      <w:pPr>
        <w:pageBreakBefore w:val="0"/>
        <w:widowControl w:val="0"/>
        <w:tabs>
          <w:tab w:val="left" w:pos="1134"/>
          <w:tab w:val="left" w:pos="5481"/>
          <w:tab w:val="left" w:pos="5859"/>
        </w:tabs>
        <w:kinsoku/>
        <w:wordWrap/>
        <w:topLinePunct w:val="0"/>
        <w:autoSpaceDE/>
        <w:autoSpaceDN/>
        <w:bidi w:val="0"/>
        <w:spacing w:line="360" w:lineRule="auto"/>
        <w:ind w:right="-147" w:rightChars="-70" w:firstLine="480" w:firstLineChars="200"/>
        <w:jc w:val="left"/>
        <w:rPr>
          <w:rFonts w:ascii="宋体" w:hAnsi="宋体" w:cs="宋体"/>
          <w:color w:val="auto"/>
          <w:kern w:val="2"/>
          <w:sz w:val="24"/>
          <w:szCs w:val="24"/>
          <w:highlight w:val="none"/>
        </w:rPr>
      </w:pPr>
      <w:r>
        <w:rPr>
          <w:rFonts w:hint="eastAsia" w:ascii="宋体" w:hAnsi="宋体" w:cs="宋体"/>
          <w:color w:val="auto"/>
          <w:kern w:val="2"/>
          <w:sz w:val="24"/>
          <w:szCs w:val="24"/>
          <w:highlight w:val="none"/>
        </w:rPr>
        <w:t>8）工作温度0°~40°C，工作湿度20%~80%。</w:t>
      </w:r>
    </w:p>
    <w:p>
      <w:pPr>
        <w:pageBreakBefore w:val="0"/>
        <w:widowControl w:val="0"/>
        <w:tabs>
          <w:tab w:val="left" w:pos="1134"/>
          <w:tab w:val="left" w:pos="5481"/>
          <w:tab w:val="left" w:pos="5859"/>
        </w:tabs>
        <w:kinsoku/>
        <w:wordWrap/>
        <w:topLinePunct w:val="0"/>
        <w:autoSpaceDE/>
        <w:autoSpaceDN/>
        <w:bidi w:val="0"/>
        <w:spacing w:line="360" w:lineRule="auto"/>
        <w:ind w:right="-147" w:rightChars="-70" w:firstLine="482" w:firstLineChars="200"/>
        <w:jc w:val="both"/>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4、嵌入式控制器</w:t>
      </w:r>
    </w:p>
    <w:p>
      <w:pPr>
        <w:pageBreakBefore w:val="0"/>
        <w:widowControl w:val="0"/>
        <w:tabs>
          <w:tab w:val="left" w:pos="900"/>
        </w:tabs>
        <w:kinsoku/>
        <w:wordWrap/>
        <w:topLinePunct w:val="0"/>
        <w:autoSpaceDE/>
        <w:autoSpaceDN/>
        <w:bidi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rPr>
        <w:t>1）处理器：AMD  A6-1450四核四线程 主频1.0G-1.4GBIOS功能：来电自</w:t>
      </w:r>
    </w:p>
    <w:p>
      <w:pPr>
        <w:pageBreakBefore w:val="0"/>
        <w:widowControl w:val="0"/>
        <w:tabs>
          <w:tab w:val="left" w:pos="900"/>
        </w:tabs>
        <w:kinsoku/>
        <w:wordWrap/>
        <w:topLinePunct w:val="0"/>
        <w:autoSpaceDE/>
        <w:autoSpaceDN/>
        <w:bidi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rPr>
        <w:t>启PXE启动、网络唤醒；</w:t>
      </w:r>
    </w:p>
    <w:p>
      <w:pPr>
        <w:pageBreakBefore w:val="0"/>
        <w:widowControl w:val="0"/>
        <w:tabs>
          <w:tab w:val="left" w:pos="900"/>
        </w:tabs>
        <w:kinsoku/>
        <w:wordWrap/>
        <w:topLinePunct w:val="0"/>
        <w:autoSpaceDE/>
        <w:autoSpaceDN/>
        <w:bidi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rPr>
        <w:t>2）内存：2G；硬盘：32G；显卡：Radeon HD 8250 400MHz-300MHz</w:t>
      </w:r>
    </w:p>
    <w:p>
      <w:pPr>
        <w:pageBreakBefore w:val="0"/>
        <w:widowControl w:val="0"/>
        <w:tabs>
          <w:tab w:val="left" w:pos="900"/>
        </w:tabs>
        <w:kinsoku/>
        <w:wordWrap/>
        <w:topLinePunct w:val="0"/>
        <w:autoSpaceDE/>
        <w:autoSpaceDN/>
        <w:bidi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rPr>
        <w:t>3）网卡：10-100-1000M（支持PXE 启动/网络唤醒）；</w:t>
      </w:r>
    </w:p>
    <w:p>
      <w:pPr>
        <w:pageBreakBefore w:val="0"/>
        <w:widowControl w:val="0"/>
        <w:tabs>
          <w:tab w:val="left" w:pos="900"/>
        </w:tabs>
        <w:kinsoku/>
        <w:wordWrap/>
        <w:topLinePunct w:val="0"/>
        <w:autoSpaceDE/>
        <w:autoSpaceDN/>
        <w:bidi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rPr>
        <w:t>4）显示输出：HDMI + VGA （支持独立双显示）;</w:t>
      </w:r>
    </w:p>
    <w:p>
      <w:pPr>
        <w:pageBreakBefore w:val="0"/>
        <w:widowControl w:val="0"/>
        <w:tabs>
          <w:tab w:val="left" w:pos="900"/>
        </w:tabs>
        <w:kinsoku/>
        <w:wordWrap/>
        <w:topLinePunct w:val="0"/>
        <w:autoSpaceDE/>
        <w:autoSpaceDN/>
        <w:bidi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rPr>
        <w:t>5）声卡：Realtek HD ALC 662；</w:t>
      </w:r>
    </w:p>
    <w:p>
      <w:pPr>
        <w:pageBreakBefore w:val="0"/>
        <w:widowControl w:val="0"/>
        <w:tabs>
          <w:tab w:val="left" w:pos="900"/>
        </w:tabs>
        <w:kinsoku/>
        <w:wordWrap/>
        <w:topLinePunct w:val="0"/>
        <w:autoSpaceDE/>
        <w:autoSpaceDN/>
        <w:bidi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rPr>
        <w:t>6）Windows系统；具有定时开关机功能;</w:t>
      </w:r>
    </w:p>
    <w:p>
      <w:pPr>
        <w:pageBreakBefore w:val="0"/>
        <w:widowControl w:val="0"/>
        <w:tabs>
          <w:tab w:val="left" w:pos="1134"/>
          <w:tab w:val="left" w:pos="5481"/>
          <w:tab w:val="left" w:pos="5859"/>
        </w:tabs>
        <w:kinsoku/>
        <w:wordWrap/>
        <w:topLinePunct w:val="0"/>
        <w:autoSpaceDE/>
        <w:autoSpaceDN/>
        <w:bidi w:val="0"/>
        <w:snapToGrid w:val="0"/>
        <w:spacing w:line="360" w:lineRule="auto"/>
        <w:ind w:right="-147" w:rightChars="-70" w:firstLine="482" w:firstLineChars="200"/>
        <w:jc w:val="both"/>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5、自助报到机</w:t>
      </w:r>
      <w:r>
        <w:rPr>
          <w:rFonts w:hint="eastAsia" w:ascii="宋体" w:hAnsi="宋体" w:cs="宋体"/>
          <w:b/>
          <w:bCs/>
          <w:color w:val="auto"/>
          <w:kern w:val="2"/>
          <w:sz w:val="24"/>
          <w:szCs w:val="24"/>
          <w:highlight w:val="none"/>
        </w:rPr>
        <w:tab/>
      </w:r>
    </w:p>
    <w:p>
      <w:pPr>
        <w:pageBreakBefore w:val="0"/>
        <w:widowControl w:val="0"/>
        <w:tabs>
          <w:tab w:val="left" w:pos="1134"/>
          <w:tab w:val="left" w:pos="5481"/>
          <w:tab w:val="left" w:pos="5859"/>
        </w:tabs>
        <w:kinsoku/>
        <w:wordWrap/>
        <w:topLinePunct w:val="0"/>
        <w:autoSpaceDE/>
        <w:autoSpaceDN/>
        <w:bidi w:val="0"/>
        <w:snapToGrid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1）显示器：≥15.6”液晶显示屏，分辨率不低于1920*1080，亮度不低于800 cd/m²，对比度不低于200:1，可视角度89/89/89/89(上/下/左/右）；</w:t>
      </w:r>
    </w:p>
    <w:p>
      <w:pPr>
        <w:pageBreakBefore w:val="0"/>
        <w:widowControl w:val="0"/>
        <w:tabs>
          <w:tab w:val="left" w:pos="1134"/>
          <w:tab w:val="left" w:pos="5481"/>
          <w:tab w:val="left" w:pos="5859"/>
        </w:tabs>
        <w:kinsoku/>
        <w:wordWrap/>
        <w:topLinePunct w:val="0"/>
        <w:autoSpaceDE/>
        <w:autoSpaceDN/>
        <w:bidi w:val="0"/>
        <w:snapToGrid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2）触摸屏：EOL 五线电阻屏或红外触摸屏；</w:t>
      </w:r>
    </w:p>
    <w:p>
      <w:pPr>
        <w:pageBreakBefore w:val="0"/>
        <w:widowControl w:val="0"/>
        <w:tabs>
          <w:tab w:val="left" w:pos="1134"/>
          <w:tab w:val="left" w:pos="5481"/>
          <w:tab w:val="left" w:pos="5859"/>
        </w:tabs>
        <w:kinsoku/>
        <w:wordWrap/>
        <w:topLinePunct w:val="0"/>
        <w:autoSpaceDE/>
        <w:autoSpaceDN/>
        <w:bidi w:val="0"/>
        <w:snapToGrid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3）支持条码、医保卡刷卡报道；</w:t>
      </w:r>
    </w:p>
    <w:p>
      <w:pPr>
        <w:pageBreakBefore w:val="0"/>
        <w:widowControl w:val="0"/>
        <w:tabs>
          <w:tab w:val="left" w:pos="1134"/>
          <w:tab w:val="left" w:pos="5481"/>
          <w:tab w:val="left" w:pos="5859"/>
        </w:tabs>
        <w:kinsoku/>
        <w:wordWrap/>
        <w:topLinePunct w:val="0"/>
        <w:autoSpaceDE/>
        <w:autoSpaceDN/>
        <w:bidi w:val="0"/>
        <w:snapToGrid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4）处理器AMD  A6-1450四核四线程 主频1.0G-1.4G；支持来电自启PXE启动、网络唤醒；内存≥2G,存储≥32G；windows系统</w:t>
      </w:r>
    </w:p>
    <w:p>
      <w:pPr>
        <w:pageBreakBefore w:val="0"/>
        <w:widowControl w:val="0"/>
        <w:tabs>
          <w:tab w:val="left" w:pos="1134"/>
          <w:tab w:val="left" w:pos="5481"/>
          <w:tab w:val="left" w:pos="5859"/>
        </w:tabs>
        <w:kinsoku/>
        <w:wordWrap/>
        <w:topLinePunct w:val="0"/>
        <w:autoSpaceDE/>
        <w:autoSpaceDN/>
        <w:bidi w:val="0"/>
        <w:snapToGrid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5）外形结构合理，不占用物理空间，可以贴墙安装或者移动。</w:t>
      </w:r>
    </w:p>
    <w:p>
      <w:pPr>
        <w:pageBreakBefore w:val="0"/>
        <w:widowControl w:val="0"/>
        <w:tabs>
          <w:tab w:val="left" w:pos="1134"/>
          <w:tab w:val="left" w:pos="5481"/>
          <w:tab w:val="left" w:pos="5859"/>
        </w:tabs>
        <w:kinsoku/>
        <w:wordWrap/>
        <w:topLinePunct w:val="0"/>
        <w:autoSpaceDE/>
        <w:autoSpaceDN/>
        <w:bidi w:val="0"/>
        <w:snapToGrid w:val="0"/>
        <w:spacing w:line="360" w:lineRule="auto"/>
        <w:ind w:right="-147" w:rightChars="-70" w:firstLine="482" w:firstLineChars="200"/>
        <w:jc w:val="both"/>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6、语音功放</w:t>
      </w:r>
    </w:p>
    <w:p>
      <w:pPr>
        <w:pageBreakBefore w:val="0"/>
        <w:widowControl w:val="0"/>
        <w:tabs>
          <w:tab w:val="left" w:pos="1134"/>
          <w:tab w:val="left" w:pos="5481"/>
          <w:tab w:val="left" w:pos="5859"/>
        </w:tabs>
        <w:kinsoku/>
        <w:wordWrap/>
        <w:topLinePunct w:val="0"/>
        <w:autoSpaceDE/>
        <w:autoSpaceDN/>
        <w:bidi w:val="0"/>
        <w:snapToGrid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w:t>
      </w:r>
      <w:r>
        <w:rPr>
          <w:rFonts w:hint="eastAsia" w:ascii="仿宋" w:hAnsi="仿宋" w:eastAsia="仿宋" w:cs="仿宋"/>
          <w:color w:val="auto"/>
          <w:kern w:val="2"/>
          <w:sz w:val="24"/>
          <w:szCs w:val="24"/>
          <w:highlight w:val="none"/>
        </w:rPr>
        <w:t>▲</w:t>
      </w:r>
      <w:r>
        <w:rPr>
          <w:rFonts w:hint="eastAsia" w:ascii="宋体" w:hAnsi="宋体" w:cs="宋体"/>
          <w:color w:val="auto"/>
          <w:kern w:val="2"/>
          <w:sz w:val="24"/>
          <w:szCs w:val="24"/>
          <w:highlight w:val="none"/>
        </w:rPr>
        <w:t>能够在二次候诊区域，定点控制扬声器发声（提供已完成项目相关证明材料）。</w:t>
      </w:r>
    </w:p>
    <w:p>
      <w:pPr>
        <w:pageBreakBefore w:val="0"/>
        <w:widowControl w:val="0"/>
        <w:tabs>
          <w:tab w:val="left" w:pos="1134"/>
          <w:tab w:val="left" w:pos="5481"/>
          <w:tab w:val="left" w:pos="5859"/>
        </w:tabs>
        <w:kinsoku/>
        <w:wordWrap/>
        <w:topLinePunct w:val="0"/>
        <w:autoSpaceDE/>
        <w:autoSpaceDN/>
        <w:bidi w:val="0"/>
        <w:snapToGrid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2）网络远程控制；</w:t>
      </w:r>
    </w:p>
    <w:p>
      <w:pPr>
        <w:pageBreakBefore w:val="0"/>
        <w:widowControl w:val="0"/>
        <w:tabs>
          <w:tab w:val="left" w:pos="1134"/>
          <w:tab w:val="left" w:pos="5481"/>
          <w:tab w:val="left" w:pos="5859"/>
        </w:tabs>
        <w:kinsoku/>
        <w:wordWrap/>
        <w:topLinePunct w:val="0"/>
        <w:autoSpaceDE/>
        <w:autoSpaceDN/>
        <w:bidi w:val="0"/>
        <w:snapToGrid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3）支持PC机音频线路输入；</w:t>
      </w:r>
    </w:p>
    <w:p>
      <w:pPr>
        <w:pageBreakBefore w:val="0"/>
        <w:widowControl w:val="0"/>
        <w:tabs>
          <w:tab w:val="left" w:pos="1134"/>
          <w:tab w:val="left" w:pos="5481"/>
          <w:tab w:val="left" w:pos="5859"/>
        </w:tabs>
        <w:kinsoku/>
        <w:wordWrap/>
        <w:topLinePunct w:val="0"/>
        <w:autoSpaceDE/>
        <w:autoSpaceDN/>
        <w:bidi w:val="0"/>
        <w:snapToGrid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4）定阻8Ω低阻输出</w:t>
      </w:r>
    </w:p>
    <w:p>
      <w:pPr>
        <w:pageBreakBefore w:val="0"/>
        <w:widowControl w:val="0"/>
        <w:tabs>
          <w:tab w:val="left" w:pos="1134"/>
          <w:tab w:val="left" w:pos="5481"/>
          <w:tab w:val="left" w:pos="5859"/>
        </w:tabs>
        <w:kinsoku/>
        <w:wordWrap/>
        <w:topLinePunct w:val="0"/>
        <w:autoSpaceDE/>
        <w:autoSpaceDN/>
        <w:bidi w:val="0"/>
        <w:snapToGrid w:val="0"/>
        <w:spacing w:line="360" w:lineRule="auto"/>
        <w:ind w:right="-147" w:rightChars="-70" w:firstLine="482" w:firstLineChars="200"/>
        <w:jc w:val="both"/>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7、区域功放</w:t>
      </w:r>
    </w:p>
    <w:p>
      <w:pPr>
        <w:pageBreakBefore w:val="0"/>
        <w:widowControl w:val="0"/>
        <w:tabs>
          <w:tab w:val="left" w:pos="1134"/>
          <w:tab w:val="left" w:pos="5481"/>
          <w:tab w:val="left" w:pos="5859"/>
        </w:tabs>
        <w:kinsoku/>
        <w:wordWrap/>
        <w:topLinePunct w:val="0"/>
        <w:autoSpaceDE/>
        <w:autoSpaceDN/>
        <w:bidi w:val="0"/>
        <w:snapToGrid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3路以上话筒输入，2路AUX输入，1路以上AUX输出；100V、70V定压输出和4-16欧姆定阻输出；有默音功能，便于插入紧急广播各输入通道独立音量控制；高、低音调控制输出短路、过流、过载保护告警输出功率（额定）：≥40W；</w:t>
      </w:r>
    </w:p>
    <w:p>
      <w:pPr>
        <w:pageBreakBefore w:val="0"/>
        <w:widowControl w:val="0"/>
        <w:tabs>
          <w:tab w:val="left" w:pos="1134"/>
          <w:tab w:val="left" w:pos="5481"/>
          <w:tab w:val="left" w:pos="5859"/>
        </w:tabs>
        <w:kinsoku/>
        <w:wordWrap/>
        <w:topLinePunct w:val="0"/>
        <w:autoSpaceDE/>
        <w:autoSpaceDN/>
        <w:bidi w:val="0"/>
        <w:snapToGrid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2）话筒输入：600ohms(Ω)，10mV(-54dBV)；</w:t>
      </w:r>
    </w:p>
    <w:p>
      <w:pPr>
        <w:pageBreakBefore w:val="0"/>
        <w:widowControl w:val="0"/>
        <w:tabs>
          <w:tab w:val="left" w:pos="1134"/>
          <w:tab w:val="left" w:pos="5481"/>
          <w:tab w:val="left" w:pos="5859"/>
        </w:tabs>
        <w:kinsoku/>
        <w:wordWrap/>
        <w:topLinePunct w:val="0"/>
        <w:autoSpaceDE/>
        <w:autoSpaceDN/>
        <w:bidi w:val="0"/>
        <w:snapToGrid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3）不平衡线路输出：1路，600ohms(Ω)，1V；</w:t>
      </w:r>
    </w:p>
    <w:p>
      <w:pPr>
        <w:pageBreakBefore w:val="0"/>
        <w:widowControl w:val="0"/>
        <w:tabs>
          <w:tab w:val="left" w:pos="1134"/>
          <w:tab w:val="left" w:pos="5481"/>
          <w:tab w:val="left" w:pos="5859"/>
        </w:tabs>
        <w:kinsoku/>
        <w:wordWrap/>
        <w:topLinePunct w:val="0"/>
        <w:autoSpaceDE/>
        <w:autoSpaceDN/>
        <w:bidi w:val="0"/>
        <w:snapToGrid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4）不平衡线路输入：2路，10Kohms(Ω)，250mV(-10dBV)；</w:t>
      </w:r>
    </w:p>
    <w:p>
      <w:pPr>
        <w:pageBreakBefore w:val="0"/>
        <w:widowControl w:val="0"/>
        <w:tabs>
          <w:tab w:val="left" w:pos="1134"/>
          <w:tab w:val="left" w:pos="5481"/>
          <w:tab w:val="left" w:pos="5859"/>
        </w:tabs>
        <w:kinsoku/>
        <w:wordWrap/>
        <w:topLinePunct w:val="0"/>
        <w:autoSpaceDE/>
        <w:autoSpaceDN/>
        <w:bidi w:val="0"/>
        <w:snapToGrid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5）电源：AC220V～240V/50～60Hz</w:t>
      </w:r>
    </w:p>
    <w:p>
      <w:pPr>
        <w:pageBreakBefore w:val="0"/>
        <w:widowControl w:val="0"/>
        <w:tabs>
          <w:tab w:val="left" w:pos="1134"/>
          <w:tab w:val="left" w:pos="5481"/>
          <w:tab w:val="left" w:pos="5859"/>
        </w:tabs>
        <w:kinsoku/>
        <w:wordWrap/>
        <w:topLinePunct w:val="0"/>
        <w:autoSpaceDE/>
        <w:autoSpaceDN/>
        <w:bidi w:val="0"/>
        <w:snapToGrid w:val="0"/>
        <w:spacing w:line="360" w:lineRule="auto"/>
        <w:ind w:right="-147" w:rightChars="-70" w:firstLine="482" w:firstLineChars="200"/>
        <w:jc w:val="both"/>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8、麦克风</w:t>
      </w:r>
    </w:p>
    <w:p>
      <w:pPr>
        <w:pageBreakBefore w:val="0"/>
        <w:widowControl w:val="0"/>
        <w:tabs>
          <w:tab w:val="left" w:pos="1134"/>
          <w:tab w:val="left" w:pos="5481"/>
          <w:tab w:val="left" w:pos="5859"/>
        </w:tabs>
        <w:kinsoku/>
        <w:wordWrap/>
        <w:topLinePunct w:val="0"/>
        <w:autoSpaceDE/>
        <w:autoSpaceDN/>
        <w:bidi w:val="0"/>
        <w:snapToGrid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1）频率响应：外麦克风频率响应：20Hz-20kHz内麦克风频率响应：20Hz-16kHz。</w:t>
      </w:r>
    </w:p>
    <w:p>
      <w:pPr>
        <w:pageBreakBefore w:val="0"/>
        <w:widowControl w:val="0"/>
        <w:tabs>
          <w:tab w:val="left" w:pos="1134"/>
          <w:tab w:val="left" w:pos="5481"/>
          <w:tab w:val="left" w:pos="5859"/>
        </w:tabs>
        <w:kinsoku/>
        <w:wordWrap/>
        <w:topLinePunct w:val="0"/>
        <w:autoSpaceDE/>
        <w:autoSpaceDN/>
        <w:bidi w:val="0"/>
        <w:snapToGrid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2）灵敏度：外麦克风灵敏度：-48dB±2dB(0dB=1V/Paat1kHz)内麦克风灵敏度：-44dB±2dB(0dB=1V/Paat1kHz)</w:t>
      </w:r>
    </w:p>
    <w:p>
      <w:pPr>
        <w:pageBreakBefore w:val="0"/>
        <w:widowControl w:val="0"/>
        <w:tabs>
          <w:tab w:val="left" w:pos="1134"/>
          <w:tab w:val="left" w:pos="5481"/>
          <w:tab w:val="left" w:pos="5859"/>
        </w:tabs>
        <w:kinsoku/>
        <w:wordWrap/>
        <w:topLinePunct w:val="0"/>
        <w:autoSpaceDE/>
        <w:autoSpaceDN/>
        <w:bidi w:val="0"/>
        <w:snapToGrid w:val="0"/>
        <w:spacing w:line="360" w:lineRule="auto"/>
        <w:ind w:right="-147" w:rightChars="-70" w:firstLine="482" w:firstLineChars="200"/>
        <w:jc w:val="both"/>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9、窗口麦克风</w:t>
      </w:r>
    </w:p>
    <w:p>
      <w:pPr>
        <w:pageBreakBefore w:val="0"/>
        <w:widowControl w:val="0"/>
        <w:numPr>
          <w:ilvl w:val="0"/>
          <w:numId w:val="15"/>
        </w:numPr>
        <w:tabs>
          <w:tab w:val="left" w:pos="1134"/>
          <w:tab w:val="left" w:pos="5481"/>
          <w:tab w:val="left" w:pos="5859"/>
        </w:tabs>
        <w:kinsoku/>
        <w:wordWrap/>
        <w:topLinePunct w:val="0"/>
        <w:autoSpaceDE/>
        <w:autoSpaceDN/>
        <w:bidi w:val="0"/>
        <w:snapToGrid w:val="0"/>
        <w:spacing w:line="360" w:lineRule="auto"/>
        <w:ind w:right="-147" w:rightChars="-70"/>
        <w:jc w:val="both"/>
        <w:rPr>
          <w:rFonts w:ascii="宋体" w:hAnsi="宋体" w:cs="宋体"/>
          <w:color w:val="auto"/>
          <w:kern w:val="2"/>
          <w:sz w:val="24"/>
          <w:szCs w:val="24"/>
          <w:highlight w:val="none"/>
        </w:rPr>
      </w:pPr>
      <w:r>
        <w:rPr>
          <w:rFonts w:ascii="宋体" w:hAnsi="宋体" w:cs="宋体"/>
          <w:color w:val="auto"/>
          <w:kern w:val="2"/>
          <w:sz w:val="24"/>
          <w:szCs w:val="24"/>
          <w:highlight w:val="none"/>
        </w:rPr>
        <w:t>工作电压：DC 12V；</w:t>
      </w:r>
    </w:p>
    <w:p>
      <w:pPr>
        <w:pageBreakBefore w:val="0"/>
        <w:widowControl w:val="0"/>
        <w:numPr>
          <w:ilvl w:val="0"/>
          <w:numId w:val="15"/>
        </w:numPr>
        <w:tabs>
          <w:tab w:val="left" w:pos="1134"/>
          <w:tab w:val="left" w:pos="5481"/>
          <w:tab w:val="left" w:pos="5859"/>
        </w:tabs>
        <w:kinsoku/>
        <w:wordWrap/>
        <w:topLinePunct w:val="0"/>
        <w:autoSpaceDE/>
        <w:autoSpaceDN/>
        <w:bidi w:val="0"/>
        <w:snapToGrid w:val="0"/>
        <w:spacing w:line="360" w:lineRule="auto"/>
        <w:ind w:right="-147" w:rightChars="-70"/>
        <w:jc w:val="both"/>
        <w:rPr>
          <w:rFonts w:ascii="宋体" w:hAnsi="宋体" w:cs="宋体"/>
          <w:color w:val="auto"/>
          <w:kern w:val="2"/>
          <w:sz w:val="24"/>
          <w:szCs w:val="24"/>
          <w:highlight w:val="none"/>
        </w:rPr>
      </w:pPr>
      <w:r>
        <w:rPr>
          <w:rFonts w:ascii="宋体" w:hAnsi="宋体" w:cs="宋体"/>
          <w:color w:val="auto"/>
          <w:kern w:val="2"/>
          <w:sz w:val="24"/>
          <w:szCs w:val="24"/>
          <w:highlight w:val="none"/>
        </w:rPr>
        <w:t>工作电流：500mA；</w:t>
      </w:r>
    </w:p>
    <w:p>
      <w:pPr>
        <w:pageBreakBefore w:val="0"/>
        <w:widowControl w:val="0"/>
        <w:numPr>
          <w:ilvl w:val="0"/>
          <w:numId w:val="15"/>
        </w:numPr>
        <w:tabs>
          <w:tab w:val="left" w:pos="1134"/>
          <w:tab w:val="left" w:pos="5481"/>
          <w:tab w:val="left" w:pos="5859"/>
        </w:tabs>
        <w:kinsoku/>
        <w:wordWrap/>
        <w:topLinePunct w:val="0"/>
        <w:autoSpaceDE/>
        <w:autoSpaceDN/>
        <w:bidi w:val="0"/>
        <w:snapToGrid w:val="0"/>
        <w:spacing w:line="360" w:lineRule="auto"/>
        <w:ind w:right="-147" w:rightChars="-70"/>
        <w:jc w:val="both"/>
        <w:rPr>
          <w:rFonts w:ascii="宋体" w:hAnsi="宋体" w:cs="宋体"/>
          <w:color w:val="auto"/>
          <w:kern w:val="2"/>
          <w:sz w:val="24"/>
          <w:szCs w:val="24"/>
          <w:highlight w:val="none"/>
        </w:rPr>
      </w:pPr>
      <w:r>
        <w:rPr>
          <w:rFonts w:ascii="宋体" w:hAnsi="宋体" w:cs="宋体"/>
          <w:color w:val="auto"/>
          <w:kern w:val="2"/>
          <w:sz w:val="24"/>
          <w:szCs w:val="24"/>
          <w:highlight w:val="none"/>
        </w:rPr>
        <w:t>主机输出功率：3W；</w:t>
      </w:r>
    </w:p>
    <w:p>
      <w:pPr>
        <w:pageBreakBefore w:val="0"/>
        <w:widowControl w:val="0"/>
        <w:numPr>
          <w:ilvl w:val="0"/>
          <w:numId w:val="15"/>
        </w:numPr>
        <w:tabs>
          <w:tab w:val="left" w:pos="1134"/>
          <w:tab w:val="left" w:pos="5481"/>
          <w:tab w:val="left" w:pos="5859"/>
        </w:tabs>
        <w:kinsoku/>
        <w:wordWrap/>
        <w:topLinePunct w:val="0"/>
        <w:autoSpaceDE/>
        <w:autoSpaceDN/>
        <w:bidi w:val="0"/>
        <w:snapToGrid w:val="0"/>
        <w:spacing w:line="360" w:lineRule="auto"/>
        <w:ind w:right="-147" w:rightChars="-70"/>
        <w:jc w:val="both"/>
        <w:rPr>
          <w:rFonts w:ascii="宋体" w:hAnsi="宋体" w:cs="宋体"/>
          <w:color w:val="auto"/>
          <w:kern w:val="2"/>
          <w:sz w:val="24"/>
          <w:szCs w:val="24"/>
          <w:highlight w:val="none"/>
        </w:rPr>
      </w:pPr>
      <w:r>
        <w:rPr>
          <w:rFonts w:ascii="宋体" w:hAnsi="宋体" w:cs="宋体"/>
          <w:color w:val="auto"/>
          <w:kern w:val="2"/>
          <w:sz w:val="24"/>
          <w:szCs w:val="24"/>
          <w:highlight w:val="none"/>
        </w:rPr>
        <w:t>分机输出功率：</w:t>
      </w:r>
      <w:r>
        <w:rPr>
          <w:rFonts w:hint="eastAsia" w:ascii="宋体" w:hAnsi="宋体" w:cs="宋体"/>
          <w:color w:val="auto"/>
          <w:kern w:val="2"/>
          <w:sz w:val="24"/>
          <w:szCs w:val="24"/>
          <w:highlight w:val="none"/>
        </w:rPr>
        <w:t>4</w:t>
      </w:r>
      <w:r>
        <w:rPr>
          <w:rFonts w:ascii="宋体" w:hAnsi="宋体" w:cs="宋体"/>
          <w:color w:val="auto"/>
          <w:kern w:val="2"/>
          <w:sz w:val="24"/>
          <w:szCs w:val="24"/>
          <w:highlight w:val="none"/>
        </w:rPr>
        <w:t>W</w:t>
      </w:r>
      <w:r>
        <w:rPr>
          <w:rFonts w:hint="eastAsia" w:ascii="宋体" w:hAnsi="宋体" w:cs="宋体"/>
          <w:color w:val="auto"/>
          <w:kern w:val="2"/>
          <w:sz w:val="24"/>
          <w:szCs w:val="24"/>
          <w:highlight w:val="none"/>
        </w:rPr>
        <w:t>，5W；</w:t>
      </w:r>
    </w:p>
    <w:p>
      <w:pPr>
        <w:pageBreakBefore w:val="0"/>
        <w:widowControl w:val="0"/>
        <w:numPr>
          <w:ilvl w:val="0"/>
          <w:numId w:val="15"/>
        </w:numPr>
        <w:tabs>
          <w:tab w:val="left" w:pos="1134"/>
          <w:tab w:val="left" w:pos="5481"/>
          <w:tab w:val="left" w:pos="5859"/>
        </w:tabs>
        <w:kinsoku/>
        <w:wordWrap/>
        <w:topLinePunct w:val="0"/>
        <w:autoSpaceDE/>
        <w:autoSpaceDN/>
        <w:bidi w:val="0"/>
        <w:snapToGrid w:val="0"/>
        <w:spacing w:line="360" w:lineRule="auto"/>
        <w:ind w:right="-147" w:rightChars="-70"/>
        <w:jc w:val="both"/>
        <w:rPr>
          <w:rFonts w:ascii="宋体" w:hAnsi="宋体" w:cs="宋体"/>
          <w:color w:val="auto"/>
          <w:kern w:val="2"/>
          <w:sz w:val="24"/>
          <w:szCs w:val="24"/>
          <w:highlight w:val="none"/>
        </w:rPr>
      </w:pPr>
      <w:r>
        <w:rPr>
          <w:rFonts w:ascii="宋体" w:hAnsi="宋体" w:cs="宋体"/>
          <w:color w:val="auto"/>
          <w:kern w:val="2"/>
          <w:sz w:val="24"/>
          <w:szCs w:val="24"/>
          <w:highlight w:val="none"/>
        </w:rPr>
        <w:t>主机材质：金属；</w:t>
      </w:r>
    </w:p>
    <w:p>
      <w:pPr>
        <w:pageBreakBefore w:val="0"/>
        <w:widowControl w:val="0"/>
        <w:numPr>
          <w:ilvl w:val="0"/>
          <w:numId w:val="15"/>
        </w:numPr>
        <w:tabs>
          <w:tab w:val="left" w:pos="1134"/>
          <w:tab w:val="left" w:pos="5481"/>
          <w:tab w:val="left" w:pos="5859"/>
        </w:tabs>
        <w:kinsoku/>
        <w:wordWrap/>
        <w:topLinePunct w:val="0"/>
        <w:autoSpaceDE/>
        <w:autoSpaceDN/>
        <w:bidi w:val="0"/>
        <w:snapToGrid w:val="0"/>
        <w:spacing w:line="360" w:lineRule="auto"/>
        <w:ind w:right="-147" w:rightChars="-70"/>
        <w:jc w:val="both"/>
        <w:rPr>
          <w:rFonts w:ascii="宋体" w:hAnsi="宋体" w:cs="宋体"/>
          <w:color w:val="auto"/>
          <w:kern w:val="2"/>
          <w:sz w:val="24"/>
          <w:szCs w:val="24"/>
          <w:highlight w:val="none"/>
        </w:rPr>
      </w:pPr>
      <w:r>
        <w:rPr>
          <w:rFonts w:ascii="宋体" w:hAnsi="宋体" w:cs="宋体"/>
          <w:color w:val="auto"/>
          <w:kern w:val="2"/>
          <w:sz w:val="24"/>
          <w:szCs w:val="24"/>
          <w:highlight w:val="none"/>
        </w:rPr>
        <w:t>话筒灵敏度：-46dB±2dB 20Hz~16KHz。</w:t>
      </w:r>
    </w:p>
    <w:p>
      <w:pPr>
        <w:pageBreakBefore w:val="0"/>
        <w:widowControl w:val="0"/>
        <w:tabs>
          <w:tab w:val="left" w:pos="1134"/>
          <w:tab w:val="left" w:pos="5481"/>
          <w:tab w:val="left" w:pos="5859"/>
        </w:tabs>
        <w:kinsoku/>
        <w:wordWrap/>
        <w:topLinePunct w:val="0"/>
        <w:autoSpaceDE/>
        <w:autoSpaceDN/>
        <w:bidi w:val="0"/>
        <w:snapToGrid w:val="0"/>
        <w:spacing w:line="360" w:lineRule="auto"/>
        <w:ind w:right="-147" w:rightChars="-70" w:firstLine="482" w:firstLineChars="200"/>
        <w:jc w:val="both"/>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10、吸顶喇叭</w:t>
      </w:r>
    </w:p>
    <w:p>
      <w:pPr>
        <w:pageBreakBefore w:val="0"/>
        <w:widowControl w:val="0"/>
        <w:tabs>
          <w:tab w:val="left" w:pos="1134"/>
          <w:tab w:val="left" w:pos="5481"/>
          <w:tab w:val="left" w:pos="5859"/>
        </w:tabs>
        <w:kinsoku/>
        <w:wordWrap/>
        <w:topLinePunct w:val="0"/>
        <w:autoSpaceDE/>
        <w:autoSpaceDN/>
        <w:bidi w:val="0"/>
        <w:snapToGrid w:val="0"/>
        <w:spacing w:line="360" w:lineRule="auto"/>
        <w:ind w:right="-147" w:rightChars="-70" w:firstLine="480" w:firstLineChars="20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可以吸顶安装。定压（120V），额定阻抗8Ω（±10%），3-6W；灵敏度94±dB，额定共振频率偏差（±10%）；额定频率范围（0.70～1.2KHz），辐射角度：120º-140º锥形，直径18.5cm。</w:t>
      </w:r>
    </w:p>
    <w:p>
      <w:pPr>
        <w:pageBreakBefore w:val="0"/>
        <w:widowControl w:val="0"/>
        <w:tabs>
          <w:tab w:val="left" w:pos="1134"/>
          <w:tab w:val="left" w:pos="5481"/>
          <w:tab w:val="left" w:pos="5859"/>
        </w:tabs>
        <w:kinsoku/>
        <w:wordWrap/>
        <w:topLinePunct w:val="0"/>
        <w:autoSpaceDE/>
        <w:autoSpaceDN/>
        <w:bidi w:val="0"/>
        <w:snapToGrid w:val="0"/>
        <w:spacing w:line="360" w:lineRule="auto"/>
        <w:ind w:right="-147" w:rightChars="-70" w:firstLine="482" w:firstLineChars="200"/>
        <w:jc w:val="both"/>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11、签到机打印机</w:t>
      </w:r>
    </w:p>
    <w:p>
      <w:pPr>
        <w:pageBreakBefore w:val="0"/>
        <w:widowControl w:val="0"/>
        <w:numPr>
          <w:ilvl w:val="0"/>
          <w:numId w:val="16"/>
        </w:numPr>
        <w:kinsoku/>
        <w:wordWrap/>
        <w:overflowPunct w:val="0"/>
        <w:topLinePunct w:val="0"/>
        <w:autoSpaceDE/>
        <w:autoSpaceDN/>
        <w:bidi w:val="0"/>
        <w:snapToGrid w:val="0"/>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打印方式：行式热敏；</w:t>
      </w:r>
    </w:p>
    <w:p>
      <w:pPr>
        <w:pageBreakBefore w:val="0"/>
        <w:widowControl w:val="0"/>
        <w:numPr>
          <w:ilvl w:val="0"/>
          <w:numId w:val="16"/>
        </w:numPr>
        <w:kinsoku/>
        <w:wordWrap/>
        <w:overflowPunct w:val="0"/>
        <w:topLinePunct w:val="0"/>
        <w:autoSpaceDE/>
        <w:autoSpaceDN/>
        <w:bidi w:val="0"/>
        <w:snapToGrid w:val="0"/>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分辨率：</w:t>
      </w:r>
      <w:r>
        <w:rPr>
          <w:rFonts w:ascii="宋体" w:hAnsi="宋体" w:cs="宋体"/>
          <w:color w:val="auto"/>
          <w:sz w:val="24"/>
          <w:szCs w:val="24"/>
          <w:highlight w:val="none"/>
        </w:rPr>
        <w:t>203 * 203DPI</w:t>
      </w:r>
      <w:r>
        <w:rPr>
          <w:rFonts w:hint="eastAsia" w:ascii="宋体" w:hAnsi="宋体" w:cs="宋体"/>
          <w:color w:val="auto"/>
          <w:sz w:val="24"/>
          <w:szCs w:val="24"/>
          <w:highlight w:val="none"/>
        </w:rPr>
        <w:t>/</w:t>
      </w:r>
      <w:r>
        <w:rPr>
          <w:rFonts w:ascii="宋体" w:hAnsi="宋体" w:cs="宋体"/>
          <w:color w:val="auto"/>
          <w:sz w:val="24"/>
          <w:szCs w:val="24"/>
          <w:highlight w:val="none"/>
        </w:rPr>
        <w:t>203 x 180DPI；</w:t>
      </w:r>
    </w:p>
    <w:p>
      <w:pPr>
        <w:pageBreakBefore w:val="0"/>
        <w:widowControl w:val="0"/>
        <w:numPr>
          <w:ilvl w:val="0"/>
          <w:numId w:val="16"/>
        </w:numPr>
        <w:kinsoku/>
        <w:wordWrap/>
        <w:overflowPunct w:val="0"/>
        <w:topLinePunct w:val="0"/>
        <w:autoSpaceDE/>
        <w:autoSpaceDN/>
        <w:bidi w:val="0"/>
        <w:snapToGrid w:val="0"/>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纸张宽度：</w:t>
      </w:r>
      <w:r>
        <w:rPr>
          <w:rFonts w:ascii="宋体" w:hAnsi="宋体" w:cs="宋体"/>
          <w:color w:val="auto"/>
          <w:sz w:val="24"/>
          <w:szCs w:val="24"/>
          <w:highlight w:val="none"/>
        </w:rPr>
        <w:t>57.5/80/82.5mm；</w:t>
      </w:r>
    </w:p>
    <w:p>
      <w:pPr>
        <w:pageBreakBefore w:val="0"/>
        <w:widowControl w:val="0"/>
        <w:numPr>
          <w:ilvl w:val="0"/>
          <w:numId w:val="16"/>
        </w:numPr>
        <w:kinsoku/>
        <w:wordWrap/>
        <w:overflowPunct w:val="0"/>
        <w:topLinePunct w:val="0"/>
        <w:autoSpaceDE/>
        <w:autoSpaceDN/>
        <w:bidi w:val="0"/>
        <w:snapToGrid w:val="0"/>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打印宽度：最大</w:t>
      </w:r>
      <w:r>
        <w:rPr>
          <w:rFonts w:ascii="宋体" w:hAnsi="宋体" w:cs="宋体"/>
          <w:color w:val="auto"/>
          <w:sz w:val="24"/>
          <w:szCs w:val="24"/>
          <w:highlight w:val="none"/>
        </w:rPr>
        <w:t>80mm；</w:t>
      </w:r>
    </w:p>
    <w:p>
      <w:pPr>
        <w:pageBreakBefore w:val="0"/>
        <w:widowControl w:val="0"/>
        <w:numPr>
          <w:ilvl w:val="0"/>
          <w:numId w:val="16"/>
        </w:numPr>
        <w:kinsoku/>
        <w:wordWrap/>
        <w:overflowPunct w:val="0"/>
        <w:topLinePunct w:val="0"/>
        <w:autoSpaceDE/>
        <w:autoSpaceDN/>
        <w:bidi w:val="0"/>
        <w:snapToGrid w:val="0"/>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打印速度：最大</w:t>
      </w:r>
      <w:r>
        <w:rPr>
          <w:rFonts w:ascii="宋体" w:hAnsi="宋体" w:cs="宋体"/>
          <w:color w:val="auto"/>
          <w:sz w:val="24"/>
          <w:szCs w:val="24"/>
          <w:highlight w:val="none"/>
        </w:rPr>
        <w:t>250mm/s；</w:t>
      </w:r>
    </w:p>
    <w:p>
      <w:pPr>
        <w:pageBreakBefore w:val="0"/>
        <w:widowControl w:val="0"/>
        <w:numPr>
          <w:ilvl w:val="0"/>
          <w:numId w:val="16"/>
        </w:numPr>
        <w:kinsoku/>
        <w:wordWrap/>
        <w:overflowPunct w:val="0"/>
        <w:topLinePunct w:val="0"/>
        <w:autoSpaceDE/>
        <w:autoSpaceDN/>
        <w:bidi w:val="0"/>
        <w:snapToGrid w:val="0"/>
        <w:spacing w:line="360" w:lineRule="auto"/>
        <w:jc w:val="left"/>
        <w:rPr>
          <w:rFonts w:ascii="宋体" w:hAnsi="宋体" w:cs="宋体"/>
          <w:color w:val="auto"/>
          <w:sz w:val="24"/>
          <w:szCs w:val="24"/>
          <w:highlight w:val="none"/>
        </w:rPr>
      </w:pPr>
      <w:r>
        <w:rPr>
          <w:rFonts w:ascii="宋体" w:hAnsi="宋体" w:cs="宋体"/>
          <w:color w:val="auto"/>
          <w:sz w:val="24"/>
          <w:szCs w:val="24"/>
          <w:highlight w:val="none"/>
        </w:rPr>
        <w:t>Flash LOGO：最大 1M 字节；</w:t>
      </w:r>
    </w:p>
    <w:p>
      <w:pPr>
        <w:pageBreakBefore w:val="0"/>
        <w:widowControl w:val="0"/>
        <w:numPr>
          <w:ilvl w:val="0"/>
          <w:numId w:val="16"/>
        </w:numPr>
        <w:kinsoku/>
        <w:wordWrap/>
        <w:overflowPunct w:val="0"/>
        <w:topLinePunct w:val="0"/>
        <w:autoSpaceDE/>
        <w:autoSpaceDN/>
        <w:bidi w:val="0"/>
        <w:snapToGrid w:val="0"/>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指令缓冲区：</w:t>
      </w:r>
      <w:r>
        <w:rPr>
          <w:rFonts w:ascii="宋体" w:hAnsi="宋体" w:cs="宋体"/>
          <w:color w:val="auto"/>
          <w:sz w:val="24"/>
          <w:szCs w:val="24"/>
          <w:highlight w:val="none"/>
        </w:rPr>
        <w:t>64K字节，4K字节或45字节；</w:t>
      </w:r>
    </w:p>
    <w:p>
      <w:pPr>
        <w:pageBreakBefore w:val="0"/>
        <w:widowControl w:val="0"/>
        <w:numPr>
          <w:ilvl w:val="0"/>
          <w:numId w:val="16"/>
        </w:numPr>
        <w:kinsoku/>
        <w:wordWrap/>
        <w:overflowPunct w:val="0"/>
        <w:topLinePunct w:val="0"/>
        <w:autoSpaceDE/>
        <w:autoSpaceDN/>
        <w:bidi w:val="0"/>
        <w:snapToGrid w:val="0"/>
        <w:spacing w:line="360" w:lineRule="auto"/>
        <w:jc w:val="left"/>
        <w:rPr>
          <w:rFonts w:ascii="宋体" w:hAnsi="宋体" w:cs="宋体"/>
          <w:color w:val="auto"/>
          <w:sz w:val="24"/>
          <w:szCs w:val="24"/>
          <w:highlight w:val="none"/>
        </w:rPr>
      </w:pPr>
      <w:r>
        <w:rPr>
          <w:rFonts w:ascii="宋体" w:hAnsi="宋体" w:cs="宋体"/>
          <w:color w:val="auto"/>
          <w:sz w:val="24"/>
          <w:szCs w:val="24"/>
          <w:highlight w:val="none"/>
        </w:rPr>
        <w:t>USB</w:t>
      </w:r>
      <w:r>
        <w:rPr>
          <w:rFonts w:hint="eastAsia" w:ascii="宋体" w:hAnsi="宋体" w:cs="宋体"/>
          <w:color w:val="auto"/>
          <w:sz w:val="24"/>
          <w:szCs w:val="24"/>
          <w:highlight w:val="none"/>
        </w:rPr>
        <w:t>：</w:t>
      </w:r>
      <w:r>
        <w:rPr>
          <w:rFonts w:ascii="宋体" w:hAnsi="宋体" w:cs="宋体"/>
          <w:color w:val="auto"/>
          <w:sz w:val="24"/>
          <w:szCs w:val="24"/>
          <w:highlight w:val="none"/>
        </w:rPr>
        <w:t>USB2.0(全速)；</w:t>
      </w:r>
    </w:p>
    <w:p>
      <w:pPr>
        <w:pageBreakBefore w:val="0"/>
        <w:widowControl w:val="0"/>
        <w:numPr>
          <w:ilvl w:val="0"/>
          <w:numId w:val="16"/>
        </w:numPr>
        <w:kinsoku/>
        <w:wordWrap/>
        <w:overflowPunct w:val="0"/>
        <w:topLinePunct w:val="0"/>
        <w:autoSpaceDE/>
        <w:autoSpaceDN/>
        <w:bidi w:val="0"/>
        <w:snapToGrid w:val="0"/>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串口：</w:t>
      </w:r>
      <w:r>
        <w:rPr>
          <w:rFonts w:ascii="宋体" w:hAnsi="宋体" w:cs="宋体"/>
          <w:color w:val="auto"/>
          <w:sz w:val="24"/>
          <w:szCs w:val="24"/>
          <w:highlight w:val="none"/>
        </w:rPr>
        <w:t>RS-232C；</w:t>
      </w:r>
    </w:p>
    <w:p>
      <w:pPr>
        <w:pageBreakBefore w:val="0"/>
        <w:widowControl w:val="0"/>
        <w:numPr>
          <w:ilvl w:val="0"/>
          <w:numId w:val="16"/>
        </w:numPr>
        <w:kinsoku/>
        <w:wordWrap/>
        <w:overflowPunct w:val="0"/>
        <w:topLinePunct w:val="0"/>
        <w:autoSpaceDE/>
        <w:autoSpaceDN/>
        <w:bidi w:val="0"/>
        <w:snapToGrid w:val="0"/>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并口：</w:t>
      </w:r>
      <w:r>
        <w:rPr>
          <w:rFonts w:ascii="宋体" w:hAnsi="宋体" w:cs="宋体"/>
          <w:color w:val="auto"/>
          <w:sz w:val="24"/>
          <w:szCs w:val="24"/>
          <w:highlight w:val="none"/>
        </w:rPr>
        <w:t>IEEE1284；</w:t>
      </w:r>
    </w:p>
    <w:p>
      <w:pPr>
        <w:pageBreakBefore w:val="0"/>
        <w:widowControl w:val="0"/>
        <w:numPr>
          <w:ilvl w:val="0"/>
          <w:numId w:val="16"/>
        </w:numPr>
        <w:kinsoku/>
        <w:wordWrap/>
        <w:overflowPunct w:val="0"/>
        <w:topLinePunct w:val="0"/>
        <w:autoSpaceDE/>
        <w:autoSpaceDN/>
        <w:bidi w:val="0"/>
        <w:snapToGrid w:val="0"/>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以太网：</w:t>
      </w:r>
      <w:r>
        <w:rPr>
          <w:rFonts w:ascii="宋体" w:hAnsi="宋体" w:cs="宋体"/>
          <w:color w:val="auto"/>
          <w:sz w:val="24"/>
          <w:szCs w:val="24"/>
          <w:highlight w:val="none"/>
        </w:rPr>
        <w:t>10/100BASE-T；</w:t>
      </w:r>
    </w:p>
    <w:p>
      <w:pPr>
        <w:pageBreakBefore w:val="0"/>
        <w:widowControl w:val="0"/>
        <w:kinsoku/>
        <w:wordWrap/>
        <w:topLinePunct w:val="0"/>
        <w:autoSpaceDE/>
        <w:autoSpaceDN/>
        <w:bidi w:val="0"/>
        <w:snapToGrid w:val="0"/>
        <w:spacing w:line="360" w:lineRule="auto"/>
        <w:ind w:firstLine="480"/>
        <w:jc w:val="both"/>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12、智慧分诊系统管理软件（二次分诊）</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1）支持查看当前诊区的每个队列叫号情况（如：排队队列名称、候诊人数、已就诊人数、未到过号人数、当前队列最后一次呼叫的患者姓名、排队序号、呼叫医生或诊位、叫号时间等）；</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2）支持全自动、人工、混合运行三种工作模式；</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3）</w:t>
      </w:r>
      <w:r>
        <w:rPr>
          <w:rFonts w:hint="eastAsia" w:ascii="仿宋" w:hAnsi="仿宋" w:eastAsia="仿宋" w:cs="仿宋"/>
          <w:color w:val="auto"/>
          <w:kern w:val="2"/>
          <w:sz w:val="24"/>
          <w:szCs w:val="24"/>
          <w:highlight w:val="none"/>
        </w:rPr>
        <w:t>▲</w:t>
      </w:r>
      <w:r>
        <w:rPr>
          <w:rFonts w:hint="eastAsia" w:ascii="宋体" w:hAnsi="宋体" w:cs="宋体"/>
          <w:color w:val="auto"/>
          <w:kern w:val="2"/>
          <w:sz w:val="24"/>
          <w:szCs w:val="24"/>
          <w:highlight w:val="none"/>
        </w:rPr>
        <w:t>支持同步HIS系统中医生排班数据，并支持临时手动调整功能；支持编辑周期内医生排班功能，并支持对医生每天出诊情况进行手动调整；</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4）提供叫号系统需具备对特殊科室患者姓名脱敏处理，语音呼叫及屏幕显示可同时脱敏，也可分开设置；</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5）护士可根据需要调整患者就诊顺序，护士可查看所控区域内患者就诊状态，具备对特殊患者优先就诊处理功能，护士通过护士站分诊台软件可直接完成插队、直接就诊等操作，同时屏幕应显示特殊患者标识；</w:t>
      </w:r>
    </w:p>
    <w:p>
      <w:pPr>
        <w:pageBreakBefore w:val="0"/>
        <w:widowControl w:val="0"/>
        <w:kinsoku/>
        <w:wordWrap/>
        <w:topLinePunct w:val="0"/>
        <w:autoSpaceDE/>
        <w:autoSpaceDN/>
        <w:bidi w:val="0"/>
        <w:snapToGrid w:val="0"/>
        <w:spacing w:line="360" w:lineRule="auto"/>
        <w:ind w:firstLine="480"/>
        <w:jc w:val="both"/>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rPr>
        <w:t>6）</w:t>
      </w:r>
      <w:r>
        <w:rPr>
          <w:rFonts w:hint="eastAsia" w:ascii="仿宋" w:hAnsi="仿宋" w:eastAsia="仿宋" w:cs="仿宋"/>
          <w:color w:val="auto"/>
          <w:kern w:val="2"/>
          <w:sz w:val="24"/>
          <w:szCs w:val="24"/>
          <w:highlight w:val="none"/>
        </w:rPr>
        <w:t>▲</w:t>
      </w:r>
      <w:r>
        <w:rPr>
          <w:rFonts w:hint="eastAsia" w:ascii="宋体" w:hAnsi="宋体" w:cs="宋体"/>
          <w:color w:val="auto"/>
          <w:kern w:val="2"/>
          <w:sz w:val="24"/>
          <w:szCs w:val="24"/>
          <w:highlight w:val="none"/>
        </w:rPr>
        <w:t>对各门诊科室的分诊叫号，进行个性化定制如：对治疗科室，支持一次交费多次治疗以及治疗预约。在就诊治疗时，通过患者报到获取到患者多次治疗和预约信息，直接实现报到、分诊、叫号、治疗等流程。治疗科室支持</w:t>
      </w:r>
      <w:r>
        <w:rPr>
          <w:rFonts w:hint="eastAsia" w:ascii="宋体" w:hAnsi="宋体" w:cs="宋体"/>
          <w:color w:val="auto"/>
          <w:kern w:val="2"/>
          <w:sz w:val="24"/>
          <w:szCs w:val="24"/>
          <w:highlight w:val="none"/>
          <w:lang w:eastAsia="zh-CN"/>
        </w:rPr>
        <w:t>；</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7、</w:t>
      </w:r>
      <w:r>
        <w:rPr>
          <w:rFonts w:hint="eastAsia" w:ascii="仿宋" w:hAnsi="仿宋" w:eastAsia="仿宋" w:cs="仿宋"/>
          <w:color w:val="auto"/>
          <w:kern w:val="2"/>
          <w:sz w:val="24"/>
          <w:szCs w:val="24"/>
          <w:highlight w:val="none"/>
        </w:rPr>
        <w:t>▲</w:t>
      </w:r>
      <w:r>
        <w:rPr>
          <w:rFonts w:hint="eastAsia" w:ascii="宋体" w:hAnsi="宋体" w:cs="宋体"/>
          <w:color w:val="auto"/>
          <w:kern w:val="2"/>
          <w:sz w:val="24"/>
          <w:szCs w:val="24"/>
          <w:highlight w:val="none"/>
        </w:rPr>
        <w:t>口腔科能够记录本次就诊医生，确保下一次就诊自动分诊给医生等；</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8）每个医生可根据自己的特点，设定优先规则，如复诊优先、复诊和初诊交替；</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9）对预约患者，系统能够自动判断，并优先就诊，且在显示和语音上要进行体现；</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10）对于过号患者，患者同样自助报到确认，可有多种规则，设定过号患者的就诊顺序。</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11）医生临时停诊，系统能够自动停止为其分派患者；</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12）支持同一诊区内部分医生实行一级候诊部分医生实行二级候诊混用模式；</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13）能够在一个诊区里有多个科室存在，在叫号时，要在显示和语音上要进行体现；</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14）支持一对多（单个医生看诊多个队列）例如：先看专家，然后专科，最后普诊；</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15）某个专家有事时，能够将其就诊队列转移给其他专家；</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16）且可以实现在一个科室内，不同的医生采用不同的优先规则；</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17）支持患者自主选医生的设定；</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18）支持护士录入文字选择终端语音播报功能；</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19）持诊区当天排队呼叫工作量统计功能；</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20）▲提供相关自动调度式预约分诊导医系统软件产品登记测试报告。</w:t>
      </w:r>
    </w:p>
    <w:p>
      <w:pPr>
        <w:pageBreakBefore w:val="0"/>
        <w:widowControl w:val="0"/>
        <w:kinsoku/>
        <w:wordWrap/>
        <w:topLinePunct w:val="0"/>
        <w:autoSpaceDE/>
        <w:autoSpaceDN/>
        <w:bidi w:val="0"/>
        <w:snapToGrid w:val="0"/>
        <w:spacing w:line="360" w:lineRule="auto"/>
        <w:ind w:firstLine="480"/>
        <w:jc w:val="both"/>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13、患者门诊自助服务系统软件</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1）患者可以通过刷就诊卡、二维码进行到诊签到，可以查看队列排队信息查看，个人排队号序，当前就诊号，前方人数等信息（（提供能够满足该该功能的第三方机构出具的评测报告扫描件并加盖原厂商公章）</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2）</w:t>
      </w:r>
      <w:r>
        <w:rPr>
          <w:rFonts w:hint="eastAsia" w:ascii="仿宋" w:hAnsi="仿宋" w:eastAsia="仿宋" w:cs="仿宋"/>
          <w:color w:val="auto"/>
          <w:kern w:val="2"/>
          <w:sz w:val="24"/>
          <w:szCs w:val="24"/>
          <w:highlight w:val="none"/>
        </w:rPr>
        <w:t>▲</w:t>
      </w:r>
      <w:r>
        <w:rPr>
          <w:rFonts w:hint="eastAsia" w:ascii="宋体" w:hAnsi="宋体" w:cs="宋体"/>
          <w:color w:val="auto"/>
          <w:kern w:val="2"/>
          <w:sz w:val="24"/>
          <w:szCs w:val="24"/>
          <w:highlight w:val="none"/>
        </w:rPr>
        <w:t>能够区分患者类型，并根据分诊系统中的实时排队信息，按照患者类型分别进行分诊和就诊排队叫号（提供能够满足该该功能的第三方机构出具的评测报告扫描件并加盖原厂商公章）。</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3）对当日复诊患者的患者，通过获取分诊系统中初次就诊的信息，自动完成分诊和排队。</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kern w:val="2"/>
          <w:sz w:val="24"/>
          <w:szCs w:val="24"/>
          <w:highlight w:val="none"/>
        </w:rPr>
      </w:pPr>
      <w:r>
        <w:rPr>
          <w:rFonts w:hint="eastAsia" w:ascii="宋体" w:hAnsi="宋体" w:cs="宋体"/>
          <w:color w:val="auto"/>
          <w:kern w:val="2"/>
          <w:sz w:val="24"/>
          <w:szCs w:val="24"/>
          <w:highlight w:val="none"/>
        </w:rPr>
        <w:t>4）对患者等候信息的查询(自助机)、多模态的分诊与排队信息的推送（如：临近到诊的信息的提醒、等候人数信息推送、检查注意等）。</w:t>
      </w:r>
    </w:p>
    <w:p>
      <w:pPr>
        <w:pageBreakBefore w:val="0"/>
        <w:widowControl w:val="0"/>
        <w:kinsoku/>
        <w:wordWrap/>
        <w:topLinePunct w:val="0"/>
        <w:autoSpaceDE/>
        <w:autoSpaceDN/>
        <w:bidi w:val="0"/>
        <w:snapToGrid w:val="0"/>
        <w:spacing w:line="360" w:lineRule="auto"/>
        <w:ind w:firstLine="480"/>
        <w:jc w:val="both"/>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14、检验分诊导医软件</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1）需实现在患者进行报到后，自动进入采血排队队列。采血窗口按照患者报到的顺序进行叫号，窗口屏幕语音呼叫并显示患者信息。</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2）当抽血患者在自助报到机签到时，通过报到机给出相应提示。</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3）系统应具有分时段统计功能，能够对时段内各个抽血窗口抽血患者人数进行统计。</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4）系统需具备灵活的患者顺序管理模式，可根据患者排队顺序、报到时间、患者取号时间等因素进行排队</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5）需支持多次采血呼叫，例如第一次采血完毕，可在设定时间后再次进入队列并优先。</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6）需支持对一张检验单多项目多天抽血实现多次报到并叫号。</w:t>
      </w:r>
    </w:p>
    <w:p>
      <w:pPr>
        <w:pageBreakBefore w:val="0"/>
        <w:widowControl w:val="0"/>
        <w:kinsoku/>
        <w:wordWrap/>
        <w:overflowPunct w:val="0"/>
        <w:topLinePunct w:val="0"/>
        <w:autoSpaceDE/>
        <w:autoSpaceDN/>
        <w:bidi w:val="0"/>
        <w:snapToGrid w:val="0"/>
        <w:spacing w:line="360" w:lineRule="auto"/>
        <w:ind w:firstLine="482" w:firstLineChars="200"/>
        <w:jc w:val="left"/>
        <w:rPr>
          <w:rFonts w:hAnsi="宋体" w:cs="宋体"/>
          <w:b/>
          <w:bCs/>
          <w:color w:val="auto"/>
          <w:kern w:val="2"/>
          <w:sz w:val="24"/>
          <w:szCs w:val="24"/>
          <w:highlight w:val="none"/>
        </w:rPr>
      </w:pPr>
      <w:r>
        <w:rPr>
          <w:rFonts w:hint="eastAsia" w:hAnsi="宋体" w:cs="宋体"/>
          <w:b/>
          <w:bCs/>
          <w:color w:val="auto"/>
          <w:kern w:val="2"/>
          <w:sz w:val="24"/>
          <w:szCs w:val="24"/>
          <w:highlight w:val="none"/>
        </w:rPr>
        <w:t>15、超声检查分诊导医新增软件及升级改造</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1）患者者自助报到；</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2）自动提醒（憋尿）；</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3）支持检查设备、检查队列、检查室、患者等系统对象的集中和自定义管理；</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4）支持将检查室按检查功能等进行分组；</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5）支持检查设备和所能检查的队列之间的任意设置；</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6）支持一屏对应一诊室，一屏对应多诊室的显示模式；</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 xml:space="preserve">7）支持对特殊病人的绿色通道设计； </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8）能够从医院现有的信息系统中读取所需数据，无需二次手动录入；</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9）支持门急诊、住院、体检三种患者类型；</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10）能够详细显示患者的检查信息；</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11）设有绿色通道，应对需要紧急处置的患者；</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12）能够集中显示各诊室当前看诊患者及候诊患者信息；</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13）能够自动从HIS中获取患者检查项目信息；</w:t>
      </w:r>
    </w:p>
    <w:p>
      <w:pPr>
        <w:pageBreakBefore w:val="0"/>
        <w:widowControl w:val="0"/>
        <w:kinsoku/>
        <w:wordWrap/>
        <w:overflowPunct w:val="0"/>
        <w:topLinePunct w:val="0"/>
        <w:autoSpaceDE/>
        <w:autoSpaceDN/>
        <w:bidi w:val="0"/>
        <w:snapToGrid w:val="0"/>
        <w:spacing w:line="360" w:lineRule="auto"/>
        <w:ind w:firstLine="482" w:firstLineChars="200"/>
        <w:jc w:val="left"/>
        <w:rPr>
          <w:rFonts w:hAnsi="宋体" w:cs="宋体"/>
          <w:b/>
          <w:bCs/>
          <w:color w:val="auto"/>
          <w:kern w:val="2"/>
          <w:sz w:val="24"/>
          <w:szCs w:val="24"/>
          <w:highlight w:val="none"/>
        </w:rPr>
      </w:pPr>
      <w:r>
        <w:rPr>
          <w:rFonts w:hint="eastAsia" w:hAnsi="宋体" w:cs="宋体"/>
          <w:b/>
          <w:bCs/>
          <w:color w:val="auto"/>
          <w:kern w:val="2"/>
          <w:sz w:val="24"/>
          <w:szCs w:val="24"/>
          <w:highlight w:val="none"/>
        </w:rPr>
        <w:t>16、放射科分诊导医软件新增及升级改造</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1）患者在报到时能够自动从HIS中获取患者检查项目信息。</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2）能够根据患者的检查项目进行自动分诊（分到检查设备，并推送到workList中）</w:t>
      </w:r>
      <w:r>
        <w:rPr>
          <w:rFonts w:hint="eastAsia" w:ascii="宋体" w:hAnsi="宋体" w:cs="宋体"/>
          <w:color w:val="auto"/>
          <w:kern w:val="2"/>
          <w:sz w:val="24"/>
          <w:szCs w:val="24"/>
          <w:highlight w:val="none"/>
        </w:rPr>
        <w:t>。</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3）与预约系统和PACS对接。将根据患者的预约时间确认患者报到。在预约时间段的患者正常报到；对提前到达的患者，在一个提前的时间段内允许报到（例如提前40分钟）。对未在时间段内报到的患者，需要将其直接插入到某个位置。</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4）可按医生或诊室查询一段时间内就诊的详细情况。</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5）支持针对门急诊、住院、体检三种患者类型进行分诊操作。</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6）支持检查特定项目的患者自动挂起（打针) 自动提醒。</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7）对增强型CT检查，能够实现分层叫号。</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 xml:space="preserve">8）支持检查项目组、检查项目自定义管理； </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 xml:space="preserve">9）软件需支持将检查室按检查功能等进行分组。 </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10）可按患者信息、设备信息、检查信息、检查时间等条件查看分诊的详细信息。</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11）▲提供相关放射自动分诊导医系统软件产品登记测试报告；</w:t>
      </w:r>
    </w:p>
    <w:p>
      <w:pPr>
        <w:pageBreakBefore w:val="0"/>
        <w:widowControl w:val="0"/>
        <w:kinsoku/>
        <w:wordWrap/>
        <w:overflowPunct w:val="0"/>
        <w:topLinePunct w:val="0"/>
        <w:autoSpaceDE/>
        <w:autoSpaceDN/>
        <w:bidi w:val="0"/>
        <w:snapToGrid w:val="0"/>
        <w:spacing w:line="360" w:lineRule="auto"/>
        <w:ind w:firstLine="482" w:firstLineChars="200"/>
        <w:jc w:val="left"/>
        <w:rPr>
          <w:rFonts w:hAnsi="宋体" w:cs="宋体"/>
          <w:b/>
          <w:bCs/>
          <w:color w:val="auto"/>
          <w:kern w:val="2"/>
          <w:sz w:val="24"/>
          <w:szCs w:val="24"/>
          <w:highlight w:val="none"/>
        </w:rPr>
      </w:pPr>
      <w:r>
        <w:rPr>
          <w:rFonts w:hint="eastAsia" w:hAnsi="宋体" w:cs="宋体"/>
          <w:b/>
          <w:bCs/>
          <w:color w:val="auto"/>
          <w:kern w:val="2"/>
          <w:sz w:val="24"/>
          <w:szCs w:val="24"/>
          <w:highlight w:val="none"/>
        </w:rPr>
        <w:t>17、心电图分诊导医软件</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1）预约系统对接，将根据患者的预约时间确认患者报到。</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2）在预约时间段的患者正常报到；对提前到达的患者，在一个提前的时间段内允许报到（例如提前40分钟）。对未在时间段内报到的患者，需要将其直接插入到某个位置；</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3）根据性别设置不同队列；</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4）可按患者信息、设备信息、检查时间等条件查看分诊的详细信息；</w:t>
      </w:r>
    </w:p>
    <w:p>
      <w:pPr>
        <w:pageBreakBefore w:val="0"/>
        <w:widowControl w:val="0"/>
        <w:kinsoku/>
        <w:wordWrap/>
        <w:overflowPunct w:val="0"/>
        <w:topLinePunct w:val="0"/>
        <w:autoSpaceDE/>
        <w:autoSpaceDN/>
        <w:bidi w:val="0"/>
        <w:snapToGrid w:val="0"/>
        <w:spacing w:line="360" w:lineRule="auto"/>
        <w:ind w:firstLine="482" w:firstLineChars="200"/>
        <w:jc w:val="left"/>
        <w:rPr>
          <w:rFonts w:hAnsi="宋体" w:cs="宋体"/>
          <w:b/>
          <w:bCs/>
          <w:color w:val="auto"/>
          <w:kern w:val="2"/>
          <w:sz w:val="24"/>
          <w:szCs w:val="24"/>
          <w:highlight w:val="none"/>
        </w:rPr>
      </w:pPr>
      <w:r>
        <w:rPr>
          <w:rFonts w:hint="eastAsia" w:hAnsi="宋体" w:cs="宋体"/>
          <w:b/>
          <w:bCs/>
          <w:color w:val="auto"/>
          <w:kern w:val="2"/>
          <w:sz w:val="24"/>
          <w:szCs w:val="24"/>
          <w:highlight w:val="none"/>
        </w:rPr>
        <w:t>18、检查自助报到与查询软件及升级改造</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1）者可以通过刷预约信息单（纸质的、电子的）二维码、就诊卡进行到检签到，</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仿宋" w:hAnsi="仿宋" w:eastAsia="仿宋" w:cs="仿宋"/>
          <w:color w:val="auto"/>
          <w:sz w:val="24"/>
          <w:szCs w:val="24"/>
          <w:highlight w:val="none"/>
        </w:rPr>
        <w:t>▲</w:t>
      </w:r>
      <w:r>
        <w:rPr>
          <w:rFonts w:hint="eastAsia" w:ascii="宋体" w:hAnsi="宋体" w:cs="宋体"/>
          <w:color w:val="auto"/>
          <w:sz w:val="24"/>
          <w:szCs w:val="24"/>
          <w:highlight w:val="none"/>
        </w:rPr>
        <w:t>对预约检查患者提前、迟到与爽约，按照分诊系统的分诊与排队规则的算法，将提前患者退后报到、迟到患者有序插入，爽约患者的资源释放给加急和有特殊需求的患者使用，解决患者提前、迟到与爽约问题</w:t>
      </w:r>
      <w:r>
        <w:rPr>
          <w:rFonts w:hint="eastAsia" w:ascii="宋体" w:hAnsi="宋体" w:cs="宋体"/>
          <w:color w:val="auto"/>
          <w:kern w:val="2"/>
          <w:sz w:val="24"/>
          <w:szCs w:val="24"/>
          <w:highlight w:val="none"/>
        </w:rPr>
        <w:t>（提供能够满足该该功能的第三方机构出具的评测报告扫描件并加盖原厂商公章）</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3）对医技检查患者，通过自助报机到内置的管理软件，与现有的分诊系统对接，分诊系统根据不同科室（放射、超声、内镜、功能）、检查项目、检查前准备（憋尿、打针、麻醉）、检查设备、技师等信息，完成自动分诊和排队。</w:t>
      </w:r>
    </w:p>
    <w:p>
      <w:pPr>
        <w:pageBreakBefore w:val="0"/>
        <w:widowControl w:val="0"/>
        <w:kinsoku/>
        <w:wordWrap/>
        <w:overflowPunct w:val="0"/>
        <w:topLinePunct w:val="0"/>
        <w:autoSpaceDE/>
        <w:autoSpaceDN/>
        <w:bidi w:val="0"/>
        <w:snapToGrid w:val="0"/>
        <w:spacing w:line="360" w:lineRule="auto"/>
        <w:ind w:firstLine="482" w:firstLineChars="200"/>
        <w:jc w:val="left"/>
        <w:rPr>
          <w:rFonts w:hAnsi="宋体" w:cs="宋体"/>
          <w:b/>
          <w:bCs/>
          <w:color w:val="auto"/>
          <w:kern w:val="2"/>
          <w:sz w:val="24"/>
          <w:szCs w:val="24"/>
          <w:highlight w:val="none"/>
        </w:rPr>
      </w:pPr>
      <w:r>
        <w:rPr>
          <w:rFonts w:hint="eastAsia" w:hAnsi="宋体" w:cs="宋体"/>
          <w:b/>
          <w:bCs/>
          <w:color w:val="auto"/>
          <w:kern w:val="2"/>
          <w:sz w:val="24"/>
          <w:szCs w:val="24"/>
          <w:highlight w:val="none"/>
        </w:rPr>
        <w:t>19、语音合成软件</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1）系统嵌入TTS语音搜索引擎技术，使系统能够同步、清晰、准确和自然的发音；</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2）支持中文、英文和数字的语音合成，并将页面信息、文本信息直接合成为语音信息，支持定点语音播报。</w:t>
      </w:r>
    </w:p>
    <w:p>
      <w:pPr>
        <w:pageBreakBefore w:val="0"/>
        <w:widowControl w:val="0"/>
        <w:kinsoku/>
        <w:wordWrap/>
        <w:topLinePunct w:val="0"/>
        <w:autoSpaceDE/>
        <w:autoSpaceDN/>
        <w:bidi w:val="0"/>
        <w:snapToGrid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3）合成语音的语速、语调、男声和女声可调节；</w:t>
      </w:r>
    </w:p>
    <w:p>
      <w:pPr>
        <w:pageBreakBefore w:val="0"/>
        <w:widowControl w:val="0"/>
        <w:kinsoku/>
        <w:wordWrap/>
        <w:topLinePunct w:val="0"/>
        <w:autoSpaceDE/>
        <w:autoSpaceDN/>
        <w:bidi w:val="0"/>
        <w:snapToGrid w:val="0"/>
        <w:spacing w:beforeLines="50" w:afterLines="50" w:line="360" w:lineRule="auto"/>
        <w:ind w:firstLine="480"/>
        <w:jc w:val="both"/>
        <w:rPr>
          <w:rFonts w:hAnsi="宋体" w:cs="宋体"/>
          <w:b/>
          <w:bCs/>
          <w:color w:val="auto"/>
          <w:kern w:val="2"/>
          <w:sz w:val="24"/>
          <w:szCs w:val="24"/>
          <w:highlight w:val="none"/>
        </w:rPr>
      </w:pPr>
      <w:r>
        <w:rPr>
          <w:rFonts w:hint="eastAsia" w:hAnsi="宋体" w:cs="宋体"/>
          <w:b/>
          <w:bCs/>
          <w:color w:val="auto"/>
          <w:kern w:val="2"/>
          <w:sz w:val="24"/>
          <w:szCs w:val="24"/>
          <w:highlight w:val="none"/>
        </w:rPr>
        <w:t>20、门诊虚拟呼叫软件</w:t>
      </w:r>
    </w:p>
    <w:p>
      <w:pPr>
        <w:pageBreakBefore w:val="0"/>
        <w:widowControl w:val="0"/>
        <w:kinsoku/>
        <w:wordWrap/>
        <w:topLinePunct w:val="0"/>
        <w:autoSpaceDE/>
        <w:autoSpaceDN/>
        <w:bidi w:val="0"/>
        <w:snapToGrid w:val="0"/>
        <w:spacing w:line="360" w:lineRule="auto"/>
        <w:ind w:right="-890" w:rightChars="-424" w:firstLine="480" w:firstLineChars="200"/>
        <w:jc w:val="left"/>
        <w:rPr>
          <w:rFonts w:ascii="宋体" w:hAnsi="宋体"/>
          <w:color w:val="auto"/>
          <w:kern w:val="2"/>
          <w:sz w:val="24"/>
          <w:szCs w:val="24"/>
          <w:highlight w:val="none"/>
        </w:rPr>
      </w:pPr>
      <w:r>
        <w:rPr>
          <w:rFonts w:hint="eastAsia" w:ascii="宋体" w:hAnsi="宋体"/>
          <w:color w:val="auto"/>
          <w:kern w:val="2"/>
          <w:sz w:val="24"/>
          <w:szCs w:val="24"/>
          <w:highlight w:val="none"/>
        </w:rPr>
        <w:t>1）将叫号终端与医生工作站进行集成；</w:t>
      </w:r>
    </w:p>
    <w:p>
      <w:pPr>
        <w:pageBreakBefore w:val="0"/>
        <w:widowControl w:val="0"/>
        <w:kinsoku/>
        <w:wordWrap/>
        <w:topLinePunct w:val="0"/>
        <w:autoSpaceDE/>
        <w:autoSpaceDN/>
        <w:bidi w:val="0"/>
        <w:snapToGrid w:val="0"/>
        <w:spacing w:line="360" w:lineRule="auto"/>
        <w:ind w:right="-890" w:rightChars="-424" w:firstLine="480" w:firstLineChars="200"/>
        <w:jc w:val="left"/>
        <w:rPr>
          <w:rFonts w:ascii="宋体" w:hAnsi="宋体"/>
          <w:color w:val="auto"/>
          <w:kern w:val="2"/>
          <w:sz w:val="24"/>
          <w:szCs w:val="24"/>
          <w:highlight w:val="none"/>
        </w:rPr>
      </w:pPr>
      <w:r>
        <w:rPr>
          <w:rFonts w:hint="eastAsia" w:ascii="宋体" w:hAnsi="宋体"/>
          <w:color w:val="auto"/>
          <w:kern w:val="2"/>
          <w:sz w:val="24"/>
          <w:szCs w:val="24"/>
          <w:highlight w:val="none"/>
        </w:rPr>
        <w:t>2）医生在登录医生工作站后，能自动显示队列详细信息；</w:t>
      </w:r>
    </w:p>
    <w:p>
      <w:pPr>
        <w:pageBreakBefore w:val="0"/>
        <w:widowControl w:val="0"/>
        <w:kinsoku/>
        <w:wordWrap/>
        <w:topLinePunct w:val="0"/>
        <w:autoSpaceDE/>
        <w:autoSpaceDN/>
        <w:bidi w:val="0"/>
        <w:snapToGrid w:val="0"/>
        <w:spacing w:line="360" w:lineRule="auto"/>
        <w:ind w:right="-890" w:rightChars="-424" w:firstLine="480" w:firstLineChars="200"/>
        <w:jc w:val="left"/>
        <w:rPr>
          <w:rFonts w:ascii="宋体" w:hAnsi="宋体"/>
          <w:color w:val="auto"/>
          <w:kern w:val="2"/>
          <w:sz w:val="24"/>
          <w:szCs w:val="24"/>
          <w:highlight w:val="none"/>
        </w:rPr>
      </w:pPr>
      <w:r>
        <w:rPr>
          <w:rFonts w:hint="eastAsia" w:ascii="宋体" w:hAnsi="宋体"/>
          <w:color w:val="auto"/>
          <w:kern w:val="2"/>
          <w:sz w:val="24"/>
          <w:szCs w:val="24"/>
          <w:highlight w:val="none"/>
        </w:rPr>
        <w:t>3）可以查询到已叫患者和未叫患者信息；</w:t>
      </w:r>
    </w:p>
    <w:p>
      <w:pPr>
        <w:pageBreakBefore w:val="0"/>
        <w:widowControl w:val="0"/>
        <w:kinsoku/>
        <w:wordWrap/>
        <w:topLinePunct w:val="0"/>
        <w:autoSpaceDE/>
        <w:autoSpaceDN/>
        <w:bidi w:val="0"/>
        <w:snapToGrid w:val="0"/>
        <w:spacing w:line="360" w:lineRule="auto"/>
        <w:ind w:right="-890" w:rightChars="-424" w:firstLine="480" w:firstLineChars="200"/>
        <w:jc w:val="left"/>
        <w:rPr>
          <w:rFonts w:ascii="宋体" w:hAnsi="宋体"/>
          <w:color w:val="auto"/>
          <w:kern w:val="2"/>
          <w:sz w:val="24"/>
          <w:szCs w:val="24"/>
          <w:highlight w:val="none"/>
        </w:rPr>
      </w:pPr>
      <w:r>
        <w:rPr>
          <w:rFonts w:hint="eastAsia" w:ascii="宋体" w:hAnsi="宋体"/>
          <w:color w:val="auto"/>
          <w:kern w:val="2"/>
          <w:sz w:val="24"/>
          <w:szCs w:val="24"/>
          <w:highlight w:val="none"/>
        </w:rPr>
        <w:t>3）可以对患者进行转科及转诊操作；</w:t>
      </w:r>
    </w:p>
    <w:p>
      <w:pPr>
        <w:pageBreakBefore w:val="0"/>
        <w:widowControl w:val="0"/>
        <w:kinsoku/>
        <w:wordWrap/>
        <w:topLinePunct w:val="0"/>
        <w:autoSpaceDE/>
        <w:autoSpaceDN/>
        <w:bidi w:val="0"/>
        <w:snapToGrid w:val="0"/>
        <w:spacing w:line="360" w:lineRule="auto"/>
        <w:ind w:right="-890" w:rightChars="-424" w:firstLine="480" w:firstLineChars="200"/>
        <w:jc w:val="left"/>
        <w:rPr>
          <w:rFonts w:ascii="宋体" w:hAnsi="宋体"/>
          <w:color w:val="auto"/>
          <w:kern w:val="2"/>
          <w:sz w:val="24"/>
          <w:szCs w:val="24"/>
          <w:highlight w:val="none"/>
        </w:rPr>
      </w:pPr>
      <w:r>
        <w:rPr>
          <w:rFonts w:hint="eastAsia" w:ascii="宋体" w:hAnsi="宋体"/>
          <w:color w:val="auto"/>
          <w:kern w:val="2"/>
          <w:sz w:val="24"/>
          <w:szCs w:val="24"/>
          <w:highlight w:val="none"/>
        </w:rPr>
        <w:t>4）呼叫信息能够根据需要设定是否在候诊区大屏和诊室屏（窗口屏）同步显示；</w:t>
      </w:r>
    </w:p>
    <w:p>
      <w:pPr>
        <w:pageBreakBefore w:val="0"/>
        <w:widowControl w:val="0"/>
        <w:kinsoku/>
        <w:wordWrap/>
        <w:topLinePunct w:val="0"/>
        <w:autoSpaceDE/>
        <w:autoSpaceDN/>
        <w:bidi w:val="0"/>
        <w:snapToGrid w:val="0"/>
        <w:spacing w:line="360" w:lineRule="auto"/>
        <w:ind w:right="-890" w:rightChars="-424" w:firstLine="480" w:firstLineChars="200"/>
        <w:jc w:val="left"/>
        <w:rPr>
          <w:rFonts w:ascii="宋体" w:hAnsi="宋体"/>
          <w:color w:val="auto"/>
          <w:kern w:val="2"/>
          <w:sz w:val="24"/>
          <w:szCs w:val="24"/>
          <w:highlight w:val="none"/>
        </w:rPr>
      </w:pPr>
      <w:r>
        <w:rPr>
          <w:rFonts w:hint="eastAsia" w:ascii="宋体" w:hAnsi="宋体"/>
          <w:color w:val="auto"/>
          <w:kern w:val="2"/>
          <w:sz w:val="24"/>
          <w:szCs w:val="24"/>
          <w:highlight w:val="none"/>
        </w:rPr>
        <w:t>5）可以修改病人状态信息；</w:t>
      </w:r>
    </w:p>
    <w:p>
      <w:pPr>
        <w:pageBreakBefore w:val="0"/>
        <w:widowControl w:val="0"/>
        <w:kinsoku/>
        <w:wordWrap/>
        <w:topLinePunct w:val="0"/>
        <w:autoSpaceDE/>
        <w:autoSpaceDN/>
        <w:bidi w:val="0"/>
        <w:snapToGrid w:val="0"/>
        <w:spacing w:line="360" w:lineRule="auto"/>
        <w:ind w:right="-890" w:rightChars="-424" w:firstLine="480" w:firstLineChars="200"/>
        <w:jc w:val="left"/>
        <w:rPr>
          <w:rFonts w:ascii="宋体" w:hAnsi="宋体"/>
          <w:color w:val="auto"/>
          <w:kern w:val="2"/>
          <w:sz w:val="24"/>
          <w:szCs w:val="24"/>
          <w:highlight w:val="none"/>
        </w:rPr>
      </w:pPr>
      <w:r>
        <w:rPr>
          <w:rFonts w:hint="eastAsia" w:ascii="宋体" w:hAnsi="宋体"/>
          <w:color w:val="auto"/>
          <w:kern w:val="2"/>
          <w:sz w:val="24"/>
          <w:szCs w:val="24"/>
          <w:highlight w:val="none"/>
        </w:rPr>
        <w:t>6）支持顺呼、重呼、跳呼、选呼等呼叫模式；</w:t>
      </w:r>
    </w:p>
    <w:p>
      <w:pPr>
        <w:pageBreakBefore w:val="0"/>
        <w:widowControl w:val="0"/>
        <w:kinsoku/>
        <w:wordWrap/>
        <w:topLinePunct w:val="0"/>
        <w:autoSpaceDE/>
        <w:autoSpaceDN/>
        <w:bidi w:val="0"/>
        <w:snapToGrid w:val="0"/>
        <w:spacing w:line="360" w:lineRule="auto"/>
        <w:ind w:right="-890" w:rightChars="-424" w:firstLine="480" w:firstLineChars="200"/>
        <w:jc w:val="left"/>
        <w:rPr>
          <w:rFonts w:ascii="宋体" w:hAnsi="宋体"/>
          <w:color w:val="auto"/>
          <w:kern w:val="2"/>
          <w:sz w:val="24"/>
          <w:szCs w:val="24"/>
          <w:highlight w:val="none"/>
        </w:rPr>
      </w:pPr>
      <w:r>
        <w:rPr>
          <w:rFonts w:hint="eastAsia" w:ascii="宋体" w:hAnsi="宋体"/>
          <w:color w:val="auto"/>
          <w:kern w:val="2"/>
          <w:sz w:val="24"/>
          <w:szCs w:val="24"/>
          <w:highlight w:val="none"/>
        </w:rPr>
        <w:t>7）所有因医生操作导致的分诊信息变化，可以根据需要设定是否立即在大屏上显示。</w:t>
      </w:r>
    </w:p>
    <w:p>
      <w:pPr>
        <w:pageBreakBefore w:val="0"/>
        <w:widowControl w:val="0"/>
        <w:kinsoku/>
        <w:wordWrap/>
        <w:topLinePunct w:val="0"/>
        <w:autoSpaceDE/>
        <w:autoSpaceDN/>
        <w:bidi w:val="0"/>
        <w:snapToGrid w:val="0"/>
        <w:spacing w:beforeLines="50" w:afterLines="50" w:line="360" w:lineRule="auto"/>
        <w:ind w:firstLine="480"/>
        <w:jc w:val="both"/>
        <w:rPr>
          <w:rFonts w:hAnsi="宋体" w:cs="宋体"/>
          <w:b/>
          <w:bCs/>
          <w:color w:val="auto"/>
          <w:kern w:val="2"/>
          <w:sz w:val="24"/>
          <w:szCs w:val="24"/>
          <w:highlight w:val="none"/>
        </w:rPr>
      </w:pPr>
      <w:r>
        <w:rPr>
          <w:rFonts w:hint="eastAsia" w:hAnsi="宋体" w:cs="宋体"/>
          <w:b/>
          <w:bCs/>
          <w:color w:val="auto"/>
          <w:kern w:val="2"/>
          <w:sz w:val="24"/>
          <w:szCs w:val="24"/>
          <w:highlight w:val="none"/>
        </w:rPr>
        <w:t>21、检查虚拟呼叫软件</w:t>
      </w:r>
    </w:p>
    <w:p>
      <w:pPr>
        <w:pageBreakBefore w:val="0"/>
        <w:widowControl w:val="0"/>
        <w:kinsoku/>
        <w:wordWrap/>
        <w:topLinePunct w:val="0"/>
        <w:autoSpaceDE/>
        <w:autoSpaceDN/>
        <w:bidi w:val="0"/>
        <w:snapToGrid w:val="0"/>
        <w:spacing w:line="360" w:lineRule="auto"/>
        <w:ind w:right="-890" w:rightChars="-424" w:firstLine="480" w:firstLineChars="200"/>
        <w:jc w:val="left"/>
        <w:rPr>
          <w:rFonts w:ascii="宋体" w:hAnsi="宋体"/>
          <w:color w:val="auto"/>
          <w:kern w:val="2"/>
          <w:sz w:val="24"/>
          <w:szCs w:val="24"/>
          <w:highlight w:val="none"/>
        </w:rPr>
      </w:pPr>
      <w:r>
        <w:rPr>
          <w:rFonts w:hint="eastAsia" w:ascii="宋体" w:hAnsi="宋体"/>
          <w:color w:val="auto"/>
          <w:kern w:val="2"/>
          <w:sz w:val="24"/>
          <w:szCs w:val="24"/>
          <w:highlight w:val="none"/>
        </w:rPr>
        <w:t>1）将叫号终端与医生工作站进行集成；</w:t>
      </w:r>
    </w:p>
    <w:p>
      <w:pPr>
        <w:pageBreakBefore w:val="0"/>
        <w:widowControl w:val="0"/>
        <w:kinsoku/>
        <w:wordWrap/>
        <w:topLinePunct w:val="0"/>
        <w:autoSpaceDE/>
        <w:autoSpaceDN/>
        <w:bidi w:val="0"/>
        <w:snapToGrid w:val="0"/>
        <w:spacing w:line="360" w:lineRule="auto"/>
        <w:ind w:right="-890" w:rightChars="-424" w:firstLine="480" w:firstLineChars="200"/>
        <w:jc w:val="left"/>
        <w:rPr>
          <w:rFonts w:ascii="宋体" w:hAnsi="宋体"/>
          <w:color w:val="auto"/>
          <w:kern w:val="2"/>
          <w:sz w:val="24"/>
          <w:szCs w:val="24"/>
          <w:highlight w:val="none"/>
        </w:rPr>
      </w:pPr>
      <w:r>
        <w:rPr>
          <w:rFonts w:hint="eastAsia" w:ascii="宋体" w:hAnsi="宋体"/>
          <w:color w:val="auto"/>
          <w:kern w:val="2"/>
          <w:sz w:val="24"/>
          <w:szCs w:val="24"/>
          <w:highlight w:val="none"/>
        </w:rPr>
        <w:t>2）医生在登录医生工作站后，能自动显示队列详细信息；</w:t>
      </w:r>
    </w:p>
    <w:p>
      <w:pPr>
        <w:pageBreakBefore w:val="0"/>
        <w:widowControl w:val="0"/>
        <w:kinsoku/>
        <w:wordWrap/>
        <w:topLinePunct w:val="0"/>
        <w:autoSpaceDE/>
        <w:autoSpaceDN/>
        <w:bidi w:val="0"/>
        <w:snapToGrid w:val="0"/>
        <w:spacing w:line="360" w:lineRule="auto"/>
        <w:ind w:right="-890" w:rightChars="-424" w:firstLine="480" w:firstLineChars="200"/>
        <w:jc w:val="left"/>
        <w:rPr>
          <w:rFonts w:ascii="宋体" w:hAnsi="宋体"/>
          <w:color w:val="auto"/>
          <w:kern w:val="2"/>
          <w:sz w:val="24"/>
          <w:szCs w:val="24"/>
          <w:highlight w:val="none"/>
        </w:rPr>
      </w:pPr>
      <w:r>
        <w:rPr>
          <w:rFonts w:hint="eastAsia" w:ascii="宋体" w:hAnsi="宋体"/>
          <w:color w:val="auto"/>
          <w:kern w:val="2"/>
          <w:sz w:val="24"/>
          <w:szCs w:val="24"/>
          <w:highlight w:val="none"/>
        </w:rPr>
        <w:t>3）可以查询到已叫患者和未叫患者信息；</w:t>
      </w:r>
    </w:p>
    <w:p>
      <w:pPr>
        <w:pageBreakBefore w:val="0"/>
        <w:widowControl w:val="0"/>
        <w:kinsoku/>
        <w:wordWrap/>
        <w:topLinePunct w:val="0"/>
        <w:autoSpaceDE/>
        <w:autoSpaceDN/>
        <w:bidi w:val="0"/>
        <w:snapToGrid w:val="0"/>
        <w:spacing w:line="360" w:lineRule="auto"/>
        <w:ind w:right="-890" w:rightChars="-424" w:firstLine="480" w:firstLineChars="200"/>
        <w:jc w:val="left"/>
        <w:rPr>
          <w:rFonts w:ascii="宋体" w:hAnsi="宋体"/>
          <w:color w:val="auto"/>
          <w:kern w:val="2"/>
          <w:sz w:val="24"/>
          <w:szCs w:val="24"/>
          <w:highlight w:val="none"/>
        </w:rPr>
      </w:pPr>
      <w:r>
        <w:rPr>
          <w:rFonts w:hint="eastAsia" w:ascii="宋体" w:hAnsi="宋体"/>
          <w:color w:val="auto"/>
          <w:kern w:val="2"/>
          <w:sz w:val="24"/>
          <w:szCs w:val="24"/>
          <w:highlight w:val="none"/>
        </w:rPr>
        <w:t>3）可以对患者进行转科及转诊操作；</w:t>
      </w:r>
    </w:p>
    <w:p>
      <w:pPr>
        <w:pageBreakBefore w:val="0"/>
        <w:widowControl w:val="0"/>
        <w:kinsoku/>
        <w:wordWrap/>
        <w:topLinePunct w:val="0"/>
        <w:autoSpaceDE/>
        <w:autoSpaceDN/>
        <w:bidi w:val="0"/>
        <w:snapToGrid w:val="0"/>
        <w:spacing w:line="360" w:lineRule="auto"/>
        <w:ind w:right="-890" w:rightChars="-424" w:firstLine="480" w:firstLineChars="200"/>
        <w:jc w:val="left"/>
        <w:rPr>
          <w:rFonts w:ascii="宋体" w:hAnsi="宋体"/>
          <w:color w:val="auto"/>
          <w:kern w:val="2"/>
          <w:sz w:val="24"/>
          <w:szCs w:val="24"/>
          <w:highlight w:val="none"/>
        </w:rPr>
      </w:pPr>
      <w:r>
        <w:rPr>
          <w:rFonts w:hint="eastAsia" w:ascii="宋体" w:hAnsi="宋体"/>
          <w:color w:val="auto"/>
          <w:kern w:val="2"/>
          <w:sz w:val="24"/>
          <w:szCs w:val="24"/>
          <w:highlight w:val="none"/>
        </w:rPr>
        <w:t>4）呼叫信息能够根据需要设定是否在候诊区大屏和诊室屏（窗口屏）同步显示；</w:t>
      </w:r>
    </w:p>
    <w:p>
      <w:pPr>
        <w:pageBreakBefore w:val="0"/>
        <w:widowControl w:val="0"/>
        <w:kinsoku/>
        <w:wordWrap/>
        <w:topLinePunct w:val="0"/>
        <w:autoSpaceDE/>
        <w:autoSpaceDN/>
        <w:bidi w:val="0"/>
        <w:snapToGrid w:val="0"/>
        <w:spacing w:line="360" w:lineRule="auto"/>
        <w:ind w:right="-890" w:rightChars="-424" w:firstLine="480" w:firstLineChars="200"/>
        <w:jc w:val="left"/>
        <w:rPr>
          <w:rFonts w:ascii="宋体" w:hAnsi="宋体"/>
          <w:color w:val="auto"/>
          <w:kern w:val="2"/>
          <w:sz w:val="24"/>
          <w:szCs w:val="24"/>
          <w:highlight w:val="none"/>
        </w:rPr>
      </w:pPr>
      <w:r>
        <w:rPr>
          <w:rFonts w:hint="eastAsia" w:ascii="宋体" w:hAnsi="宋体"/>
          <w:color w:val="auto"/>
          <w:kern w:val="2"/>
          <w:sz w:val="24"/>
          <w:szCs w:val="24"/>
          <w:highlight w:val="none"/>
        </w:rPr>
        <w:t>5）可以修改病人状态信息；</w:t>
      </w:r>
    </w:p>
    <w:p>
      <w:pPr>
        <w:pageBreakBefore w:val="0"/>
        <w:widowControl w:val="0"/>
        <w:kinsoku/>
        <w:wordWrap/>
        <w:topLinePunct w:val="0"/>
        <w:autoSpaceDE/>
        <w:autoSpaceDN/>
        <w:bidi w:val="0"/>
        <w:snapToGrid w:val="0"/>
        <w:spacing w:line="360" w:lineRule="auto"/>
        <w:ind w:right="-890" w:rightChars="-424" w:firstLine="480" w:firstLineChars="200"/>
        <w:jc w:val="left"/>
        <w:rPr>
          <w:rFonts w:ascii="宋体" w:hAnsi="宋体"/>
          <w:color w:val="auto"/>
          <w:kern w:val="2"/>
          <w:sz w:val="24"/>
          <w:szCs w:val="24"/>
          <w:highlight w:val="none"/>
        </w:rPr>
      </w:pPr>
      <w:r>
        <w:rPr>
          <w:rFonts w:hint="eastAsia" w:ascii="宋体" w:hAnsi="宋体"/>
          <w:color w:val="auto"/>
          <w:kern w:val="2"/>
          <w:sz w:val="24"/>
          <w:szCs w:val="24"/>
          <w:highlight w:val="none"/>
        </w:rPr>
        <w:t>6）支持顺呼、重呼、跳呼、选呼等呼叫模式；</w:t>
      </w:r>
    </w:p>
    <w:p>
      <w:pPr>
        <w:pageBreakBefore w:val="0"/>
        <w:widowControl w:val="0"/>
        <w:kinsoku/>
        <w:wordWrap/>
        <w:topLinePunct w:val="0"/>
        <w:autoSpaceDE/>
        <w:autoSpaceDN/>
        <w:bidi w:val="0"/>
        <w:snapToGrid w:val="0"/>
        <w:spacing w:line="360" w:lineRule="auto"/>
        <w:ind w:right="-890" w:rightChars="-424" w:firstLine="480" w:firstLineChars="200"/>
        <w:jc w:val="left"/>
        <w:rPr>
          <w:rFonts w:ascii="宋体" w:hAnsi="宋体"/>
          <w:color w:val="auto"/>
          <w:kern w:val="2"/>
          <w:sz w:val="24"/>
          <w:szCs w:val="24"/>
          <w:highlight w:val="none"/>
        </w:rPr>
      </w:pPr>
      <w:r>
        <w:rPr>
          <w:rFonts w:hint="eastAsia" w:ascii="宋体" w:hAnsi="宋体"/>
          <w:color w:val="auto"/>
          <w:kern w:val="2"/>
          <w:sz w:val="24"/>
          <w:szCs w:val="24"/>
          <w:highlight w:val="none"/>
        </w:rPr>
        <w:t>7）对医技科室，在医生在呼叫病人时，系统能自动显示该病人检查项目信息；</w:t>
      </w:r>
    </w:p>
    <w:p>
      <w:pPr>
        <w:pageBreakBefore w:val="0"/>
        <w:widowControl w:val="0"/>
        <w:tabs>
          <w:tab w:val="left" w:pos="900"/>
        </w:tabs>
        <w:kinsoku/>
        <w:wordWrap/>
        <w:topLinePunct w:val="0"/>
        <w:autoSpaceDE/>
        <w:autoSpaceDN/>
        <w:bidi w:val="0"/>
        <w:snapToGrid w:val="0"/>
        <w:spacing w:line="360" w:lineRule="auto"/>
        <w:ind w:firstLine="482" w:firstLineChars="200"/>
        <w:jc w:val="left"/>
        <w:rPr>
          <w:rFonts w:ascii="宋体" w:hAnsi="宋体"/>
          <w:b/>
          <w:color w:val="auto"/>
          <w:kern w:val="2"/>
          <w:sz w:val="24"/>
          <w:szCs w:val="24"/>
          <w:highlight w:val="none"/>
        </w:rPr>
      </w:pPr>
      <w:r>
        <w:rPr>
          <w:rFonts w:hint="eastAsia" w:ascii="宋体" w:hAnsi="宋体"/>
          <w:b/>
          <w:color w:val="auto"/>
          <w:kern w:val="2"/>
          <w:sz w:val="24"/>
          <w:szCs w:val="24"/>
          <w:highlight w:val="none"/>
        </w:rPr>
        <w:t xml:space="preserve">22、候诊综合信息实时显示软件 </w:t>
      </w:r>
    </w:p>
    <w:p>
      <w:pPr>
        <w:pageBreakBefore w:val="0"/>
        <w:widowControl w:val="0"/>
        <w:kinsoku/>
        <w:wordWrap/>
        <w:topLinePunct w:val="0"/>
        <w:autoSpaceDE/>
        <w:autoSpaceDN/>
        <w:bidi w:val="0"/>
        <w:snapToGrid w:val="0"/>
        <w:spacing w:line="360" w:lineRule="auto"/>
        <w:ind w:firstLine="480" w:firstLineChars="200"/>
        <w:jc w:val="left"/>
        <w:rPr>
          <w:rFonts w:ascii="宋体" w:hAnsi="宋体"/>
          <w:color w:val="auto"/>
          <w:kern w:val="2"/>
          <w:sz w:val="24"/>
          <w:szCs w:val="24"/>
          <w:highlight w:val="none"/>
        </w:rPr>
      </w:pPr>
      <w:r>
        <w:rPr>
          <w:rFonts w:hint="eastAsia" w:ascii="宋体" w:hAnsi="宋体"/>
          <w:color w:val="auto"/>
          <w:kern w:val="2"/>
          <w:sz w:val="24"/>
          <w:szCs w:val="24"/>
          <w:highlight w:val="none"/>
        </w:rPr>
        <w:t>1）显示模块可以将信息发布于分导医融为一体，可以通过一屏窗口显示分诊和宣教信息，也可以在宣教信息上叠加分诊叫号信息。</w:t>
      </w:r>
    </w:p>
    <w:p>
      <w:pPr>
        <w:pageBreakBefore w:val="0"/>
        <w:widowControl w:val="0"/>
        <w:kinsoku/>
        <w:wordWrap/>
        <w:topLinePunct w:val="0"/>
        <w:autoSpaceDE/>
        <w:autoSpaceDN/>
        <w:bidi w:val="0"/>
        <w:snapToGrid w:val="0"/>
        <w:spacing w:line="360" w:lineRule="auto"/>
        <w:ind w:firstLine="480" w:firstLineChars="200"/>
        <w:jc w:val="left"/>
        <w:rPr>
          <w:rFonts w:ascii="宋体" w:hAnsi="宋体"/>
          <w:color w:val="auto"/>
          <w:kern w:val="2"/>
          <w:sz w:val="24"/>
          <w:szCs w:val="24"/>
          <w:highlight w:val="none"/>
        </w:rPr>
      </w:pPr>
      <w:r>
        <w:rPr>
          <w:rFonts w:hint="eastAsia" w:ascii="宋体" w:hAnsi="宋体"/>
          <w:color w:val="auto"/>
          <w:kern w:val="2"/>
          <w:sz w:val="24"/>
          <w:szCs w:val="24"/>
          <w:highlight w:val="none"/>
        </w:rPr>
        <w:t>2）所有因分诊护士操作导致的分诊信息变化，可以立即在大屏上显示。</w:t>
      </w:r>
    </w:p>
    <w:p>
      <w:pPr>
        <w:pageBreakBefore w:val="0"/>
        <w:widowControl w:val="0"/>
        <w:kinsoku/>
        <w:wordWrap/>
        <w:topLinePunct w:val="0"/>
        <w:autoSpaceDE/>
        <w:autoSpaceDN/>
        <w:bidi w:val="0"/>
        <w:snapToGrid w:val="0"/>
        <w:spacing w:line="360" w:lineRule="auto"/>
        <w:ind w:firstLine="480" w:firstLineChars="200"/>
        <w:jc w:val="left"/>
        <w:rPr>
          <w:rFonts w:ascii="宋体" w:hAnsi="宋体"/>
          <w:color w:val="auto"/>
          <w:kern w:val="2"/>
          <w:sz w:val="24"/>
          <w:szCs w:val="24"/>
          <w:highlight w:val="none"/>
        </w:rPr>
      </w:pPr>
      <w:r>
        <w:rPr>
          <w:rFonts w:hint="eastAsia" w:ascii="宋体" w:hAnsi="宋体"/>
          <w:color w:val="auto"/>
          <w:kern w:val="2"/>
          <w:sz w:val="24"/>
          <w:szCs w:val="24"/>
          <w:highlight w:val="none"/>
        </w:rPr>
        <w:t>3）在显示分诊可以根据需求灵活定制显示画面效果，字幕形式，颜色风格。</w:t>
      </w:r>
    </w:p>
    <w:p>
      <w:pPr>
        <w:pageBreakBefore w:val="0"/>
        <w:widowControl w:val="0"/>
        <w:kinsoku/>
        <w:wordWrap/>
        <w:topLinePunct w:val="0"/>
        <w:autoSpaceDE/>
        <w:autoSpaceDN/>
        <w:bidi w:val="0"/>
        <w:snapToGrid w:val="0"/>
        <w:spacing w:line="360" w:lineRule="auto"/>
        <w:ind w:firstLine="480" w:firstLineChars="200"/>
        <w:jc w:val="left"/>
        <w:rPr>
          <w:rFonts w:ascii="宋体" w:hAnsi="宋体"/>
          <w:color w:val="auto"/>
          <w:kern w:val="2"/>
          <w:sz w:val="24"/>
          <w:szCs w:val="24"/>
          <w:highlight w:val="none"/>
        </w:rPr>
      </w:pPr>
      <w:r>
        <w:rPr>
          <w:rFonts w:hint="eastAsia" w:ascii="宋体" w:hAnsi="宋体"/>
          <w:color w:val="auto"/>
          <w:kern w:val="2"/>
          <w:sz w:val="24"/>
          <w:szCs w:val="24"/>
          <w:highlight w:val="none"/>
        </w:rPr>
        <w:t>4）显示所有患者的队列信息，包括每个诊室的诊室名称、候诊人数，当前就诊患者及等待患者信息等。</w:t>
      </w:r>
    </w:p>
    <w:p>
      <w:pPr>
        <w:pageBreakBefore w:val="0"/>
        <w:widowControl w:val="0"/>
        <w:kinsoku/>
        <w:wordWrap/>
        <w:topLinePunct w:val="0"/>
        <w:autoSpaceDE/>
        <w:autoSpaceDN/>
        <w:bidi w:val="0"/>
        <w:snapToGrid w:val="0"/>
        <w:spacing w:line="360" w:lineRule="auto"/>
        <w:ind w:firstLine="480" w:firstLineChars="200"/>
        <w:jc w:val="left"/>
        <w:rPr>
          <w:rFonts w:ascii="宋体" w:hAnsi="宋体"/>
          <w:color w:val="auto"/>
          <w:kern w:val="2"/>
          <w:sz w:val="24"/>
          <w:szCs w:val="24"/>
          <w:highlight w:val="none"/>
        </w:rPr>
      </w:pPr>
      <w:r>
        <w:rPr>
          <w:rFonts w:hint="eastAsia" w:ascii="宋体" w:hAnsi="宋体"/>
          <w:color w:val="auto"/>
          <w:kern w:val="2"/>
          <w:sz w:val="24"/>
          <w:szCs w:val="24"/>
          <w:highlight w:val="none"/>
        </w:rPr>
        <w:t>5）所有的屏幕显示内容可根据医院实际需要进行修改，所有显示设备均通过统一平台管理。</w:t>
      </w:r>
    </w:p>
    <w:p>
      <w:pPr>
        <w:pageBreakBefore w:val="0"/>
        <w:widowControl w:val="0"/>
        <w:kinsoku/>
        <w:wordWrap/>
        <w:topLinePunct w:val="0"/>
        <w:autoSpaceDE/>
        <w:autoSpaceDN/>
        <w:bidi w:val="0"/>
        <w:snapToGrid w:val="0"/>
        <w:spacing w:line="360" w:lineRule="auto"/>
        <w:ind w:firstLine="480" w:firstLineChars="200"/>
        <w:jc w:val="left"/>
        <w:rPr>
          <w:rFonts w:ascii="宋体" w:hAnsi="宋体"/>
          <w:color w:val="auto"/>
          <w:kern w:val="2"/>
          <w:sz w:val="24"/>
          <w:szCs w:val="24"/>
          <w:highlight w:val="none"/>
        </w:rPr>
      </w:pPr>
      <w:r>
        <w:rPr>
          <w:rFonts w:hint="eastAsia" w:ascii="宋体" w:hAnsi="宋体"/>
          <w:color w:val="auto"/>
          <w:kern w:val="2"/>
          <w:sz w:val="24"/>
          <w:szCs w:val="24"/>
          <w:highlight w:val="none"/>
          <w:lang w:val="en-US" w:eastAsia="zh-CN"/>
        </w:rPr>
        <w:t>6</w:t>
      </w:r>
      <w:r>
        <w:rPr>
          <w:rFonts w:hint="eastAsia" w:ascii="宋体" w:hAnsi="宋体"/>
          <w:color w:val="auto"/>
          <w:kern w:val="2"/>
          <w:sz w:val="24"/>
          <w:szCs w:val="24"/>
          <w:highlight w:val="none"/>
        </w:rPr>
        <w:t>）▲提供相关隐私信息管理体系认证证书</w:t>
      </w:r>
    </w:p>
    <w:p>
      <w:pPr>
        <w:pageBreakBefore w:val="0"/>
        <w:widowControl w:val="0"/>
        <w:tabs>
          <w:tab w:val="left" w:pos="900"/>
        </w:tabs>
        <w:kinsoku/>
        <w:wordWrap/>
        <w:topLinePunct w:val="0"/>
        <w:autoSpaceDE/>
        <w:autoSpaceDN/>
        <w:bidi w:val="0"/>
        <w:snapToGrid w:val="0"/>
        <w:spacing w:line="360" w:lineRule="auto"/>
        <w:ind w:firstLine="482" w:firstLineChars="200"/>
        <w:jc w:val="left"/>
        <w:rPr>
          <w:rFonts w:ascii="宋体" w:hAnsi="宋体"/>
          <w:b/>
          <w:color w:val="auto"/>
          <w:kern w:val="2"/>
          <w:sz w:val="24"/>
          <w:szCs w:val="24"/>
          <w:highlight w:val="none"/>
        </w:rPr>
      </w:pPr>
      <w:r>
        <w:rPr>
          <w:rFonts w:hint="eastAsia" w:ascii="宋体" w:hAnsi="宋体"/>
          <w:b/>
          <w:color w:val="auto"/>
          <w:kern w:val="2"/>
          <w:sz w:val="24"/>
          <w:szCs w:val="24"/>
          <w:highlight w:val="none"/>
        </w:rPr>
        <w:t>23、诊室显示软件</w:t>
      </w:r>
    </w:p>
    <w:p>
      <w:pPr>
        <w:pageBreakBefore w:val="0"/>
        <w:widowControl w:val="0"/>
        <w:kinsoku/>
        <w:wordWrap/>
        <w:topLinePunct w:val="0"/>
        <w:autoSpaceDE/>
        <w:autoSpaceDN/>
        <w:bidi w:val="0"/>
        <w:snapToGrid w:val="0"/>
        <w:spacing w:line="360" w:lineRule="auto"/>
        <w:ind w:firstLine="480" w:firstLineChars="200"/>
        <w:jc w:val="left"/>
        <w:rPr>
          <w:rFonts w:ascii="宋体" w:hAnsi="宋体"/>
          <w:color w:val="auto"/>
          <w:kern w:val="2"/>
          <w:sz w:val="24"/>
          <w:szCs w:val="24"/>
          <w:highlight w:val="none"/>
        </w:rPr>
      </w:pPr>
      <w:r>
        <w:rPr>
          <w:rFonts w:hint="eastAsia" w:ascii="宋体" w:hAnsi="宋体"/>
          <w:color w:val="auto"/>
          <w:kern w:val="2"/>
          <w:sz w:val="24"/>
          <w:szCs w:val="24"/>
          <w:highlight w:val="none"/>
        </w:rPr>
        <w:t>1）诊室门口的二级屏，能够显示本科室的医生信息、当前就诊患者及等待患者信息等。</w:t>
      </w:r>
    </w:p>
    <w:p>
      <w:pPr>
        <w:pageBreakBefore w:val="0"/>
        <w:widowControl w:val="0"/>
        <w:kinsoku/>
        <w:wordWrap/>
        <w:topLinePunct w:val="0"/>
        <w:autoSpaceDE/>
        <w:autoSpaceDN/>
        <w:bidi w:val="0"/>
        <w:snapToGrid w:val="0"/>
        <w:spacing w:line="360" w:lineRule="auto"/>
        <w:ind w:firstLine="480" w:firstLineChars="200"/>
        <w:jc w:val="left"/>
        <w:rPr>
          <w:rFonts w:ascii="宋体" w:hAnsi="宋体"/>
          <w:color w:val="auto"/>
          <w:kern w:val="2"/>
          <w:sz w:val="24"/>
          <w:szCs w:val="24"/>
          <w:highlight w:val="none"/>
        </w:rPr>
      </w:pPr>
      <w:r>
        <w:rPr>
          <w:rFonts w:hint="eastAsia" w:ascii="宋体" w:hAnsi="宋体"/>
          <w:color w:val="auto"/>
          <w:kern w:val="2"/>
          <w:sz w:val="24"/>
          <w:szCs w:val="24"/>
          <w:highlight w:val="none"/>
        </w:rPr>
        <w:t>2）对 VIP 病人 ，可进行优先就诊的操作，并根据需要可选择是否在大屏及小屏上显 示。</w:t>
      </w:r>
    </w:p>
    <w:p>
      <w:pPr>
        <w:pageBreakBefore w:val="0"/>
        <w:widowControl w:val="0"/>
        <w:kinsoku/>
        <w:wordWrap/>
        <w:topLinePunct w:val="0"/>
        <w:autoSpaceDE/>
        <w:autoSpaceDN/>
        <w:bidi w:val="0"/>
        <w:snapToGrid w:val="0"/>
        <w:spacing w:line="360" w:lineRule="auto"/>
        <w:ind w:firstLine="480" w:firstLineChars="200"/>
        <w:jc w:val="left"/>
        <w:rPr>
          <w:rFonts w:ascii="宋体" w:hAnsi="宋体"/>
          <w:color w:val="auto"/>
          <w:kern w:val="2"/>
          <w:sz w:val="24"/>
          <w:szCs w:val="24"/>
          <w:highlight w:val="none"/>
        </w:rPr>
      </w:pPr>
      <w:r>
        <w:rPr>
          <w:rFonts w:hint="eastAsia" w:ascii="宋体" w:hAnsi="宋体"/>
          <w:color w:val="auto"/>
          <w:kern w:val="2"/>
          <w:sz w:val="24"/>
          <w:szCs w:val="24"/>
          <w:highlight w:val="none"/>
        </w:rPr>
        <w:t>3）所有因分诊台护士、医生的操作或系统原因导致的候诊信息变化能够根据需要设定及时地在分诊屏上显示。"</w:t>
      </w:r>
    </w:p>
    <w:p>
      <w:pPr>
        <w:pageBreakBefore w:val="0"/>
        <w:widowControl w:val="0"/>
        <w:tabs>
          <w:tab w:val="left" w:pos="1134"/>
          <w:tab w:val="left" w:pos="5481"/>
          <w:tab w:val="left" w:pos="5859"/>
        </w:tabs>
        <w:kinsoku/>
        <w:wordWrap/>
        <w:topLinePunct w:val="0"/>
        <w:autoSpaceDE/>
        <w:autoSpaceDN/>
        <w:bidi w:val="0"/>
        <w:snapToGrid w:val="0"/>
        <w:spacing w:line="360" w:lineRule="auto"/>
        <w:ind w:right="-147" w:rightChars="-70" w:firstLine="482" w:firstLineChars="20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24、检查科室数据库服务端升级改造</w:t>
      </w:r>
    </w:p>
    <w:p>
      <w:pPr>
        <w:pageBreakBefore w:val="0"/>
        <w:widowControl w:val="0"/>
        <w:kinsoku/>
        <w:wordWrap/>
        <w:topLinePunct w:val="0"/>
        <w:autoSpaceDE/>
        <w:autoSpaceDN/>
        <w:bidi w:val="0"/>
        <w:snapToGrid w:val="0"/>
        <w:spacing w:line="360" w:lineRule="auto"/>
        <w:ind w:firstLine="480"/>
        <w:jc w:val="left"/>
        <w:rPr>
          <w:rFonts w:ascii="宋体" w:hAnsi="宋体" w:cs="宋体"/>
          <w:color w:val="auto"/>
          <w:kern w:val="2"/>
          <w:sz w:val="24"/>
          <w:szCs w:val="24"/>
          <w:highlight w:val="none"/>
        </w:rPr>
      </w:pPr>
      <w:r>
        <w:rPr>
          <w:rFonts w:hint="eastAsia" w:ascii="宋体" w:hAnsi="宋体" w:cs="宋体"/>
          <w:color w:val="auto"/>
          <w:kern w:val="2"/>
          <w:sz w:val="24"/>
          <w:szCs w:val="24"/>
          <w:highlight w:val="none"/>
        </w:rPr>
        <w:t>改造后的检查科室数据库服务端软件需要满足：</w:t>
      </w:r>
    </w:p>
    <w:p>
      <w:pPr>
        <w:pageBreakBefore w:val="0"/>
        <w:widowControl w:val="0"/>
        <w:kinsoku/>
        <w:wordWrap/>
        <w:topLinePunct w:val="0"/>
        <w:autoSpaceDE/>
        <w:autoSpaceDN/>
        <w:bidi w:val="0"/>
        <w:snapToGrid w:val="0"/>
        <w:spacing w:line="360" w:lineRule="auto"/>
        <w:ind w:firstLine="480"/>
        <w:jc w:val="left"/>
        <w:rPr>
          <w:rFonts w:ascii="宋体" w:hAnsi="宋体" w:cs="宋体"/>
          <w:color w:val="auto"/>
          <w:kern w:val="2"/>
          <w:sz w:val="24"/>
          <w:szCs w:val="24"/>
          <w:highlight w:val="none"/>
        </w:rPr>
      </w:pPr>
      <w:r>
        <w:rPr>
          <w:rFonts w:hint="eastAsia" w:ascii="宋体" w:hAnsi="宋体" w:cs="宋体"/>
          <w:color w:val="auto"/>
          <w:kern w:val="2"/>
          <w:sz w:val="24"/>
          <w:szCs w:val="24"/>
          <w:highlight w:val="none"/>
        </w:rPr>
        <w:t>1）用于检查科室分诊数据存储、控制、管理、转发；</w:t>
      </w:r>
    </w:p>
    <w:p>
      <w:pPr>
        <w:pageBreakBefore w:val="0"/>
        <w:widowControl w:val="0"/>
        <w:kinsoku/>
        <w:wordWrap/>
        <w:topLinePunct w:val="0"/>
        <w:autoSpaceDE/>
        <w:autoSpaceDN/>
        <w:bidi w:val="0"/>
        <w:snapToGrid w:val="0"/>
        <w:spacing w:line="360" w:lineRule="auto"/>
        <w:ind w:firstLine="480"/>
        <w:jc w:val="left"/>
        <w:rPr>
          <w:rFonts w:ascii="宋体" w:hAnsi="宋体" w:cs="宋体"/>
          <w:color w:val="auto"/>
          <w:kern w:val="2"/>
          <w:sz w:val="24"/>
          <w:szCs w:val="24"/>
          <w:highlight w:val="none"/>
        </w:rPr>
      </w:pPr>
      <w:r>
        <w:rPr>
          <w:rFonts w:hint="eastAsia" w:ascii="宋体" w:hAnsi="宋体" w:cs="宋体"/>
          <w:color w:val="auto"/>
          <w:kern w:val="2"/>
          <w:sz w:val="24"/>
          <w:szCs w:val="24"/>
          <w:highlight w:val="none"/>
        </w:rPr>
        <w:t>2）对各科室分诊工作站进行统一的调度、管理；</w:t>
      </w:r>
    </w:p>
    <w:p>
      <w:pPr>
        <w:pageBreakBefore w:val="0"/>
        <w:widowControl w:val="0"/>
        <w:kinsoku/>
        <w:wordWrap/>
        <w:topLinePunct w:val="0"/>
        <w:autoSpaceDE/>
        <w:autoSpaceDN/>
        <w:bidi w:val="0"/>
        <w:snapToGrid w:val="0"/>
        <w:spacing w:line="360" w:lineRule="auto"/>
        <w:ind w:firstLine="480"/>
        <w:jc w:val="left"/>
        <w:rPr>
          <w:rFonts w:ascii="宋体" w:hAnsi="宋体" w:cs="宋体"/>
          <w:color w:val="auto"/>
          <w:kern w:val="2"/>
          <w:sz w:val="24"/>
          <w:szCs w:val="24"/>
          <w:highlight w:val="none"/>
        </w:rPr>
      </w:pPr>
      <w:r>
        <w:rPr>
          <w:rFonts w:hint="eastAsia" w:ascii="宋体" w:hAnsi="宋体" w:cs="宋体"/>
          <w:color w:val="auto"/>
          <w:kern w:val="2"/>
          <w:sz w:val="24"/>
          <w:szCs w:val="24"/>
          <w:highlight w:val="none"/>
        </w:rPr>
        <w:t>3）根据各个科室的特点，制定不同的分诊策略、检查流程、信息显示等控制规则、使系统能够更加流畅的工作。</w:t>
      </w:r>
    </w:p>
    <w:p>
      <w:pPr>
        <w:pageBreakBefore w:val="0"/>
        <w:widowControl w:val="0"/>
        <w:tabs>
          <w:tab w:val="left" w:pos="1134"/>
          <w:tab w:val="left" w:pos="5481"/>
          <w:tab w:val="left" w:pos="5859"/>
        </w:tabs>
        <w:kinsoku/>
        <w:wordWrap/>
        <w:topLinePunct w:val="0"/>
        <w:autoSpaceDE/>
        <w:autoSpaceDN/>
        <w:bidi w:val="0"/>
        <w:snapToGrid w:val="0"/>
        <w:spacing w:line="360" w:lineRule="auto"/>
        <w:ind w:right="-147" w:rightChars="-70" w:firstLine="482" w:firstLineChars="20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25、检查科室候诊信息推送软件</w:t>
      </w:r>
    </w:p>
    <w:p>
      <w:pPr>
        <w:pageBreakBefore w:val="0"/>
        <w:widowControl w:val="0"/>
        <w:kinsoku/>
        <w:wordWrap/>
        <w:topLinePunct w:val="0"/>
        <w:autoSpaceDE/>
        <w:autoSpaceDN/>
        <w:bidi w:val="0"/>
        <w:snapToGrid w:val="0"/>
        <w:spacing w:line="360" w:lineRule="auto"/>
        <w:ind w:firstLine="480"/>
        <w:jc w:val="left"/>
        <w:rPr>
          <w:rFonts w:ascii="宋体" w:hAnsi="宋体" w:cs="宋体"/>
          <w:color w:val="auto"/>
          <w:kern w:val="2"/>
          <w:sz w:val="24"/>
          <w:szCs w:val="24"/>
          <w:highlight w:val="none"/>
        </w:rPr>
      </w:pPr>
      <w:r>
        <w:rPr>
          <w:rFonts w:hint="eastAsia" w:ascii="宋体" w:hAnsi="宋体" w:cs="宋体"/>
          <w:color w:val="auto"/>
          <w:kern w:val="2"/>
          <w:sz w:val="24"/>
          <w:szCs w:val="24"/>
          <w:highlight w:val="none"/>
        </w:rPr>
        <w:t>1）支持通过微信扫码，实现检查报到；</w:t>
      </w:r>
    </w:p>
    <w:p>
      <w:pPr>
        <w:pageBreakBefore w:val="0"/>
        <w:widowControl w:val="0"/>
        <w:kinsoku/>
        <w:wordWrap/>
        <w:topLinePunct w:val="0"/>
        <w:autoSpaceDE/>
        <w:autoSpaceDN/>
        <w:bidi w:val="0"/>
        <w:snapToGrid w:val="0"/>
        <w:spacing w:line="360" w:lineRule="auto"/>
        <w:ind w:firstLine="480"/>
        <w:jc w:val="left"/>
        <w:rPr>
          <w:rFonts w:ascii="宋体" w:hAnsi="宋体" w:cs="宋体"/>
          <w:color w:val="auto"/>
          <w:kern w:val="2"/>
          <w:sz w:val="24"/>
          <w:szCs w:val="24"/>
          <w:highlight w:val="none"/>
        </w:rPr>
      </w:pPr>
      <w:r>
        <w:rPr>
          <w:rFonts w:hint="eastAsia" w:ascii="宋体" w:hAnsi="宋体" w:cs="宋体"/>
          <w:color w:val="auto"/>
          <w:kern w:val="2"/>
          <w:sz w:val="24"/>
          <w:szCs w:val="24"/>
          <w:highlight w:val="none"/>
        </w:rPr>
        <w:t>2）支持患者报到状态推送（短信、微信）；</w:t>
      </w:r>
    </w:p>
    <w:p>
      <w:pPr>
        <w:pageBreakBefore w:val="0"/>
        <w:widowControl w:val="0"/>
        <w:kinsoku/>
        <w:wordWrap/>
        <w:topLinePunct w:val="0"/>
        <w:autoSpaceDE/>
        <w:autoSpaceDN/>
        <w:bidi w:val="0"/>
        <w:snapToGrid w:val="0"/>
        <w:spacing w:line="360" w:lineRule="auto"/>
        <w:ind w:firstLine="480"/>
        <w:jc w:val="left"/>
        <w:rPr>
          <w:rFonts w:ascii="宋体" w:hAnsi="宋体" w:cs="宋体"/>
          <w:color w:val="auto"/>
          <w:kern w:val="2"/>
          <w:sz w:val="24"/>
          <w:szCs w:val="24"/>
          <w:highlight w:val="none"/>
        </w:rPr>
      </w:pPr>
      <w:r>
        <w:rPr>
          <w:rFonts w:hint="eastAsia" w:ascii="宋体" w:hAnsi="宋体" w:cs="宋体"/>
          <w:color w:val="auto"/>
          <w:kern w:val="2"/>
          <w:sz w:val="24"/>
          <w:szCs w:val="24"/>
          <w:highlight w:val="none"/>
        </w:rPr>
        <w:t>3）等候人数和叫号状态等信息推送；</w:t>
      </w:r>
    </w:p>
    <w:p>
      <w:pPr>
        <w:pageBreakBefore w:val="0"/>
        <w:widowControl w:val="0"/>
        <w:kinsoku/>
        <w:wordWrap/>
        <w:topLinePunct w:val="0"/>
        <w:autoSpaceDE/>
        <w:autoSpaceDN/>
        <w:bidi w:val="0"/>
        <w:snapToGrid w:val="0"/>
        <w:spacing w:line="360" w:lineRule="auto"/>
        <w:ind w:firstLine="480"/>
        <w:jc w:val="left"/>
        <w:rPr>
          <w:rFonts w:ascii="宋体" w:hAnsi="宋体" w:cs="宋体"/>
          <w:color w:val="auto"/>
          <w:kern w:val="2"/>
          <w:sz w:val="24"/>
          <w:szCs w:val="24"/>
          <w:highlight w:val="none"/>
        </w:rPr>
      </w:pPr>
      <w:r>
        <w:rPr>
          <w:rFonts w:hint="eastAsia" w:ascii="宋体" w:hAnsi="宋体" w:cs="宋体"/>
          <w:color w:val="auto"/>
          <w:kern w:val="2"/>
          <w:sz w:val="24"/>
          <w:szCs w:val="24"/>
          <w:highlight w:val="none"/>
        </w:rPr>
        <w:t>4）无声到诊呼叫</w:t>
      </w:r>
    </w:p>
    <w:p>
      <w:pPr>
        <w:pageBreakBefore w:val="0"/>
        <w:widowControl w:val="0"/>
        <w:kinsoku/>
        <w:wordWrap/>
        <w:topLinePunct w:val="0"/>
        <w:autoSpaceDE/>
        <w:autoSpaceDN/>
        <w:bidi w:val="0"/>
        <w:snapToGrid w:val="0"/>
        <w:spacing w:line="360" w:lineRule="auto"/>
        <w:ind w:firstLine="480"/>
        <w:jc w:val="left"/>
        <w:rPr>
          <w:rFonts w:ascii="宋体" w:hAnsi="宋体" w:cs="宋体"/>
          <w:color w:val="auto"/>
          <w:kern w:val="2"/>
          <w:sz w:val="24"/>
          <w:szCs w:val="24"/>
          <w:highlight w:val="none"/>
        </w:rPr>
      </w:pPr>
      <w:r>
        <w:rPr>
          <w:rFonts w:hint="eastAsia" w:ascii="宋体" w:hAnsi="宋体" w:cs="宋体"/>
          <w:color w:val="auto"/>
          <w:kern w:val="2"/>
          <w:sz w:val="24"/>
          <w:szCs w:val="24"/>
          <w:highlight w:val="none"/>
        </w:rPr>
        <w:t>5）预约号迟到过号惩罚提示</w:t>
      </w:r>
    </w:p>
    <w:p>
      <w:pPr>
        <w:pageBreakBefore w:val="0"/>
        <w:widowControl w:val="0"/>
        <w:kinsoku/>
        <w:wordWrap/>
        <w:topLinePunct w:val="0"/>
        <w:autoSpaceDE/>
        <w:autoSpaceDN/>
        <w:bidi w:val="0"/>
        <w:snapToGrid w:val="0"/>
        <w:spacing w:line="360" w:lineRule="auto"/>
        <w:ind w:firstLine="480"/>
        <w:jc w:val="left"/>
        <w:rPr>
          <w:rFonts w:ascii="宋体" w:hAnsi="Courier New" w:cs="宋体"/>
          <w:color w:val="auto"/>
          <w:sz w:val="24"/>
          <w:szCs w:val="24"/>
          <w:highlight w:val="none"/>
        </w:rPr>
      </w:pPr>
      <w:r>
        <w:rPr>
          <w:rFonts w:hint="eastAsia" w:ascii="宋体" w:hAnsi="Courier New" w:cs="宋体"/>
          <w:color w:val="auto"/>
          <w:sz w:val="24"/>
          <w:szCs w:val="24"/>
          <w:highlight w:val="none"/>
        </w:rPr>
        <w:t>6）支持对报到时间管控；</w:t>
      </w:r>
    </w:p>
    <w:p>
      <w:pPr>
        <w:pageBreakBefore w:val="0"/>
        <w:widowControl w:val="0"/>
        <w:kinsoku/>
        <w:wordWrap/>
        <w:topLinePunct w:val="0"/>
        <w:autoSpaceDE/>
        <w:autoSpaceDN/>
        <w:bidi w:val="0"/>
        <w:snapToGrid w:val="0"/>
        <w:spacing w:line="360" w:lineRule="auto"/>
        <w:ind w:firstLine="480"/>
        <w:jc w:val="left"/>
        <w:rPr>
          <w:rFonts w:ascii="宋体" w:hAnsi="Courier New" w:cs="宋体"/>
          <w:color w:val="auto"/>
          <w:sz w:val="24"/>
          <w:szCs w:val="24"/>
          <w:highlight w:val="none"/>
        </w:rPr>
      </w:pPr>
      <w:r>
        <w:rPr>
          <w:rFonts w:hint="eastAsia" w:ascii="宋体" w:hAnsi="Courier New" w:cs="宋体"/>
          <w:color w:val="auto"/>
          <w:sz w:val="24"/>
          <w:szCs w:val="24"/>
          <w:highlight w:val="none"/>
        </w:rPr>
        <w:t>7）支持过号自动激活；</w:t>
      </w:r>
    </w:p>
    <w:p>
      <w:pPr>
        <w:pageBreakBefore w:val="0"/>
        <w:widowControl w:val="0"/>
        <w:tabs>
          <w:tab w:val="left" w:pos="900"/>
        </w:tabs>
        <w:kinsoku/>
        <w:wordWrap/>
        <w:topLinePunct w:val="0"/>
        <w:autoSpaceDE/>
        <w:autoSpaceDN/>
        <w:bidi w:val="0"/>
        <w:snapToGrid w:val="0"/>
        <w:spacing w:line="360" w:lineRule="auto"/>
        <w:ind w:firstLine="482" w:firstLineChars="200"/>
        <w:jc w:val="left"/>
        <w:rPr>
          <w:rFonts w:ascii="宋体" w:hAnsi="宋体" w:cs="宋体"/>
          <w:b/>
          <w:bCs/>
          <w:color w:val="auto"/>
          <w:kern w:val="2"/>
          <w:sz w:val="24"/>
          <w:szCs w:val="24"/>
          <w:highlight w:val="none"/>
        </w:rPr>
      </w:pPr>
      <w:r>
        <w:rPr>
          <w:rFonts w:hint="eastAsia" w:ascii="宋体" w:hAnsi="宋体"/>
          <w:b/>
          <w:color w:val="auto"/>
          <w:kern w:val="2"/>
          <w:sz w:val="24"/>
          <w:szCs w:val="24"/>
          <w:highlight w:val="none"/>
        </w:rPr>
        <w:t>26、</w:t>
      </w:r>
      <w:r>
        <w:rPr>
          <w:rFonts w:hint="eastAsia" w:ascii="宋体" w:hAnsi="宋体" w:cs="宋体"/>
          <w:b/>
          <w:bCs/>
          <w:color w:val="auto"/>
          <w:kern w:val="2"/>
          <w:sz w:val="24"/>
          <w:szCs w:val="24"/>
          <w:highlight w:val="none"/>
        </w:rPr>
        <w:t>集成平台接口定制开发</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通过集成平台，实现分诊导医系统与其他业务系统带的数据交互，需要开发的接口有：</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rPr>
        <w:t>）</w:t>
      </w:r>
      <w:r>
        <w:rPr>
          <w:rFonts w:ascii="宋体" w:hAnsi="宋体" w:cs="宋体"/>
          <w:color w:val="auto"/>
          <w:sz w:val="24"/>
          <w:szCs w:val="24"/>
          <w:highlight w:val="none"/>
        </w:rPr>
        <w:t>诊挂号记录接口</w:t>
      </w:r>
      <w:r>
        <w:rPr>
          <w:rFonts w:hint="eastAsia" w:ascii="宋体" w:hAnsi="宋体" w:cs="宋体"/>
          <w:color w:val="auto"/>
          <w:sz w:val="24"/>
          <w:szCs w:val="24"/>
          <w:highlight w:val="none"/>
        </w:rPr>
        <w:t>，</w:t>
      </w:r>
      <w:r>
        <w:rPr>
          <w:rFonts w:ascii="宋体" w:hAnsi="宋体" w:cs="宋体"/>
          <w:color w:val="auto"/>
          <w:sz w:val="24"/>
          <w:szCs w:val="24"/>
          <w:highlight w:val="none"/>
        </w:rPr>
        <w:t>用于门诊分诊叫号</w:t>
      </w:r>
      <w:r>
        <w:rPr>
          <w:rFonts w:hint="eastAsia" w:ascii="宋体" w:hAnsi="宋体" w:cs="宋体"/>
          <w:color w:val="auto"/>
          <w:sz w:val="24"/>
          <w:szCs w:val="24"/>
          <w:highlight w:val="none"/>
        </w:rPr>
        <w:t>；</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rPr>
        <w:t>）</w:t>
      </w:r>
      <w:r>
        <w:rPr>
          <w:rFonts w:ascii="宋体" w:hAnsi="宋体" w:cs="宋体"/>
          <w:color w:val="auto"/>
          <w:sz w:val="24"/>
          <w:szCs w:val="24"/>
          <w:highlight w:val="none"/>
        </w:rPr>
        <w:t>门诊专家预约信息接口</w:t>
      </w:r>
      <w:r>
        <w:rPr>
          <w:rFonts w:hint="eastAsia" w:ascii="宋体" w:hAnsi="宋体" w:cs="宋体"/>
          <w:color w:val="auto"/>
          <w:sz w:val="24"/>
          <w:szCs w:val="24"/>
          <w:highlight w:val="none"/>
        </w:rPr>
        <w:t>，</w:t>
      </w:r>
      <w:r>
        <w:rPr>
          <w:rFonts w:ascii="宋体" w:hAnsi="宋体" w:cs="宋体"/>
          <w:color w:val="auto"/>
          <w:sz w:val="24"/>
          <w:szCs w:val="24"/>
          <w:highlight w:val="none"/>
        </w:rPr>
        <w:t>用于获取门诊专家预约信息记录</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rPr>
        <w:t>）</w:t>
      </w:r>
      <w:r>
        <w:rPr>
          <w:rFonts w:ascii="宋体" w:hAnsi="宋体" w:cs="宋体"/>
          <w:color w:val="auto"/>
          <w:sz w:val="24"/>
          <w:szCs w:val="24"/>
          <w:highlight w:val="none"/>
        </w:rPr>
        <w:t>门诊就诊医师接口</w:t>
      </w:r>
      <w:r>
        <w:rPr>
          <w:rFonts w:hint="eastAsia" w:ascii="宋体" w:hAnsi="宋体" w:cs="宋体"/>
          <w:color w:val="auto"/>
          <w:sz w:val="24"/>
          <w:szCs w:val="24"/>
          <w:highlight w:val="none"/>
        </w:rPr>
        <w:t>，</w:t>
      </w:r>
      <w:r>
        <w:rPr>
          <w:rFonts w:ascii="宋体" w:hAnsi="宋体" w:cs="宋体"/>
          <w:color w:val="auto"/>
          <w:sz w:val="24"/>
          <w:szCs w:val="24"/>
          <w:highlight w:val="none"/>
        </w:rPr>
        <w:t>用于获取门诊就诊医师</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4</w:t>
      </w:r>
      <w:r>
        <w:rPr>
          <w:rFonts w:hint="eastAsia" w:ascii="宋体" w:hAnsi="宋体" w:cs="宋体"/>
          <w:color w:val="auto"/>
          <w:sz w:val="24"/>
          <w:szCs w:val="24"/>
          <w:highlight w:val="none"/>
        </w:rPr>
        <w:t>）</w:t>
      </w:r>
      <w:r>
        <w:rPr>
          <w:rFonts w:ascii="宋体" w:hAnsi="宋体" w:cs="宋体"/>
          <w:color w:val="auto"/>
          <w:sz w:val="24"/>
          <w:szCs w:val="24"/>
          <w:highlight w:val="none"/>
        </w:rPr>
        <w:t>门诊挂号标记接口</w:t>
      </w:r>
      <w:r>
        <w:rPr>
          <w:rFonts w:hint="eastAsia" w:ascii="宋体" w:hAnsi="宋体" w:cs="宋体"/>
          <w:color w:val="auto"/>
          <w:sz w:val="24"/>
          <w:szCs w:val="24"/>
          <w:highlight w:val="none"/>
        </w:rPr>
        <w:t>，</w:t>
      </w:r>
      <w:r>
        <w:rPr>
          <w:rFonts w:ascii="宋体" w:hAnsi="宋体" w:cs="宋体"/>
          <w:color w:val="auto"/>
          <w:sz w:val="24"/>
          <w:szCs w:val="24"/>
          <w:highlight w:val="none"/>
        </w:rPr>
        <w:t>用于特别标记挂号记录</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5</w:t>
      </w:r>
      <w:r>
        <w:rPr>
          <w:rFonts w:hint="eastAsia" w:ascii="宋体" w:hAnsi="宋体" w:cs="宋体"/>
          <w:color w:val="auto"/>
          <w:sz w:val="24"/>
          <w:szCs w:val="24"/>
          <w:highlight w:val="none"/>
        </w:rPr>
        <w:t>）</w:t>
      </w:r>
      <w:r>
        <w:rPr>
          <w:rFonts w:ascii="宋体" w:hAnsi="宋体" w:cs="宋体"/>
          <w:color w:val="auto"/>
          <w:sz w:val="24"/>
          <w:szCs w:val="24"/>
          <w:highlight w:val="none"/>
        </w:rPr>
        <w:t>门诊专家号表接口</w:t>
      </w:r>
      <w:r>
        <w:rPr>
          <w:rFonts w:hint="eastAsia" w:ascii="宋体" w:hAnsi="宋体" w:cs="宋体"/>
          <w:color w:val="auto"/>
          <w:sz w:val="24"/>
          <w:szCs w:val="24"/>
          <w:highlight w:val="none"/>
        </w:rPr>
        <w:t>，</w:t>
      </w:r>
      <w:r>
        <w:rPr>
          <w:rFonts w:ascii="宋体" w:hAnsi="宋体" w:cs="宋体"/>
          <w:color w:val="auto"/>
          <w:sz w:val="24"/>
          <w:szCs w:val="24"/>
          <w:highlight w:val="none"/>
        </w:rPr>
        <w:t>用于获取门诊专家出诊信息</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6</w:t>
      </w:r>
      <w:r>
        <w:rPr>
          <w:rFonts w:hint="eastAsia" w:ascii="宋体" w:hAnsi="宋体" w:cs="宋体"/>
          <w:color w:val="auto"/>
          <w:sz w:val="24"/>
          <w:szCs w:val="24"/>
          <w:highlight w:val="none"/>
        </w:rPr>
        <w:t>）</w:t>
      </w:r>
      <w:r>
        <w:rPr>
          <w:rFonts w:ascii="宋体" w:hAnsi="宋体" w:cs="宋体"/>
          <w:color w:val="auto"/>
          <w:sz w:val="24"/>
          <w:szCs w:val="24"/>
          <w:highlight w:val="none"/>
        </w:rPr>
        <w:t>门诊医师信息接口</w:t>
      </w:r>
      <w:r>
        <w:rPr>
          <w:rFonts w:hint="eastAsia" w:ascii="宋体" w:hAnsi="宋体" w:cs="宋体"/>
          <w:color w:val="auto"/>
          <w:sz w:val="24"/>
          <w:szCs w:val="24"/>
          <w:highlight w:val="none"/>
        </w:rPr>
        <w:t>，</w:t>
      </w:r>
      <w:r>
        <w:rPr>
          <w:rFonts w:ascii="宋体" w:hAnsi="宋体" w:cs="宋体"/>
          <w:color w:val="auto"/>
          <w:sz w:val="24"/>
          <w:szCs w:val="24"/>
          <w:highlight w:val="none"/>
        </w:rPr>
        <w:t>用于获取门诊医师信息</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7</w:t>
      </w:r>
      <w:r>
        <w:rPr>
          <w:rFonts w:hint="eastAsia" w:ascii="宋体" w:hAnsi="宋体" w:cs="宋体"/>
          <w:color w:val="auto"/>
          <w:sz w:val="24"/>
          <w:szCs w:val="24"/>
          <w:highlight w:val="none"/>
        </w:rPr>
        <w:t>）</w:t>
      </w:r>
      <w:r>
        <w:rPr>
          <w:rFonts w:ascii="宋体" w:hAnsi="宋体" w:cs="宋体"/>
          <w:color w:val="auto"/>
          <w:sz w:val="24"/>
          <w:szCs w:val="24"/>
          <w:highlight w:val="none"/>
        </w:rPr>
        <w:t>门诊科室信息接口</w:t>
      </w:r>
      <w:r>
        <w:rPr>
          <w:rFonts w:hint="eastAsia" w:ascii="宋体" w:hAnsi="宋体" w:cs="宋体"/>
          <w:color w:val="auto"/>
          <w:sz w:val="24"/>
          <w:szCs w:val="24"/>
          <w:highlight w:val="none"/>
        </w:rPr>
        <w:t>，</w:t>
      </w:r>
      <w:r>
        <w:rPr>
          <w:rFonts w:ascii="宋体" w:hAnsi="宋体" w:cs="宋体"/>
          <w:color w:val="auto"/>
          <w:sz w:val="24"/>
          <w:szCs w:val="24"/>
          <w:highlight w:val="none"/>
        </w:rPr>
        <w:t>用于获取门诊科室信息</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8</w:t>
      </w:r>
      <w:r>
        <w:rPr>
          <w:rFonts w:hint="eastAsia" w:ascii="宋体" w:hAnsi="宋体" w:cs="宋体"/>
          <w:color w:val="auto"/>
          <w:sz w:val="24"/>
          <w:szCs w:val="24"/>
          <w:highlight w:val="none"/>
        </w:rPr>
        <w:t>）</w:t>
      </w:r>
      <w:r>
        <w:rPr>
          <w:rFonts w:ascii="宋体" w:hAnsi="宋体" w:cs="宋体"/>
          <w:color w:val="auto"/>
          <w:sz w:val="24"/>
          <w:szCs w:val="24"/>
          <w:highlight w:val="none"/>
        </w:rPr>
        <w:t>患者基础信息接口</w:t>
      </w:r>
      <w:r>
        <w:rPr>
          <w:rFonts w:hint="eastAsia" w:ascii="宋体" w:hAnsi="宋体" w:cs="宋体"/>
          <w:color w:val="auto"/>
          <w:sz w:val="24"/>
          <w:szCs w:val="24"/>
          <w:highlight w:val="none"/>
        </w:rPr>
        <w:t>，</w:t>
      </w:r>
      <w:r>
        <w:rPr>
          <w:rFonts w:ascii="宋体" w:hAnsi="宋体" w:cs="宋体"/>
          <w:color w:val="auto"/>
          <w:sz w:val="24"/>
          <w:szCs w:val="24"/>
          <w:highlight w:val="none"/>
        </w:rPr>
        <w:t>用于获取患者的基础信息</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9</w:t>
      </w:r>
      <w:r>
        <w:rPr>
          <w:rFonts w:hint="eastAsia" w:ascii="宋体" w:hAnsi="宋体" w:cs="宋体"/>
          <w:color w:val="auto"/>
          <w:sz w:val="24"/>
          <w:szCs w:val="24"/>
          <w:highlight w:val="none"/>
        </w:rPr>
        <w:t>）</w:t>
      </w:r>
      <w:r>
        <w:rPr>
          <w:rFonts w:ascii="宋体" w:hAnsi="宋体" w:cs="宋体"/>
          <w:color w:val="auto"/>
          <w:sz w:val="24"/>
          <w:szCs w:val="24"/>
          <w:highlight w:val="none"/>
        </w:rPr>
        <w:t>患者卡号介质接口</w:t>
      </w:r>
      <w:r>
        <w:rPr>
          <w:rFonts w:hint="eastAsia" w:ascii="宋体" w:hAnsi="宋体" w:cs="宋体"/>
          <w:color w:val="auto"/>
          <w:sz w:val="24"/>
          <w:szCs w:val="24"/>
          <w:highlight w:val="none"/>
        </w:rPr>
        <w:t>，</w:t>
      </w:r>
      <w:r>
        <w:rPr>
          <w:rFonts w:ascii="宋体" w:hAnsi="宋体" w:cs="宋体"/>
          <w:color w:val="auto"/>
          <w:sz w:val="24"/>
          <w:szCs w:val="24"/>
          <w:highlight w:val="none"/>
        </w:rPr>
        <w:t>用于查询患者介质对照关系</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10</w:t>
      </w:r>
      <w:r>
        <w:rPr>
          <w:rFonts w:hint="eastAsia" w:ascii="宋体" w:hAnsi="宋体" w:cs="宋体"/>
          <w:color w:val="auto"/>
          <w:sz w:val="24"/>
          <w:szCs w:val="24"/>
          <w:highlight w:val="none"/>
        </w:rPr>
        <w:t>）</w:t>
      </w:r>
      <w:r>
        <w:rPr>
          <w:rFonts w:ascii="宋体" w:hAnsi="宋体" w:cs="宋体"/>
          <w:color w:val="auto"/>
          <w:sz w:val="24"/>
          <w:szCs w:val="24"/>
          <w:highlight w:val="none"/>
        </w:rPr>
        <w:t>入院病人信息接口</w:t>
      </w:r>
      <w:r>
        <w:rPr>
          <w:rFonts w:hint="eastAsia" w:ascii="宋体" w:hAnsi="宋体" w:cs="宋体"/>
          <w:color w:val="auto"/>
          <w:sz w:val="24"/>
          <w:szCs w:val="24"/>
          <w:highlight w:val="none"/>
        </w:rPr>
        <w:t>，</w:t>
      </w:r>
      <w:r>
        <w:rPr>
          <w:rFonts w:ascii="宋体" w:hAnsi="宋体" w:cs="宋体"/>
          <w:color w:val="auto"/>
          <w:sz w:val="24"/>
          <w:szCs w:val="24"/>
          <w:highlight w:val="none"/>
        </w:rPr>
        <w:t>于查询入院病人信息</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11</w:t>
      </w:r>
      <w:r>
        <w:rPr>
          <w:rFonts w:hint="eastAsia" w:ascii="宋体" w:hAnsi="宋体" w:cs="宋体"/>
          <w:color w:val="auto"/>
          <w:sz w:val="24"/>
          <w:szCs w:val="24"/>
          <w:highlight w:val="none"/>
        </w:rPr>
        <w:t>）</w:t>
      </w:r>
      <w:r>
        <w:rPr>
          <w:rFonts w:ascii="宋体" w:hAnsi="宋体" w:cs="宋体"/>
          <w:color w:val="auto"/>
          <w:sz w:val="24"/>
          <w:szCs w:val="24"/>
          <w:highlight w:val="none"/>
        </w:rPr>
        <w:t>出院病人信息接口</w:t>
      </w:r>
      <w:r>
        <w:rPr>
          <w:rFonts w:hint="eastAsia" w:ascii="宋体" w:hAnsi="宋体" w:cs="宋体"/>
          <w:color w:val="auto"/>
          <w:sz w:val="24"/>
          <w:szCs w:val="24"/>
          <w:highlight w:val="none"/>
        </w:rPr>
        <w:t>，</w:t>
      </w:r>
      <w:r>
        <w:rPr>
          <w:rFonts w:ascii="宋体" w:hAnsi="宋体" w:cs="宋体"/>
          <w:color w:val="auto"/>
          <w:sz w:val="24"/>
          <w:szCs w:val="24"/>
          <w:highlight w:val="none"/>
        </w:rPr>
        <w:t>用于查询出院病人信息</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12</w:t>
      </w:r>
      <w:r>
        <w:rPr>
          <w:rFonts w:hint="eastAsia" w:ascii="宋体" w:hAnsi="宋体" w:cs="宋体"/>
          <w:color w:val="auto"/>
          <w:sz w:val="24"/>
          <w:szCs w:val="24"/>
          <w:highlight w:val="none"/>
        </w:rPr>
        <w:t>）</w:t>
      </w:r>
      <w:r>
        <w:rPr>
          <w:rFonts w:ascii="宋体" w:hAnsi="宋体" w:cs="宋体"/>
          <w:color w:val="auto"/>
          <w:sz w:val="24"/>
          <w:szCs w:val="24"/>
          <w:highlight w:val="none"/>
        </w:rPr>
        <w:t>发药信息接口</w:t>
      </w:r>
      <w:r>
        <w:rPr>
          <w:rFonts w:hint="eastAsia" w:ascii="宋体" w:hAnsi="宋体" w:cs="宋体"/>
          <w:color w:val="auto"/>
          <w:sz w:val="24"/>
          <w:szCs w:val="24"/>
          <w:highlight w:val="none"/>
        </w:rPr>
        <w:t>，</w:t>
      </w:r>
      <w:r>
        <w:rPr>
          <w:rFonts w:ascii="宋体" w:hAnsi="宋体" w:cs="宋体"/>
          <w:color w:val="auto"/>
          <w:sz w:val="24"/>
          <w:szCs w:val="24"/>
          <w:highlight w:val="none"/>
        </w:rPr>
        <w:t>用于获取发药基本信息</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13</w:t>
      </w:r>
      <w:r>
        <w:rPr>
          <w:rFonts w:hint="eastAsia" w:ascii="宋体" w:hAnsi="宋体" w:cs="宋体"/>
          <w:color w:val="auto"/>
          <w:sz w:val="24"/>
          <w:szCs w:val="24"/>
          <w:highlight w:val="none"/>
        </w:rPr>
        <w:t>）</w:t>
      </w:r>
      <w:r>
        <w:rPr>
          <w:rFonts w:ascii="宋体" w:hAnsi="宋体" w:cs="宋体"/>
          <w:color w:val="auto"/>
          <w:sz w:val="24"/>
          <w:szCs w:val="24"/>
          <w:highlight w:val="none"/>
        </w:rPr>
        <w:t>药房窗口信息接口</w:t>
      </w:r>
      <w:r>
        <w:rPr>
          <w:rFonts w:hint="eastAsia" w:ascii="宋体" w:hAnsi="宋体" w:cs="宋体"/>
          <w:color w:val="auto"/>
          <w:sz w:val="24"/>
          <w:szCs w:val="24"/>
          <w:highlight w:val="none"/>
        </w:rPr>
        <w:t>，</w:t>
      </w:r>
      <w:r>
        <w:rPr>
          <w:rFonts w:ascii="宋体" w:hAnsi="宋体" w:cs="宋体"/>
          <w:color w:val="auto"/>
          <w:sz w:val="24"/>
          <w:szCs w:val="24"/>
          <w:highlight w:val="none"/>
        </w:rPr>
        <w:t>用于获取发药窗口信息</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14</w:t>
      </w:r>
      <w:r>
        <w:rPr>
          <w:rFonts w:hint="eastAsia" w:ascii="宋体" w:hAnsi="宋体" w:cs="宋体"/>
          <w:color w:val="auto"/>
          <w:sz w:val="24"/>
          <w:szCs w:val="24"/>
          <w:highlight w:val="none"/>
        </w:rPr>
        <w:t>）</w:t>
      </w:r>
      <w:r>
        <w:rPr>
          <w:rFonts w:ascii="宋体" w:hAnsi="宋体" w:cs="宋体"/>
          <w:color w:val="auto"/>
          <w:sz w:val="24"/>
          <w:szCs w:val="24"/>
          <w:highlight w:val="none"/>
        </w:rPr>
        <w:t>药房患者取药信息接口</w:t>
      </w:r>
      <w:r>
        <w:rPr>
          <w:rFonts w:hint="eastAsia" w:ascii="宋体" w:hAnsi="宋体" w:cs="宋体"/>
          <w:color w:val="auto"/>
          <w:sz w:val="24"/>
          <w:szCs w:val="24"/>
          <w:highlight w:val="none"/>
        </w:rPr>
        <w:t>，</w:t>
      </w:r>
      <w:r>
        <w:rPr>
          <w:rFonts w:ascii="宋体" w:hAnsi="宋体" w:cs="宋体"/>
          <w:color w:val="auto"/>
          <w:sz w:val="24"/>
          <w:szCs w:val="24"/>
          <w:highlight w:val="none"/>
        </w:rPr>
        <w:t>用于获取患者取药信息</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15</w:t>
      </w:r>
      <w:r>
        <w:rPr>
          <w:rFonts w:hint="eastAsia" w:ascii="宋体" w:hAnsi="宋体" w:cs="宋体"/>
          <w:color w:val="auto"/>
          <w:sz w:val="24"/>
          <w:szCs w:val="24"/>
          <w:highlight w:val="none"/>
        </w:rPr>
        <w:t>）</w:t>
      </w:r>
      <w:r>
        <w:rPr>
          <w:rFonts w:ascii="宋体" w:hAnsi="宋体" w:cs="宋体"/>
          <w:color w:val="auto"/>
          <w:sz w:val="24"/>
          <w:szCs w:val="24"/>
          <w:highlight w:val="none"/>
        </w:rPr>
        <w:t>药房药品药价信息接口</w:t>
      </w:r>
      <w:r>
        <w:rPr>
          <w:rFonts w:hint="eastAsia" w:ascii="宋体" w:hAnsi="宋体" w:cs="宋体"/>
          <w:color w:val="auto"/>
          <w:sz w:val="24"/>
          <w:szCs w:val="24"/>
          <w:highlight w:val="none"/>
        </w:rPr>
        <w:t>，</w:t>
      </w:r>
      <w:r>
        <w:rPr>
          <w:rFonts w:ascii="宋体" w:hAnsi="宋体" w:cs="宋体"/>
          <w:color w:val="auto"/>
          <w:sz w:val="24"/>
          <w:szCs w:val="24"/>
          <w:highlight w:val="none"/>
        </w:rPr>
        <w:t>用于获取药品价格信息</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16</w:t>
      </w:r>
      <w:r>
        <w:rPr>
          <w:rFonts w:hint="eastAsia" w:ascii="宋体" w:hAnsi="宋体" w:cs="宋体"/>
          <w:color w:val="auto"/>
          <w:sz w:val="24"/>
          <w:szCs w:val="24"/>
          <w:highlight w:val="none"/>
        </w:rPr>
        <w:t>）</w:t>
      </w:r>
      <w:r>
        <w:rPr>
          <w:rFonts w:ascii="宋体" w:hAnsi="宋体" w:cs="宋体"/>
          <w:color w:val="auto"/>
          <w:sz w:val="24"/>
          <w:szCs w:val="24"/>
          <w:highlight w:val="none"/>
        </w:rPr>
        <w:t>药房工作时间信息接口</w:t>
      </w:r>
      <w:r>
        <w:rPr>
          <w:rFonts w:hint="eastAsia" w:ascii="宋体" w:hAnsi="宋体" w:cs="宋体"/>
          <w:color w:val="auto"/>
          <w:sz w:val="24"/>
          <w:szCs w:val="24"/>
          <w:highlight w:val="none"/>
        </w:rPr>
        <w:t>，</w:t>
      </w:r>
      <w:r>
        <w:rPr>
          <w:rFonts w:ascii="宋体" w:hAnsi="宋体" w:cs="宋体"/>
          <w:color w:val="auto"/>
          <w:sz w:val="24"/>
          <w:szCs w:val="24"/>
          <w:highlight w:val="none"/>
        </w:rPr>
        <w:t>用于获取药房窗口状态信息</w:t>
      </w:r>
    </w:p>
    <w:p>
      <w:pPr>
        <w:pageBreakBefore w:val="0"/>
        <w:widowControl w:val="0"/>
        <w:tabs>
          <w:tab w:val="left" w:pos="900"/>
        </w:tabs>
        <w:kinsoku/>
        <w:wordWrap/>
        <w:topLinePunct w:val="0"/>
        <w:autoSpaceDE/>
        <w:autoSpaceDN/>
        <w:bidi w:val="0"/>
        <w:snapToGrid w:val="0"/>
        <w:spacing w:line="360" w:lineRule="auto"/>
        <w:ind w:firstLine="482" w:firstLineChars="200"/>
        <w:jc w:val="left"/>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27、外网防火墙</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1）硬件要求</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具备千兆电口≥2</w:t>
      </w:r>
      <w:r>
        <w:rPr>
          <w:rFonts w:ascii="宋体" w:hAnsi="宋体" w:cs="宋体"/>
          <w:color w:val="auto"/>
          <w:sz w:val="24"/>
          <w:szCs w:val="24"/>
          <w:highlight w:val="none"/>
        </w:rPr>
        <w:t>4</w:t>
      </w:r>
      <w:r>
        <w:rPr>
          <w:rFonts w:hint="eastAsia" w:ascii="宋体" w:hAnsi="宋体" w:cs="宋体"/>
          <w:color w:val="auto"/>
          <w:sz w:val="24"/>
          <w:szCs w:val="24"/>
          <w:highlight w:val="none"/>
        </w:rPr>
        <w:t>个，千兆光口≥8个，扩展槽≥2个，双电源；</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2）性能要求</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整机吞吐量≥2</w:t>
      </w:r>
      <w:r>
        <w:rPr>
          <w:rFonts w:ascii="宋体" w:hAnsi="宋体" w:cs="宋体"/>
          <w:color w:val="auto"/>
          <w:sz w:val="24"/>
          <w:szCs w:val="24"/>
          <w:highlight w:val="none"/>
        </w:rPr>
        <w:t>0Gbps，</w:t>
      </w:r>
      <w:r>
        <w:rPr>
          <w:rFonts w:hint="eastAsia" w:ascii="宋体" w:hAnsi="宋体" w:cs="宋体"/>
          <w:color w:val="auto"/>
          <w:sz w:val="24"/>
          <w:szCs w:val="24"/>
          <w:highlight w:val="none"/>
        </w:rPr>
        <w:t>每秒新建连接数≥8万，最大并发连接数≥2</w:t>
      </w:r>
      <w:r>
        <w:rPr>
          <w:rFonts w:ascii="宋体" w:hAnsi="宋体" w:cs="宋体"/>
          <w:color w:val="auto"/>
          <w:sz w:val="24"/>
          <w:szCs w:val="24"/>
          <w:highlight w:val="none"/>
        </w:rPr>
        <w:t>50</w:t>
      </w:r>
      <w:r>
        <w:rPr>
          <w:rFonts w:hint="eastAsia" w:ascii="宋体" w:hAnsi="宋体" w:cs="宋体"/>
          <w:color w:val="auto"/>
          <w:sz w:val="24"/>
          <w:szCs w:val="24"/>
          <w:highlight w:val="none"/>
        </w:rPr>
        <w:t>万；</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3）安全策略</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▲支持自动生成安全策略。统一管理平台可通过对流量日志的统计整理，自动生成安全策略，并下发给防火墙设备，提高运维人员工作效率（提供第三方检测报告，并加盖公章）；</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4）故障排查</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支持通过命令行的方式对设备内部数据流进行分析，可快速定位造成故障的防火墙内部功能模块，便于进行故障排查；</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5）老化时间</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支持基于不同安全策略设定会话长连接老化时间；</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6）虚拟化</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支持多虚一部署，可将两台物理设备虚拟化成一台逻辑上的设备；</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支持将一台逻辑上的设备虚拟化成多个虚拟防火墙，并可查看各虚拟防火墙的C</w:t>
      </w:r>
      <w:r>
        <w:rPr>
          <w:rFonts w:ascii="宋体" w:hAnsi="宋体" w:cs="宋体"/>
          <w:color w:val="auto"/>
          <w:sz w:val="24"/>
          <w:szCs w:val="24"/>
          <w:highlight w:val="none"/>
        </w:rPr>
        <w:t>PU和内存利用率、新建、并发</w:t>
      </w:r>
      <w:r>
        <w:rPr>
          <w:rFonts w:hint="eastAsia" w:ascii="宋体" w:hAnsi="宋体" w:cs="宋体"/>
          <w:color w:val="auto"/>
          <w:sz w:val="24"/>
          <w:szCs w:val="24"/>
          <w:highlight w:val="none"/>
        </w:rPr>
        <w:t>和吞吐信息，并可单独重启特定虚拟防火墙；</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7）MPLS</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支持</w:t>
      </w:r>
      <w:r>
        <w:rPr>
          <w:rFonts w:hint="eastAsia" w:ascii="宋体" w:hAnsi="宋体" w:cs="宋体"/>
          <w:color w:val="auto"/>
          <w:sz w:val="24"/>
          <w:szCs w:val="24"/>
          <w:highlight w:val="none"/>
        </w:rPr>
        <w:t>M</w:t>
      </w:r>
      <w:r>
        <w:rPr>
          <w:rFonts w:ascii="宋体" w:hAnsi="宋体" w:cs="宋体"/>
          <w:color w:val="auto"/>
          <w:sz w:val="24"/>
          <w:szCs w:val="24"/>
          <w:highlight w:val="none"/>
        </w:rPr>
        <w:t>PLS</w:t>
      </w:r>
      <w:r>
        <w:rPr>
          <w:rFonts w:hint="eastAsia" w:ascii="宋体" w:hAnsi="宋体" w:cs="宋体"/>
          <w:color w:val="auto"/>
          <w:sz w:val="24"/>
          <w:szCs w:val="24"/>
          <w:highlight w:val="none"/>
        </w:rPr>
        <w:t>；</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8）可靠性要求</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为保证业务连通性，设备支持</w:t>
      </w:r>
      <w:r>
        <w:rPr>
          <w:rFonts w:hint="eastAsia" w:ascii="宋体" w:hAnsi="宋体" w:cs="宋体"/>
          <w:color w:val="auto"/>
          <w:sz w:val="24"/>
          <w:szCs w:val="24"/>
          <w:highlight w:val="none"/>
        </w:rPr>
        <w:t>C</w:t>
      </w:r>
      <w:r>
        <w:rPr>
          <w:rFonts w:ascii="宋体" w:hAnsi="宋体" w:cs="宋体"/>
          <w:color w:val="auto"/>
          <w:sz w:val="24"/>
          <w:szCs w:val="24"/>
          <w:highlight w:val="none"/>
        </w:rPr>
        <w:t>PU利用率过高时，自动停用部分应用层攻击防护功能</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支持配置回滚，并可对比回滚</w:t>
      </w:r>
      <w:r>
        <w:rPr>
          <w:rFonts w:hint="eastAsia" w:ascii="宋体" w:hAnsi="宋体" w:cs="宋体"/>
          <w:color w:val="auto"/>
          <w:sz w:val="24"/>
          <w:szCs w:val="24"/>
          <w:highlight w:val="none"/>
        </w:rPr>
        <w:t>前后配置文件中的不同</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支持配置回滚，并可对比回滚</w:t>
      </w:r>
      <w:r>
        <w:rPr>
          <w:rFonts w:hint="eastAsia" w:ascii="宋体" w:hAnsi="宋体" w:cs="宋体"/>
          <w:color w:val="auto"/>
          <w:sz w:val="24"/>
          <w:szCs w:val="24"/>
          <w:highlight w:val="none"/>
        </w:rPr>
        <w:t>前后配置文件中的不同</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为保证业务连通性，设备在特征库升级时不影响系统转发</w:t>
      </w:r>
      <w:r>
        <w:rPr>
          <w:rFonts w:hint="eastAsia" w:ascii="宋体" w:hAnsi="宋体" w:cs="宋体"/>
          <w:color w:val="auto"/>
          <w:sz w:val="24"/>
          <w:szCs w:val="24"/>
          <w:highlight w:val="none"/>
        </w:rPr>
        <w:t>（提供第三方检测报告，并加盖公章）</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9</w:t>
      </w:r>
      <w:r>
        <w:rPr>
          <w:rFonts w:ascii="宋体" w:hAnsi="宋体" w:cs="宋体"/>
          <w:color w:val="auto"/>
          <w:sz w:val="24"/>
          <w:szCs w:val="24"/>
          <w:highlight w:val="none"/>
        </w:rPr>
        <w:t>)</w:t>
      </w:r>
      <w:r>
        <w:rPr>
          <w:rFonts w:hint="eastAsia" w:ascii="宋体" w:hAnsi="宋体" w:cs="宋体"/>
          <w:color w:val="auto"/>
          <w:sz w:val="24"/>
          <w:szCs w:val="24"/>
          <w:highlight w:val="none"/>
        </w:rPr>
        <w:t>信誉黑名单</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支持</w:t>
      </w:r>
      <w:r>
        <w:rPr>
          <w:rFonts w:hint="eastAsia" w:ascii="宋体" w:hAnsi="宋体" w:cs="宋体"/>
          <w:color w:val="auto"/>
          <w:sz w:val="24"/>
          <w:szCs w:val="24"/>
          <w:highlight w:val="none"/>
        </w:rPr>
        <w:t>I</w:t>
      </w:r>
      <w:r>
        <w:rPr>
          <w:rFonts w:ascii="宋体" w:hAnsi="宋体" w:cs="宋体"/>
          <w:color w:val="auto"/>
          <w:sz w:val="24"/>
          <w:szCs w:val="24"/>
          <w:highlight w:val="none"/>
        </w:rPr>
        <w:t>P信誉黑名单</w:t>
      </w:r>
      <w:r>
        <w:rPr>
          <w:rFonts w:hint="eastAsia" w:ascii="宋体" w:hAnsi="宋体" w:cs="宋体"/>
          <w:color w:val="auto"/>
          <w:sz w:val="24"/>
          <w:szCs w:val="24"/>
          <w:highlight w:val="none"/>
        </w:rPr>
        <w:t>（提供具备第三方检测报告，并加盖公章）</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0</w:t>
      </w:r>
      <w:r>
        <w:rPr>
          <w:rFonts w:ascii="宋体" w:hAnsi="宋体" w:cs="宋体"/>
          <w:color w:val="auto"/>
          <w:sz w:val="24"/>
          <w:szCs w:val="24"/>
          <w:highlight w:val="none"/>
        </w:rPr>
        <w:t>)</w:t>
      </w:r>
      <w:r>
        <w:rPr>
          <w:rFonts w:hint="eastAsia" w:ascii="宋体" w:hAnsi="宋体" w:cs="宋体"/>
          <w:color w:val="auto"/>
          <w:sz w:val="24"/>
          <w:szCs w:val="24"/>
          <w:highlight w:val="none"/>
        </w:rPr>
        <w:t>服务要求</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提供原厂盖章的3年质保服务承诺函, 3年攻击库升级服务。</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增加3年质保服务，系统版本升级服务</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▲配置外网防火墙与医院现有防火墙设备双机高可用集成，提供技术证明函。</w:t>
      </w:r>
    </w:p>
    <w:p>
      <w:pPr>
        <w:pageBreakBefore w:val="0"/>
        <w:widowControl w:val="0"/>
        <w:tabs>
          <w:tab w:val="left" w:pos="900"/>
        </w:tabs>
        <w:kinsoku/>
        <w:wordWrap/>
        <w:topLinePunct w:val="0"/>
        <w:autoSpaceDE/>
        <w:autoSpaceDN/>
        <w:bidi w:val="0"/>
        <w:snapToGrid w:val="0"/>
        <w:spacing w:line="360" w:lineRule="auto"/>
        <w:ind w:firstLine="482" w:firstLineChars="200"/>
        <w:jc w:val="left"/>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28</w:t>
      </w:r>
      <w:r>
        <w:rPr>
          <w:rFonts w:ascii="宋体" w:hAnsi="宋体" w:cs="宋体"/>
          <w:b/>
          <w:bCs/>
          <w:color w:val="auto"/>
          <w:kern w:val="2"/>
          <w:sz w:val="24"/>
          <w:szCs w:val="24"/>
          <w:highlight w:val="none"/>
        </w:rPr>
        <w:t>、</w:t>
      </w:r>
      <w:r>
        <w:rPr>
          <w:rFonts w:hint="eastAsia" w:ascii="宋体" w:hAnsi="宋体" w:cs="宋体"/>
          <w:b/>
          <w:bCs/>
          <w:color w:val="auto"/>
          <w:kern w:val="2"/>
          <w:sz w:val="24"/>
          <w:szCs w:val="24"/>
          <w:highlight w:val="none"/>
        </w:rPr>
        <w:t>网络入侵防御系统</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1）性能要求</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提供不少于一台网络入侵防御设备，网络层吞吐量≥20Gbps，IPS吞吐量≥1.6Gbps，HTTP新建连接数≥150000，HTTP并发连接数≥2200000，内存大小≥8G，硬盘容量≥128GB SSD，千兆电口≥6个，万兆光口SFP+≥2个。</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2）部署方式</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支持路由模式、透明网桥部署、旁路部署、单臂部署以及混合部署等多种方式</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3）网络特性</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支持端口联动功能，当上行/下行端口链路出现故障时，对应的另一端下行/上行端口自动切断链路</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4）路由支持</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支持多链路出站负载，支持基于源/目的IP、源/目的端口、协议、ISP、应用类型以及国家地域来进行选路的策略路由选路功能；</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5）基础功能</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▲访问控制规则支持数据模拟匹配，输入源目的IP、端口、协议五元组信息，模拟策略匹配方式，给出最可能的匹配结果，方便排查故障，或环境部署前的调试；（需提供产品功能截图证明并加盖公章）</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6）应用识别与流量控制</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支持P2P、IM、游戏、炒股软件、网银，流媒体，常用邮件以及远程控制软件等的识别和控制，支持识别管控的应用类型超过1200种，应用识别规则总数超过3000条；</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7）URL过滤</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内置海量URL分类库，包含非法及不良网站、成人内容、网上购物、微博论坛等分类，实现全面高效的不良网站过滤</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8）内容安全防护</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支持针对SMTP、POP3、IMAP邮件协议的内容检测，如邮件附件病毒检测、邮件内容恶意链接检测，邮件异常账号检测等，支持根据邮件附件类型进行文件过滤；支持针对HTTP、FTP协议内容检测与病毒查杀；</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9）入侵防护功能</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设备具备独立的入侵防护漏洞规则特征库，特征总数在7000条以上；</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支持对常见应用服务（FTP、SSH、SMTP、IMAP、POP3、 RDP、Rlogin、SMB、Telnet、Weblogic、VNC）和数据库软件（MySQL、Oracle、MSSQL）的口令暴力破解防护功能</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支持同访问控制规则进行联动，可以针对检测到的攻击源IP进行联动封锁，支持自定义封锁时间；（需提供产品功能截图证明并加盖公章）</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10）僵尸主机检测</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设备具备独立的热门威胁库，支持木马、勒索软件、蠕虫、挖矿病毒等种类，特征总数在60万条以上；</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支持木马远控类、恶意链接类、移动安全类、异常流量类僵尸网络行为的检测；</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支持恶意域名重定向功能，用于DNS代理服务器场景下定位内网感染僵尸网络病毒的真实主机IP地址；（需提供产品功能截图证明并加盖公章）</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11）安全可视化</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产品安全能力图谱，可展示设备对资产防护的有效性，对当前的风险预测、风险防御、风险检测能力进行展示，并对当前资产安全状态进行评级；同时展示当前设备的安全能力等级，展示每日安全能力的更新情况；（需提供相关功能截图证明）</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12）高可用性</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与现有设备支持A/S，A/A方式部署；提供完善的双机热备处理机制，支持配置同步，会话同步和用户状态同步，保证主机发生故障时，业务可以自动平滑切换到备机上运行</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）服务要求</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提供原厂盖章的3年质保服务承诺函, 3年特征库升级服务。</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▲配置网络入侵防御系统与医院现有网络入侵防御系统设备双机高可用集成，提供技术证明函。</w:t>
      </w:r>
    </w:p>
    <w:p>
      <w:pPr>
        <w:pageBreakBefore w:val="0"/>
        <w:widowControl w:val="0"/>
        <w:kinsoku/>
        <w:wordWrap/>
        <w:topLinePunct w:val="0"/>
        <w:autoSpaceDE/>
        <w:autoSpaceDN/>
        <w:bidi w:val="0"/>
        <w:snapToGrid w:val="0"/>
        <w:spacing w:line="360" w:lineRule="auto"/>
        <w:ind w:firstLine="482" w:firstLineChars="20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29、web应用防护系统(WAF)</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1）性能要求：</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提供一台web应用防护设备，网络层吞吐量≥20Gbps，HTTP应用层吞吐量≥1Gbps，HTTP新建连接数≥150000，HTTP并发连接数≥2200000，内存大小≥8G，硬盘容量≥128GB SSD，千兆电口≥6个，万兆光口SFP+≥2个，提供3年产品质保，3年软件升级</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2）部署方式：</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支持虚拟网线部署、透明部署、路由部署、旁路镜像等多种部署方式，适应复杂使用环境的接入要求，为保障冗余性，要求本设备能够与现网的设备组成双机；</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3）协议解析：</w:t>
      </w:r>
      <w:bookmarkStart w:id="76" w:name="_Hlk41982860"/>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支持HTTP、HTTPS协议流量检测</w:t>
      </w:r>
      <w:bookmarkEnd w:id="76"/>
      <w:r>
        <w:rPr>
          <w:rFonts w:hint="eastAsia" w:ascii="宋体" w:hAnsi="宋体" w:cs="宋体"/>
          <w:color w:val="auto"/>
          <w:sz w:val="24"/>
          <w:szCs w:val="24"/>
          <w:highlight w:val="none"/>
        </w:rPr>
        <w:t xml:space="preserve">； </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支持伪静态解析；</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支持通过X-Forwarded-For、Cdn-Src-Ip、Clientip三种方式识别访问的源IP、并用于日志记录和联动封锁。</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4）HTTP异常检测：</w:t>
      </w:r>
      <w:bookmarkStart w:id="77" w:name="_Hlk41982903"/>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识别HTTP异常，包含HTTP方法过滤、HTTP头部字段Referer、User-Agent等注入检测、Host检测、URL溢出检测、POST实体溢出检测、HTTP头部溢出检测、range字段防护、multipart头部字段异常检测。（需提供产品功能截图证明并加盖公章）</w:t>
      </w:r>
      <w:bookmarkEnd w:id="77"/>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5）Web应用防护：</w:t>
      </w:r>
      <w:bookmarkStart w:id="78" w:name="_Hlk41982999"/>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支持防护SQL注入、XSS攻击、网页木马、网站扫描、Webshell、跨站请求伪造（CSRF）、系统命令注入、文件包含攻击、目录遍历攻击、信息泄露攻击、Web漏洞攻击等</w:t>
      </w:r>
      <w:bookmarkEnd w:id="78"/>
      <w:r>
        <w:rPr>
          <w:rFonts w:hint="eastAsia" w:ascii="宋体" w:hAnsi="宋体" w:cs="宋体"/>
          <w:color w:val="auto"/>
          <w:sz w:val="24"/>
          <w:szCs w:val="24"/>
          <w:highlight w:val="none"/>
        </w:rPr>
        <w:t>；</w:t>
      </w:r>
      <w:bookmarkStart w:id="79" w:name="_Hlk41983236"/>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支持Cookie攻击防护，支持检测到篡改时将Cookie替换为*，支持自定义需要防护的Cookie属性范围，包括防护所有Cookie属性、防护指定Cookie属性、不防护指定Cookie属性</w:t>
      </w:r>
      <w:bookmarkEnd w:id="79"/>
      <w:r>
        <w:rPr>
          <w:rFonts w:hint="eastAsia" w:ascii="宋体" w:hAnsi="宋体" w:cs="宋体"/>
          <w:color w:val="auto"/>
          <w:sz w:val="24"/>
          <w:szCs w:val="24"/>
          <w:highlight w:val="none"/>
        </w:rPr>
        <w:t>；</w:t>
      </w:r>
      <w:bookmarkStart w:id="80" w:name="_Hlk41983274"/>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支持自定义Web应用防护规则，通过基于正则表达式自定义规则匹配方向、动作、字符串、危险等级、动作、攻击影响、描述等。</w:t>
      </w:r>
      <w:bookmarkEnd w:id="80"/>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6）防扫描和数据防泄漏：</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支持HTTP应用隐藏，支持过滤如Server、X-powered-by类型的HTTP响应报文头，支持替换服务器出错页面（5XX）和替换服务器出错页面（4XX）</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漏洞防扫描，包括404页面检测、WAF规则拦截频率检测、目录访问频率检测、使用不常见的HTTP请求方法、匹配强弱规则扫描、敏感文件扫描等扫描行为特征，支持自定义封锁扫描IP封锁时间、支持隐藏服务器信息。</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支持数据泄密防护，支持敏感信息自定义命中次数统计方式，支持自定义文件下载类型过滤；支持检测到敏感数据泄露时短信告警，支持自定义数据泄密规则库</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7）口令防护：</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支持WEB弱口令检测、WEB登录明文传输检测、WEB口令爆破防护；</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支持识别和拦截中低频、分布式等高级WEB口令爆破攻击方式。</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8）权限控制：</w:t>
      </w:r>
      <w:bookmarkStart w:id="81" w:name="_Hlk41984022"/>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支持基于地域维度配置访问控制策略，地址库包含中国大陆及海外地区。</w:t>
      </w:r>
      <w:bookmarkEnd w:id="81"/>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支持Web权限控制，支持自定义文件上传类型过滤，防止通过修改文件后缀名绕过检测</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支持用户登录权限防护，支持Web登录和非Web登录方式防护，支持短信验证登入</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支持URL防护，可自定义允许访问的地址和拒绝访问的地址。</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9）界面展示：</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支持针对业务风险汇总，支持展示业务安全状态分布，包括已失陷业务、正在遭受攻击的业务、存在漏洞但暂时未被攻击的业务，以及最近7天内的漏洞风险分布情况；</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支持对业务详情进行展示，包括业务存在关键的风险，可以提供具体的攻击链过程并对攻击进行举证；</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支持针对业务攻击事件汇总，展示攻击事件类型TOP5及当前业务命中的全网实时热点事件，支持通过地图区域颜色深浅展示攻击者的分布及数量，展示攻击次数排名TOP5的国家/地区；</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支持对检测到的攻击行为按照IP地址的地理位置信息进行威胁信息动态投屏展示，实时监测和展示最新的攻击威胁信息。（需提供产品功能截图证明并加盖公章）</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10）</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▲所投产品的生产厂商应是国家互联网应急响应中心网络安全应急服务国家级支撑单位，提供有效证书的复印件；</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11）服务要求</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提供原厂盖章的3年质保服务承诺函, 3年特征库升级服务。</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▲配置</w:t>
      </w:r>
      <w:bookmarkStart w:id="82" w:name="_Hlk154310691"/>
      <w:r>
        <w:rPr>
          <w:rFonts w:hint="eastAsia" w:ascii="宋体" w:hAnsi="宋体" w:cs="宋体"/>
          <w:color w:val="auto"/>
          <w:sz w:val="24"/>
          <w:szCs w:val="24"/>
          <w:highlight w:val="none"/>
        </w:rPr>
        <w:t>W</w:t>
      </w:r>
      <w:r>
        <w:rPr>
          <w:rFonts w:ascii="宋体" w:hAnsi="宋体" w:cs="宋体"/>
          <w:color w:val="auto"/>
          <w:sz w:val="24"/>
          <w:szCs w:val="24"/>
          <w:highlight w:val="none"/>
        </w:rPr>
        <w:t>EB</w:t>
      </w:r>
      <w:r>
        <w:rPr>
          <w:rFonts w:hint="eastAsia" w:ascii="宋体" w:hAnsi="宋体" w:cs="宋体"/>
          <w:color w:val="auto"/>
          <w:sz w:val="24"/>
          <w:szCs w:val="24"/>
          <w:highlight w:val="none"/>
        </w:rPr>
        <w:t>应用防护系统</w:t>
      </w:r>
      <w:bookmarkEnd w:id="82"/>
      <w:r>
        <w:rPr>
          <w:rFonts w:hint="eastAsia" w:ascii="宋体" w:hAnsi="宋体" w:cs="宋体"/>
          <w:color w:val="auto"/>
          <w:sz w:val="24"/>
          <w:szCs w:val="24"/>
          <w:highlight w:val="none"/>
        </w:rPr>
        <w:t>与医院现有WEB应用防护系统设备双机高可用集成，提供技术证明函。</w:t>
      </w:r>
    </w:p>
    <w:p>
      <w:pPr>
        <w:pageBreakBefore w:val="0"/>
        <w:widowControl w:val="0"/>
        <w:kinsoku/>
        <w:wordWrap/>
        <w:topLinePunct w:val="0"/>
        <w:autoSpaceDE/>
        <w:autoSpaceDN/>
        <w:bidi w:val="0"/>
        <w:snapToGrid w:val="0"/>
        <w:spacing w:line="360" w:lineRule="auto"/>
        <w:ind w:firstLine="482" w:firstLineChars="20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30、门诊医疗业务系统服务及保障</w:t>
      </w:r>
    </w:p>
    <w:p>
      <w:pPr>
        <w:pageBreakBefore w:val="0"/>
        <w:widowControl w:val="0"/>
        <w:kinsoku/>
        <w:wordWrap/>
        <w:topLinePunct w:val="0"/>
        <w:autoSpaceDE/>
        <w:autoSpaceDN/>
        <w:bidi w:val="0"/>
        <w:snapToGrid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▲1)上线期间 PACS/LIS 应用服务配置，新增工作站，新科室智能分诊接口对接服务。(提供PACS/LIS新增工作站许可和接口对接方案、提供对接内容详细报价清单）</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2）医技预约系统扩展对接服务。新业务科室及诊断医生进行分工、排班管理，其中包含，对医生级别分组，设备类型分组、患者类型分组、检查部位等多种分配策略进行医生分组管理。（提供技术服务支持函）</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3）预约登记服务工作站，支持检查预约/取消、检查单打印/可打印条码、支持申请单拍摄/扫描功能。</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4）设备搬迁后系统及工作站配置，IP地址变更后协议调整设置。</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5）提供相关系统使用培训服务、提供2名专业工程师保障服务。(提供专业工程师清单及社保清单)</w:t>
      </w:r>
    </w:p>
    <w:p>
      <w:pPr>
        <w:pageBreakBefore w:val="0"/>
        <w:widowControl w:val="0"/>
        <w:tabs>
          <w:tab w:val="left" w:pos="900"/>
        </w:tabs>
        <w:kinsoku/>
        <w:wordWrap/>
        <w:topLinePunct w:val="0"/>
        <w:autoSpaceDE/>
        <w:autoSpaceDN/>
        <w:bidi w:val="0"/>
        <w:snapToGrid w:val="0"/>
        <w:spacing w:line="360" w:lineRule="auto"/>
        <w:ind w:firstLine="482" w:firstLineChars="200"/>
        <w:jc w:val="left"/>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31、施工、辅材、安装、调试等</w:t>
      </w:r>
    </w:p>
    <w:p>
      <w:pPr>
        <w:pageBreakBefore w:val="0"/>
        <w:widowControl w:val="0"/>
        <w:kinsoku/>
        <w:wordWrap/>
        <w:topLinePunct w:val="0"/>
        <w:autoSpaceDE/>
        <w:autoSpaceDN/>
        <w:bidi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该项目为交钥匙工程，包含：设备运输、设备安装、设备调试以及其他辅材。</w:t>
      </w:r>
    </w:p>
    <w:p>
      <w:pPr>
        <w:pStyle w:val="2"/>
        <w:spacing w:line="360" w:lineRule="auto"/>
        <w:jc w:val="both"/>
        <w:rPr>
          <w:rFonts w:hint="eastAsia" w:ascii="宋体" w:hAnsi="宋体" w:eastAsia="宋体" w:cs="宋体"/>
          <w:color w:val="auto"/>
          <w:sz w:val="24"/>
          <w:szCs w:val="24"/>
          <w:highlight w:val="none"/>
        </w:rPr>
      </w:pPr>
    </w:p>
    <w:p>
      <w:pPr>
        <w:spacing w:line="360" w:lineRule="auto"/>
        <w:ind w:firstLine="480" w:firstLineChars="200"/>
        <w:jc w:val="left"/>
        <w:rPr>
          <w:rFonts w:hint="eastAsia" w:ascii="宋体" w:hAnsi="宋体" w:eastAsia="宋体" w:cs="宋体"/>
          <w:color w:val="auto"/>
          <w:sz w:val="24"/>
          <w:szCs w:val="24"/>
          <w:highlight w:val="none"/>
        </w:rPr>
      </w:pPr>
    </w:p>
    <w:p>
      <w:pPr>
        <w:pStyle w:val="5"/>
        <w:pageBreakBefore w:val="0"/>
        <w:kinsoku/>
        <w:wordWrap/>
        <w:overflowPunct/>
        <w:topLinePunct w:val="0"/>
        <w:autoSpaceDE/>
        <w:autoSpaceDN/>
        <w:bidi w:val="0"/>
        <w:adjustRightInd/>
        <w:spacing w:line="360" w:lineRule="auto"/>
        <w:jc w:val="center"/>
        <w:textAlignment w:val="auto"/>
        <w:rPr>
          <w:rFonts w:hint="eastAsia" w:ascii="宋体" w:hAnsi="宋体"/>
          <w:b w:val="0"/>
          <w:color w:val="auto"/>
          <w:sz w:val="44"/>
          <w:szCs w:val="44"/>
          <w:highlight w:val="none"/>
        </w:rPr>
      </w:pPr>
      <w:r>
        <w:rPr>
          <w:color w:val="auto"/>
          <w:sz w:val="24"/>
          <w:szCs w:val="24"/>
          <w:highlight w:val="none"/>
        </w:rPr>
        <w:br w:type="page"/>
      </w:r>
      <w:r>
        <w:rPr>
          <w:rFonts w:hint="eastAsia" w:ascii="宋体" w:hAnsi="宋体"/>
          <w:b w:val="0"/>
          <w:color w:val="auto"/>
          <w:sz w:val="44"/>
          <w:szCs w:val="44"/>
          <w:highlight w:val="none"/>
        </w:rPr>
        <w:t>第五部分  合同格式及条款</w:t>
      </w:r>
      <w:bookmarkEnd w:id="74"/>
      <w:bookmarkEnd w:id="75"/>
    </w:p>
    <w:p>
      <w:pPr>
        <w:rPr>
          <w:rFonts w:hint="eastAsia" w:ascii="宋体" w:hAnsi="宋体"/>
          <w:color w:val="auto"/>
          <w:highlight w:val="none"/>
        </w:rPr>
      </w:pPr>
      <w:bookmarkStart w:id="83" w:name="EB92fb24a891e34ea29920d90c75406592"/>
    </w:p>
    <w:bookmarkEnd w:id="83"/>
    <w:p>
      <w:pPr>
        <w:jc w:val="center"/>
        <w:rPr>
          <w:rFonts w:ascii="宋体" w:hAnsi="宋体" w:cs="宋体"/>
          <w:b/>
          <w:color w:val="auto"/>
          <w:sz w:val="36"/>
          <w:szCs w:val="36"/>
          <w:highlight w:val="none"/>
        </w:rPr>
      </w:pPr>
      <w:bookmarkStart w:id="84" w:name="_Toc514054483"/>
      <w:r>
        <w:rPr>
          <w:rFonts w:hint="eastAsia" w:ascii="宋体" w:hAnsi="宋体" w:cs="宋体"/>
          <w:b/>
          <w:color w:val="auto"/>
          <w:sz w:val="36"/>
          <w:szCs w:val="36"/>
          <w:highlight w:val="none"/>
        </w:rPr>
        <w:t>东南大学附属中大医院物资设备采购合同</w:t>
      </w:r>
    </w:p>
    <w:p>
      <w:pPr>
        <w:ind w:right="900"/>
        <w:jc w:val="right"/>
        <w:rPr>
          <w:rFonts w:ascii="宋体" w:hAnsi="宋体" w:cs="宋体"/>
          <w:b/>
          <w:color w:val="auto"/>
          <w:kern w:val="44"/>
          <w:szCs w:val="21"/>
          <w:highlight w:val="none"/>
        </w:rPr>
      </w:pPr>
      <w:r>
        <w:rPr>
          <w:rFonts w:hint="eastAsia" w:ascii="宋体" w:hAnsi="宋体" w:cs="宋体"/>
          <w:b/>
          <w:color w:val="auto"/>
          <w:kern w:val="44"/>
          <w:szCs w:val="21"/>
          <w:highlight w:val="none"/>
        </w:rPr>
        <w:t>合同编号：</w:t>
      </w:r>
    </w:p>
    <w:p>
      <w:pPr>
        <w:ind w:firstLine="420" w:firstLineChars="200"/>
        <w:jc w:val="both"/>
        <w:rPr>
          <w:rFonts w:ascii="宋体" w:hAnsi="宋体" w:cs="宋体"/>
          <w:color w:val="auto"/>
          <w:highlight w:val="none"/>
        </w:rPr>
      </w:pPr>
      <w:r>
        <w:rPr>
          <w:rFonts w:hint="eastAsia" w:ascii="宋体" w:hAnsi="宋体" w:cs="宋体"/>
          <w:color w:val="auto"/>
          <w:highlight w:val="none"/>
        </w:rPr>
        <w:t>甲方（采购人）：东南大学附属中大医院</w:t>
      </w:r>
    </w:p>
    <w:p>
      <w:pPr>
        <w:ind w:firstLine="420" w:firstLineChars="200"/>
        <w:jc w:val="both"/>
        <w:rPr>
          <w:rFonts w:ascii="宋体" w:hAnsi="宋体" w:cs="宋体"/>
          <w:color w:val="auto"/>
          <w:highlight w:val="none"/>
        </w:rPr>
      </w:pPr>
      <w:r>
        <w:rPr>
          <w:rFonts w:hint="eastAsia" w:ascii="宋体" w:hAnsi="宋体" w:cs="宋体"/>
          <w:color w:val="auto"/>
          <w:highlight w:val="none"/>
        </w:rPr>
        <w:t>乙方（供应商）</w:t>
      </w:r>
    </w:p>
    <w:p>
      <w:pPr>
        <w:ind w:firstLine="420" w:firstLineChars="200"/>
        <w:jc w:val="both"/>
        <w:rPr>
          <w:rFonts w:ascii="宋体" w:hAnsi="宋体" w:cs="宋体"/>
          <w:color w:val="auto"/>
          <w:highlight w:val="none"/>
        </w:rPr>
      </w:pPr>
      <w:r>
        <w:rPr>
          <w:rFonts w:hint="eastAsia" w:ascii="宋体" w:hAnsi="宋体" w:cs="宋体"/>
          <w:color w:val="auto"/>
          <w:highlight w:val="none"/>
        </w:rPr>
        <w:t>东南大学附属中大医院于年月日组织所需设备采购的招投标活动，确定由公司中标并组织供货（品牌：）。为增强甲乙双方的责任感，保护双方的合法权益，经充分协商，特订立本合同，以便共同遵守。</w:t>
      </w:r>
    </w:p>
    <w:p>
      <w:pPr>
        <w:wordWrap w:val="0"/>
        <w:spacing w:beforeLines="50" w:afterLines="50"/>
        <w:ind w:firstLine="422" w:firstLineChars="200"/>
        <w:jc w:val="both"/>
        <w:rPr>
          <w:rFonts w:ascii="宋体" w:hAnsi="宋体" w:cs="宋体"/>
          <w:b/>
          <w:color w:val="auto"/>
          <w:highlight w:val="none"/>
        </w:rPr>
      </w:pPr>
      <w:r>
        <w:rPr>
          <w:rFonts w:hint="eastAsia" w:ascii="宋体" w:hAnsi="宋体" w:cs="宋体"/>
          <w:b/>
          <w:color w:val="auto"/>
          <w:highlight w:val="none"/>
        </w:rPr>
        <w:t>第一条采购标的及价款</w:t>
      </w:r>
    </w:p>
    <w:p>
      <w:pPr>
        <w:wordWrap w:val="0"/>
        <w:spacing w:afterLines="50"/>
        <w:ind w:left="479" w:leftChars="228"/>
        <w:jc w:val="both"/>
        <w:rPr>
          <w:rFonts w:ascii="宋体" w:hAnsi="宋体" w:cs="宋体"/>
          <w:color w:val="auto"/>
          <w:highlight w:val="none"/>
        </w:rPr>
      </w:pPr>
      <w:r>
        <w:rPr>
          <w:rFonts w:hint="eastAsia" w:ascii="宋体" w:hAnsi="宋体" w:cs="宋体"/>
          <w:color w:val="auto"/>
          <w:highlight w:val="none"/>
        </w:rPr>
        <w:t>1.1 本次甲方采购物资设备具体如下列清单所示：</w:t>
      </w:r>
    </w:p>
    <w:tbl>
      <w:tblPr>
        <w:tblStyle w:val="63"/>
        <w:tblpPr w:leftFromText="180" w:rightFromText="180" w:vertAnchor="text" w:horzAnchor="margin" w:tblpY="43"/>
        <w:tblW w:w="94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819"/>
        <w:gridCol w:w="1785"/>
        <w:gridCol w:w="945"/>
        <w:gridCol w:w="735"/>
        <w:gridCol w:w="1050"/>
        <w:gridCol w:w="1050"/>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trPr>
        <w:tc>
          <w:tcPr>
            <w:tcW w:w="1809" w:type="dxa"/>
            <w:tcBorders>
              <w:top w:val="single" w:color="auto" w:sz="4" w:space="0"/>
              <w:left w:val="single" w:color="auto" w:sz="4" w:space="0"/>
              <w:bottom w:val="single" w:color="auto" w:sz="4" w:space="0"/>
              <w:right w:val="single" w:color="auto" w:sz="4" w:space="0"/>
            </w:tcBorders>
            <w:vAlign w:val="center"/>
          </w:tcPr>
          <w:p>
            <w:pPr>
              <w:jc w:val="both"/>
              <w:rPr>
                <w:rFonts w:ascii="宋体" w:hAnsi="宋体" w:cs="宋体"/>
                <w:color w:val="auto"/>
                <w:highlight w:val="none"/>
              </w:rPr>
            </w:pPr>
            <w:r>
              <w:rPr>
                <w:rFonts w:hint="eastAsia" w:ascii="宋体" w:hAnsi="宋体" w:cs="宋体"/>
                <w:color w:val="auto"/>
                <w:highlight w:val="none"/>
              </w:rPr>
              <w:t>物资设备名称</w:t>
            </w:r>
          </w:p>
        </w:tc>
        <w:tc>
          <w:tcPr>
            <w:tcW w:w="819" w:type="dxa"/>
            <w:tcBorders>
              <w:top w:val="single" w:color="auto" w:sz="4" w:space="0"/>
              <w:left w:val="single" w:color="auto" w:sz="4" w:space="0"/>
              <w:bottom w:val="single" w:color="auto" w:sz="4" w:space="0"/>
              <w:right w:val="single" w:color="auto" w:sz="4" w:space="0"/>
            </w:tcBorders>
            <w:vAlign w:val="center"/>
          </w:tcPr>
          <w:p>
            <w:pPr>
              <w:jc w:val="both"/>
              <w:rPr>
                <w:rFonts w:ascii="宋体" w:hAnsi="宋体" w:cs="宋体"/>
                <w:color w:val="auto"/>
                <w:highlight w:val="none"/>
              </w:rPr>
            </w:pPr>
            <w:r>
              <w:rPr>
                <w:rFonts w:hint="eastAsia" w:ascii="宋体" w:hAnsi="宋体" w:cs="宋体"/>
                <w:color w:val="auto"/>
                <w:highlight w:val="none"/>
              </w:rPr>
              <w:t>品牌</w:t>
            </w:r>
          </w:p>
        </w:tc>
        <w:tc>
          <w:tcPr>
            <w:tcW w:w="1785" w:type="dxa"/>
            <w:tcBorders>
              <w:top w:val="single" w:color="auto" w:sz="4" w:space="0"/>
              <w:left w:val="single" w:color="auto" w:sz="4" w:space="0"/>
              <w:bottom w:val="single" w:color="auto" w:sz="4" w:space="0"/>
              <w:right w:val="single" w:color="auto" w:sz="4" w:space="0"/>
            </w:tcBorders>
            <w:vAlign w:val="center"/>
          </w:tcPr>
          <w:p>
            <w:pPr>
              <w:jc w:val="both"/>
              <w:rPr>
                <w:rFonts w:ascii="宋体" w:hAnsi="宋体" w:cs="宋体"/>
                <w:color w:val="auto"/>
                <w:highlight w:val="none"/>
              </w:rPr>
            </w:pPr>
            <w:r>
              <w:rPr>
                <w:rFonts w:hint="eastAsia" w:ascii="宋体" w:hAnsi="宋体" w:cs="宋体"/>
                <w:color w:val="auto"/>
                <w:highlight w:val="none"/>
              </w:rPr>
              <w:t>型号、配置</w:t>
            </w:r>
          </w:p>
        </w:tc>
        <w:tc>
          <w:tcPr>
            <w:tcW w:w="945" w:type="dxa"/>
            <w:tcBorders>
              <w:top w:val="single" w:color="auto" w:sz="4" w:space="0"/>
              <w:left w:val="single" w:color="auto" w:sz="4" w:space="0"/>
              <w:bottom w:val="single" w:color="auto" w:sz="4" w:space="0"/>
              <w:right w:val="single" w:color="auto" w:sz="4" w:space="0"/>
            </w:tcBorders>
            <w:vAlign w:val="center"/>
          </w:tcPr>
          <w:p>
            <w:pPr>
              <w:jc w:val="both"/>
              <w:rPr>
                <w:rFonts w:ascii="宋体" w:hAnsi="宋体" w:cs="宋体"/>
                <w:color w:val="auto"/>
                <w:highlight w:val="none"/>
              </w:rPr>
            </w:pPr>
            <w:r>
              <w:rPr>
                <w:rFonts w:hint="eastAsia" w:ascii="宋体" w:hAnsi="宋体" w:cs="宋体"/>
                <w:color w:val="auto"/>
                <w:highlight w:val="none"/>
              </w:rPr>
              <w:t>产地</w:t>
            </w:r>
          </w:p>
        </w:tc>
        <w:tc>
          <w:tcPr>
            <w:tcW w:w="735" w:type="dxa"/>
            <w:tcBorders>
              <w:top w:val="single" w:color="auto" w:sz="4" w:space="0"/>
              <w:left w:val="single" w:color="auto" w:sz="4" w:space="0"/>
              <w:bottom w:val="single" w:color="auto" w:sz="4" w:space="0"/>
              <w:right w:val="single" w:color="auto" w:sz="4" w:space="0"/>
            </w:tcBorders>
            <w:vAlign w:val="center"/>
          </w:tcPr>
          <w:p>
            <w:pPr>
              <w:jc w:val="both"/>
              <w:rPr>
                <w:rFonts w:ascii="宋体" w:hAnsi="宋体" w:cs="宋体"/>
                <w:color w:val="auto"/>
                <w:highlight w:val="none"/>
              </w:rPr>
            </w:pPr>
            <w:r>
              <w:rPr>
                <w:rFonts w:hint="eastAsia" w:ascii="宋体" w:hAnsi="宋体" w:cs="宋体"/>
                <w:color w:val="auto"/>
                <w:highlight w:val="none"/>
              </w:rPr>
              <w:t>数量</w:t>
            </w:r>
          </w:p>
        </w:tc>
        <w:tc>
          <w:tcPr>
            <w:tcW w:w="1050" w:type="dxa"/>
            <w:tcBorders>
              <w:top w:val="single" w:color="auto" w:sz="4" w:space="0"/>
              <w:left w:val="single" w:color="auto" w:sz="4" w:space="0"/>
              <w:bottom w:val="single" w:color="auto" w:sz="4" w:space="0"/>
              <w:right w:val="single" w:color="auto" w:sz="4" w:space="0"/>
            </w:tcBorders>
            <w:vAlign w:val="center"/>
          </w:tcPr>
          <w:p>
            <w:pPr>
              <w:jc w:val="both"/>
              <w:rPr>
                <w:rFonts w:ascii="宋体" w:hAnsi="宋体" w:cs="宋体"/>
                <w:color w:val="auto"/>
                <w:highlight w:val="none"/>
              </w:rPr>
            </w:pPr>
            <w:r>
              <w:rPr>
                <w:rFonts w:hint="eastAsia" w:ascii="宋体" w:hAnsi="宋体" w:cs="宋体"/>
                <w:color w:val="auto"/>
                <w:highlight w:val="none"/>
              </w:rPr>
              <w:t>单价</w:t>
            </w:r>
          </w:p>
        </w:tc>
        <w:tc>
          <w:tcPr>
            <w:tcW w:w="1050" w:type="dxa"/>
            <w:tcBorders>
              <w:top w:val="single" w:color="auto" w:sz="4" w:space="0"/>
              <w:left w:val="single" w:color="auto" w:sz="4" w:space="0"/>
              <w:bottom w:val="single" w:color="auto" w:sz="4" w:space="0"/>
              <w:right w:val="single" w:color="auto" w:sz="4" w:space="0"/>
            </w:tcBorders>
            <w:vAlign w:val="center"/>
          </w:tcPr>
          <w:p>
            <w:pPr>
              <w:jc w:val="both"/>
              <w:rPr>
                <w:rFonts w:ascii="宋体" w:hAnsi="宋体" w:cs="宋体"/>
                <w:color w:val="auto"/>
                <w:highlight w:val="none"/>
              </w:rPr>
            </w:pPr>
            <w:r>
              <w:rPr>
                <w:rFonts w:hint="eastAsia" w:ascii="宋体" w:hAnsi="宋体" w:cs="宋体"/>
                <w:color w:val="auto"/>
                <w:highlight w:val="none"/>
              </w:rPr>
              <w:t>金额</w:t>
            </w:r>
          </w:p>
        </w:tc>
        <w:tc>
          <w:tcPr>
            <w:tcW w:w="1260" w:type="dxa"/>
            <w:tcBorders>
              <w:top w:val="single" w:color="auto" w:sz="4" w:space="0"/>
              <w:left w:val="single" w:color="auto" w:sz="4" w:space="0"/>
              <w:bottom w:val="single" w:color="auto" w:sz="4" w:space="0"/>
              <w:right w:val="single" w:color="auto" w:sz="4" w:space="0"/>
            </w:tcBorders>
            <w:vAlign w:val="center"/>
          </w:tcPr>
          <w:p>
            <w:pPr>
              <w:jc w:val="both"/>
              <w:rPr>
                <w:rFonts w:ascii="宋体" w:hAnsi="宋体" w:cs="宋体"/>
                <w:color w:val="auto"/>
                <w:highlight w:val="none"/>
              </w:rPr>
            </w:pPr>
            <w:r>
              <w:rPr>
                <w:rFonts w:hint="eastAsia" w:ascii="宋体" w:hAnsi="宋体" w:cs="宋体"/>
                <w:color w:val="auto"/>
                <w:highlight w:val="none"/>
              </w:rPr>
              <w:t>具体用户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trPr>
        <w:tc>
          <w:tcPr>
            <w:tcW w:w="1809" w:type="dxa"/>
            <w:tcBorders>
              <w:top w:val="single" w:color="auto" w:sz="4" w:space="0"/>
              <w:left w:val="single" w:color="auto" w:sz="4" w:space="0"/>
              <w:bottom w:val="single" w:color="auto" w:sz="4" w:space="0"/>
              <w:right w:val="single" w:color="auto" w:sz="4" w:space="0"/>
            </w:tcBorders>
            <w:vAlign w:val="center"/>
          </w:tcPr>
          <w:p>
            <w:pPr>
              <w:jc w:val="both"/>
              <w:rPr>
                <w:rFonts w:ascii="宋体" w:hAnsi="宋体" w:cs="宋体"/>
                <w:color w:val="auto"/>
                <w:highlight w:val="none"/>
              </w:rPr>
            </w:pPr>
          </w:p>
        </w:tc>
        <w:tc>
          <w:tcPr>
            <w:tcW w:w="819" w:type="dxa"/>
            <w:tcBorders>
              <w:top w:val="single" w:color="auto" w:sz="4" w:space="0"/>
              <w:left w:val="single" w:color="auto" w:sz="4" w:space="0"/>
              <w:bottom w:val="single" w:color="auto" w:sz="4" w:space="0"/>
              <w:right w:val="single" w:color="auto" w:sz="4" w:space="0"/>
            </w:tcBorders>
            <w:vAlign w:val="center"/>
          </w:tcPr>
          <w:p>
            <w:pPr>
              <w:jc w:val="both"/>
              <w:rPr>
                <w:rFonts w:ascii="宋体" w:hAnsi="宋体" w:cs="宋体"/>
                <w:color w:val="auto"/>
                <w:highlight w:val="none"/>
              </w:rPr>
            </w:pPr>
          </w:p>
        </w:tc>
        <w:tc>
          <w:tcPr>
            <w:tcW w:w="1785" w:type="dxa"/>
            <w:tcBorders>
              <w:top w:val="single" w:color="auto" w:sz="4" w:space="0"/>
              <w:left w:val="single" w:color="auto" w:sz="4" w:space="0"/>
              <w:bottom w:val="single" w:color="auto" w:sz="4" w:space="0"/>
              <w:right w:val="single" w:color="auto" w:sz="4" w:space="0"/>
            </w:tcBorders>
            <w:vAlign w:val="center"/>
          </w:tcPr>
          <w:p>
            <w:pPr>
              <w:jc w:val="both"/>
              <w:rPr>
                <w:rFonts w:ascii="宋体" w:hAnsi="宋体" w:cs="宋体"/>
                <w:color w:val="auto"/>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pPr>
              <w:snapToGrid w:val="0"/>
              <w:jc w:val="both"/>
              <w:rPr>
                <w:rFonts w:ascii="宋体" w:hAnsi="宋体" w:cs="宋体"/>
                <w:color w:val="auto"/>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pPr>
              <w:jc w:val="both"/>
              <w:rPr>
                <w:rFonts w:ascii="宋体" w:hAnsi="宋体" w:cs="宋体"/>
                <w:color w:val="auto"/>
                <w:highlight w:val="none"/>
              </w:rPr>
            </w:pPr>
          </w:p>
        </w:tc>
        <w:tc>
          <w:tcPr>
            <w:tcW w:w="1050" w:type="dxa"/>
            <w:tcBorders>
              <w:top w:val="single" w:color="auto" w:sz="4" w:space="0"/>
              <w:left w:val="single" w:color="auto" w:sz="4" w:space="0"/>
              <w:bottom w:val="single" w:color="auto" w:sz="4" w:space="0"/>
              <w:right w:val="single" w:color="auto" w:sz="4" w:space="0"/>
            </w:tcBorders>
            <w:vAlign w:val="center"/>
          </w:tcPr>
          <w:p>
            <w:pPr>
              <w:jc w:val="both"/>
              <w:rPr>
                <w:rFonts w:ascii="宋体" w:hAnsi="宋体" w:cs="宋体"/>
                <w:color w:val="auto"/>
                <w:highlight w:val="none"/>
              </w:rPr>
            </w:pPr>
          </w:p>
        </w:tc>
        <w:tc>
          <w:tcPr>
            <w:tcW w:w="1050" w:type="dxa"/>
            <w:tcBorders>
              <w:top w:val="single" w:color="auto" w:sz="4" w:space="0"/>
              <w:left w:val="single" w:color="auto" w:sz="4" w:space="0"/>
              <w:bottom w:val="single" w:color="auto" w:sz="4" w:space="0"/>
              <w:right w:val="single" w:color="auto" w:sz="4" w:space="0"/>
            </w:tcBorders>
            <w:vAlign w:val="center"/>
          </w:tcPr>
          <w:p>
            <w:pPr>
              <w:jc w:val="both"/>
              <w:rPr>
                <w:rFonts w:ascii="宋体" w:hAnsi="宋体" w:cs="宋体"/>
                <w:color w:val="auto"/>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jc w:val="both"/>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trPr>
        <w:tc>
          <w:tcPr>
            <w:tcW w:w="1809" w:type="dxa"/>
            <w:tcBorders>
              <w:top w:val="single" w:color="auto" w:sz="4" w:space="0"/>
              <w:left w:val="single" w:color="auto" w:sz="4" w:space="0"/>
              <w:bottom w:val="single" w:color="auto" w:sz="4" w:space="0"/>
              <w:right w:val="single" w:color="auto" w:sz="4" w:space="0"/>
            </w:tcBorders>
            <w:vAlign w:val="center"/>
          </w:tcPr>
          <w:p>
            <w:pPr>
              <w:jc w:val="both"/>
              <w:rPr>
                <w:rFonts w:ascii="宋体" w:hAnsi="宋体" w:cs="宋体"/>
                <w:color w:val="auto"/>
                <w:highlight w:val="none"/>
              </w:rPr>
            </w:pPr>
            <w:r>
              <w:rPr>
                <w:rFonts w:hint="eastAsia" w:ascii="宋体" w:hAnsi="宋体" w:cs="宋体"/>
                <w:color w:val="auto"/>
                <w:highlight w:val="none"/>
              </w:rPr>
              <w:t>合同总金额</w:t>
            </w:r>
          </w:p>
          <w:p>
            <w:pPr>
              <w:jc w:val="both"/>
              <w:rPr>
                <w:rFonts w:ascii="宋体" w:hAnsi="宋体" w:cs="宋体"/>
                <w:color w:val="auto"/>
                <w:highlight w:val="none"/>
              </w:rPr>
            </w:pPr>
            <w:r>
              <w:rPr>
                <w:rFonts w:hint="eastAsia" w:ascii="宋体" w:hAnsi="宋体" w:cs="宋体"/>
                <w:color w:val="auto"/>
                <w:highlight w:val="none"/>
              </w:rPr>
              <w:t>（含税）</w:t>
            </w:r>
          </w:p>
        </w:tc>
        <w:tc>
          <w:tcPr>
            <w:tcW w:w="7644" w:type="dxa"/>
            <w:gridSpan w:val="7"/>
            <w:tcBorders>
              <w:top w:val="single" w:color="auto" w:sz="4" w:space="0"/>
              <w:left w:val="single" w:color="auto" w:sz="4" w:space="0"/>
              <w:bottom w:val="single" w:color="auto" w:sz="4" w:space="0"/>
              <w:right w:val="single" w:color="auto" w:sz="4" w:space="0"/>
            </w:tcBorders>
            <w:vAlign w:val="center"/>
          </w:tcPr>
          <w:p>
            <w:pPr>
              <w:jc w:val="both"/>
              <w:rPr>
                <w:rFonts w:ascii="宋体" w:hAnsi="宋体" w:cs="宋体"/>
                <w:color w:val="auto"/>
                <w:highlight w:val="none"/>
              </w:rPr>
            </w:pPr>
            <w:r>
              <w:rPr>
                <w:rFonts w:hint="eastAsia" w:ascii="宋体" w:hAnsi="宋体" w:cs="宋体"/>
                <w:color w:val="auto"/>
                <w:highlight w:val="none"/>
              </w:rPr>
              <w:t>人民币（大写）           元整（￥：         元整）</w:t>
            </w:r>
          </w:p>
        </w:tc>
      </w:tr>
    </w:tbl>
    <w:p>
      <w:pPr>
        <w:ind w:firstLine="420" w:firstLineChars="200"/>
        <w:jc w:val="both"/>
        <w:rPr>
          <w:rFonts w:ascii="宋体" w:hAnsi="宋体" w:cs="宋体"/>
          <w:color w:val="auto"/>
          <w:highlight w:val="none"/>
        </w:rPr>
      </w:pPr>
      <w:r>
        <w:rPr>
          <w:rFonts w:hint="eastAsia" w:ascii="宋体" w:hAnsi="宋体" w:cs="宋体"/>
          <w:color w:val="auto"/>
          <w:highlight w:val="none"/>
        </w:rPr>
        <w:t>1.2  乙方应严格按照本合同约定提供物资设备及相应技术服务，上述列表清单未尽事宜，详见本合同第三条所约定的物资设备技术参数及要求等具体条款。</w:t>
      </w:r>
    </w:p>
    <w:p>
      <w:pPr>
        <w:ind w:firstLine="420" w:firstLineChars="200"/>
        <w:jc w:val="both"/>
        <w:rPr>
          <w:rFonts w:ascii="宋体" w:hAnsi="宋体" w:cs="宋体"/>
          <w:color w:val="auto"/>
          <w:highlight w:val="none"/>
        </w:rPr>
      </w:pPr>
      <w:r>
        <w:rPr>
          <w:rFonts w:hint="eastAsia" w:ascii="宋体" w:hAnsi="宋体" w:cs="宋体"/>
          <w:color w:val="auto"/>
          <w:highlight w:val="none"/>
        </w:rPr>
        <w:t>1.3未经甲方同意，乙方不得变更本合同约定的品牌、型号、配置、产地等任何物资设备的要素。非因甲方原因致使乙方不能严格按照合同约定要素供货的，乙方所提供的替代产品应满足甲方采购需求且不低于本合同约定的相应技术参数，并需经甲方同意。乙方不按本合同约定提交物资设备所产生的任何费用由乙方负责，甲方对由此所引起的任何价格变动不予确认。</w:t>
      </w:r>
    </w:p>
    <w:p>
      <w:pPr>
        <w:wordWrap w:val="0"/>
        <w:spacing w:beforeLines="50" w:afterLines="50"/>
        <w:ind w:firstLine="422" w:firstLineChars="200"/>
        <w:jc w:val="both"/>
        <w:rPr>
          <w:rFonts w:ascii="宋体" w:hAnsi="宋体" w:cs="宋体"/>
          <w:b/>
          <w:color w:val="auto"/>
          <w:highlight w:val="none"/>
        </w:rPr>
      </w:pPr>
      <w:r>
        <w:rPr>
          <w:rFonts w:hint="eastAsia" w:ascii="宋体" w:hAnsi="宋体" w:cs="宋体"/>
          <w:b/>
          <w:color w:val="auto"/>
          <w:highlight w:val="none"/>
        </w:rPr>
        <w:t>第二条供货方式及时间</w:t>
      </w:r>
    </w:p>
    <w:p>
      <w:pPr>
        <w:ind w:firstLine="420" w:firstLineChars="200"/>
        <w:jc w:val="both"/>
        <w:rPr>
          <w:rFonts w:ascii="宋体" w:hAnsi="宋体" w:cs="宋体"/>
          <w:color w:val="auto"/>
          <w:highlight w:val="none"/>
        </w:rPr>
      </w:pPr>
      <w:r>
        <w:rPr>
          <w:rFonts w:hint="eastAsia" w:ascii="宋体" w:hAnsi="宋体" w:cs="宋体"/>
          <w:color w:val="auto"/>
          <w:highlight w:val="none"/>
        </w:rPr>
        <w:t>2.1 本次采购采用下列方式供货方式乙方送货，完成卸货并搬运至甲方指定地点：，免费安装、调试完毕方视为交付甲方，在交付甲方之前所供货物毁损、灭失的责任均由乙方承担。</w:t>
      </w:r>
    </w:p>
    <w:p>
      <w:pPr>
        <w:ind w:firstLine="420" w:firstLineChars="200"/>
        <w:jc w:val="both"/>
        <w:rPr>
          <w:rFonts w:ascii="宋体" w:hAnsi="宋体" w:cs="宋体"/>
          <w:color w:val="auto"/>
          <w:highlight w:val="none"/>
        </w:rPr>
      </w:pPr>
      <w:r>
        <w:rPr>
          <w:rFonts w:hint="eastAsia" w:ascii="宋体" w:hAnsi="宋体" w:cs="宋体"/>
          <w:color w:val="auto"/>
          <w:highlight w:val="none"/>
        </w:rPr>
        <w:t>2.2 乙方需于</w:t>
      </w:r>
      <w:r>
        <w:rPr>
          <w:rFonts w:hint="eastAsia" w:ascii="宋体" w:hAnsi="宋体" w:cs="宋体"/>
          <w:color w:val="auto"/>
          <w:highlight w:val="none"/>
          <w:u w:val="single"/>
        </w:rPr>
        <w:t>本合同生效</w:t>
      </w:r>
      <w:r>
        <w:rPr>
          <w:rFonts w:hint="eastAsia" w:ascii="宋体" w:hAnsi="宋体" w:cs="宋体"/>
          <w:color w:val="auto"/>
          <w:highlight w:val="none"/>
        </w:rPr>
        <w:t>/接到</w:t>
      </w:r>
      <w:r>
        <w:rPr>
          <w:rFonts w:hint="eastAsia" w:ascii="宋体" w:hAnsi="宋体" w:cs="宋体"/>
          <w:color w:val="auto"/>
          <w:highlight w:val="none"/>
          <w:u w:val="single"/>
        </w:rPr>
        <w:t>甲方供货通知</w:t>
      </w:r>
      <w:r>
        <w:rPr>
          <w:rFonts w:hint="eastAsia" w:ascii="宋体" w:hAnsi="宋体" w:cs="宋体"/>
          <w:color w:val="auto"/>
          <w:highlight w:val="none"/>
        </w:rPr>
        <w:t>之日起日内完成交货及相应的安装、调试工作，确保所供物资设备符合本合同约定的质量、数量、技术参数及要求，否则将按照合同约定承担违约责任。</w:t>
      </w:r>
    </w:p>
    <w:p>
      <w:pPr>
        <w:ind w:firstLine="420" w:firstLineChars="200"/>
        <w:jc w:val="both"/>
        <w:rPr>
          <w:rFonts w:ascii="宋体" w:hAnsi="宋体" w:cs="宋体"/>
          <w:color w:val="auto"/>
          <w:highlight w:val="none"/>
        </w:rPr>
      </w:pPr>
      <w:r>
        <w:rPr>
          <w:rFonts w:hint="eastAsia" w:ascii="宋体" w:hAnsi="宋体" w:cs="宋体"/>
          <w:color w:val="auto"/>
          <w:highlight w:val="none"/>
        </w:rPr>
        <w:t>2.3 乙方应采取适当的、符合运输方式的包装、固定方式，避免因包装、固定不当对所供物资设备造成损毁或对甲方使用造成不良影响。</w:t>
      </w:r>
    </w:p>
    <w:p>
      <w:pPr>
        <w:ind w:firstLine="420" w:firstLineChars="200"/>
        <w:jc w:val="both"/>
        <w:rPr>
          <w:rFonts w:ascii="宋体" w:hAnsi="宋体" w:cs="宋体"/>
          <w:color w:val="auto"/>
          <w:highlight w:val="none"/>
        </w:rPr>
      </w:pPr>
      <w:r>
        <w:rPr>
          <w:rFonts w:hint="eastAsia" w:ascii="宋体" w:hAnsi="宋体" w:cs="宋体"/>
          <w:color w:val="auto"/>
          <w:highlight w:val="none"/>
        </w:rPr>
        <w:t>2.4乙方因履行本合同交货、运输、安装、调试及提供相应的培训、质保期内的维护、保养与技术支持等事项而发生的一切费用，均已包含在合同总价中，由乙方自行承担。</w:t>
      </w:r>
    </w:p>
    <w:p>
      <w:pPr>
        <w:wordWrap w:val="0"/>
        <w:spacing w:beforeLines="50" w:afterLines="50"/>
        <w:ind w:firstLine="422" w:firstLineChars="200"/>
        <w:jc w:val="both"/>
        <w:rPr>
          <w:rFonts w:ascii="宋体" w:hAnsi="宋体" w:cs="宋体"/>
          <w:b/>
          <w:color w:val="auto"/>
          <w:highlight w:val="none"/>
        </w:rPr>
      </w:pPr>
      <w:r>
        <w:rPr>
          <w:rFonts w:hint="eastAsia" w:ascii="宋体" w:hAnsi="宋体" w:cs="宋体"/>
          <w:b/>
          <w:color w:val="auto"/>
          <w:highlight w:val="none"/>
        </w:rPr>
        <w:t>第三条质量标准及要求</w:t>
      </w:r>
    </w:p>
    <w:p>
      <w:pPr>
        <w:ind w:firstLine="420" w:firstLineChars="200"/>
        <w:jc w:val="both"/>
        <w:rPr>
          <w:rFonts w:ascii="宋体" w:hAnsi="宋体" w:cs="宋体"/>
          <w:color w:val="auto"/>
          <w:highlight w:val="none"/>
        </w:rPr>
      </w:pPr>
      <w:r>
        <w:rPr>
          <w:rFonts w:hint="eastAsia" w:ascii="宋体" w:hAnsi="宋体" w:cs="宋体"/>
          <w:color w:val="auto"/>
          <w:highlight w:val="none"/>
        </w:rPr>
        <w:t>3.1乙方所提供的物资设备必须是原厂生产的、全新的、未使用过的(包括零部件)，并完全符合原厂质量检测标准（以说明书为准）和国家质量检测标准以及合同规定的质量规格和性能要求。如物资设备不符合本合同中约定的要求，甲方有权拒绝接收。</w:t>
      </w:r>
    </w:p>
    <w:p>
      <w:pPr>
        <w:ind w:firstLine="420" w:firstLineChars="200"/>
        <w:jc w:val="both"/>
        <w:rPr>
          <w:rFonts w:ascii="宋体" w:hAnsi="宋体" w:cs="宋体"/>
          <w:color w:val="auto"/>
          <w:highlight w:val="none"/>
        </w:rPr>
      </w:pPr>
      <w:r>
        <w:rPr>
          <w:rFonts w:hint="eastAsia" w:ascii="宋体" w:hAnsi="宋体" w:cs="宋体"/>
          <w:color w:val="auto"/>
          <w:highlight w:val="none"/>
        </w:rPr>
        <w:t>3.2乙方应保证甲方在使用由乙方提供的物资设备或物资设备的任何部分（含软件）不受第三方关于侵犯其所有权、专利权、商标权、工业设计权等的指控。如因第三方侵权致使甲方对外承担侵权责任或无法继续使用的，甲方有权向乙方追偿或解除本合同并要求乙方返还全部货款。</w:t>
      </w:r>
    </w:p>
    <w:p>
      <w:pPr>
        <w:wordWrap w:val="0"/>
        <w:spacing w:beforeLines="50" w:afterLines="50"/>
        <w:ind w:firstLine="422" w:firstLineChars="200"/>
        <w:jc w:val="both"/>
        <w:rPr>
          <w:rFonts w:ascii="宋体" w:hAnsi="宋体" w:cs="宋体"/>
          <w:b/>
          <w:color w:val="auto"/>
          <w:highlight w:val="none"/>
        </w:rPr>
      </w:pPr>
      <w:r>
        <w:rPr>
          <w:rFonts w:hint="eastAsia" w:ascii="宋体" w:hAnsi="宋体" w:cs="宋体"/>
          <w:b/>
          <w:color w:val="auto"/>
          <w:highlight w:val="none"/>
        </w:rPr>
        <w:t>第四条安装、调试与验收</w:t>
      </w:r>
    </w:p>
    <w:p>
      <w:pPr>
        <w:ind w:firstLine="420" w:firstLineChars="200"/>
        <w:jc w:val="both"/>
        <w:rPr>
          <w:rFonts w:ascii="宋体" w:hAnsi="宋体" w:cs="宋体"/>
          <w:color w:val="auto"/>
          <w:highlight w:val="none"/>
        </w:rPr>
      </w:pPr>
      <w:r>
        <w:rPr>
          <w:rFonts w:hint="eastAsia" w:ascii="宋体" w:hAnsi="宋体" w:cs="宋体"/>
          <w:color w:val="auto"/>
          <w:highlight w:val="none"/>
        </w:rPr>
        <w:t>4.1乙方必须在甲方指定的地点免费进行物资设备的安装，安装所需的相应配套设施由乙方自行负责解决，用户提供必须的现场安装条件，并给予必要的配合。如现场安装需特殊条件，乙方应提前通知甲方。</w:t>
      </w:r>
    </w:p>
    <w:p>
      <w:pPr>
        <w:ind w:firstLine="420" w:firstLineChars="200"/>
        <w:jc w:val="both"/>
        <w:rPr>
          <w:rFonts w:ascii="宋体" w:hAnsi="宋体" w:cs="宋体"/>
          <w:color w:val="auto"/>
          <w:highlight w:val="none"/>
        </w:rPr>
      </w:pPr>
      <w:r>
        <w:rPr>
          <w:rFonts w:hint="eastAsia" w:ascii="宋体" w:hAnsi="宋体" w:cs="宋体"/>
          <w:color w:val="auto"/>
          <w:highlight w:val="none"/>
        </w:rPr>
        <w:t>4.2安装完成后，乙方应在在甲方的监督下进行调试，调试结果符合国家、行业及本合同约定的技术指标方视为符合交付条件。</w:t>
      </w:r>
    </w:p>
    <w:p>
      <w:pPr>
        <w:ind w:firstLine="420" w:firstLineChars="200"/>
        <w:jc w:val="both"/>
        <w:rPr>
          <w:rFonts w:ascii="宋体" w:hAnsi="宋体" w:cs="宋体"/>
          <w:color w:val="auto"/>
          <w:highlight w:val="none"/>
        </w:rPr>
      </w:pPr>
      <w:r>
        <w:rPr>
          <w:rFonts w:hint="eastAsia" w:ascii="宋体" w:hAnsi="宋体" w:cs="宋体"/>
          <w:color w:val="auto"/>
          <w:highlight w:val="none"/>
        </w:rPr>
        <w:t>4.3 乙方应对甲方相关人员正确、合理使用物资设备进行必要的宣讲、技术指导与培训，充分提示注意事项及相关风险。</w:t>
      </w:r>
    </w:p>
    <w:p>
      <w:pPr>
        <w:ind w:firstLine="420" w:firstLineChars="200"/>
        <w:jc w:val="both"/>
        <w:rPr>
          <w:rFonts w:ascii="宋体" w:hAnsi="宋体" w:cs="宋体"/>
          <w:color w:val="auto"/>
          <w:highlight w:val="none"/>
        </w:rPr>
      </w:pPr>
      <w:r>
        <w:rPr>
          <w:rFonts w:hint="eastAsia" w:ascii="宋体" w:hAnsi="宋体" w:cs="宋体"/>
          <w:color w:val="auto"/>
          <w:highlight w:val="none"/>
        </w:rPr>
        <w:t>4.4乙方所提供的物资设备安装调试完成后，甲方最终用户必须按本合同所约定的货物清单及要求对货物的品牌、外观、规格、数量、配件及安装调试后的使用性能、运行状况及其他情况进行验收，乙方必须在验收现场提供必要的技术支持。甲方最终用户应在乙方所提供的物资设备安装调试完成后</w:t>
      </w:r>
      <w:r>
        <w:rPr>
          <w:rFonts w:hint="eastAsia" w:ascii="宋体" w:hAnsi="宋体" w:cs="宋体"/>
          <w:color w:val="auto"/>
          <w:highlight w:val="none"/>
          <w:u w:val="single"/>
        </w:rPr>
        <w:t>柒</w:t>
      </w:r>
      <w:r>
        <w:rPr>
          <w:rFonts w:hint="eastAsia" w:ascii="宋体" w:hAnsi="宋体" w:cs="宋体"/>
          <w:color w:val="auto"/>
          <w:highlight w:val="none"/>
        </w:rPr>
        <w:t>个工作日内验收完毕。如特殊货物验收需经专家论证、第三方检测的，则验收合格证明文件以专家论证、第三方检测结果为准。</w:t>
      </w:r>
    </w:p>
    <w:p>
      <w:pPr>
        <w:ind w:firstLine="420" w:firstLineChars="200"/>
        <w:jc w:val="both"/>
        <w:rPr>
          <w:rFonts w:ascii="宋体" w:hAnsi="宋体" w:cs="宋体"/>
          <w:color w:val="auto"/>
          <w:highlight w:val="none"/>
        </w:rPr>
      </w:pPr>
      <w:r>
        <w:rPr>
          <w:rFonts w:hint="eastAsia" w:ascii="宋体" w:hAnsi="宋体" w:cs="宋体"/>
          <w:color w:val="auto"/>
          <w:highlight w:val="none"/>
        </w:rPr>
        <w:t>4.5经验收发现物资设备与合同规定不符，甲方有权拒绝接受并向乙方提出索赔。如物资设备在保证期内被证明存在缺陷，包括潜在的缺陷或使用不合适的材料，甲方有权凭有关证明文件向乙方提出索赔。</w:t>
      </w:r>
    </w:p>
    <w:p>
      <w:pPr>
        <w:ind w:firstLine="420" w:firstLineChars="200"/>
        <w:jc w:val="both"/>
        <w:rPr>
          <w:rFonts w:ascii="宋体" w:hAnsi="宋体" w:cs="宋体"/>
          <w:color w:val="auto"/>
          <w:highlight w:val="none"/>
        </w:rPr>
      </w:pPr>
      <w:r>
        <w:rPr>
          <w:rFonts w:hint="eastAsia" w:ascii="宋体" w:hAnsi="宋体" w:cs="宋体"/>
          <w:color w:val="auto"/>
          <w:highlight w:val="none"/>
        </w:rPr>
        <w:t>4.6物资设备验收后</w:t>
      </w:r>
      <w:r>
        <w:rPr>
          <w:rFonts w:hint="eastAsia" w:ascii="宋体" w:hAnsi="宋体" w:cs="宋体"/>
          <w:color w:val="auto"/>
          <w:highlight w:val="none"/>
          <w:u w:val="single"/>
        </w:rPr>
        <w:t>七</w:t>
      </w:r>
      <w:r>
        <w:rPr>
          <w:rFonts w:hint="eastAsia" w:ascii="宋体" w:hAnsi="宋体" w:cs="宋体"/>
          <w:color w:val="auto"/>
          <w:highlight w:val="none"/>
        </w:rPr>
        <w:t>个工作日内如甲方发现技术指标异常或提出其他异议的，乙方应在</w:t>
      </w:r>
      <w:r>
        <w:rPr>
          <w:rFonts w:hint="eastAsia" w:ascii="宋体" w:hAnsi="宋体" w:cs="宋体"/>
          <w:color w:val="auto"/>
          <w:highlight w:val="none"/>
          <w:u w:val="single"/>
        </w:rPr>
        <w:t>二</w:t>
      </w:r>
      <w:r>
        <w:rPr>
          <w:rFonts w:hint="eastAsia" w:ascii="宋体" w:hAnsi="宋体" w:cs="宋体"/>
          <w:color w:val="auto"/>
          <w:highlight w:val="none"/>
        </w:rPr>
        <w:t>个工作日内负责解决。</w:t>
      </w:r>
    </w:p>
    <w:p>
      <w:pPr>
        <w:ind w:firstLine="420" w:firstLineChars="200"/>
        <w:jc w:val="both"/>
        <w:rPr>
          <w:rFonts w:ascii="宋体" w:hAnsi="宋体" w:cs="宋体"/>
          <w:color w:val="auto"/>
          <w:highlight w:val="none"/>
        </w:rPr>
      </w:pPr>
    </w:p>
    <w:p>
      <w:pPr>
        <w:wordWrap w:val="0"/>
        <w:spacing w:beforeLines="50" w:afterLines="50"/>
        <w:ind w:firstLine="422" w:firstLineChars="200"/>
        <w:jc w:val="both"/>
        <w:rPr>
          <w:rFonts w:ascii="宋体" w:hAnsi="宋体" w:cs="宋体"/>
          <w:b/>
          <w:color w:val="auto"/>
          <w:highlight w:val="none"/>
        </w:rPr>
      </w:pPr>
      <w:r>
        <w:rPr>
          <w:rFonts w:hint="eastAsia" w:ascii="宋体" w:hAnsi="宋体" w:cs="宋体"/>
          <w:b/>
          <w:color w:val="auto"/>
          <w:highlight w:val="none"/>
        </w:rPr>
        <w:t>第五条付款条件与方式</w:t>
      </w:r>
    </w:p>
    <w:p>
      <w:pPr>
        <w:ind w:firstLine="384" w:firstLineChars="183"/>
        <w:jc w:val="both"/>
        <w:rPr>
          <w:rFonts w:ascii="宋体" w:hAnsi="宋体" w:cs="宋体"/>
          <w:color w:val="auto"/>
          <w:highlight w:val="none"/>
        </w:rPr>
      </w:pPr>
      <w:r>
        <w:rPr>
          <w:rFonts w:hint="eastAsia" w:ascii="宋体" w:hAnsi="宋体" w:cs="宋体"/>
          <w:color w:val="auto"/>
          <w:highlight w:val="none"/>
        </w:rPr>
        <w:t>5.1本合同采用如下经选择的付款方式：</w:t>
      </w:r>
    </w:p>
    <w:p>
      <w:pPr>
        <w:ind w:firstLine="384" w:firstLineChars="183"/>
        <w:jc w:val="both"/>
        <w:rPr>
          <w:rFonts w:ascii="宋体" w:hAnsi="宋体" w:cs="宋体"/>
          <w:color w:val="auto"/>
          <w:highlight w:val="none"/>
        </w:rPr>
      </w:pPr>
      <w:r>
        <w:rPr>
          <w:rFonts w:hint="eastAsia" w:ascii="宋体" w:hAnsi="宋体" w:cs="宋体"/>
          <w:color w:val="auto"/>
          <w:highlight w:val="none"/>
        </w:rPr>
        <w:t>5.2在达到本合同约定的付款条件后，乙方应向甲方出具正式合法的全额增值税发票（需开具单张高额发票，乙方自行向税务机关申请），在乙方向甲方提出付款申请并提供发票之前，甲方有权拒绝付款。因乙方原因致使甲方未能及时付款所产生的责任由乙方负责，甲方不承担违约责任。</w:t>
      </w:r>
    </w:p>
    <w:p>
      <w:pPr>
        <w:wordWrap w:val="0"/>
        <w:spacing w:beforeLines="50" w:afterLines="50"/>
        <w:ind w:firstLine="422" w:firstLineChars="200"/>
        <w:jc w:val="both"/>
        <w:rPr>
          <w:rFonts w:ascii="宋体" w:hAnsi="宋体" w:cs="宋体"/>
          <w:b/>
          <w:color w:val="auto"/>
          <w:highlight w:val="none"/>
        </w:rPr>
      </w:pPr>
      <w:r>
        <w:rPr>
          <w:rFonts w:hint="eastAsia" w:ascii="宋体" w:hAnsi="宋体" w:cs="宋体"/>
          <w:b/>
          <w:color w:val="auto"/>
          <w:highlight w:val="none"/>
        </w:rPr>
        <w:t>第六条售后服务及质量保证金</w:t>
      </w:r>
    </w:p>
    <w:p>
      <w:pPr>
        <w:ind w:firstLine="384" w:firstLineChars="183"/>
        <w:jc w:val="both"/>
        <w:rPr>
          <w:rFonts w:ascii="宋体" w:hAnsi="宋体" w:cs="宋体"/>
          <w:color w:val="auto"/>
          <w:highlight w:val="none"/>
        </w:rPr>
      </w:pPr>
      <w:r>
        <w:rPr>
          <w:rFonts w:hint="eastAsia" w:ascii="宋体" w:hAnsi="宋体" w:cs="宋体"/>
          <w:color w:val="auto"/>
          <w:highlight w:val="none"/>
        </w:rPr>
        <w:t>6.1乙方应按照国家有规定及本次采购文件中有关质量保证和售后服务的承诺执行，采购文件高于国家有关规定的，按照本次采购文件执行。</w:t>
      </w:r>
    </w:p>
    <w:p>
      <w:pPr>
        <w:ind w:firstLine="384" w:firstLineChars="183"/>
        <w:jc w:val="both"/>
        <w:rPr>
          <w:rFonts w:ascii="宋体" w:hAnsi="宋体" w:cs="宋体"/>
          <w:color w:val="auto"/>
          <w:highlight w:val="none"/>
        </w:rPr>
      </w:pPr>
      <w:r>
        <w:rPr>
          <w:rFonts w:hint="eastAsia" w:ascii="宋体" w:hAnsi="宋体" w:cs="宋体"/>
          <w:color w:val="auto"/>
          <w:highlight w:val="none"/>
        </w:rPr>
        <w:t>6.2本项目软件免费质保期</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年，硬件免费质保期</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年。</w:t>
      </w:r>
    </w:p>
    <w:p>
      <w:pPr>
        <w:ind w:firstLine="384" w:firstLineChars="183"/>
        <w:jc w:val="both"/>
        <w:rPr>
          <w:rFonts w:ascii="宋体" w:hAnsi="宋体" w:cs="宋体"/>
          <w:color w:val="auto"/>
          <w:highlight w:val="none"/>
        </w:rPr>
      </w:pPr>
      <w:r>
        <w:rPr>
          <w:rFonts w:hint="eastAsia" w:ascii="宋体" w:hAnsi="宋体" w:cs="宋体"/>
          <w:color w:val="auto"/>
          <w:highlight w:val="none"/>
        </w:rPr>
        <w:t>6.3所有设备和配件质量保证期内，设备故障报修后24小时内响应，质保期后供货商应负责上门维修。如经甲方通知，乙方无正当理由未能及时响应或到场维修，甲方有权自行委托其他第三方进行维修，因此而产生的费用在质量保证金中予以扣除，不足部分有权向乙方追偿。</w:t>
      </w:r>
    </w:p>
    <w:p>
      <w:pPr>
        <w:wordWrap w:val="0"/>
        <w:spacing w:beforeLines="50" w:afterLines="50"/>
        <w:ind w:firstLine="422" w:firstLineChars="200"/>
        <w:jc w:val="both"/>
        <w:rPr>
          <w:rFonts w:ascii="宋体" w:hAnsi="宋体" w:cs="宋体"/>
          <w:b/>
          <w:color w:val="auto"/>
          <w:highlight w:val="none"/>
        </w:rPr>
      </w:pPr>
      <w:r>
        <w:rPr>
          <w:rFonts w:hint="eastAsia" w:ascii="宋体" w:hAnsi="宋体" w:cs="宋体"/>
          <w:b/>
          <w:color w:val="auto"/>
          <w:highlight w:val="none"/>
        </w:rPr>
        <w:t>第七条 医药购销廉政条款</w:t>
      </w:r>
    </w:p>
    <w:p>
      <w:pPr>
        <w:wordWrap w:val="0"/>
        <w:spacing w:beforeLines="50" w:afterLines="50"/>
        <w:ind w:firstLine="420" w:firstLineChars="200"/>
        <w:jc w:val="both"/>
        <w:rPr>
          <w:rFonts w:ascii="宋体" w:hAnsi="宋体" w:cs="宋体"/>
          <w:color w:val="auto"/>
          <w:highlight w:val="none"/>
        </w:rPr>
      </w:pPr>
      <w:r>
        <w:rPr>
          <w:rFonts w:hint="eastAsia" w:ascii="宋体" w:hAnsi="宋体" w:cs="宋体"/>
          <w:color w:val="auto"/>
          <w:highlight w:val="none"/>
        </w:rPr>
        <w:t>医药企业负责所聘用（或授权）的医药代表的业务管理和诚信教育，确保其从业行为符合国家法律法规、卫生健康部门及医院的相关规定。如出现违法违纪违规不良行为，医院有权记入医药企业诚信档案并实时上报卫生健康行政部门，对其所代理的药品、耗材、设备等实行限制使用，情节严重的，医院有权终止购销合同。</w:t>
      </w:r>
    </w:p>
    <w:p>
      <w:pPr>
        <w:ind w:firstLine="384" w:firstLineChars="183"/>
        <w:jc w:val="both"/>
        <w:rPr>
          <w:rFonts w:ascii="宋体" w:hAnsi="宋体" w:cs="宋体"/>
          <w:color w:val="auto"/>
          <w:highlight w:val="none"/>
        </w:rPr>
      </w:pPr>
    </w:p>
    <w:p>
      <w:pPr>
        <w:wordWrap w:val="0"/>
        <w:spacing w:beforeLines="50" w:afterLines="50"/>
        <w:ind w:firstLine="422" w:firstLineChars="200"/>
        <w:jc w:val="both"/>
        <w:rPr>
          <w:rFonts w:ascii="宋体" w:hAnsi="宋体" w:cs="宋体"/>
          <w:b/>
          <w:color w:val="auto"/>
          <w:highlight w:val="none"/>
        </w:rPr>
      </w:pPr>
      <w:r>
        <w:rPr>
          <w:rFonts w:hint="eastAsia" w:ascii="宋体" w:hAnsi="宋体" w:cs="宋体"/>
          <w:b/>
          <w:color w:val="auto"/>
          <w:highlight w:val="none"/>
        </w:rPr>
        <w:t>第八条违约责任</w:t>
      </w:r>
    </w:p>
    <w:p>
      <w:pPr>
        <w:ind w:firstLine="384" w:firstLineChars="183"/>
        <w:jc w:val="both"/>
        <w:rPr>
          <w:rFonts w:ascii="宋体" w:hAnsi="宋体" w:cs="宋体"/>
          <w:color w:val="auto"/>
          <w:highlight w:val="none"/>
        </w:rPr>
      </w:pPr>
      <w:r>
        <w:rPr>
          <w:rFonts w:hint="eastAsia" w:ascii="宋体" w:hAnsi="宋体" w:cs="宋体"/>
          <w:color w:val="auto"/>
          <w:highlight w:val="none"/>
        </w:rPr>
        <w:t>7.1甲方在乙方将合同清单上的物资设备运达指定地点后</w:t>
      </w:r>
      <w:r>
        <w:rPr>
          <w:rFonts w:hint="eastAsia" w:ascii="宋体" w:hAnsi="宋体" w:cs="宋体"/>
          <w:color w:val="auto"/>
          <w:highlight w:val="none"/>
          <w:u w:val="single"/>
        </w:rPr>
        <w:t>七</w:t>
      </w:r>
      <w:r>
        <w:rPr>
          <w:rFonts w:hint="eastAsia" w:ascii="宋体" w:hAnsi="宋体" w:cs="宋体"/>
          <w:color w:val="auto"/>
          <w:highlight w:val="none"/>
        </w:rPr>
        <w:t>个工作日后无正当理由不接收或不及时验收的，视为甲方违约，甲方应承担因此给乙方造成的损失。</w:t>
      </w:r>
    </w:p>
    <w:p>
      <w:pPr>
        <w:ind w:firstLine="384" w:firstLineChars="183"/>
        <w:jc w:val="both"/>
        <w:rPr>
          <w:rFonts w:ascii="宋体" w:hAnsi="宋体" w:cs="宋体"/>
          <w:color w:val="auto"/>
          <w:highlight w:val="none"/>
        </w:rPr>
      </w:pPr>
      <w:r>
        <w:rPr>
          <w:rFonts w:hint="eastAsia" w:ascii="宋体" w:hAnsi="宋体" w:cs="宋体"/>
          <w:color w:val="auto"/>
          <w:highlight w:val="none"/>
        </w:rPr>
        <w:t>7.2乙方所交物资设备不符合本合同要求的，甲方有权拒收，乙方应予以更换，因此而导致的延期交货责任，由乙方承担。经更换后仍不符合本合同要求的，甲方有权解除合同，同时乙方应向甲方偿付该合同价款30%的违约金。</w:t>
      </w:r>
    </w:p>
    <w:p>
      <w:pPr>
        <w:ind w:firstLine="384" w:firstLineChars="183"/>
        <w:jc w:val="both"/>
        <w:rPr>
          <w:rFonts w:ascii="宋体" w:hAnsi="宋体" w:cs="宋体"/>
          <w:color w:val="auto"/>
          <w:highlight w:val="none"/>
        </w:rPr>
      </w:pPr>
      <w:r>
        <w:rPr>
          <w:rFonts w:hint="eastAsia" w:ascii="宋体" w:hAnsi="宋体" w:cs="宋体"/>
          <w:color w:val="auto"/>
          <w:highlight w:val="none"/>
        </w:rPr>
        <w:t>7.3 甲方无正当理由延期付款的，每逾期一日向乙方承担应付未付价款万分之五的违约金。乙方逾期交付的，每逾期一日向甲方承担合同总价款万分之五的违约金。延期付款或逾期交付超过30日，经另一方催告在合理期限内仍未履行的，另一方有权解除合同。</w:t>
      </w:r>
    </w:p>
    <w:p>
      <w:pPr>
        <w:ind w:firstLine="384" w:firstLineChars="183"/>
        <w:jc w:val="both"/>
        <w:rPr>
          <w:rFonts w:ascii="宋体" w:hAnsi="宋体" w:cs="宋体"/>
          <w:color w:val="auto"/>
          <w:highlight w:val="none"/>
        </w:rPr>
      </w:pPr>
      <w:r>
        <w:rPr>
          <w:rFonts w:hint="eastAsia" w:ascii="宋体" w:hAnsi="宋体" w:cs="宋体"/>
          <w:color w:val="auto"/>
          <w:highlight w:val="none"/>
        </w:rPr>
        <w:t>7.4 如因乙方延期交货或延期履行维保义务，致使甲方必须采取其他补救措施，包括但不限于委托其他第三方维修、借用或租赁其他设备等所发生的费用，均由乙方承担。</w:t>
      </w:r>
    </w:p>
    <w:p>
      <w:pPr>
        <w:wordWrap w:val="0"/>
        <w:spacing w:beforeLines="50" w:afterLines="50"/>
        <w:ind w:firstLine="422" w:firstLineChars="200"/>
        <w:jc w:val="both"/>
        <w:rPr>
          <w:rFonts w:ascii="宋体" w:hAnsi="宋体" w:cs="宋体"/>
          <w:b/>
          <w:color w:val="auto"/>
          <w:highlight w:val="none"/>
        </w:rPr>
      </w:pPr>
      <w:r>
        <w:rPr>
          <w:rFonts w:hint="eastAsia" w:ascii="宋体" w:hAnsi="宋体" w:cs="宋体"/>
          <w:b/>
          <w:color w:val="auto"/>
          <w:highlight w:val="none"/>
        </w:rPr>
        <w:t>第九条合同解除与终止</w:t>
      </w:r>
    </w:p>
    <w:p>
      <w:pPr>
        <w:ind w:firstLine="420" w:firstLineChars="200"/>
        <w:jc w:val="both"/>
        <w:rPr>
          <w:rFonts w:ascii="宋体" w:hAnsi="宋体" w:cs="宋体"/>
          <w:color w:val="auto"/>
          <w:highlight w:val="none"/>
        </w:rPr>
      </w:pPr>
      <w:r>
        <w:rPr>
          <w:rFonts w:hint="eastAsia" w:ascii="宋体" w:hAnsi="宋体" w:cs="宋体"/>
          <w:color w:val="auto"/>
          <w:highlight w:val="none"/>
        </w:rPr>
        <w:t>8.1 本合同签订后，任何一方无正当理由均不得单方解除合同，否则应按照本合同总价款的30%承担违约责任。</w:t>
      </w:r>
    </w:p>
    <w:p>
      <w:pPr>
        <w:ind w:firstLine="420" w:firstLineChars="200"/>
        <w:jc w:val="both"/>
        <w:rPr>
          <w:rFonts w:ascii="宋体" w:hAnsi="宋体" w:cs="宋体"/>
          <w:color w:val="auto"/>
          <w:highlight w:val="none"/>
        </w:rPr>
      </w:pPr>
      <w:r>
        <w:rPr>
          <w:rFonts w:hint="eastAsia" w:ascii="宋体" w:hAnsi="宋体" w:cs="宋体"/>
          <w:color w:val="auto"/>
          <w:highlight w:val="none"/>
        </w:rPr>
        <w:t>8.2 一方违约，经他方催告并在合理期限内仍未履行或整改到位的，守约方有权单方解除合同，并要求违约方按照本合同总价款的30%承担违约责任。合同解除文件自实际送达之日起生效，如发生拒收，则自合同解除文件向本合同中记载的甲乙双方联系地址发出之日起生效。</w:t>
      </w:r>
    </w:p>
    <w:p>
      <w:pPr>
        <w:ind w:firstLine="420" w:firstLineChars="200"/>
        <w:jc w:val="both"/>
        <w:rPr>
          <w:rFonts w:ascii="宋体" w:hAnsi="宋体" w:cs="宋体"/>
          <w:color w:val="auto"/>
          <w:highlight w:val="none"/>
        </w:rPr>
      </w:pPr>
      <w:r>
        <w:rPr>
          <w:rFonts w:hint="eastAsia" w:ascii="宋体" w:hAnsi="宋体" w:cs="宋体"/>
          <w:color w:val="auto"/>
          <w:highlight w:val="none"/>
        </w:rPr>
        <w:t>8.3任何一方由于下列原因而导致不能或暂时不能履行全部或部分合同义务的，不负责任：水灾、火灾、地震、干旱、战争或其他任何在签约时不能预料、无法控制且不能避免和克服的事件。但受不可抗力影响的一方，应尽快地将所发生的事件通知对方，并应在事件发生后15天内将有关机构出具的不可抗力事件的证明寄交对方。</w:t>
      </w:r>
    </w:p>
    <w:p>
      <w:pPr>
        <w:wordWrap w:val="0"/>
        <w:spacing w:beforeLines="50" w:afterLines="50"/>
        <w:ind w:firstLine="422" w:firstLineChars="200"/>
        <w:jc w:val="both"/>
        <w:rPr>
          <w:rFonts w:ascii="宋体" w:hAnsi="宋体" w:cs="宋体"/>
          <w:b/>
          <w:color w:val="auto"/>
          <w:highlight w:val="none"/>
        </w:rPr>
      </w:pPr>
      <w:r>
        <w:rPr>
          <w:rFonts w:hint="eastAsia" w:ascii="宋体" w:hAnsi="宋体" w:cs="宋体"/>
          <w:b/>
          <w:color w:val="auto"/>
          <w:highlight w:val="none"/>
        </w:rPr>
        <w:t>第十条其他</w:t>
      </w:r>
    </w:p>
    <w:p>
      <w:pPr>
        <w:ind w:firstLine="420" w:firstLineChars="200"/>
        <w:jc w:val="both"/>
        <w:rPr>
          <w:rFonts w:ascii="宋体" w:hAnsi="宋体" w:cs="宋体"/>
          <w:color w:val="auto"/>
          <w:highlight w:val="none"/>
        </w:rPr>
      </w:pPr>
      <w:r>
        <w:rPr>
          <w:rFonts w:hint="eastAsia" w:ascii="宋体" w:hAnsi="宋体" w:cs="宋体"/>
          <w:color w:val="auto"/>
          <w:highlight w:val="none"/>
        </w:rPr>
        <w:t>9.1 若因本合同签订、履行、解除、终止而发生争议的，由甲、乙双方友好协商解决，若协商不成，协商不成的，任何一方可向甲方人民法院提起诉讼。</w:t>
      </w:r>
    </w:p>
    <w:p>
      <w:pPr>
        <w:ind w:firstLine="420" w:firstLineChars="200"/>
        <w:jc w:val="both"/>
        <w:rPr>
          <w:rFonts w:ascii="宋体" w:hAnsi="宋体" w:cs="宋体"/>
          <w:color w:val="auto"/>
          <w:highlight w:val="none"/>
        </w:rPr>
      </w:pPr>
      <w:r>
        <w:rPr>
          <w:rFonts w:hint="eastAsia" w:ascii="宋体" w:hAnsi="宋体" w:cs="宋体"/>
          <w:color w:val="auto"/>
          <w:highlight w:val="none"/>
        </w:rPr>
        <w:t>9.2 有关本采购项目的采购文件以及相关函件（如澄清函、确认函等）、供应商投标文件均构成本合同不可分割的一部分，与本合同具有同等法律效力。</w:t>
      </w:r>
    </w:p>
    <w:p>
      <w:pPr>
        <w:ind w:firstLine="420" w:firstLineChars="200"/>
        <w:jc w:val="both"/>
        <w:rPr>
          <w:rFonts w:ascii="宋体" w:hAnsi="宋体" w:cs="宋体"/>
          <w:color w:val="auto"/>
          <w:highlight w:val="none"/>
        </w:rPr>
      </w:pPr>
      <w:r>
        <w:rPr>
          <w:rFonts w:hint="eastAsia" w:ascii="宋体" w:hAnsi="宋体" w:cs="宋体"/>
          <w:color w:val="auto"/>
          <w:highlight w:val="none"/>
        </w:rPr>
        <w:t>9.3 本合同未尽事宜及变更，应由甲乙双方另行签订书面补充协议确定。</w:t>
      </w:r>
    </w:p>
    <w:p>
      <w:pPr>
        <w:ind w:firstLine="384" w:firstLineChars="183"/>
        <w:jc w:val="both"/>
        <w:rPr>
          <w:rFonts w:ascii="宋体" w:hAnsi="宋体" w:cs="宋体"/>
          <w:color w:val="auto"/>
          <w:highlight w:val="none"/>
        </w:rPr>
      </w:pPr>
      <w:r>
        <w:rPr>
          <w:rFonts w:hint="eastAsia" w:ascii="宋体" w:hAnsi="宋体" w:cs="宋体"/>
          <w:color w:val="auto"/>
          <w:highlight w:val="none"/>
        </w:rPr>
        <w:t>10.4本合同一式伍份，经双方签字并盖章后即时生效。甲方执肆份，乙方执壹份，</w:t>
      </w:r>
    </w:p>
    <w:p>
      <w:pPr>
        <w:jc w:val="both"/>
        <w:rPr>
          <w:rFonts w:ascii="宋体" w:hAnsi="宋体" w:cs="宋体"/>
          <w:color w:val="auto"/>
          <w:highlight w:val="none"/>
        </w:rPr>
      </w:pPr>
      <w:r>
        <w:rPr>
          <w:rFonts w:hint="eastAsia" w:ascii="宋体" w:hAnsi="宋体" w:cs="宋体"/>
          <w:color w:val="auto"/>
          <w:highlight w:val="none"/>
        </w:rPr>
        <w:t>具有同等效力。</w:t>
      </w:r>
    </w:p>
    <w:p>
      <w:pPr>
        <w:ind w:right="900"/>
        <w:rPr>
          <w:rFonts w:ascii="宋体" w:hAnsi="宋体" w:cs="宋体"/>
          <w:b/>
          <w:color w:val="auto"/>
          <w:kern w:val="44"/>
          <w:szCs w:val="21"/>
          <w:highlight w:val="none"/>
        </w:rPr>
      </w:pPr>
    </w:p>
    <w:p>
      <w:pPr>
        <w:jc w:val="left"/>
        <w:rPr>
          <w:rFonts w:ascii="宋体" w:hAnsi="宋体" w:cs="宋体"/>
          <w:color w:val="auto"/>
          <w:highlight w:val="none"/>
        </w:rPr>
      </w:pPr>
    </w:p>
    <w:p>
      <w:pPr>
        <w:pStyle w:val="57"/>
        <w:jc w:val="both"/>
        <w:rPr>
          <w:color w:val="auto"/>
          <w:highlight w:val="none"/>
        </w:rPr>
      </w:pPr>
      <w:r>
        <w:rPr>
          <w:rFonts w:hint="eastAsia"/>
          <w:color w:val="auto"/>
          <w:highlight w:val="none"/>
        </w:rPr>
        <w:t>甲方                                              乙方</w:t>
      </w:r>
    </w:p>
    <w:p>
      <w:pPr>
        <w:pStyle w:val="57"/>
        <w:ind w:left="6000" w:hanging="6000" w:hangingChars="2500"/>
        <w:jc w:val="both"/>
        <w:rPr>
          <w:color w:val="auto"/>
          <w:highlight w:val="none"/>
        </w:rPr>
      </w:pPr>
      <w:r>
        <w:rPr>
          <w:rFonts w:hint="eastAsia"/>
          <w:color w:val="auto"/>
          <w:highlight w:val="none"/>
        </w:rPr>
        <w:t>单位名称：东南大学附属中大医院          单位名称：</w:t>
      </w:r>
    </w:p>
    <w:p>
      <w:pPr>
        <w:pStyle w:val="57"/>
        <w:ind w:left="6240" w:hanging="6240" w:hangingChars="2600"/>
        <w:jc w:val="both"/>
        <w:rPr>
          <w:color w:val="auto"/>
          <w:highlight w:val="none"/>
        </w:rPr>
      </w:pPr>
      <w:r>
        <w:rPr>
          <w:rFonts w:hint="eastAsia"/>
          <w:color w:val="auto"/>
          <w:highlight w:val="none"/>
        </w:rPr>
        <w:t>单位地址：南京市鼓楼区丁家桥87号       单位地址：</w:t>
      </w:r>
    </w:p>
    <w:p>
      <w:pPr>
        <w:pStyle w:val="57"/>
        <w:jc w:val="both"/>
        <w:rPr>
          <w:color w:val="auto"/>
          <w:highlight w:val="none"/>
        </w:rPr>
      </w:pPr>
      <w:r>
        <w:rPr>
          <w:rFonts w:hint="eastAsia"/>
          <w:color w:val="auto"/>
          <w:highlight w:val="none"/>
        </w:rPr>
        <w:t>法定代表人（签字）：                    法定代表人：</w:t>
      </w:r>
    </w:p>
    <w:p>
      <w:pPr>
        <w:pStyle w:val="57"/>
        <w:jc w:val="both"/>
        <w:rPr>
          <w:color w:val="auto"/>
          <w:highlight w:val="none"/>
        </w:rPr>
      </w:pPr>
      <w:r>
        <w:rPr>
          <w:rFonts w:hint="eastAsia"/>
          <w:color w:val="auto"/>
          <w:highlight w:val="none"/>
        </w:rPr>
        <w:t>委托代理人（签字）：                   委托代理人（签字）：</w:t>
      </w:r>
    </w:p>
    <w:p>
      <w:pPr>
        <w:pStyle w:val="57"/>
        <w:ind w:left="6000" w:hanging="6000" w:hangingChars="2500"/>
        <w:jc w:val="both"/>
        <w:rPr>
          <w:color w:val="auto"/>
          <w:highlight w:val="none"/>
        </w:rPr>
      </w:pPr>
      <w:r>
        <w:rPr>
          <w:rFonts w:hint="eastAsia"/>
          <w:color w:val="auto"/>
          <w:highlight w:val="none"/>
        </w:rPr>
        <w:t xml:space="preserve">经办科室负责人（签字）：               联系电话： </w:t>
      </w:r>
    </w:p>
    <w:p>
      <w:pPr>
        <w:pStyle w:val="57"/>
        <w:ind w:left="6000" w:hanging="6000" w:hangingChars="2500"/>
        <w:jc w:val="both"/>
        <w:rPr>
          <w:color w:val="auto"/>
          <w:highlight w:val="none"/>
        </w:rPr>
      </w:pPr>
      <w:r>
        <w:rPr>
          <w:rFonts w:hint="eastAsia"/>
          <w:color w:val="auto"/>
          <w:highlight w:val="none"/>
        </w:rPr>
        <w:t>经办人（签字）：                       开户银行：</w:t>
      </w:r>
    </w:p>
    <w:p>
      <w:pPr>
        <w:pStyle w:val="57"/>
        <w:ind w:left="6000" w:hanging="6000" w:hangingChars="2500"/>
        <w:jc w:val="both"/>
        <w:rPr>
          <w:color w:val="auto"/>
          <w:highlight w:val="none"/>
        </w:rPr>
      </w:pPr>
      <w:r>
        <w:rPr>
          <w:rFonts w:hint="eastAsia"/>
          <w:color w:val="auto"/>
          <w:highlight w:val="none"/>
        </w:rPr>
        <w:t>联系电话：                              户名：</w:t>
      </w:r>
    </w:p>
    <w:p>
      <w:pPr>
        <w:pStyle w:val="57"/>
        <w:jc w:val="both"/>
        <w:rPr>
          <w:color w:val="auto"/>
          <w:highlight w:val="none"/>
        </w:rPr>
      </w:pPr>
      <w:r>
        <w:rPr>
          <w:rFonts w:hint="eastAsia"/>
          <w:color w:val="auto"/>
          <w:highlight w:val="none"/>
        </w:rPr>
        <w:t>账号：</w:t>
      </w:r>
    </w:p>
    <w:p>
      <w:pPr>
        <w:pStyle w:val="57"/>
        <w:jc w:val="both"/>
        <w:rPr>
          <w:color w:val="auto"/>
          <w:highlight w:val="none"/>
        </w:rPr>
      </w:pPr>
      <w:r>
        <w:rPr>
          <w:rFonts w:hint="eastAsia"/>
          <w:color w:val="auto"/>
          <w:highlight w:val="none"/>
        </w:rPr>
        <w:t>签约日期：      年    月    日</w:t>
      </w:r>
    </w:p>
    <w:p>
      <w:pPr>
        <w:pStyle w:val="91"/>
        <w:spacing w:line="360" w:lineRule="auto"/>
        <w:ind w:firstLine="1200" w:firstLineChars="500"/>
        <w:rPr>
          <w:rFonts w:hint="eastAsia" w:ascii="宋体" w:hAnsi="宋体" w:cs="宋体"/>
          <w:color w:val="auto"/>
          <w:sz w:val="24"/>
          <w:highlight w:val="none"/>
        </w:rPr>
      </w:pPr>
    </w:p>
    <w:p>
      <w:pPr>
        <w:pStyle w:val="91"/>
        <w:rPr>
          <w:rFonts w:hint="eastAsia" w:ascii="宋体" w:hAnsi="宋体"/>
          <w:color w:val="auto"/>
          <w:highlight w:val="none"/>
        </w:rPr>
      </w:pPr>
    </w:p>
    <w:p>
      <w:pPr>
        <w:pStyle w:val="91"/>
        <w:rPr>
          <w:rFonts w:hint="eastAsia" w:ascii="宋体" w:hAnsi="宋体"/>
          <w:color w:val="auto"/>
          <w:highlight w:val="none"/>
        </w:rPr>
      </w:pPr>
    </w:p>
    <w:p>
      <w:pPr>
        <w:pStyle w:val="91"/>
        <w:rPr>
          <w:rFonts w:hint="eastAsia" w:ascii="宋体" w:hAnsi="宋体"/>
          <w:color w:val="auto"/>
          <w:highlight w:val="none"/>
        </w:rPr>
      </w:pPr>
    </w:p>
    <w:p>
      <w:pPr>
        <w:pStyle w:val="91"/>
        <w:rPr>
          <w:rFonts w:hint="eastAsia" w:ascii="宋体" w:hAnsi="宋体"/>
          <w:color w:val="auto"/>
          <w:highlight w:val="none"/>
        </w:rPr>
      </w:pPr>
    </w:p>
    <w:p>
      <w:pPr>
        <w:pStyle w:val="91"/>
        <w:rPr>
          <w:rFonts w:hint="eastAsia" w:ascii="宋体" w:hAnsi="宋体"/>
          <w:color w:val="auto"/>
          <w:highlight w:val="none"/>
        </w:rPr>
      </w:pPr>
    </w:p>
    <w:p>
      <w:pPr>
        <w:pStyle w:val="91"/>
        <w:rPr>
          <w:rFonts w:hint="eastAsia" w:ascii="宋体" w:hAnsi="宋体"/>
          <w:color w:val="auto"/>
          <w:highlight w:val="none"/>
        </w:rPr>
      </w:pPr>
    </w:p>
    <w:p>
      <w:pPr>
        <w:pStyle w:val="91"/>
        <w:rPr>
          <w:rFonts w:hint="eastAsia" w:ascii="宋体" w:hAnsi="宋体"/>
          <w:color w:val="auto"/>
          <w:highlight w:val="none"/>
        </w:rPr>
      </w:pPr>
    </w:p>
    <w:p>
      <w:pPr>
        <w:pStyle w:val="91"/>
        <w:rPr>
          <w:rFonts w:hint="eastAsia" w:ascii="宋体" w:hAnsi="宋体"/>
          <w:color w:val="auto"/>
          <w:highlight w:val="none"/>
        </w:rPr>
      </w:pPr>
    </w:p>
    <w:p>
      <w:pPr>
        <w:pStyle w:val="91"/>
        <w:rPr>
          <w:rFonts w:hint="eastAsia" w:ascii="宋体" w:hAnsi="宋体"/>
          <w:color w:val="auto"/>
          <w:highlight w:val="none"/>
        </w:rPr>
      </w:pPr>
    </w:p>
    <w:p>
      <w:pPr>
        <w:pStyle w:val="91"/>
        <w:jc w:val="center"/>
        <w:rPr>
          <w:rFonts w:hint="eastAsia" w:ascii="宋体" w:hAnsi="宋体"/>
          <w:b/>
          <w:color w:val="auto"/>
          <w:sz w:val="44"/>
          <w:szCs w:val="44"/>
          <w:highlight w:val="none"/>
        </w:rPr>
      </w:pPr>
      <w:r>
        <w:rPr>
          <w:rFonts w:ascii="宋体" w:hAnsi="宋体"/>
          <w:color w:val="auto"/>
          <w:highlight w:val="none"/>
        </w:rPr>
        <w:br w:type="page"/>
      </w:r>
      <w:bookmarkStart w:id="85" w:name="_Toc12366"/>
      <w:r>
        <w:rPr>
          <w:rFonts w:hint="eastAsia" w:ascii="宋体" w:hAnsi="宋体"/>
          <w:b/>
          <w:color w:val="auto"/>
          <w:sz w:val="44"/>
          <w:szCs w:val="44"/>
          <w:highlight w:val="none"/>
        </w:rPr>
        <w:t>第六部分  投标文件格式</w:t>
      </w:r>
      <w:bookmarkEnd w:id="84"/>
      <w:bookmarkEnd w:id="85"/>
    </w:p>
    <w:p>
      <w:pPr>
        <w:rPr>
          <w:rFonts w:ascii="宋体" w:hAnsi="宋体"/>
          <w:color w:val="auto"/>
          <w:highlight w:val="none"/>
        </w:rPr>
      </w:pPr>
      <w:bookmarkStart w:id="86" w:name="EB819316f773b24a75aef829f9b72900c0"/>
    </w:p>
    <w:p>
      <w:pPr>
        <w:pStyle w:val="94"/>
        <w:ind w:firstLine="321" w:firstLineChars="100"/>
        <w:jc w:val="center"/>
        <w:outlineLvl w:val="1"/>
        <w:rPr>
          <w:rFonts w:ascii="宋体" w:hAnsi="宋体" w:eastAsia="宋体"/>
          <w:color w:val="auto"/>
          <w:highlight w:val="none"/>
        </w:rPr>
      </w:pPr>
      <w:bookmarkStart w:id="87" w:name="_Toc514054484"/>
      <w:bookmarkStart w:id="88" w:name="_Toc26779"/>
      <w:r>
        <w:rPr>
          <w:rFonts w:ascii="宋体" w:hAnsi="宋体" w:eastAsia="宋体"/>
          <w:color w:val="auto"/>
          <w:highlight w:val="none"/>
        </w:rPr>
        <w:t>封面</w:t>
      </w:r>
      <w:bookmarkEnd w:id="87"/>
      <w:bookmarkEnd w:id="88"/>
    </w:p>
    <w:p>
      <w:pPr>
        <w:pStyle w:val="95"/>
        <w:autoSpaceDE w:val="0"/>
        <w:autoSpaceDN w:val="0"/>
        <w:adjustRightInd w:val="0"/>
        <w:jc w:val="left"/>
        <w:rPr>
          <w:rFonts w:hint="eastAsia" w:ascii="宋体" w:hAnsi="宋体" w:cs="黑体"/>
          <w:color w:val="auto"/>
          <w:kern w:val="0"/>
          <w:sz w:val="32"/>
          <w:szCs w:val="32"/>
          <w:highlight w:val="none"/>
        </w:rPr>
      </w:pPr>
    </w:p>
    <w:p>
      <w:pPr>
        <w:pStyle w:val="95"/>
        <w:autoSpaceDE w:val="0"/>
        <w:autoSpaceDN w:val="0"/>
        <w:adjustRightInd w:val="0"/>
        <w:jc w:val="left"/>
        <w:rPr>
          <w:rFonts w:hint="eastAsia" w:ascii="宋体" w:hAnsi="宋体" w:cs="黑体"/>
          <w:color w:val="auto"/>
          <w:kern w:val="0"/>
          <w:sz w:val="32"/>
          <w:szCs w:val="32"/>
          <w:highlight w:val="none"/>
        </w:rPr>
      </w:pPr>
    </w:p>
    <w:p>
      <w:pPr>
        <w:pStyle w:val="95"/>
        <w:autoSpaceDE w:val="0"/>
        <w:autoSpaceDN w:val="0"/>
        <w:adjustRightInd w:val="0"/>
        <w:jc w:val="left"/>
        <w:rPr>
          <w:rFonts w:hint="eastAsia" w:ascii="宋体" w:hAnsi="宋体" w:cs="黑体"/>
          <w:color w:val="auto"/>
          <w:kern w:val="0"/>
          <w:sz w:val="32"/>
          <w:szCs w:val="32"/>
          <w:highlight w:val="none"/>
        </w:rPr>
      </w:pPr>
    </w:p>
    <w:p>
      <w:pPr>
        <w:pStyle w:val="95"/>
        <w:autoSpaceDE w:val="0"/>
        <w:autoSpaceDN w:val="0"/>
        <w:adjustRightInd w:val="0"/>
        <w:jc w:val="center"/>
        <w:rPr>
          <w:rFonts w:ascii="宋体" w:hAnsi="宋体" w:cs="黑体"/>
          <w:color w:val="auto"/>
          <w:kern w:val="0"/>
          <w:sz w:val="44"/>
          <w:szCs w:val="44"/>
          <w:highlight w:val="none"/>
          <w:u w:val="single"/>
        </w:rPr>
      </w:pPr>
      <w:r>
        <w:rPr>
          <w:rFonts w:hint="eastAsia" w:ascii="宋体" w:hAnsi="宋体" w:cs="黑体"/>
          <w:color w:val="auto"/>
          <w:kern w:val="0"/>
          <w:sz w:val="44"/>
          <w:szCs w:val="44"/>
          <w:highlight w:val="none"/>
          <w:u w:val="single"/>
        </w:rPr>
        <w:t>（  项 目 名 称  ）</w:t>
      </w:r>
    </w:p>
    <w:p>
      <w:pPr>
        <w:pStyle w:val="95"/>
        <w:autoSpaceDE w:val="0"/>
        <w:autoSpaceDN w:val="0"/>
        <w:adjustRightInd w:val="0"/>
        <w:jc w:val="center"/>
        <w:rPr>
          <w:rFonts w:hint="eastAsia" w:ascii="宋体" w:hAnsi="宋体" w:cs="黑体"/>
          <w:color w:val="auto"/>
          <w:kern w:val="0"/>
          <w:sz w:val="52"/>
          <w:szCs w:val="52"/>
          <w:highlight w:val="none"/>
        </w:rPr>
      </w:pPr>
    </w:p>
    <w:p>
      <w:pPr>
        <w:pStyle w:val="95"/>
        <w:autoSpaceDE w:val="0"/>
        <w:autoSpaceDN w:val="0"/>
        <w:adjustRightInd w:val="0"/>
        <w:jc w:val="center"/>
        <w:rPr>
          <w:rFonts w:ascii="宋体" w:hAnsi="宋体" w:cs="黑体"/>
          <w:color w:val="auto"/>
          <w:kern w:val="0"/>
          <w:sz w:val="72"/>
          <w:szCs w:val="72"/>
          <w:highlight w:val="none"/>
        </w:rPr>
      </w:pPr>
      <w:r>
        <w:rPr>
          <w:rFonts w:hint="eastAsia" w:ascii="宋体" w:hAnsi="宋体" w:cs="黑体"/>
          <w:color w:val="auto"/>
          <w:kern w:val="0"/>
          <w:sz w:val="72"/>
          <w:szCs w:val="72"/>
          <w:highlight w:val="none"/>
        </w:rPr>
        <w:t>投</w:t>
      </w:r>
      <w:r>
        <w:rPr>
          <w:rFonts w:ascii="宋体" w:hAnsi="宋体" w:cs="黑体"/>
          <w:color w:val="auto"/>
          <w:kern w:val="0"/>
          <w:sz w:val="72"/>
          <w:szCs w:val="72"/>
          <w:highlight w:val="none"/>
        </w:rPr>
        <w:t xml:space="preserve"> </w:t>
      </w:r>
      <w:r>
        <w:rPr>
          <w:rFonts w:hint="eastAsia" w:ascii="宋体" w:hAnsi="宋体" w:cs="黑体"/>
          <w:color w:val="auto"/>
          <w:kern w:val="0"/>
          <w:sz w:val="72"/>
          <w:szCs w:val="72"/>
          <w:highlight w:val="none"/>
        </w:rPr>
        <w:t>标</w:t>
      </w:r>
      <w:r>
        <w:rPr>
          <w:rFonts w:ascii="宋体" w:hAnsi="宋体" w:cs="黑体"/>
          <w:color w:val="auto"/>
          <w:kern w:val="0"/>
          <w:sz w:val="72"/>
          <w:szCs w:val="72"/>
          <w:highlight w:val="none"/>
        </w:rPr>
        <w:t xml:space="preserve"> </w:t>
      </w:r>
      <w:r>
        <w:rPr>
          <w:rFonts w:hint="eastAsia" w:ascii="宋体" w:hAnsi="宋体" w:cs="黑体"/>
          <w:color w:val="auto"/>
          <w:kern w:val="0"/>
          <w:sz w:val="72"/>
          <w:szCs w:val="72"/>
          <w:highlight w:val="none"/>
        </w:rPr>
        <w:t>文</w:t>
      </w:r>
      <w:r>
        <w:rPr>
          <w:rFonts w:ascii="宋体" w:hAnsi="宋体" w:cs="黑体"/>
          <w:color w:val="auto"/>
          <w:kern w:val="0"/>
          <w:sz w:val="72"/>
          <w:szCs w:val="72"/>
          <w:highlight w:val="none"/>
        </w:rPr>
        <w:t xml:space="preserve"> </w:t>
      </w:r>
      <w:r>
        <w:rPr>
          <w:rFonts w:hint="eastAsia" w:ascii="宋体" w:hAnsi="宋体" w:cs="黑体"/>
          <w:color w:val="auto"/>
          <w:kern w:val="0"/>
          <w:sz w:val="72"/>
          <w:szCs w:val="72"/>
          <w:highlight w:val="none"/>
        </w:rPr>
        <w:t>件</w:t>
      </w:r>
    </w:p>
    <w:p>
      <w:pPr>
        <w:pStyle w:val="95"/>
        <w:autoSpaceDE w:val="0"/>
        <w:autoSpaceDN w:val="0"/>
        <w:adjustRightInd w:val="0"/>
        <w:jc w:val="left"/>
        <w:rPr>
          <w:rFonts w:hint="eastAsia" w:ascii="宋体" w:hAnsi="宋体" w:cs="黑体"/>
          <w:color w:val="auto"/>
          <w:kern w:val="0"/>
          <w:sz w:val="28"/>
          <w:szCs w:val="28"/>
          <w:highlight w:val="none"/>
        </w:rPr>
      </w:pPr>
    </w:p>
    <w:p>
      <w:pPr>
        <w:pStyle w:val="95"/>
        <w:autoSpaceDE w:val="0"/>
        <w:autoSpaceDN w:val="0"/>
        <w:adjustRightInd w:val="0"/>
        <w:jc w:val="center"/>
        <w:rPr>
          <w:rFonts w:hint="eastAsia" w:ascii="宋体" w:hAnsi="宋体" w:cs="黑体"/>
          <w:color w:val="auto"/>
          <w:kern w:val="0"/>
          <w:sz w:val="28"/>
          <w:szCs w:val="28"/>
          <w:highlight w:val="none"/>
        </w:rPr>
      </w:pPr>
      <w:r>
        <w:rPr>
          <w:rFonts w:hint="eastAsia" w:ascii="宋体" w:hAnsi="宋体" w:cs="黑体"/>
          <w:color w:val="auto"/>
          <w:kern w:val="0"/>
          <w:sz w:val="28"/>
          <w:szCs w:val="28"/>
          <w:highlight w:val="none"/>
        </w:rPr>
        <w:t>（分包号）</w:t>
      </w:r>
    </w:p>
    <w:p>
      <w:pPr>
        <w:pStyle w:val="95"/>
        <w:autoSpaceDE w:val="0"/>
        <w:autoSpaceDN w:val="0"/>
        <w:adjustRightInd w:val="0"/>
        <w:jc w:val="left"/>
        <w:rPr>
          <w:rFonts w:hint="eastAsia" w:ascii="宋体" w:hAnsi="宋体" w:cs="黑体"/>
          <w:color w:val="auto"/>
          <w:kern w:val="0"/>
          <w:sz w:val="28"/>
          <w:szCs w:val="28"/>
          <w:highlight w:val="none"/>
        </w:rPr>
      </w:pPr>
    </w:p>
    <w:p>
      <w:pPr>
        <w:pStyle w:val="95"/>
        <w:autoSpaceDE w:val="0"/>
        <w:autoSpaceDN w:val="0"/>
        <w:adjustRightInd w:val="0"/>
        <w:jc w:val="left"/>
        <w:rPr>
          <w:rFonts w:hint="eastAsia" w:ascii="宋体" w:hAnsi="宋体" w:cs="黑体"/>
          <w:color w:val="auto"/>
          <w:kern w:val="0"/>
          <w:sz w:val="28"/>
          <w:szCs w:val="28"/>
          <w:highlight w:val="none"/>
        </w:rPr>
      </w:pPr>
    </w:p>
    <w:p>
      <w:pPr>
        <w:pStyle w:val="95"/>
        <w:autoSpaceDE w:val="0"/>
        <w:autoSpaceDN w:val="0"/>
        <w:adjustRightInd w:val="0"/>
        <w:jc w:val="left"/>
        <w:rPr>
          <w:rFonts w:hint="eastAsia" w:ascii="宋体" w:hAnsi="宋体" w:cs="黑体"/>
          <w:color w:val="auto"/>
          <w:kern w:val="0"/>
          <w:sz w:val="28"/>
          <w:szCs w:val="28"/>
          <w:highlight w:val="none"/>
        </w:rPr>
      </w:pPr>
    </w:p>
    <w:p>
      <w:pPr>
        <w:pStyle w:val="95"/>
        <w:autoSpaceDE w:val="0"/>
        <w:autoSpaceDN w:val="0"/>
        <w:adjustRightInd w:val="0"/>
        <w:jc w:val="left"/>
        <w:rPr>
          <w:rFonts w:hint="eastAsia" w:ascii="宋体" w:hAnsi="宋体" w:cs="黑体"/>
          <w:color w:val="auto"/>
          <w:kern w:val="0"/>
          <w:sz w:val="28"/>
          <w:szCs w:val="28"/>
          <w:highlight w:val="none"/>
        </w:rPr>
      </w:pPr>
    </w:p>
    <w:p>
      <w:pPr>
        <w:pStyle w:val="95"/>
        <w:autoSpaceDE w:val="0"/>
        <w:autoSpaceDN w:val="0"/>
        <w:adjustRightInd w:val="0"/>
        <w:jc w:val="left"/>
        <w:rPr>
          <w:rFonts w:hint="eastAsia" w:ascii="宋体" w:hAnsi="宋体" w:cs="黑体"/>
          <w:color w:val="auto"/>
          <w:kern w:val="0"/>
          <w:sz w:val="28"/>
          <w:szCs w:val="28"/>
          <w:highlight w:val="none"/>
        </w:rPr>
      </w:pPr>
    </w:p>
    <w:p>
      <w:pPr>
        <w:pStyle w:val="95"/>
        <w:autoSpaceDE w:val="0"/>
        <w:autoSpaceDN w:val="0"/>
        <w:adjustRightInd w:val="0"/>
        <w:jc w:val="left"/>
        <w:rPr>
          <w:rFonts w:hint="eastAsia" w:ascii="宋体" w:hAnsi="宋体" w:cs="黑体"/>
          <w:color w:val="auto"/>
          <w:kern w:val="0"/>
          <w:sz w:val="28"/>
          <w:szCs w:val="28"/>
          <w:highlight w:val="none"/>
        </w:rPr>
      </w:pPr>
    </w:p>
    <w:p>
      <w:pPr>
        <w:pStyle w:val="95"/>
        <w:autoSpaceDE w:val="0"/>
        <w:autoSpaceDN w:val="0"/>
        <w:adjustRightInd w:val="0"/>
        <w:jc w:val="left"/>
        <w:rPr>
          <w:rFonts w:hint="eastAsia" w:ascii="宋体" w:hAnsi="宋体" w:cs="黑体"/>
          <w:color w:val="auto"/>
          <w:kern w:val="0"/>
          <w:sz w:val="28"/>
          <w:szCs w:val="28"/>
          <w:highlight w:val="none"/>
        </w:rPr>
      </w:pPr>
    </w:p>
    <w:p>
      <w:pPr>
        <w:pStyle w:val="95"/>
        <w:autoSpaceDE w:val="0"/>
        <w:autoSpaceDN w:val="0"/>
        <w:adjustRightInd w:val="0"/>
        <w:ind w:firstLine="2520" w:firstLineChars="900"/>
        <w:rPr>
          <w:rFonts w:ascii="宋体" w:hAnsi="宋体" w:cs="黑体"/>
          <w:color w:val="auto"/>
          <w:kern w:val="0"/>
          <w:sz w:val="28"/>
          <w:szCs w:val="28"/>
          <w:highlight w:val="none"/>
        </w:rPr>
      </w:pPr>
      <w:r>
        <w:rPr>
          <w:rFonts w:hint="eastAsia" w:ascii="宋体" w:hAnsi="宋体" w:cs="黑体"/>
          <w:color w:val="auto"/>
          <w:kern w:val="0"/>
          <w:sz w:val="28"/>
          <w:szCs w:val="28"/>
          <w:highlight w:val="none"/>
        </w:rPr>
        <w:t>投标人：</w:t>
      </w:r>
      <w:r>
        <w:rPr>
          <w:rFonts w:ascii="宋体" w:hAnsi="宋体" w:cs="黑体"/>
          <w:color w:val="auto"/>
          <w:kern w:val="0"/>
          <w:sz w:val="28"/>
          <w:szCs w:val="28"/>
          <w:highlight w:val="none"/>
        </w:rPr>
        <w:t xml:space="preserve"> </w:t>
      </w:r>
      <w:r>
        <w:rPr>
          <w:rFonts w:hint="eastAsia" w:ascii="宋体" w:hAnsi="宋体" w:cs="黑体"/>
          <w:color w:val="auto"/>
          <w:kern w:val="0"/>
          <w:sz w:val="28"/>
          <w:szCs w:val="28"/>
          <w:highlight w:val="none"/>
        </w:rPr>
        <w:t>（盖章）</w:t>
      </w:r>
    </w:p>
    <w:p>
      <w:pPr>
        <w:pStyle w:val="95"/>
        <w:autoSpaceDE w:val="0"/>
        <w:autoSpaceDN w:val="0"/>
        <w:adjustRightInd w:val="0"/>
        <w:rPr>
          <w:rFonts w:hint="eastAsia" w:ascii="宋体" w:hAnsi="宋体" w:cs="黑体"/>
          <w:color w:val="auto"/>
          <w:kern w:val="0"/>
          <w:sz w:val="28"/>
          <w:szCs w:val="28"/>
          <w:highlight w:val="none"/>
        </w:rPr>
      </w:pPr>
      <w:r>
        <w:rPr>
          <w:rFonts w:hint="eastAsia" w:ascii="宋体" w:hAnsi="宋体" w:cs="黑体"/>
          <w:color w:val="auto"/>
          <w:kern w:val="0"/>
          <w:sz w:val="28"/>
          <w:szCs w:val="28"/>
          <w:highlight w:val="none"/>
        </w:rPr>
        <w:t xml:space="preserve">                  法定代表人（或授权代表）：（签字）</w:t>
      </w:r>
      <w:r>
        <w:rPr>
          <w:rFonts w:ascii="宋体" w:hAnsi="宋体" w:cs="黑体"/>
          <w:color w:val="auto"/>
          <w:kern w:val="0"/>
          <w:sz w:val="28"/>
          <w:szCs w:val="28"/>
          <w:highlight w:val="none"/>
        </w:rPr>
        <w:t xml:space="preserve"> </w:t>
      </w:r>
    </w:p>
    <w:p>
      <w:pPr>
        <w:pStyle w:val="95"/>
        <w:autoSpaceDE w:val="0"/>
        <w:autoSpaceDN w:val="0"/>
        <w:adjustRightInd w:val="0"/>
        <w:ind w:firstLine="3080" w:firstLineChars="1100"/>
        <w:rPr>
          <w:rFonts w:hint="eastAsia" w:ascii="宋体" w:hAnsi="宋体" w:cs="黑体"/>
          <w:color w:val="auto"/>
          <w:kern w:val="0"/>
          <w:sz w:val="28"/>
          <w:szCs w:val="28"/>
          <w:highlight w:val="none"/>
        </w:rPr>
      </w:pPr>
      <w:r>
        <w:rPr>
          <w:rFonts w:hint="eastAsia" w:ascii="宋体" w:hAnsi="宋体" w:cs="黑体"/>
          <w:color w:val="auto"/>
          <w:kern w:val="0"/>
          <w:sz w:val="28"/>
          <w:szCs w:val="28"/>
          <w:highlight w:val="none"/>
        </w:rPr>
        <w:t xml:space="preserve">年   </w:t>
      </w:r>
      <w:r>
        <w:rPr>
          <w:rFonts w:ascii="宋体" w:hAnsi="宋体" w:cs="黑体"/>
          <w:color w:val="auto"/>
          <w:kern w:val="0"/>
          <w:sz w:val="28"/>
          <w:szCs w:val="28"/>
          <w:highlight w:val="none"/>
        </w:rPr>
        <w:t xml:space="preserve"> </w:t>
      </w:r>
      <w:r>
        <w:rPr>
          <w:rFonts w:hint="eastAsia" w:ascii="宋体" w:hAnsi="宋体" w:cs="黑体"/>
          <w:color w:val="auto"/>
          <w:kern w:val="0"/>
          <w:sz w:val="28"/>
          <w:szCs w:val="28"/>
          <w:highlight w:val="none"/>
        </w:rPr>
        <w:t xml:space="preserve">月   </w:t>
      </w:r>
      <w:r>
        <w:rPr>
          <w:rFonts w:ascii="宋体" w:hAnsi="宋体" w:cs="黑体"/>
          <w:color w:val="auto"/>
          <w:kern w:val="0"/>
          <w:sz w:val="28"/>
          <w:szCs w:val="28"/>
          <w:highlight w:val="none"/>
        </w:rPr>
        <w:t xml:space="preserve"> </w:t>
      </w:r>
      <w:r>
        <w:rPr>
          <w:rFonts w:hint="eastAsia" w:ascii="宋体" w:hAnsi="宋体" w:cs="黑体"/>
          <w:color w:val="auto"/>
          <w:kern w:val="0"/>
          <w:sz w:val="28"/>
          <w:szCs w:val="28"/>
          <w:highlight w:val="none"/>
        </w:rPr>
        <w:t>日</w:t>
      </w:r>
    </w:p>
    <w:p>
      <w:pPr>
        <w:rPr>
          <w:rFonts w:ascii="宋体" w:hAnsi="宋体"/>
          <w:color w:val="auto"/>
          <w:highlight w:val="none"/>
        </w:rPr>
      </w:pPr>
    </w:p>
    <w:p>
      <w:pPr>
        <w:pStyle w:val="96"/>
        <w:jc w:val="center"/>
        <w:outlineLvl w:val="1"/>
        <w:rPr>
          <w:rFonts w:hint="eastAsia" w:ascii="宋体" w:hAnsi="宋体" w:eastAsia="宋体"/>
          <w:color w:val="auto"/>
          <w:highlight w:val="none"/>
          <w:lang w:eastAsia="zh-CN"/>
        </w:rPr>
      </w:pPr>
      <w:r>
        <w:rPr>
          <w:rFonts w:ascii="宋体" w:hAnsi="宋体" w:eastAsia="宋体"/>
          <w:color w:val="auto"/>
          <w:highlight w:val="none"/>
        </w:rPr>
        <w:br w:type="page"/>
      </w:r>
      <w:bookmarkStart w:id="89" w:name="_Toc20871"/>
      <w:bookmarkStart w:id="90" w:name="_Toc514054485"/>
      <w:r>
        <w:rPr>
          <w:rFonts w:hint="eastAsia" w:ascii="宋体" w:hAnsi="宋体" w:eastAsia="宋体"/>
          <w:color w:val="auto"/>
          <w:highlight w:val="none"/>
          <w:lang w:eastAsia="zh-CN"/>
        </w:rPr>
        <w:t>评</w:t>
      </w:r>
      <w:r>
        <w:rPr>
          <w:rFonts w:hint="eastAsia" w:ascii="宋体" w:hAnsi="宋体" w:eastAsia="宋体"/>
          <w:color w:val="auto"/>
          <w:highlight w:val="none"/>
          <w:lang w:val="en-US" w:eastAsia="zh-CN"/>
        </w:rPr>
        <w:t>审</w:t>
      </w:r>
      <w:r>
        <w:rPr>
          <w:rFonts w:hint="eastAsia" w:ascii="宋体" w:hAnsi="宋体" w:eastAsia="宋体"/>
          <w:color w:val="auto"/>
          <w:highlight w:val="none"/>
          <w:lang w:eastAsia="zh-CN"/>
        </w:rPr>
        <w:t>索引表</w:t>
      </w:r>
      <w:bookmarkEnd w:id="89"/>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03"/>
        <w:gridCol w:w="41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3" w:type="dxa"/>
            <w:noWrap w:val="0"/>
            <w:vAlign w:val="top"/>
          </w:tcPr>
          <w:p>
            <w:pPr>
              <w:pStyle w:val="96"/>
              <w:jc w:val="center"/>
              <w:outlineLvl w:val="1"/>
              <w:rPr>
                <w:rFonts w:hint="eastAsia" w:ascii="宋体" w:hAnsi="宋体" w:eastAsia="宋体" w:cs="Times New Roman"/>
                <w:color w:val="auto"/>
                <w:highlight w:val="none"/>
                <w:lang w:eastAsia="zh-CN"/>
              </w:rPr>
            </w:pPr>
            <w:bookmarkStart w:id="91" w:name="_Toc26621"/>
            <w:r>
              <w:rPr>
                <w:rFonts w:hint="eastAsia" w:ascii="宋体" w:hAnsi="宋体" w:eastAsia="宋体" w:cs="Times New Roman"/>
                <w:color w:val="auto"/>
                <w:highlight w:val="none"/>
                <w:lang w:eastAsia="zh-CN"/>
              </w:rPr>
              <w:t>资格审查项</w:t>
            </w:r>
            <w:bookmarkEnd w:id="91"/>
          </w:p>
        </w:tc>
        <w:tc>
          <w:tcPr>
            <w:tcW w:w="4157" w:type="dxa"/>
            <w:noWrap w:val="0"/>
            <w:vAlign w:val="top"/>
          </w:tcPr>
          <w:p>
            <w:pPr>
              <w:pStyle w:val="96"/>
              <w:jc w:val="center"/>
              <w:outlineLvl w:val="1"/>
              <w:rPr>
                <w:rFonts w:hint="eastAsia" w:ascii="宋体" w:hAnsi="宋体" w:eastAsia="宋体" w:cs="Times New Roman"/>
                <w:color w:val="auto"/>
                <w:highlight w:val="none"/>
                <w:lang w:eastAsia="zh-CN"/>
              </w:rPr>
            </w:pPr>
            <w:bookmarkStart w:id="92" w:name="_Toc23773"/>
            <w:r>
              <w:rPr>
                <w:rFonts w:hint="eastAsia" w:ascii="宋体" w:hAnsi="宋体" w:eastAsia="宋体" w:cs="Times New Roman"/>
                <w:color w:val="auto"/>
                <w:highlight w:val="none"/>
                <w:lang w:eastAsia="zh-CN"/>
              </w:rPr>
              <w:t>在投标文件中的页码位置</w:t>
            </w:r>
            <w:bookmarkEnd w:id="9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3" w:type="dxa"/>
            <w:noWrap w:val="0"/>
            <w:vAlign w:val="top"/>
          </w:tcPr>
          <w:p>
            <w:pPr>
              <w:pStyle w:val="96"/>
              <w:jc w:val="center"/>
              <w:rPr>
                <w:rFonts w:hint="eastAsia" w:ascii="宋体" w:hAnsi="宋体" w:eastAsia="宋体" w:cs="Times New Roman"/>
                <w:color w:val="auto"/>
                <w:highlight w:val="none"/>
                <w:lang w:eastAsia="zh-CN"/>
              </w:rPr>
            </w:pPr>
          </w:p>
        </w:tc>
        <w:tc>
          <w:tcPr>
            <w:tcW w:w="4157" w:type="dxa"/>
            <w:noWrap w:val="0"/>
            <w:vAlign w:val="top"/>
          </w:tcPr>
          <w:p>
            <w:pPr>
              <w:pStyle w:val="96"/>
              <w:jc w:val="center"/>
              <w:rPr>
                <w:rFonts w:hint="eastAsia" w:ascii="宋体" w:hAnsi="宋体" w:eastAsia="宋体" w:cs="Times New Roman"/>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3" w:type="dxa"/>
            <w:noWrap w:val="0"/>
            <w:vAlign w:val="top"/>
          </w:tcPr>
          <w:p>
            <w:pPr>
              <w:pStyle w:val="96"/>
              <w:jc w:val="center"/>
              <w:rPr>
                <w:rFonts w:hint="eastAsia" w:ascii="宋体" w:hAnsi="宋体" w:eastAsia="宋体" w:cs="Times New Roman"/>
                <w:color w:val="auto"/>
                <w:highlight w:val="none"/>
                <w:lang w:eastAsia="zh-CN"/>
              </w:rPr>
            </w:pPr>
          </w:p>
        </w:tc>
        <w:tc>
          <w:tcPr>
            <w:tcW w:w="4157" w:type="dxa"/>
            <w:noWrap w:val="0"/>
            <w:vAlign w:val="top"/>
          </w:tcPr>
          <w:p>
            <w:pPr>
              <w:pStyle w:val="96"/>
              <w:jc w:val="center"/>
              <w:rPr>
                <w:rFonts w:hint="eastAsia" w:ascii="宋体" w:hAnsi="宋体" w:eastAsia="宋体" w:cs="Times New Roman"/>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3" w:type="dxa"/>
            <w:noWrap w:val="0"/>
            <w:vAlign w:val="top"/>
          </w:tcPr>
          <w:p>
            <w:pPr>
              <w:pStyle w:val="96"/>
              <w:jc w:val="center"/>
              <w:rPr>
                <w:rFonts w:hint="eastAsia" w:ascii="宋体" w:hAnsi="宋体" w:eastAsia="宋体" w:cs="Times New Roman"/>
                <w:color w:val="auto"/>
                <w:highlight w:val="none"/>
                <w:lang w:eastAsia="zh-CN"/>
              </w:rPr>
            </w:pPr>
          </w:p>
        </w:tc>
        <w:tc>
          <w:tcPr>
            <w:tcW w:w="4157" w:type="dxa"/>
            <w:noWrap w:val="0"/>
            <w:vAlign w:val="top"/>
          </w:tcPr>
          <w:p>
            <w:pPr>
              <w:pStyle w:val="96"/>
              <w:jc w:val="center"/>
              <w:rPr>
                <w:rFonts w:hint="eastAsia" w:ascii="宋体" w:hAnsi="宋体" w:eastAsia="宋体" w:cs="Times New Roman"/>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3" w:type="dxa"/>
            <w:noWrap w:val="0"/>
            <w:vAlign w:val="top"/>
          </w:tcPr>
          <w:p>
            <w:pPr>
              <w:pStyle w:val="96"/>
              <w:jc w:val="center"/>
              <w:rPr>
                <w:rFonts w:hint="eastAsia" w:ascii="宋体" w:hAnsi="宋体" w:eastAsia="宋体" w:cs="Times New Roman"/>
                <w:color w:val="auto"/>
                <w:highlight w:val="none"/>
                <w:lang w:eastAsia="zh-CN"/>
              </w:rPr>
            </w:pPr>
          </w:p>
        </w:tc>
        <w:tc>
          <w:tcPr>
            <w:tcW w:w="4157" w:type="dxa"/>
            <w:noWrap w:val="0"/>
            <w:vAlign w:val="top"/>
          </w:tcPr>
          <w:p>
            <w:pPr>
              <w:pStyle w:val="96"/>
              <w:jc w:val="center"/>
              <w:rPr>
                <w:rFonts w:hint="eastAsia" w:ascii="宋体" w:hAnsi="宋体" w:eastAsia="宋体" w:cs="Times New Roman"/>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3" w:type="dxa"/>
            <w:noWrap w:val="0"/>
            <w:vAlign w:val="top"/>
          </w:tcPr>
          <w:p>
            <w:pPr>
              <w:pStyle w:val="96"/>
              <w:jc w:val="center"/>
              <w:rPr>
                <w:rFonts w:hint="eastAsia" w:ascii="宋体" w:hAnsi="宋体" w:eastAsia="宋体" w:cs="Times New Roman"/>
                <w:color w:val="auto"/>
                <w:highlight w:val="none"/>
                <w:lang w:eastAsia="zh-CN"/>
              </w:rPr>
            </w:pPr>
          </w:p>
        </w:tc>
        <w:tc>
          <w:tcPr>
            <w:tcW w:w="4157" w:type="dxa"/>
            <w:noWrap w:val="0"/>
            <w:vAlign w:val="top"/>
          </w:tcPr>
          <w:p>
            <w:pPr>
              <w:pStyle w:val="96"/>
              <w:jc w:val="center"/>
              <w:rPr>
                <w:rFonts w:hint="eastAsia" w:ascii="宋体" w:hAnsi="宋体" w:eastAsia="宋体" w:cs="Times New Roman"/>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3" w:type="dxa"/>
            <w:noWrap w:val="0"/>
            <w:vAlign w:val="top"/>
          </w:tcPr>
          <w:p>
            <w:pPr>
              <w:pStyle w:val="96"/>
              <w:jc w:val="center"/>
              <w:outlineLvl w:val="1"/>
              <w:rPr>
                <w:rFonts w:hint="eastAsia" w:ascii="宋体" w:hAnsi="宋体" w:eastAsia="宋体" w:cs="Times New Roman"/>
                <w:color w:val="auto"/>
                <w:highlight w:val="none"/>
                <w:lang w:val="en-US" w:eastAsia="zh-CN"/>
              </w:rPr>
            </w:pPr>
            <w:bookmarkStart w:id="93" w:name="_Toc4520"/>
            <w:r>
              <w:rPr>
                <w:rFonts w:hint="eastAsia" w:ascii="宋体" w:hAnsi="宋体" w:eastAsia="宋体" w:cs="Times New Roman"/>
                <w:color w:val="auto"/>
                <w:highlight w:val="none"/>
                <w:lang w:val="en-US" w:eastAsia="zh-CN"/>
              </w:rPr>
              <w:t>......</w:t>
            </w:r>
            <w:bookmarkEnd w:id="93"/>
          </w:p>
        </w:tc>
        <w:tc>
          <w:tcPr>
            <w:tcW w:w="4157" w:type="dxa"/>
            <w:noWrap w:val="0"/>
            <w:vAlign w:val="top"/>
          </w:tcPr>
          <w:p>
            <w:pPr>
              <w:pStyle w:val="96"/>
              <w:jc w:val="center"/>
              <w:rPr>
                <w:rFonts w:hint="eastAsia" w:ascii="宋体" w:hAnsi="宋体" w:eastAsia="宋体" w:cs="Times New Roman"/>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3" w:type="dxa"/>
            <w:noWrap w:val="0"/>
            <w:vAlign w:val="top"/>
          </w:tcPr>
          <w:p>
            <w:pPr>
              <w:pStyle w:val="96"/>
              <w:jc w:val="center"/>
              <w:outlineLvl w:val="1"/>
              <w:rPr>
                <w:rFonts w:hint="eastAsia" w:ascii="宋体" w:hAnsi="宋体" w:eastAsia="宋体" w:cs="Times New Roman"/>
                <w:color w:val="auto"/>
                <w:highlight w:val="none"/>
                <w:lang w:eastAsia="zh-CN"/>
              </w:rPr>
            </w:pPr>
            <w:bookmarkStart w:id="94" w:name="_Toc17522"/>
            <w:r>
              <w:rPr>
                <w:rFonts w:hint="eastAsia" w:ascii="宋体" w:hAnsi="宋体" w:eastAsia="宋体" w:cs="Times New Roman"/>
                <w:color w:val="auto"/>
                <w:highlight w:val="none"/>
                <w:lang w:eastAsia="zh-CN"/>
              </w:rPr>
              <w:t>符合性审查</w:t>
            </w:r>
            <w:bookmarkEnd w:id="94"/>
          </w:p>
        </w:tc>
        <w:tc>
          <w:tcPr>
            <w:tcW w:w="4157" w:type="dxa"/>
            <w:noWrap w:val="0"/>
            <w:vAlign w:val="top"/>
          </w:tcPr>
          <w:p>
            <w:pPr>
              <w:pStyle w:val="96"/>
              <w:jc w:val="center"/>
              <w:outlineLvl w:val="1"/>
              <w:rPr>
                <w:rFonts w:hint="eastAsia" w:ascii="宋体" w:hAnsi="宋体" w:eastAsia="宋体" w:cs="Times New Roman"/>
                <w:color w:val="auto"/>
                <w:highlight w:val="none"/>
                <w:lang w:eastAsia="zh-CN"/>
              </w:rPr>
            </w:pPr>
            <w:bookmarkStart w:id="95" w:name="_Toc22080"/>
            <w:r>
              <w:rPr>
                <w:rFonts w:hint="eastAsia" w:ascii="宋体" w:hAnsi="宋体" w:eastAsia="宋体" w:cs="Times New Roman"/>
                <w:color w:val="auto"/>
                <w:highlight w:val="none"/>
                <w:lang w:eastAsia="zh-CN"/>
              </w:rPr>
              <w:t>在投标文件中的页码位置</w:t>
            </w:r>
            <w:bookmarkEnd w:id="9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3" w:type="dxa"/>
            <w:noWrap w:val="0"/>
            <w:vAlign w:val="top"/>
          </w:tcPr>
          <w:p>
            <w:pPr>
              <w:pStyle w:val="96"/>
              <w:jc w:val="center"/>
              <w:rPr>
                <w:rFonts w:hint="eastAsia" w:ascii="宋体" w:hAnsi="宋体" w:eastAsia="宋体" w:cs="Times New Roman"/>
                <w:color w:val="auto"/>
                <w:highlight w:val="none"/>
                <w:lang w:eastAsia="zh-CN"/>
              </w:rPr>
            </w:pPr>
          </w:p>
        </w:tc>
        <w:tc>
          <w:tcPr>
            <w:tcW w:w="4157" w:type="dxa"/>
            <w:noWrap w:val="0"/>
            <w:vAlign w:val="top"/>
          </w:tcPr>
          <w:p>
            <w:pPr>
              <w:pStyle w:val="96"/>
              <w:jc w:val="center"/>
              <w:rPr>
                <w:rFonts w:hint="eastAsia" w:ascii="宋体" w:hAnsi="宋体" w:eastAsia="宋体" w:cs="Times New Roman"/>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3" w:type="dxa"/>
            <w:noWrap w:val="0"/>
            <w:vAlign w:val="top"/>
          </w:tcPr>
          <w:p>
            <w:pPr>
              <w:pStyle w:val="96"/>
              <w:jc w:val="center"/>
              <w:rPr>
                <w:rFonts w:hint="eastAsia" w:ascii="宋体" w:hAnsi="宋体" w:eastAsia="宋体" w:cs="Times New Roman"/>
                <w:color w:val="auto"/>
                <w:highlight w:val="none"/>
                <w:lang w:eastAsia="zh-CN"/>
              </w:rPr>
            </w:pPr>
          </w:p>
        </w:tc>
        <w:tc>
          <w:tcPr>
            <w:tcW w:w="4157" w:type="dxa"/>
            <w:noWrap w:val="0"/>
            <w:vAlign w:val="top"/>
          </w:tcPr>
          <w:p>
            <w:pPr>
              <w:pStyle w:val="96"/>
              <w:jc w:val="center"/>
              <w:rPr>
                <w:rFonts w:hint="eastAsia" w:ascii="宋体" w:hAnsi="宋体" w:eastAsia="宋体" w:cs="Times New Roman"/>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3" w:type="dxa"/>
            <w:noWrap w:val="0"/>
            <w:vAlign w:val="top"/>
          </w:tcPr>
          <w:p>
            <w:pPr>
              <w:pStyle w:val="96"/>
              <w:jc w:val="center"/>
              <w:rPr>
                <w:rFonts w:hint="eastAsia" w:ascii="宋体" w:hAnsi="宋体" w:eastAsia="宋体" w:cs="Times New Roman"/>
                <w:color w:val="auto"/>
                <w:highlight w:val="none"/>
                <w:lang w:eastAsia="zh-CN"/>
              </w:rPr>
            </w:pPr>
          </w:p>
        </w:tc>
        <w:tc>
          <w:tcPr>
            <w:tcW w:w="4157" w:type="dxa"/>
            <w:noWrap w:val="0"/>
            <w:vAlign w:val="top"/>
          </w:tcPr>
          <w:p>
            <w:pPr>
              <w:pStyle w:val="96"/>
              <w:jc w:val="center"/>
              <w:rPr>
                <w:rFonts w:hint="eastAsia" w:ascii="宋体" w:hAnsi="宋体" w:eastAsia="宋体" w:cs="Times New Roman"/>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3" w:type="dxa"/>
            <w:noWrap w:val="0"/>
            <w:vAlign w:val="top"/>
          </w:tcPr>
          <w:p>
            <w:pPr>
              <w:pStyle w:val="96"/>
              <w:jc w:val="center"/>
              <w:rPr>
                <w:rFonts w:hint="eastAsia" w:ascii="宋体" w:hAnsi="宋体" w:eastAsia="宋体" w:cs="Times New Roman"/>
                <w:color w:val="auto"/>
                <w:highlight w:val="none"/>
                <w:lang w:eastAsia="zh-CN"/>
              </w:rPr>
            </w:pPr>
          </w:p>
        </w:tc>
        <w:tc>
          <w:tcPr>
            <w:tcW w:w="4157" w:type="dxa"/>
            <w:noWrap w:val="0"/>
            <w:vAlign w:val="top"/>
          </w:tcPr>
          <w:p>
            <w:pPr>
              <w:pStyle w:val="96"/>
              <w:jc w:val="center"/>
              <w:rPr>
                <w:rFonts w:hint="eastAsia" w:ascii="宋体" w:hAnsi="宋体" w:eastAsia="宋体" w:cs="Times New Roman"/>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3" w:type="dxa"/>
            <w:noWrap w:val="0"/>
            <w:vAlign w:val="top"/>
          </w:tcPr>
          <w:p>
            <w:pPr>
              <w:pStyle w:val="96"/>
              <w:jc w:val="center"/>
              <w:outlineLvl w:val="1"/>
              <w:rPr>
                <w:rFonts w:hint="eastAsia" w:ascii="宋体" w:hAnsi="宋体" w:eastAsia="宋体" w:cs="Times New Roman"/>
                <w:color w:val="auto"/>
                <w:highlight w:val="none"/>
                <w:lang w:val="en-US" w:eastAsia="zh-CN"/>
              </w:rPr>
            </w:pPr>
            <w:bookmarkStart w:id="96" w:name="_Toc2367"/>
            <w:r>
              <w:rPr>
                <w:rFonts w:hint="eastAsia" w:ascii="宋体" w:hAnsi="宋体" w:eastAsia="宋体" w:cs="Times New Roman"/>
                <w:color w:val="auto"/>
                <w:highlight w:val="none"/>
                <w:lang w:val="en-US" w:eastAsia="zh-CN"/>
              </w:rPr>
              <w:t>......</w:t>
            </w:r>
            <w:bookmarkEnd w:id="96"/>
          </w:p>
        </w:tc>
        <w:tc>
          <w:tcPr>
            <w:tcW w:w="4157" w:type="dxa"/>
            <w:noWrap w:val="0"/>
            <w:vAlign w:val="top"/>
          </w:tcPr>
          <w:p>
            <w:pPr>
              <w:pStyle w:val="96"/>
              <w:jc w:val="center"/>
              <w:rPr>
                <w:rFonts w:hint="eastAsia" w:ascii="宋体" w:hAnsi="宋体" w:eastAsia="宋体" w:cs="Times New Roman"/>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3" w:type="dxa"/>
            <w:noWrap w:val="0"/>
            <w:vAlign w:val="top"/>
          </w:tcPr>
          <w:p>
            <w:pPr>
              <w:pStyle w:val="96"/>
              <w:jc w:val="center"/>
              <w:outlineLvl w:val="1"/>
              <w:rPr>
                <w:rFonts w:hint="eastAsia" w:ascii="宋体" w:hAnsi="宋体" w:eastAsia="宋体" w:cs="Times New Roman"/>
                <w:color w:val="auto"/>
                <w:highlight w:val="none"/>
                <w:lang w:eastAsia="zh-CN"/>
              </w:rPr>
            </w:pPr>
            <w:bookmarkStart w:id="97" w:name="_Toc16952"/>
            <w:r>
              <w:rPr>
                <w:rFonts w:hint="eastAsia" w:ascii="宋体" w:hAnsi="宋体" w:eastAsia="宋体" w:cs="Times New Roman"/>
                <w:color w:val="auto"/>
                <w:highlight w:val="none"/>
                <w:lang w:eastAsia="zh-CN"/>
              </w:rPr>
              <w:t>评分项目</w:t>
            </w:r>
            <w:bookmarkEnd w:id="97"/>
          </w:p>
        </w:tc>
        <w:tc>
          <w:tcPr>
            <w:tcW w:w="4157" w:type="dxa"/>
            <w:noWrap w:val="0"/>
            <w:vAlign w:val="top"/>
          </w:tcPr>
          <w:p>
            <w:pPr>
              <w:pStyle w:val="96"/>
              <w:jc w:val="center"/>
              <w:outlineLvl w:val="1"/>
              <w:rPr>
                <w:rFonts w:hint="eastAsia" w:ascii="宋体" w:hAnsi="宋体" w:eastAsia="宋体" w:cs="Times New Roman"/>
                <w:color w:val="auto"/>
                <w:highlight w:val="none"/>
                <w:lang w:eastAsia="zh-CN"/>
              </w:rPr>
            </w:pPr>
            <w:bookmarkStart w:id="98" w:name="_Toc16352"/>
            <w:r>
              <w:rPr>
                <w:rFonts w:hint="eastAsia" w:ascii="宋体" w:hAnsi="宋体" w:eastAsia="宋体" w:cs="Times New Roman"/>
                <w:color w:val="auto"/>
                <w:highlight w:val="none"/>
                <w:lang w:eastAsia="zh-CN"/>
              </w:rPr>
              <w:t>在投标文件中的页码位置</w:t>
            </w:r>
            <w:bookmarkEnd w:id="9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3" w:type="dxa"/>
            <w:noWrap w:val="0"/>
            <w:vAlign w:val="top"/>
          </w:tcPr>
          <w:p>
            <w:pPr>
              <w:pStyle w:val="96"/>
              <w:jc w:val="center"/>
              <w:rPr>
                <w:rFonts w:hint="eastAsia" w:ascii="宋体" w:hAnsi="宋体" w:eastAsia="宋体" w:cs="Times New Roman"/>
                <w:color w:val="auto"/>
                <w:highlight w:val="none"/>
                <w:lang w:eastAsia="zh-CN"/>
              </w:rPr>
            </w:pPr>
          </w:p>
        </w:tc>
        <w:tc>
          <w:tcPr>
            <w:tcW w:w="4157" w:type="dxa"/>
            <w:noWrap w:val="0"/>
            <w:vAlign w:val="top"/>
          </w:tcPr>
          <w:p>
            <w:pPr>
              <w:pStyle w:val="96"/>
              <w:jc w:val="center"/>
              <w:rPr>
                <w:rFonts w:hint="eastAsia" w:ascii="宋体" w:hAnsi="宋体" w:eastAsia="宋体" w:cs="Times New Roman"/>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3" w:type="dxa"/>
            <w:noWrap w:val="0"/>
            <w:vAlign w:val="top"/>
          </w:tcPr>
          <w:p>
            <w:pPr>
              <w:pStyle w:val="96"/>
              <w:jc w:val="center"/>
              <w:rPr>
                <w:rFonts w:hint="eastAsia" w:ascii="宋体" w:hAnsi="宋体" w:eastAsia="宋体" w:cs="Times New Roman"/>
                <w:color w:val="auto"/>
                <w:highlight w:val="none"/>
                <w:lang w:eastAsia="zh-CN"/>
              </w:rPr>
            </w:pPr>
          </w:p>
        </w:tc>
        <w:tc>
          <w:tcPr>
            <w:tcW w:w="4157" w:type="dxa"/>
            <w:noWrap w:val="0"/>
            <w:vAlign w:val="top"/>
          </w:tcPr>
          <w:p>
            <w:pPr>
              <w:pStyle w:val="96"/>
              <w:jc w:val="center"/>
              <w:rPr>
                <w:rFonts w:hint="eastAsia" w:ascii="宋体" w:hAnsi="宋体" w:eastAsia="宋体" w:cs="Times New Roman"/>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3" w:type="dxa"/>
            <w:noWrap w:val="0"/>
            <w:vAlign w:val="top"/>
          </w:tcPr>
          <w:p>
            <w:pPr>
              <w:pStyle w:val="96"/>
              <w:jc w:val="center"/>
              <w:rPr>
                <w:rFonts w:hint="eastAsia" w:ascii="宋体" w:hAnsi="宋体" w:eastAsia="宋体" w:cs="Times New Roman"/>
                <w:color w:val="auto"/>
                <w:highlight w:val="none"/>
                <w:lang w:eastAsia="zh-CN"/>
              </w:rPr>
            </w:pPr>
          </w:p>
        </w:tc>
        <w:tc>
          <w:tcPr>
            <w:tcW w:w="4157" w:type="dxa"/>
            <w:noWrap w:val="0"/>
            <w:vAlign w:val="top"/>
          </w:tcPr>
          <w:p>
            <w:pPr>
              <w:pStyle w:val="96"/>
              <w:jc w:val="center"/>
              <w:rPr>
                <w:rFonts w:hint="eastAsia" w:ascii="宋体" w:hAnsi="宋体" w:eastAsia="宋体" w:cs="Times New Roman"/>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3" w:type="dxa"/>
            <w:noWrap w:val="0"/>
            <w:vAlign w:val="top"/>
          </w:tcPr>
          <w:p>
            <w:pPr>
              <w:pStyle w:val="96"/>
              <w:jc w:val="center"/>
              <w:rPr>
                <w:rFonts w:hint="eastAsia" w:ascii="宋体" w:hAnsi="宋体" w:eastAsia="宋体" w:cs="Times New Roman"/>
                <w:color w:val="auto"/>
                <w:highlight w:val="none"/>
                <w:lang w:eastAsia="zh-CN"/>
              </w:rPr>
            </w:pPr>
          </w:p>
        </w:tc>
        <w:tc>
          <w:tcPr>
            <w:tcW w:w="4157" w:type="dxa"/>
            <w:noWrap w:val="0"/>
            <w:vAlign w:val="top"/>
          </w:tcPr>
          <w:p>
            <w:pPr>
              <w:pStyle w:val="96"/>
              <w:jc w:val="center"/>
              <w:rPr>
                <w:rFonts w:hint="eastAsia" w:ascii="宋体" w:hAnsi="宋体" w:eastAsia="宋体" w:cs="Times New Roman"/>
                <w:color w:val="auto"/>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03" w:type="dxa"/>
            <w:noWrap w:val="0"/>
            <w:vAlign w:val="top"/>
          </w:tcPr>
          <w:p>
            <w:pPr>
              <w:pStyle w:val="96"/>
              <w:jc w:val="center"/>
              <w:outlineLvl w:val="1"/>
              <w:rPr>
                <w:rFonts w:hint="eastAsia" w:ascii="宋体" w:hAnsi="宋体" w:eastAsia="宋体" w:cs="Times New Roman"/>
                <w:color w:val="auto"/>
                <w:highlight w:val="none"/>
                <w:lang w:val="en-US" w:eastAsia="zh-CN"/>
              </w:rPr>
            </w:pPr>
            <w:bookmarkStart w:id="99" w:name="_Toc12770"/>
            <w:r>
              <w:rPr>
                <w:rFonts w:hint="eastAsia" w:ascii="宋体" w:hAnsi="宋体" w:eastAsia="宋体" w:cs="Times New Roman"/>
                <w:color w:val="auto"/>
                <w:highlight w:val="none"/>
                <w:lang w:val="en-US" w:eastAsia="zh-CN"/>
              </w:rPr>
              <w:t>......</w:t>
            </w:r>
            <w:bookmarkEnd w:id="99"/>
          </w:p>
        </w:tc>
        <w:tc>
          <w:tcPr>
            <w:tcW w:w="4157" w:type="dxa"/>
            <w:noWrap w:val="0"/>
            <w:vAlign w:val="top"/>
          </w:tcPr>
          <w:p>
            <w:pPr>
              <w:pStyle w:val="96"/>
              <w:jc w:val="center"/>
              <w:rPr>
                <w:rFonts w:hint="eastAsia" w:ascii="宋体" w:hAnsi="宋体" w:eastAsia="宋体" w:cs="Times New Roman"/>
                <w:color w:val="auto"/>
                <w:highlight w:val="none"/>
                <w:lang w:eastAsia="zh-CN"/>
              </w:rPr>
            </w:pPr>
          </w:p>
        </w:tc>
      </w:tr>
    </w:tbl>
    <w:p>
      <w:pPr>
        <w:pStyle w:val="96"/>
        <w:jc w:val="both"/>
        <w:rPr>
          <w:rFonts w:hint="eastAsia" w:ascii="宋体" w:hAnsi="宋体" w:eastAsia="宋体"/>
          <w:color w:val="auto"/>
          <w:sz w:val="44"/>
          <w:szCs w:val="44"/>
          <w:highlight w:val="none"/>
          <w:lang w:val="en-US" w:eastAsia="zh-CN"/>
        </w:rPr>
        <w:sectPr>
          <w:footerReference r:id="rId3" w:type="default"/>
          <w:type w:val="continuous"/>
          <w:pgSz w:w="11906" w:h="16838"/>
          <w:pgMar w:top="1440" w:right="1474" w:bottom="1440" w:left="1247" w:header="851" w:footer="992" w:gutter="0"/>
          <w:cols w:space="720" w:num="1"/>
          <w:docGrid w:type="lines" w:linePitch="312" w:charSpace="0"/>
        </w:sectPr>
      </w:pPr>
    </w:p>
    <w:p>
      <w:pPr>
        <w:pStyle w:val="96"/>
        <w:jc w:val="center"/>
        <w:outlineLvl w:val="1"/>
        <w:rPr>
          <w:rFonts w:ascii="宋体" w:hAnsi="宋体" w:eastAsia="宋体"/>
          <w:color w:val="auto"/>
          <w:highlight w:val="none"/>
        </w:rPr>
      </w:pPr>
      <w:bookmarkStart w:id="100" w:name="_Toc11482"/>
      <w:r>
        <w:rPr>
          <w:rFonts w:ascii="宋体" w:hAnsi="宋体" w:eastAsia="宋体"/>
          <w:color w:val="auto"/>
          <w:highlight w:val="none"/>
        </w:rPr>
        <w:t>目录</w:t>
      </w:r>
      <w:bookmarkEnd w:id="90"/>
      <w:bookmarkEnd w:id="100"/>
    </w:p>
    <w:p>
      <w:pPr>
        <w:pStyle w:val="97"/>
        <w:spacing w:after="100" w:afterAutospacing="1"/>
        <w:rPr>
          <w:rFonts w:ascii="宋体" w:hAnsi="宋体" w:eastAsia="宋体"/>
          <w:color w:val="auto"/>
          <w:highlight w:val="none"/>
        </w:rPr>
      </w:pPr>
      <w:r>
        <w:rPr>
          <w:rFonts w:ascii="宋体" w:hAnsi="宋体" w:eastAsia="宋体" w:cs="宋体"/>
          <w:color w:val="auto"/>
          <w:highlight w:val="none"/>
        </w:rPr>
        <w:t>一、投标人基本情况</w:t>
      </w:r>
    </w:p>
    <w:p>
      <w:pPr>
        <w:pStyle w:val="97"/>
        <w:spacing w:after="100" w:afterAutospacing="1"/>
        <w:rPr>
          <w:rFonts w:ascii="宋体" w:hAnsi="宋体" w:eastAsia="宋体"/>
          <w:color w:val="auto"/>
          <w:highlight w:val="none"/>
        </w:rPr>
      </w:pPr>
      <w:r>
        <w:rPr>
          <w:rFonts w:ascii="宋体" w:hAnsi="宋体" w:eastAsia="宋体" w:cs="宋体"/>
          <w:color w:val="auto"/>
          <w:highlight w:val="none"/>
        </w:rPr>
        <w:t>二、投标人资质</w:t>
      </w:r>
    </w:p>
    <w:p>
      <w:pPr>
        <w:pStyle w:val="97"/>
        <w:spacing w:after="100" w:afterAutospacing="1"/>
        <w:rPr>
          <w:rFonts w:ascii="宋体" w:hAnsi="宋体" w:eastAsia="宋体"/>
          <w:color w:val="auto"/>
          <w:highlight w:val="none"/>
        </w:rPr>
      </w:pPr>
      <w:r>
        <w:rPr>
          <w:rFonts w:ascii="宋体" w:hAnsi="宋体" w:eastAsia="宋体" w:cs="宋体"/>
          <w:color w:val="auto"/>
          <w:highlight w:val="none"/>
        </w:rPr>
        <w:t>三、投标人财务状况报告</w:t>
      </w:r>
    </w:p>
    <w:p>
      <w:pPr>
        <w:pStyle w:val="97"/>
        <w:spacing w:after="100" w:afterAutospacing="1"/>
        <w:rPr>
          <w:rFonts w:ascii="宋体" w:hAnsi="宋体" w:eastAsia="宋体"/>
          <w:color w:val="auto"/>
          <w:highlight w:val="none"/>
        </w:rPr>
      </w:pPr>
      <w:r>
        <w:rPr>
          <w:rFonts w:ascii="宋体" w:hAnsi="宋体" w:eastAsia="宋体" w:cs="宋体"/>
          <w:color w:val="auto"/>
          <w:highlight w:val="none"/>
        </w:rPr>
        <w:t>四、缴纳税收和社会保障资金凭据</w:t>
      </w:r>
    </w:p>
    <w:p>
      <w:pPr>
        <w:pStyle w:val="97"/>
        <w:spacing w:after="100" w:afterAutospacing="1"/>
        <w:rPr>
          <w:rFonts w:ascii="宋体" w:hAnsi="宋体" w:eastAsia="宋体"/>
          <w:color w:val="auto"/>
          <w:highlight w:val="none"/>
        </w:rPr>
      </w:pPr>
      <w:r>
        <w:rPr>
          <w:rFonts w:ascii="宋体" w:hAnsi="宋体" w:eastAsia="宋体" w:cs="宋体"/>
          <w:color w:val="auto"/>
          <w:highlight w:val="none"/>
        </w:rPr>
        <w:t>五、履行合同所必需的设备和专业技术能力的声明</w:t>
      </w:r>
    </w:p>
    <w:p>
      <w:pPr>
        <w:pStyle w:val="97"/>
        <w:spacing w:after="100" w:afterAutospacing="1"/>
        <w:rPr>
          <w:rFonts w:ascii="宋体" w:hAnsi="宋体" w:eastAsia="宋体"/>
          <w:color w:val="auto"/>
          <w:highlight w:val="none"/>
        </w:rPr>
      </w:pPr>
      <w:r>
        <w:rPr>
          <w:rFonts w:ascii="宋体" w:hAnsi="宋体" w:eastAsia="宋体" w:cs="宋体"/>
          <w:color w:val="auto"/>
          <w:highlight w:val="none"/>
        </w:rPr>
        <w:t>六、无重大违法行为声明</w:t>
      </w:r>
    </w:p>
    <w:p>
      <w:pPr>
        <w:pStyle w:val="97"/>
        <w:spacing w:after="100" w:afterAutospacing="1"/>
        <w:rPr>
          <w:rFonts w:ascii="宋体" w:hAnsi="宋体" w:eastAsia="宋体"/>
          <w:color w:val="auto"/>
          <w:highlight w:val="none"/>
        </w:rPr>
      </w:pPr>
      <w:r>
        <w:rPr>
          <w:rFonts w:ascii="宋体" w:hAnsi="宋体" w:eastAsia="宋体" w:cs="宋体"/>
          <w:color w:val="auto"/>
          <w:highlight w:val="none"/>
        </w:rPr>
        <w:t>七、投标函</w:t>
      </w:r>
    </w:p>
    <w:p>
      <w:pPr>
        <w:pStyle w:val="97"/>
        <w:spacing w:after="100" w:afterAutospacing="1"/>
        <w:rPr>
          <w:rFonts w:ascii="宋体" w:hAnsi="宋体" w:eastAsia="宋体"/>
          <w:color w:val="auto"/>
          <w:highlight w:val="none"/>
        </w:rPr>
      </w:pPr>
      <w:r>
        <w:rPr>
          <w:rFonts w:ascii="宋体" w:hAnsi="宋体" w:eastAsia="宋体" w:cs="宋体"/>
          <w:color w:val="auto"/>
          <w:highlight w:val="none"/>
        </w:rPr>
        <w:t>八、法定代表人身份证明或授权委托书</w:t>
      </w:r>
    </w:p>
    <w:p>
      <w:pPr>
        <w:pStyle w:val="97"/>
        <w:spacing w:after="100" w:afterAutospacing="1"/>
        <w:rPr>
          <w:rFonts w:ascii="宋体" w:hAnsi="宋体" w:eastAsia="宋体"/>
          <w:color w:val="auto"/>
          <w:highlight w:val="none"/>
        </w:rPr>
      </w:pPr>
      <w:r>
        <w:rPr>
          <w:rFonts w:ascii="宋体" w:hAnsi="宋体" w:eastAsia="宋体" w:cs="宋体"/>
          <w:color w:val="auto"/>
          <w:highlight w:val="none"/>
        </w:rPr>
        <w:t>九、开标一览表</w:t>
      </w:r>
    </w:p>
    <w:p>
      <w:pPr>
        <w:pStyle w:val="97"/>
        <w:spacing w:after="100" w:afterAutospacing="1"/>
        <w:rPr>
          <w:rFonts w:ascii="宋体" w:hAnsi="宋体" w:eastAsia="宋体"/>
          <w:color w:val="auto"/>
          <w:highlight w:val="none"/>
        </w:rPr>
      </w:pPr>
      <w:r>
        <w:rPr>
          <w:rFonts w:ascii="宋体" w:hAnsi="宋体" w:eastAsia="宋体" w:cs="宋体"/>
          <w:color w:val="auto"/>
          <w:highlight w:val="none"/>
        </w:rPr>
        <w:t>十、明细报价表</w:t>
      </w:r>
    </w:p>
    <w:p>
      <w:pPr>
        <w:pStyle w:val="97"/>
        <w:spacing w:after="100" w:afterAutospacing="1"/>
        <w:rPr>
          <w:rFonts w:ascii="宋体" w:hAnsi="宋体" w:eastAsia="宋体"/>
          <w:color w:val="auto"/>
          <w:highlight w:val="none"/>
        </w:rPr>
      </w:pPr>
      <w:r>
        <w:rPr>
          <w:rFonts w:ascii="宋体" w:hAnsi="宋体" w:eastAsia="宋体" w:cs="宋体"/>
          <w:color w:val="auto"/>
          <w:highlight w:val="none"/>
        </w:rPr>
        <w:t>十一、中小企业声明函</w:t>
      </w:r>
    </w:p>
    <w:p>
      <w:pPr>
        <w:pStyle w:val="97"/>
        <w:spacing w:after="100" w:afterAutospacing="1"/>
        <w:rPr>
          <w:rFonts w:ascii="宋体" w:hAnsi="宋体" w:eastAsia="宋体"/>
          <w:color w:val="auto"/>
          <w:highlight w:val="none"/>
        </w:rPr>
      </w:pPr>
      <w:r>
        <w:rPr>
          <w:rFonts w:ascii="宋体" w:hAnsi="宋体" w:eastAsia="宋体" w:cs="宋体"/>
          <w:color w:val="auto"/>
          <w:highlight w:val="none"/>
        </w:rPr>
        <w:t>十二、响应偏差表</w:t>
      </w:r>
    </w:p>
    <w:p>
      <w:pPr>
        <w:pStyle w:val="97"/>
        <w:spacing w:after="100" w:afterAutospacing="1"/>
        <w:rPr>
          <w:rFonts w:ascii="宋体" w:hAnsi="宋体" w:eastAsia="宋体"/>
          <w:color w:val="auto"/>
          <w:highlight w:val="none"/>
        </w:rPr>
      </w:pPr>
      <w:r>
        <w:rPr>
          <w:rFonts w:ascii="宋体" w:hAnsi="宋体" w:eastAsia="宋体" w:cs="宋体"/>
          <w:color w:val="auto"/>
          <w:highlight w:val="none"/>
        </w:rPr>
        <w:t>十三、所投产品技术资料或样本等</w:t>
      </w:r>
    </w:p>
    <w:p>
      <w:pPr>
        <w:pStyle w:val="97"/>
        <w:spacing w:after="100" w:afterAutospacing="1"/>
        <w:rPr>
          <w:rFonts w:ascii="宋体" w:hAnsi="宋体" w:eastAsia="宋体"/>
          <w:color w:val="auto"/>
          <w:highlight w:val="none"/>
        </w:rPr>
      </w:pPr>
      <w:r>
        <w:rPr>
          <w:rFonts w:ascii="宋体" w:hAnsi="宋体" w:eastAsia="宋体" w:cs="宋体"/>
          <w:color w:val="auto"/>
          <w:highlight w:val="none"/>
        </w:rPr>
        <w:t>十四、主要部件、辅材明细表</w:t>
      </w:r>
    </w:p>
    <w:p>
      <w:pPr>
        <w:pStyle w:val="97"/>
        <w:spacing w:after="100" w:afterAutospacing="1"/>
        <w:rPr>
          <w:rFonts w:ascii="宋体" w:hAnsi="宋体" w:eastAsia="宋体"/>
          <w:color w:val="auto"/>
          <w:highlight w:val="none"/>
        </w:rPr>
      </w:pPr>
      <w:r>
        <w:rPr>
          <w:rFonts w:ascii="宋体" w:hAnsi="宋体" w:eastAsia="宋体" w:cs="宋体"/>
          <w:color w:val="auto"/>
          <w:highlight w:val="none"/>
        </w:rPr>
        <w:t>十五、</w:t>
      </w:r>
      <w:bookmarkStart w:id="101" w:name="_Toc21060_WPSOffice_Level2"/>
      <w:r>
        <w:rPr>
          <w:rFonts w:hint="eastAsia" w:ascii="宋体" w:hAnsi="宋体" w:eastAsia="宋体" w:cs="宋体"/>
          <w:color w:val="auto"/>
          <w:highlight w:val="none"/>
          <w:lang w:val="en-US" w:eastAsia="zh-CN"/>
        </w:rPr>
        <w:t>服务</w:t>
      </w:r>
      <w:r>
        <w:rPr>
          <w:rFonts w:ascii="宋体" w:hAnsi="宋体" w:eastAsia="宋体" w:cs="宋体"/>
          <w:color w:val="auto"/>
          <w:highlight w:val="none"/>
        </w:rPr>
        <w:t>方案</w:t>
      </w:r>
      <w:bookmarkEnd w:id="101"/>
    </w:p>
    <w:p>
      <w:pPr>
        <w:pStyle w:val="97"/>
        <w:spacing w:after="100" w:afterAutospacing="1"/>
        <w:rPr>
          <w:rFonts w:ascii="宋体" w:hAnsi="宋体" w:eastAsia="宋体"/>
          <w:color w:val="auto"/>
          <w:highlight w:val="none"/>
        </w:rPr>
      </w:pPr>
      <w:r>
        <w:rPr>
          <w:rFonts w:ascii="宋体" w:hAnsi="宋体" w:eastAsia="宋体" w:cs="宋体"/>
          <w:color w:val="auto"/>
          <w:highlight w:val="none"/>
        </w:rPr>
        <w:t>十</w:t>
      </w:r>
      <w:r>
        <w:rPr>
          <w:rFonts w:hint="eastAsia" w:ascii="宋体" w:hAnsi="宋体" w:eastAsia="宋体" w:cs="宋体"/>
          <w:color w:val="auto"/>
          <w:highlight w:val="none"/>
          <w:lang w:val="en-US" w:eastAsia="zh-CN"/>
        </w:rPr>
        <w:t>六</w:t>
      </w:r>
      <w:r>
        <w:rPr>
          <w:rFonts w:ascii="宋体" w:hAnsi="宋体" w:eastAsia="宋体" w:cs="宋体"/>
          <w:color w:val="auto"/>
          <w:highlight w:val="none"/>
        </w:rPr>
        <w:t>、投标人承担类似项目业绩一览表</w:t>
      </w:r>
    </w:p>
    <w:p>
      <w:pPr>
        <w:pStyle w:val="97"/>
        <w:spacing w:after="100" w:afterAutospacing="1"/>
        <w:rPr>
          <w:rFonts w:ascii="宋体" w:hAnsi="宋体" w:eastAsia="宋体"/>
          <w:color w:val="auto"/>
          <w:highlight w:val="none"/>
        </w:rPr>
      </w:pPr>
      <w:r>
        <w:rPr>
          <w:rFonts w:ascii="宋体" w:hAnsi="宋体" w:eastAsia="宋体" w:cs="宋体"/>
          <w:color w:val="auto"/>
          <w:highlight w:val="none"/>
        </w:rPr>
        <w:t>十</w:t>
      </w:r>
      <w:r>
        <w:rPr>
          <w:rFonts w:hint="eastAsia" w:ascii="宋体" w:hAnsi="宋体" w:eastAsia="宋体" w:cs="宋体"/>
          <w:color w:val="auto"/>
          <w:highlight w:val="none"/>
          <w:lang w:val="en-US" w:eastAsia="zh-CN"/>
        </w:rPr>
        <w:t>七</w:t>
      </w:r>
      <w:r>
        <w:rPr>
          <w:rFonts w:ascii="宋体" w:hAnsi="宋体" w:eastAsia="宋体" w:cs="宋体"/>
          <w:color w:val="auto"/>
          <w:highlight w:val="none"/>
        </w:rPr>
        <w:t>、投标所需其他材料</w:t>
      </w:r>
    </w:p>
    <w:p>
      <w:pPr>
        <w:rPr>
          <w:rFonts w:ascii="宋体" w:hAnsi="宋体"/>
          <w:color w:val="auto"/>
          <w:highlight w:val="none"/>
        </w:rPr>
      </w:pPr>
    </w:p>
    <w:p>
      <w:pPr>
        <w:pStyle w:val="98"/>
        <w:outlineLvl w:val="1"/>
        <w:rPr>
          <w:rFonts w:ascii="宋体" w:hAnsi="宋体" w:eastAsia="宋体"/>
          <w:color w:val="auto"/>
          <w:highlight w:val="none"/>
        </w:rPr>
      </w:pPr>
      <w:r>
        <w:rPr>
          <w:rFonts w:ascii="宋体" w:hAnsi="宋体" w:eastAsia="宋体"/>
          <w:color w:val="auto"/>
          <w:highlight w:val="none"/>
        </w:rPr>
        <w:br w:type="page"/>
      </w:r>
      <w:bookmarkStart w:id="102" w:name="_Toc21292"/>
      <w:bookmarkStart w:id="103" w:name="_Toc23205_WPSOffice_Level2"/>
      <w:bookmarkStart w:id="104" w:name="_Toc514054486"/>
      <w:r>
        <w:rPr>
          <w:rFonts w:ascii="宋体" w:hAnsi="宋体" w:eastAsia="宋体"/>
          <w:color w:val="auto"/>
          <w:highlight w:val="none"/>
        </w:rPr>
        <w:t>一、投标人基本情况</w:t>
      </w:r>
      <w:bookmarkEnd w:id="102"/>
      <w:bookmarkEnd w:id="103"/>
      <w:bookmarkEnd w:id="104"/>
    </w:p>
    <w:p>
      <w:pPr>
        <w:pStyle w:val="99"/>
        <w:jc w:val="center"/>
        <w:rPr>
          <w:rFonts w:hint="eastAsia" w:ascii="宋体" w:hAnsi="宋体"/>
          <w:color w:val="auto"/>
          <w:sz w:val="44"/>
          <w:szCs w:val="44"/>
          <w:highlight w:val="none"/>
        </w:rPr>
      </w:pPr>
      <w:r>
        <w:rPr>
          <w:rFonts w:hint="eastAsia" w:ascii="宋体" w:hAnsi="宋体"/>
          <w:color w:val="auto"/>
          <w:sz w:val="44"/>
          <w:szCs w:val="44"/>
          <w:highlight w:val="none"/>
        </w:rPr>
        <w:t>投标人基本情况表</w:t>
      </w: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118"/>
        <w:gridCol w:w="1276"/>
        <w:gridCol w:w="26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noWrap w:val="0"/>
            <w:vAlign w:val="center"/>
          </w:tcPr>
          <w:p>
            <w:pPr>
              <w:pStyle w:val="99"/>
              <w:spacing w:line="60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投标人名称</w:t>
            </w:r>
          </w:p>
        </w:tc>
        <w:tc>
          <w:tcPr>
            <w:tcW w:w="6998" w:type="dxa"/>
            <w:gridSpan w:val="3"/>
            <w:noWrap w:val="0"/>
            <w:vAlign w:val="center"/>
          </w:tcPr>
          <w:p>
            <w:pPr>
              <w:pStyle w:val="99"/>
              <w:spacing w:line="600" w:lineRule="exact"/>
              <w:jc w:val="center"/>
              <w:rPr>
                <w:rFonts w:hint="eastAsia" w:ascii="宋体" w:hAnsi="宋体" w:eastAsia="宋体"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noWrap w:val="0"/>
            <w:vAlign w:val="center"/>
          </w:tcPr>
          <w:p>
            <w:pPr>
              <w:pStyle w:val="99"/>
              <w:spacing w:line="60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法定代表人</w:t>
            </w:r>
          </w:p>
        </w:tc>
        <w:tc>
          <w:tcPr>
            <w:tcW w:w="3118" w:type="dxa"/>
            <w:noWrap w:val="0"/>
            <w:vAlign w:val="center"/>
          </w:tcPr>
          <w:p>
            <w:pPr>
              <w:pStyle w:val="99"/>
              <w:spacing w:line="600" w:lineRule="exact"/>
              <w:jc w:val="center"/>
              <w:rPr>
                <w:rFonts w:hint="eastAsia" w:ascii="宋体" w:hAnsi="宋体" w:eastAsia="宋体" w:cs="Times New Roman"/>
                <w:color w:val="auto"/>
                <w:sz w:val="24"/>
                <w:szCs w:val="24"/>
                <w:highlight w:val="none"/>
              </w:rPr>
            </w:pPr>
          </w:p>
        </w:tc>
        <w:tc>
          <w:tcPr>
            <w:tcW w:w="1276" w:type="dxa"/>
            <w:noWrap w:val="0"/>
            <w:vAlign w:val="center"/>
          </w:tcPr>
          <w:p>
            <w:pPr>
              <w:pStyle w:val="99"/>
              <w:spacing w:line="60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注册地区</w:t>
            </w:r>
          </w:p>
        </w:tc>
        <w:tc>
          <w:tcPr>
            <w:tcW w:w="2604" w:type="dxa"/>
            <w:noWrap w:val="0"/>
            <w:vAlign w:val="center"/>
          </w:tcPr>
          <w:p>
            <w:pPr>
              <w:pStyle w:val="99"/>
              <w:spacing w:line="600" w:lineRule="exact"/>
              <w:jc w:val="center"/>
              <w:rPr>
                <w:rFonts w:hint="eastAsia" w:ascii="宋体" w:hAnsi="宋体" w:eastAsia="宋体"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noWrap w:val="0"/>
            <w:vAlign w:val="center"/>
          </w:tcPr>
          <w:p>
            <w:pPr>
              <w:pStyle w:val="99"/>
              <w:spacing w:line="60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地址</w:t>
            </w:r>
          </w:p>
        </w:tc>
        <w:tc>
          <w:tcPr>
            <w:tcW w:w="3118" w:type="dxa"/>
            <w:noWrap w:val="0"/>
            <w:vAlign w:val="center"/>
          </w:tcPr>
          <w:p>
            <w:pPr>
              <w:pStyle w:val="99"/>
              <w:spacing w:line="600" w:lineRule="exact"/>
              <w:jc w:val="center"/>
              <w:rPr>
                <w:rFonts w:hint="eastAsia" w:ascii="宋体" w:hAnsi="宋体" w:eastAsia="宋体" w:cs="Times New Roman"/>
                <w:color w:val="auto"/>
                <w:sz w:val="24"/>
                <w:szCs w:val="24"/>
                <w:highlight w:val="none"/>
              </w:rPr>
            </w:pPr>
          </w:p>
        </w:tc>
        <w:tc>
          <w:tcPr>
            <w:tcW w:w="1276" w:type="dxa"/>
            <w:noWrap w:val="0"/>
            <w:vAlign w:val="center"/>
          </w:tcPr>
          <w:p>
            <w:pPr>
              <w:pStyle w:val="99"/>
              <w:spacing w:line="60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邮政编码</w:t>
            </w:r>
          </w:p>
        </w:tc>
        <w:tc>
          <w:tcPr>
            <w:tcW w:w="2604" w:type="dxa"/>
            <w:noWrap w:val="0"/>
            <w:vAlign w:val="center"/>
          </w:tcPr>
          <w:p>
            <w:pPr>
              <w:pStyle w:val="99"/>
              <w:spacing w:line="600" w:lineRule="exact"/>
              <w:jc w:val="center"/>
              <w:rPr>
                <w:rFonts w:hint="eastAsia" w:ascii="宋体" w:hAnsi="宋体" w:eastAsia="宋体"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noWrap w:val="0"/>
            <w:vAlign w:val="center"/>
          </w:tcPr>
          <w:p>
            <w:pPr>
              <w:pStyle w:val="99"/>
              <w:spacing w:line="60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成立时间</w:t>
            </w:r>
          </w:p>
        </w:tc>
        <w:tc>
          <w:tcPr>
            <w:tcW w:w="3118" w:type="dxa"/>
            <w:noWrap w:val="0"/>
            <w:vAlign w:val="center"/>
          </w:tcPr>
          <w:p>
            <w:pPr>
              <w:pStyle w:val="99"/>
              <w:spacing w:line="600" w:lineRule="exact"/>
              <w:jc w:val="center"/>
              <w:rPr>
                <w:rFonts w:hint="eastAsia" w:ascii="宋体" w:hAnsi="宋体" w:eastAsia="宋体" w:cs="Times New Roman"/>
                <w:color w:val="auto"/>
                <w:sz w:val="24"/>
                <w:szCs w:val="24"/>
                <w:highlight w:val="none"/>
              </w:rPr>
            </w:pPr>
          </w:p>
        </w:tc>
        <w:tc>
          <w:tcPr>
            <w:tcW w:w="1276" w:type="dxa"/>
            <w:noWrap w:val="0"/>
            <w:vAlign w:val="center"/>
          </w:tcPr>
          <w:p>
            <w:pPr>
              <w:pStyle w:val="99"/>
              <w:spacing w:line="60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单位性质</w:t>
            </w:r>
          </w:p>
        </w:tc>
        <w:tc>
          <w:tcPr>
            <w:tcW w:w="2604" w:type="dxa"/>
            <w:noWrap w:val="0"/>
            <w:vAlign w:val="center"/>
          </w:tcPr>
          <w:p>
            <w:pPr>
              <w:pStyle w:val="99"/>
              <w:spacing w:line="600" w:lineRule="exact"/>
              <w:jc w:val="center"/>
              <w:rPr>
                <w:rFonts w:hint="eastAsia" w:ascii="宋体" w:hAnsi="宋体" w:eastAsia="宋体"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noWrap w:val="0"/>
            <w:vAlign w:val="center"/>
          </w:tcPr>
          <w:p>
            <w:pPr>
              <w:pStyle w:val="99"/>
              <w:spacing w:line="60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注册号或社会信用代码</w:t>
            </w:r>
          </w:p>
        </w:tc>
        <w:tc>
          <w:tcPr>
            <w:tcW w:w="3118" w:type="dxa"/>
            <w:noWrap w:val="0"/>
            <w:vAlign w:val="center"/>
          </w:tcPr>
          <w:p>
            <w:pPr>
              <w:pStyle w:val="99"/>
              <w:spacing w:line="600" w:lineRule="exact"/>
              <w:jc w:val="center"/>
              <w:rPr>
                <w:rFonts w:hint="eastAsia" w:ascii="宋体" w:hAnsi="宋体" w:eastAsia="宋体" w:cs="Times New Roman"/>
                <w:color w:val="auto"/>
                <w:sz w:val="24"/>
                <w:szCs w:val="24"/>
                <w:highlight w:val="none"/>
              </w:rPr>
            </w:pPr>
          </w:p>
        </w:tc>
        <w:tc>
          <w:tcPr>
            <w:tcW w:w="1276" w:type="dxa"/>
            <w:noWrap w:val="0"/>
            <w:vAlign w:val="center"/>
          </w:tcPr>
          <w:p>
            <w:pPr>
              <w:pStyle w:val="99"/>
              <w:spacing w:line="60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注册资本（万元）</w:t>
            </w:r>
          </w:p>
        </w:tc>
        <w:tc>
          <w:tcPr>
            <w:tcW w:w="2604" w:type="dxa"/>
            <w:noWrap w:val="0"/>
            <w:vAlign w:val="center"/>
          </w:tcPr>
          <w:p>
            <w:pPr>
              <w:pStyle w:val="99"/>
              <w:spacing w:line="600" w:lineRule="exact"/>
              <w:jc w:val="center"/>
              <w:rPr>
                <w:rFonts w:hint="eastAsia" w:ascii="宋体" w:hAnsi="宋体" w:eastAsia="宋体"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noWrap w:val="0"/>
            <w:vAlign w:val="center"/>
          </w:tcPr>
          <w:p>
            <w:pPr>
              <w:pStyle w:val="99"/>
              <w:spacing w:line="60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开户银行</w:t>
            </w:r>
          </w:p>
        </w:tc>
        <w:tc>
          <w:tcPr>
            <w:tcW w:w="3118" w:type="dxa"/>
            <w:noWrap w:val="0"/>
            <w:vAlign w:val="center"/>
          </w:tcPr>
          <w:p>
            <w:pPr>
              <w:pStyle w:val="99"/>
              <w:spacing w:line="600" w:lineRule="exact"/>
              <w:jc w:val="center"/>
              <w:rPr>
                <w:rFonts w:hint="eastAsia" w:ascii="宋体" w:hAnsi="宋体" w:eastAsia="宋体" w:cs="Times New Roman"/>
                <w:color w:val="auto"/>
                <w:sz w:val="24"/>
                <w:szCs w:val="24"/>
                <w:highlight w:val="none"/>
              </w:rPr>
            </w:pPr>
          </w:p>
        </w:tc>
        <w:tc>
          <w:tcPr>
            <w:tcW w:w="1276" w:type="dxa"/>
            <w:noWrap w:val="0"/>
            <w:vAlign w:val="center"/>
          </w:tcPr>
          <w:p>
            <w:pPr>
              <w:pStyle w:val="99"/>
              <w:spacing w:line="60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账号</w:t>
            </w:r>
          </w:p>
        </w:tc>
        <w:tc>
          <w:tcPr>
            <w:tcW w:w="2604" w:type="dxa"/>
            <w:noWrap w:val="0"/>
            <w:vAlign w:val="center"/>
          </w:tcPr>
          <w:p>
            <w:pPr>
              <w:pStyle w:val="99"/>
              <w:spacing w:line="600" w:lineRule="exact"/>
              <w:jc w:val="center"/>
              <w:rPr>
                <w:rFonts w:hint="eastAsia" w:ascii="宋体" w:hAnsi="宋体" w:eastAsia="宋体"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noWrap w:val="0"/>
            <w:vAlign w:val="center"/>
          </w:tcPr>
          <w:p>
            <w:pPr>
              <w:pStyle w:val="99"/>
              <w:spacing w:line="60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联系人</w:t>
            </w:r>
          </w:p>
        </w:tc>
        <w:tc>
          <w:tcPr>
            <w:tcW w:w="3118" w:type="dxa"/>
            <w:noWrap w:val="0"/>
            <w:vAlign w:val="center"/>
          </w:tcPr>
          <w:p>
            <w:pPr>
              <w:pStyle w:val="99"/>
              <w:spacing w:line="600" w:lineRule="exact"/>
              <w:jc w:val="center"/>
              <w:rPr>
                <w:rFonts w:hint="eastAsia" w:ascii="宋体" w:hAnsi="宋体" w:eastAsia="宋体" w:cs="Times New Roman"/>
                <w:color w:val="auto"/>
                <w:sz w:val="24"/>
                <w:szCs w:val="24"/>
                <w:highlight w:val="none"/>
              </w:rPr>
            </w:pPr>
          </w:p>
        </w:tc>
        <w:tc>
          <w:tcPr>
            <w:tcW w:w="1276" w:type="dxa"/>
            <w:noWrap w:val="0"/>
            <w:vAlign w:val="center"/>
          </w:tcPr>
          <w:p>
            <w:pPr>
              <w:pStyle w:val="99"/>
              <w:spacing w:line="60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联系电话</w:t>
            </w:r>
          </w:p>
        </w:tc>
        <w:tc>
          <w:tcPr>
            <w:tcW w:w="2604" w:type="dxa"/>
            <w:noWrap w:val="0"/>
            <w:vAlign w:val="center"/>
          </w:tcPr>
          <w:p>
            <w:pPr>
              <w:pStyle w:val="99"/>
              <w:spacing w:line="600" w:lineRule="exact"/>
              <w:jc w:val="center"/>
              <w:rPr>
                <w:rFonts w:hint="eastAsia" w:ascii="宋体" w:hAnsi="宋体" w:eastAsia="宋体"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jc w:val="center"/>
        </w:trPr>
        <w:tc>
          <w:tcPr>
            <w:tcW w:w="1526" w:type="dxa"/>
            <w:noWrap w:val="0"/>
            <w:vAlign w:val="center"/>
          </w:tcPr>
          <w:p>
            <w:pPr>
              <w:pStyle w:val="99"/>
              <w:spacing w:line="56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经营范围</w:t>
            </w:r>
          </w:p>
        </w:tc>
        <w:tc>
          <w:tcPr>
            <w:tcW w:w="6998" w:type="dxa"/>
            <w:gridSpan w:val="3"/>
            <w:noWrap w:val="0"/>
            <w:vAlign w:val="top"/>
          </w:tcPr>
          <w:p>
            <w:pPr>
              <w:pStyle w:val="99"/>
              <w:spacing w:line="560" w:lineRule="exact"/>
              <w:ind w:firstLine="1432" w:firstLineChars="597"/>
              <w:rPr>
                <w:rFonts w:hint="eastAsia" w:ascii="宋体" w:hAnsi="宋体" w:eastAsia="宋体"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26" w:type="dxa"/>
            <w:noWrap w:val="0"/>
            <w:vAlign w:val="center"/>
          </w:tcPr>
          <w:p>
            <w:pPr>
              <w:pStyle w:val="99"/>
              <w:spacing w:line="56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w:t>
            </w:r>
          </w:p>
        </w:tc>
        <w:tc>
          <w:tcPr>
            <w:tcW w:w="6998" w:type="dxa"/>
            <w:gridSpan w:val="3"/>
            <w:noWrap w:val="0"/>
            <w:vAlign w:val="center"/>
          </w:tcPr>
          <w:p>
            <w:pPr>
              <w:pStyle w:val="99"/>
              <w:spacing w:line="500" w:lineRule="exact"/>
              <w:jc w:val="center"/>
              <w:rPr>
                <w:rFonts w:hint="eastAsia" w:ascii="宋体" w:hAnsi="宋体" w:eastAsia="宋体" w:cs="Times New Roman"/>
                <w:color w:val="auto"/>
                <w:sz w:val="24"/>
                <w:szCs w:val="24"/>
                <w:highlight w:val="none"/>
              </w:rPr>
            </w:pPr>
          </w:p>
        </w:tc>
      </w:tr>
    </w:tbl>
    <w:p>
      <w:pPr>
        <w:pStyle w:val="99"/>
        <w:spacing w:line="560" w:lineRule="exact"/>
        <w:jc w:val="center"/>
        <w:rPr>
          <w:rFonts w:hint="eastAsia" w:ascii="宋体" w:hAnsi="宋体"/>
          <w:bCs/>
          <w:color w:val="auto"/>
          <w:sz w:val="32"/>
          <w:szCs w:val="32"/>
          <w:highlight w:val="none"/>
        </w:rPr>
      </w:pPr>
    </w:p>
    <w:p>
      <w:pPr>
        <w:pStyle w:val="100"/>
        <w:outlineLvl w:val="1"/>
        <w:rPr>
          <w:rFonts w:hint="eastAsia" w:ascii="宋体" w:hAnsi="宋体" w:eastAsia="宋体"/>
          <w:color w:val="auto"/>
          <w:highlight w:val="none"/>
          <w:lang w:eastAsia="zh-CN"/>
        </w:rPr>
      </w:pPr>
      <w:r>
        <w:rPr>
          <w:rFonts w:ascii="宋体" w:hAnsi="宋体" w:eastAsia="宋体"/>
          <w:color w:val="auto"/>
          <w:highlight w:val="none"/>
        </w:rPr>
        <w:br w:type="page"/>
      </w:r>
      <w:bookmarkStart w:id="105" w:name="_Toc30260_WPSOffice_Level2"/>
      <w:bookmarkStart w:id="106" w:name="_Toc514054487"/>
      <w:bookmarkStart w:id="107" w:name="_Toc15353"/>
      <w:r>
        <w:rPr>
          <w:rFonts w:ascii="宋体" w:hAnsi="宋体" w:eastAsia="宋体"/>
          <w:color w:val="auto"/>
          <w:highlight w:val="none"/>
        </w:rPr>
        <w:t>二、投标人资质</w:t>
      </w:r>
      <w:bookmarkEnd w:id="105"/>
      <w:bookmarkEnd w:id="106"/>
      <w:r>
        <w:rPr>
          <w:rFonts w:hint="eastAsia" w:ascii="宋体" w:hAnsi="宋体" w:eastAsia="宋体"/>
          <w:color w:val="auto"/>
          <w:highlight w:val="none"/>
          <w:lang w:eastAsia="zh-CN"/>
        </w:rPr>
        <w:t>（</w:t>
      </w:r>
      <w:r>
        <w:rPr>
          <w:rFonts w:hint="eastAsia" w:ascii="宋体" w:hAnsi="宋体" w:eastAsia="宋体"/>
          <w:color w:val="auto"/>
          <w:highlight w:val="none"/>
          <w:lang w:val="en-US" w:eastAsia="zh-CN"/>
        </w:rPr>
        <w:t>按资格要求提供</w:t>
      </w:r>
      <w:r>
        <w:rPr>
          <w:rFonts w:hint="eastAsia" w:ascii="宋体" w:hAnsi="宋体" w:eastAsia="宋体"/>
          <w:color w:val="auto"/>
          <w:highlight w:val="none"/>
          <w:lang w:eastAsia="zh-CN"/>
        </w:rPr>
        <w:t>）</w:t>
      </w:r>
      <w:bookmarkEnd w:id="107"/>
    </w:p>
    <w:p>
      <w:pPr>
        <w:pStyle w:val="101"/>
        <w:rPr>
          <w:rFonts w:hint="eastAsia" w:ascii="宋体" w:hAnsi="宋体" w:eastAsia="宋体"/>
          <w:color w:val="auto"/>
          <w:highlight w:val="none"/>
        </w:rPr>
      </w:pPr>
      <w:r>
        <w:rPr>
          <w:rFonts w:hint="eastAsia" w:ascii="宋体" w:hAnsi="宋体" w:eastAsia="宋体"/>
          <w:color w:val="auto"/>
          <w:highlight w:val="none"/>
        </w:rPr>
        <w:t xml:space="preserve">    </w:t>
      </w:r>
      <w:bookmarkStart w:id="108" w:name="_Toc514054488"/>
      <w:bookmarkStart w:id="109" w:name="_Toc21452_WPSOffice_Level2"/>
    </w:p>
    <w:p>
      <w:pPr>
        <w:pStyle w:val="101"/>
        <w:rPr>
          <w:rFonts w:hint="eastAsia" w:ascii="宋体" w:hAnsi="宋体" w:eastAsia="宋体"/>
          <w:color w:val="auto"/>
          <w:highlight w:val="none"/>
        </w:rPr>
      </w:pPr>
    </w:p>
    <w:p>
      <w:pPr>
        <w:pStyle w:val="101"/>
        <w:rPr>
          <w:rFonts w:hint="eastAsia" w:ascii="宋体" w:hAnsi="宋体" w:eastAsia="宋体"/>
          <w:color w:val="auto"/>
          <w:highlight w:val="none"/>
        </w:rPr>
      </w:pPr>
    </w:p>
    <w:p>
      <w:pPr>
        <w:pStyle w:val="101"/>
        <w:rPr>
          <w:rFonts w:hint="eastAsia" w:ascii="宋体" w:hAnsi="宋体" w:eastAsia="宋体"/>
          <w:color w:val="auto"/>
          <w:highlight w:val="none"/>
        </w:rPr>
      </w:pPr>
    </w:p>
    <w:p>
      <w:pPr>
        <w:pStyle w:val="101"/>
        <w:rPr>
          <w:rFonts w:hint="eastAsia" w:ascii="宋体" w:hAnsi="宋体" w:eastAsia="宋体"/>
          <w:color w:val="auto"/>
          <w:highlight w:val="none"/>
        </w:rPr>
      </w:pPr>
    </w:p>
    <w:p>
      <w:pPr>
        <w:pStyle w:val="101"/>
        <w:rPr>
          <w:rFonts w:hint="eastAsia" w:ascii="宋体" w:hAnsi="宋体" w:eastAsia="宋体"/>
          <w:color w:val="auto"/>
          <w:highlight w:val="none"/>
        </w:rPr>
      </w:pPr>
    </w:p>
    <w:p>
      <w:pPr>
        <w:pStyle w:val="101"/>
        <w:rPr>
          <w:rFonts w:hint="eastAsia" w:ascii="宋体" w:hAnsi="宋体" w:eastAsia="宋体"/>
          <w:color w:val="auto"/>
          <w:highlight w:val="none"/>
        </w:rPr>
      </w:pPr>
    </w:p>
    <w:p>
      <w:pPr>
        <w:pStyle w:val="101"/>
        <w:rPr>
          <w:rFonts w:hint="eastAsia" w:ascii="宋体" w:hAnsi="宋体" w:eastAsia="宋体"/>
          <w:color w:val="auto"/>
          <w:highlight w:val="none"/>
        </w:rPr>
      </w:pPr>
    </w:p>
    <w:p>
      <w:pPr>
        <w:pStyle w:val="101"/>
        <w:rPr>
          <w:rFonts w:hint="eastAsia" w:ascii="宋体" w:hAnsi="宋体" w:eastAsia="宋体"/>
          <w:color w:val="auto"/>
          <w:highlight w:val="none"/>
        </w:rPr>
      </w:pPr>
    </w:p>
    <w:p>
      <w:pPr>
        <w:pStyle w:val="101"/>
        <w:rPr>
          <w:rFonts w:hint="eastAsia" w:ascii="宋体" w:hAnsi="宋体" w:eastAsia="宋体"/>
          <w:color w:val="auto"/>
          <w:highlight w:val="none"/>
        </w:rPr>
      </w:pPr>
    </w:p>
    <w:p>
      <w:pPr>
        <w:pStyle w:val="101"/>
        <w:rPr>
          <w:rFonts w:hint="eastAsia" w:ascii="宋体" w:hAnsi="宋体" w:eastAsia="宋体"/>
          <w:color w:val="auto"/>
          <w:highlight w:val="none"/>
        </w:rPr>
      </w:pPr>
    </w:p>
    <w:p>
      <w:pPr>
        <w:pStyle w:val="101"/>
        <w:rPr>
          <w:rFonts w:hint="eastAsia" w:ascii="宋体" w:hAnsi="宋体" w:eastAsia="宋体"/>
          <w:color w:val="auto"/>
          <w:highlight w:val="none"/>
        </w:rPr>
      </w:pPr>
    </w:p>
    <w:p>
      <w:pPr>
        <w:pStyle w:val="101"/>
        <w:rPr>
          <w:rFonts w:hint="eastAsia" w:ascii="宋体" w:hAnsi="宋体" w:eastAsia="宋体"/>
          <w:color w:val="auto"/>
          <w:highlight w:val="none"/>
        </w:rPr>
      </w:pPr>
    </w:p>
    <w:p>
      <w:pPr>
        <w:pStyle w:val="101"/>
        <w:rPr>
          <w:rFonts w:hint="eastAsia" w:ascii="宋体" w:hAnsi="宋体" w:eastAsia="宋体"/>
          <w:color w:val="auto"/>
          <w:highlight w:val="none"/>
        </w:rPr>
      </w:pPr>
    </w:p>
    <w:p>
      <w:pPr>
        <w:pStyle w:val="101"/>
        <w:rPr>
          <w:rFonts w:hint="eastAsia" w:ascii="宋体" w:hAnsi="宋体" w:eastAsia="宋体"/>
          <w:color w:val="auto"/>
          <w:highlight w:val="none"/>
        </w:rPr>
      </w:pPr>
    </w:p>
    <w:p>
      <w:pPr>
        <w:pStyle w:val="101"/>
        <w:rPr>
          <w:rFonts w:hint="eastAsia" w:ascii="宋体" w:hAnsi="宋体" w:eastAsia="宋体"/>
          <w:color w:val="auto"/>
          <w:highlight w:val="none"/>
        </w:rPr>
      </w:pPr>
    </w:p>
    <w:p>
      <w:pPr>
        <w:pStyle w:val="101"/>
        <w:rPr>
          <w:rFonts w:hint="eastAsia" w:ascii="宋体" w:hAnsi="宋体" w:eastAsia="宋体"/>
          <w:color w:val="auto"/>
          <w:highlight w:val="none"/>
        </w:rPr>
      </w:pPr>
    </w:p>
    <w:p>
      <w:pPr>
        <w:pStyle w:val="101"/>
        <w:rPr>
          <w:rFonts w:hint="eastAsia" w:ascii="宋体" w:hAnsi="宋体" w:eastAsia="宋体"/>
          <w:color w:val="auto"/>
          <w:highlight w:val="none"/>
        </w:rPr>
      </w:pPr>
    </w:p>
    <w:p>
      <w:pPr>
        <w:pStyle w:val="101"/>
        <w:rPr>
          <w:rFonts w:hint="eastAsia" w:ascii="宋体" w:hAnsi="宋体" w:eastAsia="宋体"/>
          <w:color w:val="auto"/>
          <w:highlight w:val="none"/>
        </w:rPr>
      </w:pPr>
    </w:p>
    <w:p>
      <w:pPr>
        <w:pStyle w:val="101"/>
        <w:rPr>
          <w:rFonts w:hint="eastAsia" w:ascii="宋体" w:hAnsi="宋体" w:eastAsia="宋体"/>
          <w:color w:val="auto"/>
          <w:highlight w:val="none"/>
        </w:rPr>
      </w:pPr>
    </w:p>
    <w:p>
      <w:pPr>
        <w:pStyle w:val="101"/>
        <w:rPr>
          <w:rFonts w:hint="eastAsia" w:ascii="宋体" w:hAnsi="宋体" w:eastAsia="宋体"/>
          <w:color w:val="auto"/>
          <w:highlight w:val="none"/>
        </w:rPr>
      </w:pPr>
    </w:p>
    <w:p>
      <w:pPr>
        <w:pStyle w:val="101"/>
        <w:outlineLvl w:val="1"/>
        <w:rPr>
          <w:rFonts w:ascii="宋体" w:hAnsi="宋体" w:eastAsia="宋体"/>
          <w:color w:val="auto"/>
          <w:highlight w:val="none"/>
        </w:rPr>
      </w:pPr>
      <w:bookmarkStart w:id="110" w:name="_Toc18935"/>
      <w:r>
        <w:rPr>
          <w:rFonts w:ascii="宋体" w:hAnsi="宋体" w:eastAsia="宋体"/>
          <w:color w:val="auto"/>
          <w:highlight w:val="none"/>
        </w:rPr>
        <w:t>三、投标人财务状况报告</w:t>
      </w:r>
      <w:bookmarkEnd w:id="108"/>
      <w:bookmarkEnd w:id="109"/>
      <w:bookmarkEnd w:id="110"/>
    </w:p>
    <w:p>
      <w:pPr>
        <w:pStyle w:val="102"/>
        <w:rPr>
          <w:rFonts w:hint="eastAsia" w:ascii="宋体" w:hAnsi="宋体"/>
          <w:color w:val="auto"/>
          <w:highlight w:val="none"/>
        </w:rPr>
      </w:pPr>
      <w:r>
        <w:rPr>
          <w:rFonts w:hint="eastAsia" w:ascii="宋体" w:hAnsi="宋体"/>
          <w:bCs/>
          <w:color w:val="auto"/>
          <w:szCs w:val="32"/>
          <w:highlight w:val="none"/>
        </w:rPr>
        <w:t>指投标人的财务报告或银行出具的资信证明</w:t>
      </w:r>
    </w:p>
    <w:p>
      <w:pPr>
        <w:pStyle w:val="103"/>
        <w:outlineLvl w:val="1"/>
        <w:rPr>
          <w:rFonts w:ascii="宋体" w:hAnsi="宋体" w:eastAsia="宋体"/>
          <w:color w:val="auto"/>
          <w:highlight w:val="none"/>
        </w:rPr>
      </w:pPr>
      <w:r>
        <w:rPr>
          <w:rFonts w:ascii="宋体" w:hAnsi="宋体" w:eastAsia="宋体"/>
          <w:color w:val="auto"/>
          <w:highlight w:val="none"/>
        </w:rPr>
        <w:br w:type="page"/>
      </w:r>
      <w:bookmarkStart w:id="111" w:name="_Toc29626"/>
      <w:bookmarkStart w:id="112" w:name="_Toc514054489"/>
      <w:bookmarkStart w:id="113" w:name="_Toc11562_WPSOffice_Level2"/>
      <w:r>
        <w:rPr>
          <w:rFonts w:ascii="宋体" w:hAnsi="宋体" w:eastAsia="宋体"/>
          <w:color w:val="auto"/>
          <w:highlight w:val="none"/>
        </w:rPr>
        <w:t>四、缴纳税收和社会保障资金凭据</w:t>
      </w:r>
      <w:bookmarkEnd w:id="111"/>
      <w:bookmarkEnd w:id="112"/>
      <w:bookmarkEnd w:id="113"/>
    </w:p>
    <w:p>
      <w:pPr>
        <w:pStyle w:val="104"/>
        <w:rPr>
          <w:rFonts w:hint="eastAsia" w:ascii="宋体" w:hAnsi="宋体"/>
          <w:color w:val="auto"/>
          <w:highlight w:val="none"/>
        </w:rPr>
      </w:pPr>
      <w:r>
        <w:rPr>
          <w:rFonts w:hint="eastAsia" w:ascii="宋体" w:hAnsi="宋体"/>
          <w:bCs/>
          <w:color w:val="auto"/>
          <w:szCs w:val="32"/>
          <w:highlight w:val="none"/>
        </w:rPr>
        <w:t>提供符合招标文件要求的依法缴纳税收和社会保障资金的凭据</w:t>
      </w:r>
    </w:p>
    <w:p>
      <w:pPr>
        <w:pStyle w:val="105"/>
        <w:outlineLvl w:val="1"/>
        <w:rPr>
          <w:rFonts w:ascii="宋体" w:hAnsi="宋体" w:eastAsia="宋体"/>
          <w:color w:val="auto"/>
          <w:highlight w:val="none"/>
        </w:rPr>
      </w:pPr>
      <w:r>
        <w:rPr>
          <w:rFonts w:ascii="宋体" w:hAnsi="宋体" w:eastAsia="宋体"/>
          <w:color w:val="auto"/>
          <w:highlight w:val="none"/>
        </w:rPr>
        <w:br w:type="page"/>
      </w:r>
      <w:bookmarkStart w:id="114" w:name="_Toc467_WPSOffice_Level2"/>
      <w:bookmarkStart w:id="115" w:name="_Toc514054490"/>
      <w:bookmarkStart w:id="116" w:name="_Toc13419"/>
      <w:r>
        <w:rPr>
          <w:rFonts w:ascii="宋体" w:hAnsi="宋体" w:eastAsia="宋体"/>
          <w:color w:val="auto"/>
          <w:highlight w:val="none"/>
        </w:rPr>
        <w:t>五、履行合同所必需的设备和专业技术能力的声明</w:t>
      </w:r>
      <w:bookmarkEnd w:id="114"/>
      <w:bookmarkEnd w:id="115"/>
      <w:bookmarkEnd w:id="116"/>
    </w:p>
    <w:p>
      <w:pPr>
        <w:pStyle w:val="106"/>
        <w:spacing w:line="600" w:lineRule="exact"/>
        <w:jc w:val="center"/>
        <w:rPr>
          <w:rFonts w:hint="eastAsia" w:ascii="宋体" w:hAnsi="宋体"/>
          <w:b/>
          <w:color w:val="auto"/>
          <w:sz w:val="32"/>
          <w:szCs w:val="24"/>
          <w:highlight w:val="none"/>
        </w:rPr>
      </w:pPr>
      <w:bookmarkStart w:id="117" w:name="_Toc31740_WPSOffice_Level2"/>
      <w:r>
        <w:rPr>
          <w:rFonts w:hint="eastAsia" w:ascii="宋体" w:hAnsi="宋体"/>
          <w:b/>
          <w:color w:val="auto"/>
          <w:sz w:val="32"/>
          <w:szCs w:val="24"/>
          <w:highlight w:val="none"/>
        </w:rPr>
        <w:t>具备履行合同所必需的设备和专业技术能力的声明</w:t>
      </w:r>
      <w:bookmarkEnd w:id="117"/>
    </w:p>
    <w:p>
      <w:pPr>
        <w:pStyle w:val="106"/>
        <w:spacing w:line="600" w:lineRule="exact"/>
        <w:rPr>
          <w:rFonts w:hint="eastAsia" w:ascii="宋体" w:hAnsi="宋体"/>
          <w:color w:val="auto"/>
          <w:sz w:val="24"/>
          <w:highlight w:val="none"/>
          <w:u w:val="single"/>
        </w:rPr>
      </w:pPr>
    </w:p>
    <w:p>
      <w:pPr>
        <w:pStyle w:val="106"/>
        <w:spacing w:line="600" w:lineRule="exact"/>
        <w:rPr>
          <w:rFonts w:hint="eastAsia" w:ascii="宋体" w:hAnsi="宋体"/>
          <w:color w:val="auto"/>
          <w:sz w:val="24"/>
          <w:highlight w:val="none"/>
        </w:rPr>
      </w:pPr>
      <w:r>
        <w:rPr>
          <w:rFonts w:hint="eastAsia" w:ascii="宋体" w:hAnsi="宋体"/>
          <w:color w:val="auto"/>
          <w:sz w:val="24"/>
          <w:highlight w:val="none"/>
          <w:u w:val="single"/>
        </w:rPr>
        <w:t>（采购单位）</w:t>
      </w:r>
      <w:r>
        <w:rPr>
          <w:rFonts w:hint="eastAsia" w:ascii="宋体" w:hAnsi="宋体"/>
          <w:color w:val="auto"/>
          <w:sz w:val="24"/>
          <w:highlight w:val="none"/>
        </w:rPr>
        <w:t>：</w:t>
      </w:r>
    </w:p>
    <w:p>
      <w:pPr>
        <w:pStyle w:val="106"/>
        <w:spacing w:line="600" w:lineRule="exact"/>
        <w:rPr>
          <w:rFonts w:hint="eastAsia" w:ascii="宋体" w:hAnsi="宋体"/>
          <w:color w:val="auto"/>
          <w:sz w:val="24"/>
          <w:highlight w:val="none"/>
        </w:rPr>
      </w:pPr>
      <w:r>
        <w:rPr>
          <w:rFonts w:hint="eastAsia" w:ascii="宋体" w:hAnsi="宋体"/>
          <w:color w:val="auto"/>
          <w:sz w:val="24"/>
          <w:highlight w:val="none"/>
        </w:rPr>
        <w:t xml:space="preserve">   我公司具备履行编号为</w:t>
      </w:r>
      <w:r>
        <w:rPr>
          <w:rFonts w:hint="eastAsia" w:ascii="宋体" w:hAnsi="宋体"/>
          <w:color w:val="auto"/>
          <w:sz w:val="24"/>
          <w:highlight w:val="none"/>
          <w:u w:val="single"/>
        </w:rPr>
        <w:t xml:space="preserve">       号           项目</w:t>
      </w:r>
      <w:r>
        <w:rPr>
          <w:rFonts w:hint="eastAsia" w:ascii="宋体" w:hAnsi="宋体"/>
          <w:color w:val="auto"/>
          <w:sz w:val="24"/>
          <w:highlight w:val="none"/>
        </w:rPr>
        <w:t>合同的设备和专业技术能力。</w:t>
      </w:r>
    </w:p>
    <w:p>
      <w:pPr>
        <w:pStyle w:val="106"/>
        <w:spacing w:line="600" w:lineRule="exact"/>
        <w:ind w:firstLine="480" w:firstLineChars="200"/>
        <w:rPr>
          <w:rFonts w:hint="eastAsia" w:ascii="宋体" w:hAnsi="宋体"/>
          <w:color w:val="auto"/>
          <w:sz w:val="24"/>
          <w:highlight w:val="none"/>
        </w:rPr>
      </w:pPr>
      <w:r>
        <w:rPr>
          <w:rFonts w:hint="eastAsia" w:ascii="宋体" w:hAnsi="宋体"/>
          <w:color w:val="auto"/>
          <w:sz w:val="24"/>
          <w:highlight w:val="none"/>
        </w:rPr>
        <w:t>特此声明。</w:t>
      </w:r>
    </w:p>
    <w:p>
      <w:pPr>
        <w:pStyle w:val="106"/>
        <w:spacing w:line="600" w:lineRule="exact"/>
        <w:ind w:firstLine="480" w:firstLineChars="200"/>
        <w:rPr>
          <w:rFonts w:hint="eastAsia" w:ascii="宋体" w:hAnsi="宋体"/>
          <w:color w:val="auto"/>
          <w:sz w:val="24"/>
          <w:highlight w:val="none"/>
        </w:rPr>
      </w:pPr>
    </w:p>
    <w:p>
      <w:pPr>
        <w:pStyle w:val="106"/>
        <w:spacing w:line="600" w:lineRule="exact"/>
        <w:jc w:val="center"/>
        <w:rPr>
          <w:rFonts w:hint="eastAsia" w:ascii="宋体" w:hAnsi="宋体"/>
          <w:b/>
          <w:bCs/>
          <w:color w:val="auto"/>
          <w:sz w:val="32"/>
          <w:szCs w:val="32"/>
          <w:highlight w:val="none"/>
        </w:rPr>
      </w:pPr>
    </w:p>
    <w:p>
      <w:pPr>
        <w:pStyle w:val="107"/>
        <w:spacing w:line="700" w:lineRule="exact"/>
        <w:ind w:firstLine="629"/>
        <w:rPr>
          <w:rFonts w:hint="eastAsia" w:ascii="宋体" w:hAnsi="宋体"/>
          <w:color w:val="auto"/>
          <w:sz w:val="24"/>
          <w:highlight w:val="none"/>
          <w:u w:val="single"/>
        </w:rPr>
      </w:pPr>
      <w:r>
        <w:rPr>
          <w:rFonts w:hint="eastAsia" w:ascii="宋体" w:hAnsi="宋体"/>
          <w:color w:val="auto"/>
          <w:sz w:val="24"/>
          <w:highlight w:val="none"/>
        </w:rPr>
        <w:t>单位名称：（盖章）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p>
    <w:p>
      <w:pPr>
        <w:pStyle w:val="107"/>
        <w:spacing w:line="700" w:lineRule="exact"/>
        <w:ind w:firstLine="629"/>
        <w:rPr>
          <w:rFonts w:hint="eastAsia" w:ascii="宋体" w:hAnsi="宋体"/>
          <w:color w:val="auto"/>
          <w:sz w:val="24"/>
          <w:highlight w:val="none"/>
        </w:rPr>
      </w:pPr>
      <w:r>
        <w:rPr>
          <w:rFonts w:hint="eastAsia" w:ascii="宋体" w:hAnsi="宋体"/>
          <w:color w:val="auto"/>
          <w:sz w:val="24"/>
          <w:highlight w:val="none"/>
        </w:rPr>
        <w:t>法定代表人（或授权代表）：（签字）</w:t>
      </w:r>
      <w:r>
        <w:rPr>
          <w:rFonts w:hint="eastAsia" w:ascii="宋体" w:hAnsi="宋体"/>
          <w:color w:val="auto"/>
          <w:sz w:val="24"/>
          <w:highlight w:val="none"/>
          <w:u w:val="single"/>
        </w:rPr>
        <w:t xml:space="preserve">              </w:t>
      </w:r>
    </w:p>
    <w:p>
      <w:pPr>
        <w:pStyle w:val="108"/>
        <w:ind w:firstLine="720" w:firstLineChars="300"/>
        <w:rPr>
          <w:rFonts w:hint="eastAsia" w:ascii="宋体" w:hAnsi="宋体"/>
          <w:color w:val="auto"/>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pPr>
        <w:pStyle w:val="109"/>
        <w:outlineLvl w:val="1"/>
        <w:rPr>
          <w:rFonts w:ascii="宋体" w:hAnsi="宋体" w:eastAsia="宋体"/>
          <w:color w:val="auto"/>
          <w:highlight w:val="none"/>
        </w:rPr>
      </w:pPr>
      <w:r>
        <w:rPr>
          <w:rFonts w:ascii="宋体" w:hAnsi="宋体" w:eastAsia="宋体"/>
          <w:color w:val="auto"/>
          <w:highlight w:val="none"/>
        </w:rPr>
        <w:br w:type="page"/>
      </w:r>
      <w:bookmarkStart w:id="118" w:name="_Toc19673"/>
      <w:bookmarkStart w:id="119" w:name="_Toc5571_WPSOffice_Level2"/>
      <w:bookmarkStart w:id="120" w:name="_Toc514054491"/>
      <w:r>
        <w:rPr>
          <w:rFonts w:ascii="宋体" w:hAnsi="宋体" w:eastAsia="宋体"/>
          <w:color w:val="auto"/>
          <w:highlight w:val="none"/>
        </w:rPr>
        <w:t>六、无重大违法行为声明</w:t>
      </w:r>
      <w:bookmarkEnd w:id="118"/>
      <w:bookmarkEnd w:id="119"/>
      <w:bookmarkEnd w:id="120"/>
    </w:p>
    <w:p>
      <w:pPr>
        <w:pStyle w:val="110"/>
        <w:tabs>
          <w:tab w:val="left" w:pos="1498"/>
        </w:tabs>
        <w:spacing w:line="580" w:lineRule="exact"/>
        <w:jc w:val="center"/>
        <w:rPr>
          <w:rFonts w:hint="eastAsia" w:ascii="宋体" w:hAnsi="宋体"/>
          <w:b/>
          <w:color w:val="auto"/>
          <w:sz w:val="32"/>
          <w:szCs w:val="32"/>
          <w:highlight w:val="none"/>
        </w:rPr>
      </w:pPr>
      <w:bookmarkStart w:id="121" w:name="_Toc7575_WPSOffice_Level2"/>
      <w:r>
        <w:rPr>
          <w:rFonts w:hint="eastAsia" w:ascii="宋体" w:hAnsi="宋体"/>
          <w:b/>
          <w:color w:val="auto"/>
          <w:sz w:val="32"/>
          <w:szCs w:val="32"/>
          <w:highlight w:val="none"/>
        </w:rPr>
        <w:t>无重大违法行为声明</w:t>
      </w:r>
      <w:bookmarkEnd w:id="121"/>
    </w:p>
    <w:p>
      <w:pPr>
        <w:pStyle w:val="110"/>
        <w:tabs>
          <w:tab w:val="left" w:pos="1498"/>
        </w:tabs>
        <w:spacing w:line="580" w:lineRule="exact"/>
        <w:rPr>
          <w:rFonts w:hint="eastAsia" w:ascii="宋体" w:hAnsi="宋体"/>
          <w:color w:val="auto"/>
          <w:sz w:val="24"/>
          <w:highlight w:val="none"/>
        </w:rPr>
      </w:pPr>
      <w:r>
        <w:rPr>
          <w:rFonts w:hint="eastAsia" w:ascii="宋体" w:hAnsi="宋体"/>
          <w:color w:val="auto"/>
          <w:sz w:val="24"/>
          <w:highlight w:val="none"/>
          <w:u w:val="single"/>
        </w:rPr>
        <w:t xml:space="preserve">   （采购人</w:t>
      </w:r>
      <w:r>
        <w:rPr>
          <w:rFonts w:ascii="宋体" w:hAnsi="宋体"/>
          <w:color w:val="auto"/>
          <w:sz w:val="24"/>
          <w:highlight w:val="none"/>
          <w:u w:val="single"/>
        </w:rPr>
        <w:t>名称）</w:t>
      </w:r>
      <w:r>
        <w:rPr>
          <w:rFonts w:hint="eastAsia" w:ascii="宋体" w:hAnsi="宋体"/>
          <w:color w:val="auto"/>
          <w:sz w:val="24"/>
          <w:highlight w:val="none"/>
          <w:u w:val="single"/>
        </w:rPr>
        <w:t xml:space="preserve">    </w:t>
      </w:r>
      <w:r>
        <w:rPr>
          <w:rFonts w:hint="eastAsia" w:ascii="宋体" w:hAnsi="宋体"/>
          <w:color w:val="auto"/>
          <w:sz w:val="24"/>
          <w:highlight w:val="none"/>
        </w:rPr>
        <w:t>：</w:t>
      </w:r>
    </w:p>
    <w:p>
      <w:pPr>
        <w:pStyle w:val="110"/>
        <w:spacing w:line="600" w:lineRule="exact"/>
        <w:ind w:firstLine="600"/>
        <w:rPr>
          <w:rFonts w:hint="eastAsia" w:ascii="宋体" w:hAnsi="宋体"/>
          <w:color w:val="auto"/>
          <w:sz w:val="24"/>
          <w:highlight w:val="none"/>
        </w:rPr>
      </w:pPr>
      <w:r>
        <w:rPr>
          <w:rFonts w:hint="eastAsia" w:ascii="宋体" w:hAnsi="宋体"/>
          <w:color w:val="auto"/>
          <w:sz w:val="24"/>
          <w:highlight w:val="none"/>
        </w:rPr>
        <w:t>我公司在参加编号为</w:t>
      </w:r>
      <w:r>
        <w:rPr>
          <w:rFonts w:hint="eastAsia" w:ascii="宋体" w:hAnsi="宋体"/>
          <w:color w:val="auto"/>
          <w:sz w:val="24"/>
          <w:highlight w:val="none"/>
          <w:u w:val="single"/>
        </w:rPr>
        <w:t xml:space="preserve">     </w:t>
      </w:r>
      <w:r>
        <w:rPr>
          <w:rFonts w:hint="eastAsia" w:ascii="宋体" w:hAnsi="宋体"/>
          <w:color w:val="auto"/>
          <w:sz w:val="24"/>
          <w:highlight w:val="none"/>
        </w:rPr>
        <w:t>号</w:t>
      </w:r>
      <w:r>
        <w:rPr>
          <w:rFonts w:hint="eastAsia" w:ascii="宋体" w:hAnsi="宋体"/>
          <w:color w:val="auto"/>
          <w:sz w:val="24"/>
          <w:highlight w:val="none"/>
          <w:u w:val="single"/>
        </w:rPr>
        <w:t xml:space="preserve">                    </w:t>
      </w:r>
      <w:r>
        <w:rPr>
          <w:rFonts w:hint="eastAsia" w:ascii="宋体" w:hAnsi="宋体"/>
          <w:color w:val="auto"/>
          <w:sz w:val="24"/>
          <w:highlight w:val="none"/>
        </w:rPr>
        <w:t>项目的投标活动前3年内，</w:t>
      </w:r>
      <w:r>
        <w:rPr>
          <w:rFonts w:ascii="宋体" w:hAnsi="宋体"/>
          <w:color w:val="auto"/>
          <w:sz w:val="24"/>
          <w:highlight w:val="none"/>
        </w:rPr>
        <w:t>在经营活动中没有重大违法记录</w:t>
      </w:r>
      <w:r>
        <w:rPr>
          <w:rFonts w:hint="eastAsia" w:ascii="宋体" w:hAnsi="宋体"/>
          <w:color w:val="auto"/>
          <w:sz w:val="24"/>
          <w:highlight w:val="none"/>
        </w:rPr>
        <w:t>。</w:t>
      </w:r>
    </w:p>
    <w:p>
      <w:pPr>
        <w:pStyle w:val="110"/>
        <w:spacing w:line="600" w:lineRule="exact"/>
        <w:ind w:firstLine="600"/>
        <w:rPr>
          <w:rFonts w:hint="eastAsia" w:ascii="宋体" w:hAnsi="宋体"/>
          <w:color w:val="auto"/>
          <w:sz w:val="24"/>
          <w:highlight w:val="none"/>
        </w:rPr>
      </w:pPr>
      <w:r>
        <w:rPr>
          <w:rFonts w:hint="eastAsia" w:ascii="宋体" w:hAnsi="宋体"/>
          <w:color w:val="auto"/>
          <w:sz w:val="24"/>
          <w:highlight w:val="none"/>
        </w:rPr>
        <w:t>特此声明。</w:t>
      </w:r>
    </w:p>
    <w:p>
      <w:pPr>
        <w:pStyle w:val="110"/>
        <w:spacing w:line="600" w:lineRule="exact"/>
        <w:ind w:firstLine="600"/>
        <w:rPr>
          <w:rFonts w:hint="eastAsia" w:ascii="宋体" w:hAnsi="宋体"/>
          <w:color w:val="auto"/>
          <w:sz w:val="24"/>
          <w:highlight w:val="none"/>
        </w:rPr>
      </w:pPr>
    </w:p>
    <w:p>
      <w:pPr>
        <w:pStyle w:val="110"/>
        <w:spacing w:line="600" w:lineRule="exact"/>
        <w:ind w:firstLine="600"/>
        <w:rPr>
          <w:rFonts w:hint="eastAsia" w:ascii="宋体" w:hAnsi="宋体"/>
          <w:color w:val="auto"/>
          <w:sz w:val="24"/>
          <w:highlight w:val="none"/>
        </w:rPr>
      </w:pPr>
      <w:r>
        <w:rPr>
          <w:rFonts w:hint="eastAsia" w:ascii="宋体" w:hAnsi="宋体"/>
          <w:color w:val="auto"/>
          <w:sz w:val="24"/>
          <w:highlight w:val="none"/>
        </w:rPr>
        <w:t>注：重大违法记录，是指供应商因违法经营受到刑事处罚或者责令停产停业、吊销许可证或者执照、较大数额罚款等行政处罚。</w:t>
      </w:r>
    </w:p>
    <w:p>
      <w:pPr>
        <w:pStyle w:val="110"/>
        <w:spacing w:line="600" w:lineRule="exact"/>
        <w:ind w:firstLine="600"/>
        <w:rPr>
          <w:rFonts w:hint="eastAsia" w:ascii="宋体" w:hAnsi="宋体"/>
          <w:color w:val="auto"/>
          <w:sz w:val="24"/>
          <w:highlight w:val="none"/>
        </w:rPr>
      </w:pPr>
    </w:p>
    <w:p>
      <w:pPr>
        <w:pStyle w:val="110"/>
        <w:spacing w:line="600" w:lineRule="exact"/>
        <w:ind w:firstLine="600"/>
        <w:rPr>
          <w:rFonts w:hint="eastAsia" w:ascii="宋体" w:hAnsi="宋体"/>
          <w:color w:val="auto"/>
          <w:sz w:val="24"/>
          <w:highlight w:val="none"/>
        </w:rPr>
      </w:pPr>
    </w:p>
    <w:p>
      <w:pPr>
        <w:pStyle w:val="107"/>
        <w:spacing w:line="700" w:lineRule="exact"/>
        <w:ind w:firstLine="629"/>
        <w:rPr>
          <w:rFonts w:hint="eastAsia" w:ascii="宋体" w:hAnsi="宋体"/>
          <w:color w:val="auto"/>
          <w:sz w:val="24"/>
          <w:highlight w:val="none"/>
          <w:u w:val="single"/>
        </w:rPr>
      </w:pPr>
      <w:r>
        <w:rPr>
          <w:rFonts w:hint="eastAsia" w:ascii="宋体" w:hAnsi="宋体"/>
          <w:color w:val="auto"/>
          <w:sz w:val="24"/>
          <w:highlight w:val="none"/>
        </w:rPr>
        <w:t>单位名称：（盖章）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p>
    <w:p>
      <w:pPr>
        <w:pStyle w:val="107"/>
        <w:spacing w:line="700" w:lineRule="exact"/>
        <w:ind w:firstLine="629"/>
        <w:rPr>
          <w:rFonts w:hint="eastAsia" w:ascii="宋体" w:hAnsi="宋体"/>
          <w:color w:val="auto"/>
          <w:sz w:val="24"/>
          <w:highlight w:val="none"/>
        </w:rPr>
      </w:pPr>
      <w:r>
        <w:rPr>
          <w:rFonts w:hint="eastAsia" w:ascii="宋体" w:hAnsi="宋体"/>
          <w:color w:val="auto"/>
          <w:sz w:val="24"/>
          <w:highlight w:val="none"/>
        </w:rPr>
        <w:t>法定代表人（或授权代表）：（签字）</w:t>
      </w:r>
      <w:r>
        <w:rPr>
          <w:rFonts w:hint="eastAsia" w:ascii="宋体" w:hAnsi="宋体"/>
          <w:color w:val="auto"/>
          <w:sz w:val="24"/>
          <w:highlight w:val="none"/>
          <w:u w:val="single"/>
        </w:rPr>
        <w:t xml:space="preserve">              </w:t>
      </w:r>
    </w:p>
    <w:p>
      <w:pPr>
        <w:pStyle w:val="111"/>
        <w:ind w:firstLine="720" w:firstLineChars="300"/>
        <w:rPr>
          <w:rFonts w:hint="eastAsia" w:ascii="宋体" w:hAnsi="宋体"/>
          <w:color w:val="auto"/>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pPr>
        <w:pStyle w:val="112"/>
        <w:outlineLvl w:val="1"/>
        <w:rPr>
          <w:rFonts w:ascii="宋体" w:hAnsi="宋体" w:eastAsia="宋体"/>
          <w:color w:val="auto"/>
          <w:highlight w:val="none"/>
        </w:rPr>
      </w:pPr>
      <w:r>
        <w:rPr>
          <w:rFonts w:ascii="宋体" w:hAnsi="宋体" w:eastAsia="宋体"/>
          <w:color w:val="auto"/>
          <w:highlight w:val="none"/>
        </w:rPr>
        <w:br w:type="page"/>
      </w:r>
      <w:bookmarkStart w:id="122" w:name="_Toc31956_WPSOffice_Level2"/>
      <w:bookmarkStart w:id="123" w:name="_Toc514054492"/>
      <w:bookmarkStart w:id="124" w:name="_Toc30396"/>
      <w:r>
        <w:rPr>
          <w:rFonts w:ascii="宋体" w:hAnsi="宋体" w:eastAsia="宋体"/>
          <w:color w:val="auto"/>
          <w:highlight w:val="none"/>
        </w:rPr>
        <w:t>七、投标函</w:t>
      </w:r>
      <w:bookmarkEnd w:id="122"/>
      <w:bookmarkEnd w:id="123"/>
      <w:bookmarkEnd w:id="124"/>
    </w:p>
    <w:p>
      <w:pPr>
        <w:pStyle w:val="113"/>
        <w:tabs>
          <w:tab w:val="left" w:pos="1498"/>
        </w:tabs>
        <w:spacing w:line="580" w:lineRule="exact"/>
        <w:rPr>
          <w:rFonts w:hint="eastAsia" w:ascii="宋体" w:hAnsi="宋体"/>
          <w:color w:val="auto"/>
          <w:sz w:val="24"/>
          <w:szCs w:val="22"/>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w:t>
      </w:r>
    </w:p>
    <w:p>
      <w:pPr>
        <w:pStyle w:val="113"/>
        <w:tabs>
          <w:tab w:val="left" w:pos="1498"/>
        </w:tabs>
        <w:spacing w:line="580" w:lineRule="exact"/>
        <w:ind w:firstLine="480" w:firstLineChars="200"/>
        <w:rPr>
          <w:rFonts w:hint="eastAsia" w:ascii="宋体" w:hAnsi="宋体"/>
          <w:color w:val="auto"/>
          <w:sz w:val="24"/>
          <w:highlight w:val="none"/>
        </w:rPr>
      </w:pPr>
      <w:r>
        <w:rPr>
          <w:rFonts w:hint="eastAsia" w:ascii="宋体" w:hAnsi="宋体"/>
          <w:color w:val="auto"/>
          <w:sz w:val="24"/>
          <w:highlight w:val="none"/>
        </w:rPr>
        <w:t xml:space="preserve"> 经研究，我们决定参加编号为</w:t>
      </w:r>
      <w:r>
        <w:rPr>
          <w:rFonts w:hint="eastAsia" w:ascii="宋体" w:hAnsi="宋体"/>
          <w:color w:val="auto"/>
          <w:sz w:val="24"/>
          <w:highlight w:val="none"/>
          <w:u w:val="single"/>
        </w:rPr>
        <w:t xml:space="preserve">                  </w:t>
      </w:r>
      <w:r>
        <w:rPr>
          <w:rFonts w:hint="eastAsia" w:ascii="宋体" w:hAnsi="宋体"/>
          <w:color w:val="auto"/>
          <w:sz w:val="24"/>
          <w:highlight w:val="none"/>
        </w:rPr>
        <w:t>的招标活动并投标，为此，我方郑重声明以下诸点，并负法律责任。</w:t>
      </w:r>
    </w:p>
    <w:p>
      <w:pPr>
        <w:pStyle w:val="113"/>
        <w:tabs>
          <w:tab w:val="left" w:pos="1498"/>
        </w:tabs>
        <w:spacing w:line="580" w:lineRule="exact"/>
        <w:ind w:firstLine="480" w:firstLineChars="200"/>
        <w:rPr>
          <w:rFonts w:hint="eastAsia" w:ascii="宋体" w:hAnsi="宋体"/>
          <w:color w:val="auto"/>
          <w:sz w:val="24"/>
          <w:highlight w:val="none"/>
        </w:rPr>
      </w:pPr>
      <w:r>
        <w:rPr>
          <w:rFonts w:hint="eastAsia" w:ascii="宋体" w:hAnsi="宋体"/>
          <w:color w:val="auto"/>
          <w:sz w:val="24"/>
          <w:highlight w:val="none"/>
        </w:rPr>
        <w:t>一、我方按招标文件要求提交电子投标文件；</w:t>
      </w:r>
    </w:p>
    <w:p>
      <w:pPr>
        <w:pStyle w:val="113"/>
        <w:tabs>
          <w:tab w:val="left" w:pos="1498"/>
        </w:tabs>
        <w:spacing w:line="580" w:lineRule="exact"/>
        <w:ind w:firstLine="480" w:firstLineChars="200"/>
        <w:rPr>
          <w:rFonts w:hint="eastAsia" w:ascii="宋体" w:hAnsi="宋体"/>
          <w:color w:val="auto"/>
          <w:sz w:val="24"/>
          <w:highlight w:val="none"/>
        </w:rPr>
      </w:pPr>
      <w:r>
        <w:rPr>
          <w:rFonts w:hint="eastAsia" w:ascii="宋体" w:hAnsi="宋体"/>
          <w:color w:val="auto"/>
          <w:sz w:val="24"/>
          <w:highlight w:val="none"/>
        </w:rPr>
        <w:t>二、如果我们的投标文件被接受，我们将履行招标文件中规定的每项要求，并按我们投标文件中的承诺按期、按质、按量履约交付；</w:t>
      </w:r>
    </w:p>
    <w:p>
      <w:pPr>
        <w:pStyle w:val="113"/>
        <w:tabs>
          <w:tab w:val="left" w:pos="1498"/>
        </w:tabs>
        <w:spacing w:line="580" w:lineRule="exact"/>
        <w:ind w:firstLine="480" w:firstLineChars="200"/>
        <w:rPr>
          <w:rFonts w:hint="eastAsia" w:ascii="宋体" w:hAnsi="宋体"/>
          <w:color w:val="auto"/>
          <w:sz w:val="24"/>
          <w:highlight w:val="none"/>
        </w:rPr>
      </w:pPr>
      <w:r>
        <w:rPr>
          <w:rFonts w:hint="eastAsia" w:ascii="宋体" w:hAnsi="宋体"/>
          <w:color w:val="auto"/>
          <w:sz w:val="24"/>
          <w:highlight w:val="none"/>
        </w:rPr>
        <w:t>三、我们理解，最低报价不是中标的唯一条件，你们有选择中标人的权利；</w:t>
      </w:r>
    </w:p>
    <w:p>
      <w:pPr>
        <w:pStyle w:val="113"/>
        <w:tabs>
          <w:tab w:val="left" w:pos="1498"/>
        </w:tabs>
        <w:spacing w:line="580" w:lineRule="exact"/>
        <w:ind w:firstLine="480" w:firstLineChars="200"/>
        <w:rPr>
          <w:rFonts w:hint="eastAsia" w:ascii="宋体" w:hAnsi="宋体"/>
          <w:color w:val="auto"/>
          <w:sz w:val="24"/>
          <w:highlight w:val="none"/>
        </w:rPr>
      </w:pPr>
      <w:r>
        <w:rPr>
          <w:rFonts w:hint="eastAsia" w:ascii="宋体" w:hAnsi="宋体"/>
          <w:color w:val="auto"/>
          <w:sz w:val="24"/>
          <w:highlight w:val="none"/>
        </w:rPr>
        <w:t>四、投标截止时间结束后参加投标的供应商不足三家的，或在评标期间出现符合专业条件的供应商或者对招标文件作出实质响应的供应商不足三家情形的，我们酌情决定是否参加当场变更的竞争性谈判采购；</w:t>
      </w:r>
    </w:p>
    <w:p>
      <w:pPr>
        <w:pStyle w:val="113"/>
        <w:tabs>
          <w:tab w:val="left" w:pos="1498"/>
        </w:tabs>
        <w:spacing w:line="580" w:lineRule="exact"/>
        <w:ind w:firstLine="480" w:firstLineChars="200"/>
        <w:rPr>
          <w:rFonts w:hint="eastAsia" w:ascii="宋体" w:hAnsi="宋体"/>
          <w:color w:val="auto"/>
          <w:sz w:val="24"/>
          <w:highlight w:val="none"/>
        </w:rPr>
      </w:pPr>
      <w:r>
        <w:rPr>
          <w:rFonts w:hint="eastAsia" w:ascii="宋体" w:hAnsi="宋体"/>
          <w:color w:val="auto"/>
          <w:sz w:val="24"/>
          <w:highlight w:val="none"/>
        </w:rPr>
        <w:t>五、我方愿按《民法典》及其他有关法律、法规的规定，自觉履行自己的全部责任；</w:t>
      </w:r>
    </w:p>
    <w:p>
      <w:pPr>
        <w:pStyle w:val="114"/>
        <w:tabs>
          <w:tab w:val="left" w:pos="1498"/>
        </w:tabs>
        <w:spacing w:line="580" w:lineRule="exact"/>
        <w:ind w:firstLine="480" w:firstLineChars="200"/>
        <w:rPr>
          <w:rFonts w:hint="eastAsia" w:ascii="宋体" w:hAnsi="宋体"/>
          <w:color w:val="auto"/>
          <w:sz w:val="24"/>
          <w:highlight w:val="none"/>
        </w:rPr>
      </w:pPr>
      <w:r>
        <w:rPr>
          <w:rFonts w:hint="eastAsia" w:ascii="宋体" w:hAnsi="宋体"/>
          <w:color w:val="auto"/>
          <w:sz w:val="24"/>
          <w:highlight w:val="none"/>
        </w:rPr>
        <w:t>六、我方同意遵守贵方有关招标投标的各项规定；</w:t>
      </w:r>
    </w:p>
    <w:p>
      <w:pPr>
        <w:pStyle w:val="114"/>
        <w:tabs>
          <w:tab w:val="left" w:pos="1498"/>
        </w:tabs>
        <w:spacing w:line="580" w:lineRule="exact"/>
        <w:ind w:firstLine="480" w:firstLineChars="200"/>
        <w:rPr>
          <w:rFonts w:hint="eastAsia" w:ascii="宋体" w:hAnsi="宋体"/>
          <w:color w:val="auto"/>
          <w:sz w:val="24"/>
          <w:highlight w:val="none"/>
        </w:rPr>
      </w:pPr>
      <w:r>
        <w:rPr>
          <w:rFonts w:hint="eastAsia" w:ascii="宋体" w:hAnsi="宋体"/>
          <w:color w:val="auto"/>
          <w:sz w:val="24"/>
          <w:highlight w:val="none"/>
        </w:rPr>
        <w:t>七、我方响应招标文件规定的投标有效期。</w:t>
      </w:r>
    </w:p>
    <w:p>
      <w:pPr>
        <w:pStyle w:val="113"/>
        <w:tabs>
          <w:tab w:val="left" w:pos="1498"/>
        </w:tabs>
        <w:spacing w:line="580" w:lineRule="exact"/>
        <w:ind w:firstLine="480" w:firstLineChars="200"/>
        <w:rPr>
          <w:rFonts w:hint="eastAsia" w:ascii="宋体" w:hAnsi="宋体"/>
          <w:color w:val="auto"/>
          <w:sz w:val="24"/>
          <w:highlight w:val="none"/>
        </w:rPr>
      </w:pPr>
    </w:p>
    <w:p>
      <w:pPr>
        <w:pStyle w:val="107"/>
        <w:spacing w:line="700" w:lineRule="exact"/>
        <w:ind w:firstLine="629"/>
        <w:rPr>
          <w:rFonts w:hint="eastAsia" w:ascii="宋体" w:hAnsi="宋体"/>
          <w:color w:val="auto"/>
          <w:sz w:val="24"/>
          <w:highlight w:val="none"/>
          <w:u w:val="single"/>
        </w:rPr>
      </w:pPr>
      <w:r>
        <w:rPr>
          <w:rFonts w:hint="eastAsia" w:ascii="宋体" w:hAnsi="宋体"/>
          <w:color w:val="auto"/>
          <w:sz w:val="24"/>
          <w:highlight w:val="none"/>
        </w:rPr>
        <w:t>单位名称：（盖章）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p>
    <w:p>
      <w:pPr>
        <w:pStyle w:val="107"/>
        <w:spacing w:line="700" w:lineRule="exact"/>
        <w:ind w:firstLine="629"/>
        <w:rPr>
          <w:rFonts w:hint="eastAsia" w:ascii="宋体" w:hAnsi="宋体"/>
          <w:color w:val="auto"/>
          <w:sz w:val="24"/>
          <w:highlight w:val="none"/>
        </w:rPr>
      </w:pPr>
      <w:r>
        <w:rPr>
          <w:rFonts w:hint="eastAsia" w:ascii="宋体" w:hAnsi="宋体"/>
          <w:color w:val="auto"/>
          <w:sz w:val="24"/>
          <w:highlight w:val="none"/>
        </w:rPr>
        <w:t>法定代表人（或授权代表）：（签字）</w:t>
      </w:r>
      <w:r>
        <w:rPr>
          <w:rFonts w:hint="eastAsia" w:ascii="宋体" w:hAnsi="宋体"/>
          <w:color w:val="auto"/>
          <w:sz w:val="24"/>
          <w:highlight w:val="none"/>
          <w:u w:val="single"/>
        </w:rPr>
        <w:t xml:space="preserve">              </w:t>
      </w:r>
    </w:p>
    <w:p>
      <w:pPr>
        <w:pStyle w:val="113"/>
        <w:spacing w:line="700" w:lineRule="exact"/>
        <w:ind w:firstLine="629"/>
        <w:rPr>
          <w:rFonts w:hint="eastAsia"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pPr>
        <w:pStyle w:val="115"/>
        <w:outlineLvl w:val="1"/>
        <w:rPr>
          <w:rFonts w:ascii="宋体" w:hAnsi="宋体" w:eastAsia="宋体"/>
          <w:color w:val="auto"/>
          <w:highlight w:val="none"/>
        </w:rPr>
      </w:pPr>
      <w:r>
        <w:rPr>
          <w:rFonts w:ascii="宋体" w:hAnsi="宋体" w:eastAsia="宋体"/>
          <w:color w:val="auto"/>
          <w:highlight w:val="none"/>
        </w:rPr>
        <w:br w:type="page"/>
      </w:r>
      <w:bookmarkStart w:id="125" w:name="_Toc514054493"/>
      <w:bookmarkStart w:id="126" w:name="_Toc22395"/>
      <w:r>
        <w:rPr>
          <w:rFonts w:ascii="宋体" w:hAnsi="宋体" w:eastAsia="宋体"/>
          <w:color w:val="auto"/>
          <w:highlight w:val="none"/>
        </w:rPr>
        <w:t>八、法定代表人身份证明或授权委托书</w:t>
      </w:r>
      <w:bookmarkEnd w:id="125"/>
      <w:bookmarkEnd w:id="126"/>
    </w:p>
    <w:p>
      <w:pPr>
        <w:pStyle w:val="116"/>
        <w:spacing w:line="560" w:lineRule="exact"/>
        <w:jc w:val="center"/>
        <w:rPr>
          <w:rFonts w:ascii="宋体" w:hAnsi="宋体"/>
          <w:b/>
          <w:bCs/>
          <w:color w:val="auto"/>
          <w:sz w:val="32"/>
          <w:szCs w:val="32"/>
          <w:highlight w:val="none"/>
        </w:rPr>
      </w:pPr>
      <w:bookmarkStart w:id="127" w:name="_Toc22626_WPSOffice_Level2"/>
      <w:r>
        <w:rPr>
          <w:rFonts w:ascii="宋体" w:hAnsi="宋体"/>
          <w:b/>
          <w:bCs/>
          <w:color w:val="auto"/>
          <w:sz w:val="32"/>
          <w:szCs w:val="32"/>
          <w:highlight w:val="none"/>
        </w:rPr>
        <w:t>法定代表人身份证明</w:t>
      </w:r>
      <w:bookmarkEnd w:id="127"/>
    </w:p>
    <w:p>
      <w:pPr>
        <w:pStyle w:val="117"/>
        <w:spacing w:line="480" w:lineRule="exact"/>
        <w:rPr>
          <w:rFonts w:ascii="宋体" w:hAnsi="宋体"/>
          <w:color w:val="auto"/>
          <w:sz w:val="24"/>
          <w:highlight w:val="none"/>
        </w:rPr>
      </w:pPr>
    </w:p>
    <w:p>
      <w:pPr>
        <w:pStyle w:val="117"/>
        <w:spacing w:line="480" w:lineRule="exact"/>
        <w:rPr>
          <w:rFonts w:ascii="宋体" w:hAnsi="宋体"/>
          <w:color w:val="auto"/>
          <w:sz w:val="24"/>
          <w:highlight w:val="none"/>
        </w:rPr>
      </w:pPr>
      <w:r>
        <w:rPr>
          <w:rFonts w:hint="eastAsia" w:ascii="宋体" w:hAnsi="宋体"/>
          <w:color w:val="auto"/>
          <w:sz w:val="24"/>
          <w:highlight w:val="none"/>
        </w:rPr>
        <w:t>投标人</w:t>
      </w:r>
      <w:r>
        <w:rPr>
          <w:rFonts w:ascii="宋体" w:hAnsi="宋体"/>
          <w:color w:val="auto"/>
          <w:sz w:val="24"/>
          <w:highlight w:val="none"/>
        </w:rPr>
        <w:t>名称：</w:t>
      </w:r>
      <w:r>
        <w:rPr>
          <w:rFonts w:ascii="宋体" w:hAnsi="宋体"/>
          <w:color w:val="auto"/>
          <w:sz w:val="24"/>
          <w:highlight w:val="none"/>
          <w:u w:val="single"/>
        </w:rPr>
        <w:t xml:space="preserve">                            </w:t>
      </w:r>
      <w:r>
        <w:rPr>
          <w:rFonts w:ascii="宋体" w:hAnsi="宋体"/>
          <w:color w:val="auto"/>
          <w:sz w:val="24"/>
          <w:highlight w:val="none"/>
        </w:rPr>
        <w:t xml:space="preserve"> </w:t>
      </w:r>
    </w:p>
    <w:p>
      <w:pPr>
        <w:pStyle w:val="117"/>
        <w:spacing w:line="480" w:lineRule="exact"/>
        <w:rPr>
          <w:rFonts w:ascii="宋体" w:hAnsi="宋体"/>
          <w:color w:val="auto"/>
          <w:sz w:val="24"/>
          <w:highlight w:val="none"/>
        </w:rPr>
      </w:pPr>
      <w:r>
        <w:rPr>
          <w:rFonts w:ascii="宋体" w:hAnsi="宋体"/>
          <w:color w:val="auto"/>
          <w:sz w:val="24"/>
          <w:highlight w:val="none"/>
        </w:rPr>
        <w:t>单位性质：</w:t>
      </w:r>
      <w:r>
        <w:rPr>
          <w:rFonts w:ascii="宋体" w:hAnsi="宋体"/>
          <w:color w:val="auto"/>
          <w:sz w:val="24"/>
          <w:highlight w:val="none"/>
          <w:u w:val="single"/>
        </w:rPr>
        <w:t xml:space="preserve">                               </w:t>
      </w:r>
      <w:r>
        <w:rPr>
          <w:rFonts w:ascii="宋体" w:hAnsi="宋体"/>
          <w:color w:val="auto"/>
          <w:sz w:val="24"/>
          <w:highlight w:val="none"/>
        </w:rPr>
        <w:t xml:space="preserve"> </w:t>
      </w:r>
    </w:p>
    <w:p>
      <w:pPr>
        <w:pStyle w:val="117"/>
        <w:spacing w:line="480" w:lineRule="exact"/>
        <w:rPr>
          <w:rFonts w:ascii="宋体" w:hAnsi="宋体"/>
          <w:color w:val="auto"/>
          <w:sz w:val="24"/>
          <w:highlight w:val="none"/>
        </w:rPr>
      </w:pPr>
      <w:r>
        <w:rPr>
          <w:rFonts w:ascii="宋体" w:hAnsi="宋体"/>
          <w:color w:val="auto"/>
          <w:sz w:val="24"/>
          <w:highlight w:val="none"/>
        </w:rPr>
        <w:t>地址：</w:t>
      </w:r>
      <w:r>
        <w:rPr>
          <w:rFonts w:ascii="宋体" w:hAnsi="宋体"/>
          <w:color w:val="auto"/>
          <w:sz w:val="24"/>
          <w:highlight w:val="none"/>
          <w:u w:val="single"/>
        </w:rPr>
        <w:t xml:space="preserve">                                   </w:t>
      </w:r>
    </w:p>
    <w:p>
      <w:pPr>
        <w:pStyle w:val="117"/>
        <w:spacing w:line="480" w:lineRule="exact"/>
        <w:rPr>
          <w:rFonts w:ascii="宋体" w:hAnsi="宋体"/>
          <w:color w:val="auto"/>
          <w:sz w:val="24"/>
          <w:highlight w:val="none"/>
        </w:rPr>
      </w:pPr>
      <w:r>
        <w:rPr>
          <w:rFonts w:ascii="宋体" w:hAnsi="宋体"/>
          <w:color w:val="auto"/>
          <w:sz w:val="24"/>
          <w:highlight w:val="none"/>
        </w:rPr>
        <w:t>成立时间：</w:t>
      </w:r>
      <w:r>
        <w:rPr>
          <w:rFonts w:ascii="宋体" w:hAnsi="宋体"/>
          <w:color w:val="auto"/>
          <w:sz w:val="24"/>
          <w:highlight w:val="none"/>
          <w:u w:val="single"/>
        </w:rPr>
        <w:t xml:space="preserve">         </w:t>
      </w:r>
      <w:r>
        <w:rPr>
          <w:rFonts w:ascii="宋体" w:hAnsi="宋体"/>
          <w:color w:val="auto"/>
          <w:sz w:val="24"/>
          <w:highlight w:val="none"/>
        </w:rPr>
        <w:t xml:space="preserve"> 年</w:t>
      </w:r>
      <w:r>
        <w:rPr>
          <w:rFonts w:ascii="宋体" w:hAnsi="宋体"/>
          <w:color w:val="auto"/>
          <w:sz w:val="24"/>
          <w:highlight w:val="none"/>
          <w:u w:val="single"/>
        </w:rPr>
        <w:t xml:space="preserve">       </w:t>
      </w:r>
      <w:r>
        <w:rPr>
          <w:rFonts w:ascii="宋体" w:hAnsi="宋体"/>
          <w:color w:val="auto"/>
          <w:sz w:val="24"/>
          <w:highlight w:val="none"/>
        </w:rPr>
        <w:t xml:space="preserve"> 月</w:t>
      </w:r>
      <w:r>
        <w:rPr>
          <w:rFonts w:ascii="宋体" w:hAnsi="宋体"/>
          <w:color w:val="auto"/>
          <w:sz w:val="24"/>
          <w:highlight w:val="none"/>
          <w:u w:val="single"/>
        </w:rPr>
        <w:t xml:space="preserve">       </w:t>
      </w:r>
      <w:r>
        <w:rPr>
          <w:rFonts w:ascii="宋体" w:hAnsi="宋体"/>
          <w:color w:val="auto"/>
          <w:sz w:val="24"/>
          <w:highlight w:val="none"/>
        </w:rPr>
        <w:t xml:space="preserve"> 日</w:t>
      </w:r>
    </w:p>
    <w:p>
      <w:pPr>
        <w:pStyle w:val="117"/>
        <w:spacing w:line="480" w:lineRule="exact"/>
        <w:rPr>
          <w:rFonts w:ascii="宋体" w:hAnsi="宋体"/>
          <w:color w:val="auto"/>
          <w:sz w:val="24"/>
          <w:highlight w:val="none"/>
        </w:rPr>
      </w:pPr>
      <w:r>
        <w:rPr>
          <w:rFonts w:ascii="宋体" w:hAnsi="宋体"/>
          <w:color w:val="auto"/>
          <w:sz w:val="24"/>
          <w:highlight w:val="none"/>
        </w:rPr>
        <w:t>经营期限：</w:t>
      </w:r>
      <w:r>
        <w:rPr>
          <w:rFonts w:ascii="宋体" w:hAnsi="宋体"/>
          <w:color w:val="auto"/>
          <w:sz w:val="24"/>
          <w:highlight w:val="none"/>
          <w:u w:val="single"/>
        </w:rPr>
        <w:t xml:space="preserve">                               </w:t>
      </w:r>
    </w:p>
    <w:p>
      <w:pPr>
        <w:pStyle w:val="117"/>
        <w:spacing w:line="480" w:lineRule="exact"/>
        <w:rPr>
          <w:rFonts w:hint="eastAsia" w:ascii="宋体" w:hAnsi="宋体"/>
          <w:color w:val="auto"/>
          <w:sz w:val="24"/>
          <w:highlight w:val="none"/>
        </w:rPr>
      </w:pPr>
      <w:r>
        <w:rPr>
          <w:rFonts w:ascii="宋体" w:hAnsi="宋体"/>
          <w:color w:val="auto"/>
          <w:sz w:val="24"/>
          <w:highlight w:val="none"/>
        </w:rPr>
        <w:t>姓名：</w:t>
      </w:r>
      <w:r>
        <w:rPr>
          <w:rFonts w:ascii="宋体" w:hAnsi="宋体"/>
          <w:color w:val="auto"/>
          <w:sz w:val="24"/>
          <w:highlight w:val="none"/>
          <w:u w:val="single"/>
        </w:rPr>
        <w:t xml:space="preserve">        </w:t>
      </w:r>
      <w:r>
        <w:rPr>
          <w:rFonts w:ascii="宋体" w:hAnsi="宋体"/>
          <w:color w:val="auto"/>
          <w:sz w:val="24"/>
          <w:highlight w:val="none"/>
        </w:rPr>
        <w:t xml:space="preserve"> 性别：</w:t>
      </w:r>
      <w:r>
        <w:rPr>
          <w:rFonts w:ascii="宋体" w:hAnsi="宋体"/>
          <w:color w:val="auto"/>
          <w:sz w:val="24"/>
          <w:highlight w:val="none"/>
          <w:u w:val="single"/>
        </w:rPr>
        <w:t xml:space="preserve">         </w:t>
      </w:r>
      <w:r>
        <w:rPr>
          <w:rFonts w:ascii="宋体" w:hAnsi="宋体"/>
          <w:color w:val="auto"/>
          <w:sz w:val="24"/>
          <w:highlight w:val="none"/>
        </w:rPr>
        <w:t xml:space="preserve"> 年龄：</w:t>
      </w:r>
      <w:r>
        <w:rPr>
          <w:rFonts w:ascii="宋体" w:hAnsi="宋体"/>
          <w:color w:val="auto"/>
          <w:sz w:val="24"/>
          <w:highlight w:val="none"/>
          <w:u w:val="single"/>
        </w:rPr>
        <w:t xml:space="preserve">        </w:t>
      </w:r>
      <w:r>
        <w:rPr>
          <w:rFonts w:ascii="宋体" w:hAnsi="宋体"/>
          <w:color w:val="auto"/>
          <w:sz w:val="24"/>
          <w:highlight w:val="none"/>
        </w:rPr>
        <w:t>职务：</w:t>
      </w:r>
      <w:r>
        <w:rPr>
          <w:rFonts w:ascii="宋体" w:hAnsi="宋体"/>
          <w:color w:val="auto"/>
          <w:sz w:val="24"/>
          <w:highlight w:val="none"/>
          <w:u w:val="single"/>
        </w:rPr>
        <w:t xml:space="preserve">        </w:t>
      </w:r>
      <w:r>
        <w:rPr>
          <w:rFonts w:ascii="宋体" w:hAnsi="宋体"/>
          <w:color w:val="auto"/>
          <w:sz w:val="24"/>
          <w:highlight w:val="none"/>
        </w:rPr>
        <w:t>系</w:t>
      </w:r>
    </w:p>
    <w:p>
      <w:pPr>
        <w:pStyle w:val="117"/>
        <w:spacing w:line="480" w:lineRule="exact"/>
        <w:rPr>
          <w:rFonts w:ascii="宋体" w:hAnsi="宋体"/>
          <w:color w:val="auto"/>
          <w:sz w:val="24"/>
          <w:highlight w:val="none"/>
        </w:rPr>
      </w:pPr>
      <w:r>
        <w:rPr>
          <w:rFonts w:ascii="宋体" w:hAnsi="宋体"/>
          <w:color w:val="auto"/>
          <w:sz w:val="24"/>
          <w:highlight w:val="none"/>
          <w:u w:val="single"/>
        </w:rPr>
        <w:t xml:space="preserve">                             </w:t>
      </w:r>
      <w:r>
        <w:rPr>
          <w:rFonts w:ascii="宋体" w:hAnsi="宋体"/>
          <w:color w:val="auto"/>
          <w:sz w:val="24"/>
          <w:highlight w:val="none"/>
        </w:rPr>
        <w:t xml:space="preserve"> （投标人名称）的法定代表人。</w:t>
      </w:r>
    </w:p>
    <w:p>
      <w:pPr>
        <w:pStyle w:val="117"/>
        <w:spacing w:line="480" w:lineRule="exact"/>
        <w:ind w:firstLine="480" w:firstLineChars="200"/>
        <w:rPr>
          <w:rFonts w:hint="eastAsia" w:ascii="宋体" w:hAnsi="宋体"/>
          <w:color w:val="auto"/>
          <w:sz w:val="24"/>
          <w:highlight w:val="none"/>
        </w:rPr>
      </w:pPr>
      <w:r>
        <w:rPr>
          <w:rFonts w:ascii="宋体" w:hAnsi="宋体"/>
          <w:color w:val="auto"/>
          <w:sz w:val="24"/>
          <w:highlight w:val="none"/>
        </w:rPr>
        <w:t>特此证明。</w:t>
      </w:r>
    </w:p>
    <w:p>
      <w:pPr>
        <w:pStyle w:val="118"/>
        <w:spacing w:line="600" w:lineRule="exact"/>
        <w:rPr>
          <w:rFonts w:hint="eastAsia" w:ascii="宋体" w:hAnsi="宋体"/>
          <w:b/>
          <w:color w:val="auto"/>
          <w:sz w:val="24"/>
          <w:highlight w:val="none"/>
        </w:rPr>
      </w:pPr>
      <w:r>
        <w:rPr>
          <w:rFonts w:hint="eastAsia" w:ascii="宋体" w:hAnsi="宋体"/>
          <w:b/>
          <w:color w:val="auto"/>
          <w:sz w:val="24"/>
          <w:highlight w:val="none"/>
        </w:rPr>
        <w:t>（法定代表人出席开标会议的提供，未出席的可不提供。附法定代表人身份证、扫描件。）</w:t>
      </w:r>
    </w:p>
    <w:p>
      <w:pPr>
        <w:pStyle w:val="117"/>
        <w:spacing w:line="480" w:lineRule="exact"/>
        <w:ind w:firstLine="480" w:firstLineChars="200"/>
        <w:rPr>
          <w:rFonts w:ascii="宋体" w:hAnsi="宋体"/>
          <w:color w:val="auto"/>
          <w:sz w:val="24"/>
          <w:highlight w:val="none"/>
        </w:rPr>
      </w:pPr>
    </w:p>
    <w:p>
      <w:pPr>
        <w:pStyle w:val="117"/>
        <w:spacing w:line="480" w:lineRule="exact"/>
        <w:jc w:val="right"/>
        <w:rPr>
          <w:rFonts w:ascii="宋体" w:hAnsi="宋体"/>
          <w:color w:val="auto"/>
          <w:sz w:val="24"/>
          <w:highlight w:val="none"/>
        </w:rPr>
      </w:pPr>
      <w:r>
        <w:rPr>
          <w:rFonts w:ascii="宋体" w:hAnsi="宋体"/>
          <w:color w:val="auto"/>
          <w:sz w:val="24"/>
          <w:highlight w:val="none"/>
        </w:rPr>
        <w:t xml:space="preserve">                       </w:t>
      </w:r>
    </w:p>
    <w:p>
      <w:pPr>
        <w:pStyle w:val="117"/>
        <w:spacing w:line="480" w:lineRule="exact"/>
        <w:jc w:val="right"/>
        <w:rPr>
          <w:rFonts w:ascii="宋体" w:hAnsi="宋体"/>
          <w:color w:val="auto"/>
          <w:sz w:val="24"/>
          <w:highlight w:val="none"/>
        </w:rPr>
      </w:pPr>
    </w:p>
    <w:p>
      <w:pPr>
        <w:pStyle w:val="117"/>
        <w:spacing w:line="480" w:lineRule="exact"/>
        <w:jc w:val="right"/>
        <w:rPr>
          <w:rFonts w:ascii="宋体" w:hAnsi="宋体"/>
          <w:color w:val="auto"/>
          <w:sz w:val="24"/>
          <w:highlight w:val="none"/>
        </w:rPr>
      </w:pPr>
    </w:p>
    <w:p>
      <w:pPr>
        <w:pStyle w:val="118"/>
        <w:spacing w:line="700" w:lineRule="exact"/>
        <w:ind w:firstLine="445"/>
        <w:rPr>
          <w:rFonts w:hint="eastAsia" w:ascii="宋体" w:hAnsi="宋体"/>
          <w:color w:val="auto"/>
          <w:sz w:val="24"/>
          <w:highlight w:val="none"/>
        </w:rPr>
      </w:pPr>
      <w:r>
        <w:rPr>
          <w:rFonts w:hint="eastAsia" w:ascii="宋体" w:hAnsi="宋体"/>
          <w:color w:val="auto"/>
          <w:sz w:val="24"/>
          <w:highlight w:val="none"/>
        </w:rPr>
        <w:t>单位名称：</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（盖章）</w:t>
      </w:r>
    </w:p>
    <w:p>
      <w:pPr>
        <w:pStyle w:val="116"/>
        <w:spacing w:line="560" w:lineRule="exact"/>
        <w:ind w:firstLine="424" w:firstLineChars="177"/>
        <w:jc w:val="left"/>
        <w:rPr>
          <w:rFonts w:hint="eastAsia" w:ascii="宋体" w:hAnsi="宋体"/>
          <w:color w:val="auto"/>
          <w:sz w:val="24"/>
          <w:highlight w:val="none"/>
        </w:rPr>
      </w:pPr>
      <w:r>
        <w:rPr>
          <w:rFonts w:hint="eastAsia" w:ascii="宋体" w:hAnsi="宋体"/>
          <w:color w:val="auto"/>
          <w:sz w:val="24"/>
          <w:highlight w:val="none"/>
        </w:rPr>
        <w:t>法定代表人：</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（签字）</w:t>
      </w:r>
    </w:p>
    <w:p>
      <w:pPr>
        <w:pStyle w:val="119"/>
        <w:spacing w:line="700" w:lineRule="exact"/>
        <w:ind w:firstLine="988" w:firstLineChars="412"/>
        <w:rPr>
          <w:rFonts w:hint="eastAsia" w:ascii="宋体" w:hAnsi="宋体"/>
          <w:color w:val="auto"/>
          <w:sz w:val="24"/>
          <w:highlight w:val="none"/>
          <w:u w:val="single"/>
        </w:rPr>
      </w:pP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pPr>
        <w:pStyle w:val="116"/>
        <w:spacing w:line="560" w:lineRule="exact"/>
        <w:jc w:val="center"/>
        <w:rPr>
          <w:rFonts w:hint="eastAsia" w:ascii="宋体" w:hAnsi="宋体"/>
          <w:b/>
          <w:bCs/>
          <w:color w:val="auto"/>
          <w:sz w:val="32"/>
          <w:szCs w:val="32"/>
          <w:highlight w:val="none"/>
        </w:rPr>
      </w:pPr>
      <w:r>
        <w:rPr>
          <w:rFonts w:ascii="宋体" w:hAnsi="宋体"/>
          <w:color w:val="auto"/>
          <w:sz w:val="24"/>
          <w:highlight w:val="none"/>
        </w:rPr>
        <w:br w:type="page"/>
      </w:r>
      <w:bookmarkStart w:id="128" w:name="_Toc406_WPSOffice_Level2"/>
      <w:r>
        <w:rPr>
          <w:rFonts w:hint="eastAsia" w:ascii="宋体" w:hAnsi="宋体"/>
          <w:b/>
          <w:bCs/>
          <w:color w:val="auto"/>
          <w:sz w:val="32"/>
          <w:szCs w:val="32"/>
          <w:highlight w:val="none"/>
        </w:rPr>
        <w:t>法定代表人授权委托书</w:t>
      </w:r>
      <w:bookmarkEnd w:id="128"/>
    </w:p>
    <w:p>
      <w:pPr>
        <w:pStyle w:val="116"/>
        <w:spacing w:line="600" w:lineRule="exact"/>
        <w:rPr>
          <w:rFonts w:hint="eastAsia" w:ascii="宋体" w:hAnsi="宋体"/>
          <w:color w:val="auto"/>
          <w:sz w:val="32"/>
          <w:highlight w:val="none"/>
        </w:rPr>
      </w:pPr>
    </w:p>
    <w:p>
      <w:pPr>
        <w:pStyle w:val="117"/>
        <w:rPr>
          <w:rFonts w:hint="eastAsia" w:ascii="宋体" w:hAnsi="宋体"/>
          <w:color w:val="auto"/>
          <w:sz w:val="32"/>
          <w:szCs w:val="32"/>
          <w:highlight w:val="none"/>
          <w:u w:val="single"/>
        </w:rPr>
      </w:pPr>
      <w:r>
        <w:rPr>
          <w:rFonts w:hint="eastAsia" w:ascii="宋体" w:hAnsi="宋体"/>
          <w:color w:val="auto"/>
          <w:sz w:val="32"/>
          <w:szCs w:val="32"/>
          <w:highlight w:val="none"/>
          <w:u w:val="single"/>
        </w:rPr>
        <w:t xml:space="preserve">          </w:t>
      </w:r>
      <w:r>
        <w:rPr>
          <w:rFonts w:hint="eastAsia" w:ascii="宋体" w:hAnsi="宋体"/>
          <w:color w:val="auto"/>
          <w:sz w:val="24"/>
          <w:highlight w:val="none"/>
          <w:u w:val="single"/>
        </w:rPr>
        <w:t>（采购人名称）</w:t>
      </w:r>
      <w:r>
        <w:rPr>
          <w:rFonts w:hint="eastAsia" w:ascii="宋体" w:hAnsi="宋体"/>
          <w:color w:val="auto"/>
          <w:sz w:val="24"/>
          <w:highlight w:val="none"/>
        </w:rPr>
        <w:t>：</w:t>
      </w:r>
    </w:p>
    <w:p>
      <w:pPr>
        <w:pStyle w:val="116"/>
        <w:spacing w:line="600" w:lineRule="exact"/>
        <w:rPr>
          <w:rFonts w:hint="eastAsia" w:ascii="宋体" w:hAnsi="宋体"/>
          <w:color w:val="auto"/>
          <w:sz w:val="24"/>
          <w:highlight w:val="none"/>
        </w:rPr>
      </w:pPr>
      <w:r>
        <w:rPr>
          <w:rFonts w:hint="eastAsia" w:ascii="宋体" w:hAnsi="宋体"/>
          <w:color w:val="auto"/>
          <w:sz w:val="24"/>
          <w:highlight w:val="none"/>
          <w:u w:val="single"/>
        </w:rPr>
        <w:t xml:space="preserve">      （单位名称）</w:t>
      </w:r>
      <w:r>
        <w:rPr>
          <w:rFonts w:hint="eastAsia" w:ascii="宋体" w:hAnsi="宋体"/>
          <w:color w:val="auto"/>
          <w:sz w:val="24"/>
          <w:highlight w:val="none"/>
        </w:rPr>
        <w:t>法定代表人授权我单位</w:t>
      </w:r>
      <w:r>
        <w:rPr>
          <w:rFonts w:hint="eastAsia" w:ascii="宋体" w:hAnsi="宋体"/>
          <w:color w:val="auto"/>
          <w:sz w:val="24"/>
          <w:highlight w:val="none"/>
          <w:u w:val="single"/>
        </w:rPr>
        <w:t xml:space="preserve">    （职务或职称）   （姓名）</w:t>
      </w:r>
      <w:r>
        <w:rPr>
          <w:rFonts w:hint="eastAsia" w:ascii="宋体" w:hAnsi="宋体"/>
          <w:color w:val="auto"/>
          <w:sz w:val="24"/>
          <w:highlight w:val="none"/>
        </w:rPr>
        <w:t>为我单位本次授权代理人，全权处理此次</w:t>
      </w:r>
      <w:r>
        <w:rPr>
          <w:rFonts w:hint="eastAsia" w:ascii="宋体" w:hAnsi="宋体"/>
          <w:color w:val="auto"/>
          <w:sz w:val="24"/>
          <w:highlight w:val="none"/>
          <w:u w:val="single"/>
        </w:rPr>
        <w:t xml:space="preserve">           </w:t>
      </w:r>
      <w:r>
        <w:rPr>
          <w:rFonts w:hint="eastAsia" w:ascii="宋体" w:hAnsi="宋体"/>
          <w:color w:val="auto"/>
          <w:kern w:val="10"/>
          <w:sz w:val="24"/>
          <w:highlight w:val="none"/>
        </w:rPr>
        <w:t>公开招标</w:t>
      </w:r>
      <w:r>
        <w:rPr>
          <w:rFonts w:hint="eastAsia" w:ascii="宋体" w:hAnsi="宋体"/>
          <w:color w:val="auto"/>
          <w:sz w:val="24"/>
          <w:highlight w:val="none"/>
        </w:rPr>
        <w:t>活动的一切事宜。</w:t>
      </w:r>
    </w:p>
    <w:p>
      <w:pPr>
        <w:pStyle w:val="116"/>
        <w:spacing w:line="600" w:lineRule="exact"/>
        <w:ind w:firstLine="630"/>
        <w:rPr>
          <w:rFonts w:hint="eastAsia" w:ascii="宋体" w:hAnsi="宋体"/>
          <w:color w:val="auto"/>
          <w:sz w:val="24"/>
          <w:highlight w:val="none"/>
        </w:rPr>
      </w:pPr>
      <w:r>
        <w:rPr>
          <w:rFonts w:hint="eastAsia" w:ascii="宋体" w:hAnsi="宋体"/>
          <w:color w:val="auto"/>
          <w:sz w:val="24"/>
          <w:highlight w:val="none"/>
        </w:rPr>
        <w:t>特此授权</w:t>
      </w:r>
    </w:p>
    <w:p>
      <w:pPr>
        <w:pStyle w:val="120"/>
        <w:spacing w:line="600" w:lineRule="exact"/>
        <w:ind w:firstLine="630"/>
        <w:rPr>
          <w:rFonts w:hint="eastAsia" w:ascii="宋体" w:hAnsi="宋体"/>
          <w:color w:val="auto"/>
          <w:sz w:val="24"/>
          <w:highlight w:val="none"/>
        </w:rPr>
      </w:pPr>
      <w:r>
        <w:rPr>
          <w:rFonts w:hint="eastAsia" w:ascii="宋体" w:hAnsi="宋体"/>
          <w:b/>
          <w:color w:val="auto"/>
          <w:sz w:val="24"/>
          <w:highlight w:val="none"/>
        </w:rPr>
        <w:t>（授权委托人出席开标会议的提供。附法定代表人、授权委托人身份证扫描件。</w:t>
      </w:r>
    </w:p>
    <w:p>
      <w:pPr>
        <w:pStyle w:val="116"/>
        <w:spacing w:line="700" w:lineRule="exact"/>
        <w:ind w:firstLine="629"/>
        <w:rPr>
          <w:rFonts w:hint="eastAsia" w:ascii="宋体" w:hAnsi="宋体"/>
          <w:color w:val="auto"/>
          <w:sz w:val="24"/>
          <w:highlight w:val="none"/>
        </w:rPr>
      </w:pPr>
      <w:r>
        <w:rPr>
          <w:rFonts w:hint="eastAsia" w:ascii="宋体" w:hAnsi="宋体"/>
          <w:color w:val="auto"/>
          <w:sz w:val="24"/>
          <w:highlight w:val="none"/>
        </w:rPr>
        <w:t>单位名称：</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（盖章）</w:t>
      </w:r>
    </w:p>
    <w:p>
      <w:pPr>
        <w:pStyle w:val="116"/>
        <w:spacing w:line="700" w:lineRule="exact"/>
        <w:ind w:firstLine="629"/>
        <w:rPr>
          <w:rFonts w:hint="eastAsia" w:ascii="宋体" w:hAnsi="宋体"/>
          <w:color w:val="auto"/>
          <w:sz w:val="24"/>
          <w:highlight w:val="none"/>
        </w:rPr>
      </w:pPr>
      <w:r>
        <w:rPr>
          <w:rFonts w:hint="eastAsia" w:ascii="宋体" w:hAnsi="宋体"/>
          <w:color w:val="auto"/>
          <w:sz w:val="24"/>
          <w:highlight w:val="none"/>
        </w:rPr>
        <w:t>法定代表人：</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（签字）</w:t>
      </w:r>
    </w:p>
    <w:p>
      <w:pPr>
        <w:pStyle w:val="116"/>
        <w:spacing w:line="700" w:lineRule="exact"/>
        <w:ind w:firstLine="629"/>
        <w:rPr>
          <w:rFonts w:hint="eastAsia" w:ascii="宋体" w:hAnsi="宋体"/>
          <w:color w:val="auto"/>
          <w:sz w:val="24"/>
          <w:highlight w:val="none"/>
        </w:rPr>
      </w:pPr>
      <w:r>
        <w:rPr>
          <w:rFonts w:hint="eastAsia" w:ascii="宋体" w:hAnsi="宋体"/>
          <w:color w:val="auto"/>
          <w:sz w:val="24"/>
          <w:highlight w:val="none"/>
        </w:rPr>
        <w:t>法人授权代表：</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（签字）</w:t>
      </w:r>
    </w:p>
    <w:p>
      <w:pPr>
        <w:pStyle w:val="121"/>
        <w:ind w:firstLine="720" w:firstLineChars="300"/>
        <w:rPr>
          <w:rFonts w:hint="eastAsia" w:ascii="宋体" w:hAnsi="宋体"/>
          <w:color w:val="auto"/>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pPr>
        <w:pStyle w:val="122"/>
        <w:outlineLvl w:val="1"/>
        <w:rPr>
          <w:rFonts w:ascii="宋体" w:hAnsi="宋体" w:eastAsia="宋体"/>
          <w:color w:val="auto"/>
          <w:highlight w:val="none"/>
        </w:rPr>
      </w:pPr>
      <w:r>
        <w:rPr>
          <w:rFonts w:ascii="宋体" w:hAnsi="宋体" w:eastAsia="宋体"/>
          <w:color w:val="auto"/>
          <w:highlight w:val="none"/>
        </w:rPr>
        <w:br w:type="page"/>
      </w:r>
      <w:bookmarkStart w:id="129" w:name="_Toc514054494"/>
      <w:bookmarkStart w:id="130" w:name="_Toc12853"/>
      <w:r>
        <w:rPr>
          <w:rFonts w:ascii="宋体" w:hAnsi="宋体" w:eastAsia="宋体"/>
          <w:color w:val="auto"/>
          <w:highlight w:val="none"/>
        </w:rPr>
        <w:t>九、开标一览表</w:t>
      </w:r>
      <w:bookmarkEnd w:id="129"/>
      <w:bookmarkEnd w:id="130"/>
    </w:p>
    <w:p>
      <w:pPr>
        <w:pStyle w:val="123"/>
        <w:rPr>
          <w:rFonts w:ascii="宋体" w:hAnsi="宋体" w:eastAsia="宋体"/>
          <w:color w:val="auto"/>
          <w:highlight w:val="none"/>
        </w:rPr>
      </w:pPr>
    </w:p>
    <w:tbl>
      <w:tblPr>
        <w:tblStyle w:val="63"/>
        <w:tblW w:w="0" w:type="auto"/>
        <w:tblInd w:w="1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0"/>
        <w:gridCol w:w="3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blHeader/>
        </w:trPr>
        <w:tc>
          <w:tcPr>
            <w:tcW w:w="4720" w:type="dxa"/>
            <w:tcBorders>
              <w:top w:val="single" w:color="000000" w:sz="0" w:space="0"/>
              <w:left w:val="single" w:color="000000" w:sz="0" w:space="0"/>
              <w:bottom w:val="single" w:color="000000" w:sz="0" w:space="0"/>
              <w:right w:val="single" w:color="000000" w:sz="0" w:space="0"/>
            </w:tcBorders>
            <w:noWrap w:val="0"/>
            <w:tcMar>
              <w:top w:w="100" w:type="dxa"/>
              <w:bottom w:w="100" w:type="dxa"/>
            </w:tcMar>
            <w:vAlign w:val="center"/>
          </w:tcPr>
          <w:p>
            <w:pPr>
              <w:pStyle w:val="123"/>
              <w:rPr>
                <w:rFonts w:hint="eastAsia" w:ascii="宋体" w:hAnsi="宋体" w:eastAsia="宋体" w:cs="宋体"/>
                <w:color w:val="auto"/>
                <w:highlight w:val="none"/>
              </w:rPr>
            </w:pPr>
            <w:r>
              <w:rPr>
                <w:rFonts w:hint="eastAsia" w:ascii="宋体" w:hAnsi="宋体" w:eastAsia="宋体" w:cs="宋体"/>
                <w:b/>
                <w:color w:val="auto"/>
                <w:highlight w:val="none"/>
              </w:rPr>
              <w:t>标题</w:t>
            </w:r>
          </w:p>
        </w:tc>
        <w:tc>
          <w:tcPr>
            <w:tcW w:w="3850" w:type="dxa"/>
            <w:tcBorders>
              <w:top w:val="single" w:color="000000" w:sz="0" w:space="0"/>
              <w:left w:val="single" w:color="000000" w:sz="0" w:space="0"/>
              <w:bottom w:val="single" w:color="000000" w:sz="0" w:space="0"/>
              <w:right w:val="single" w:color="000000" w:sz="0" w:space="0"/>
            </w:tcBorders>
            <w:noWrap w:val="0"/>
            <w:tcMar>
              <w:top w:w="100" w:type="dxa"/>
              <w:bottom w:w="100" w:type="dxa"/>
            </w:tcMar>
            <w:vAlign w:val="center"/>
          </w:tcPr>
          <w:p>
            <w:pPr>
              <w:pStyle w:val="123"/>
              <w:rPr>
                <w:rFonts w:hint="eastAsia" w:ascii="宋体" w:hAnsi="宋体" w:eastAsia="宋体" w:cs="宋体"/>
                <w:b/>
                <w:color w:val="auto"/>
                <w:highlight w:val="none"/>
              </w:rPr>
            </w:pPr>
            <w:r>
              <w:rPr>
                <w:rFonts w:hint="eastAsia" w:ascii="宋体" w:hAnsi="宋体" w:eastAsia="宋体" w:cs="宋体"/>
                <w:b/>
                <w:color w:val="auto"/>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tblHeader/>
        </w:trPr>
        <w:tc>
          <w:tcPr>
            <w:tcW w:w="4720" w:type="dxa"/>
            <w:tcBorders>
              <w:top w:val="single" w:color="000000" w:sz="0" w:space="0"/>
              <w:left w:val="single" w:color="000000" w:sz="0" w:space="0"/>
              <w:bottom w:val="single" w:color="000000" w:sz="0" w:space="0"/>
              <w:right w:val="single" w:color="000000" w:sz="0" w:space="0"/>
            </w:tcBorders>
            <w:noWrap w:val="0"/>
            <w:tcMar>
              <w:top w:w="100" w:type="dxa"/>
              <w:bottom w:w="100" w:type="dxa"/>
            </w:tcMar>
            <w:vAlign w:val="center"/>
          </w:tcPr>
          <w:p>
            <w:pPr>
              <w:pStyle w:val="123"/>
              <w:rPr>
                <w:rFonts w:hint="eastAsia" w:ascii="宋体" w:hAnsi="宋体" w:eastAsia="宋体" w:cs="宋体"/>
                <w:b/>
                <w:color w:val="auto"/>
                <w:highlight w:val="none"/>
              </w:rPr>
            </w:pPr>
            <w:r>
              <w:rPr>
                <w:rFonts w:hint="eastAsia" w:ascii="宋体" w:hAnsi="宋体" w:eastAsia="宋体" w:cs="宋体"/>
                <w:b/>
                <w:color w:val="auto"/>
                <w:highlight w:val="none"/>
              </w:rPr>
              <w:t>投标总价</w:t>
            </w:r>
          </w:p>
        </w:tc>
        <w:tc>
          <w:tcPr>
            <w:tcW w:w="3850" w:type="dxa"/>
            <w:tcBorders>
              <w:top w:val="single" w:color="000000" w:sz="0" w:space="0"/>
              <w:left w:val="single" w:color="000000" w:sz="0" w:space="0"/>
              <w:bottom w:val="single" w:color="000000" w:sz="0" w:space="0"/>
              <w:right w:val="single" w:color="000000" w:sz="0" w:space="0"/>
            </w:tcBorders>
            <w:noWrap w:val="0"/>
            <w:tcMar>
              <w:top w:w="100" w:type="dxa"/>
              <w:bottom w:w="100" w:type="dxa"/>
            </w:tcMar>
            <w:vAlign w:val="center"/>
          </w:tcPr>
          <w:p>
            <w:pPr>
              <w:pStyle w:val="12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大写：人民币       </w:t>
            </w:r>
          </w:p>
          <w:p>
            <w:pPr>
              <w:pStyle w:val="123"/>
              <w:rPr>
                <w:rFonts w:hint="eastAsia" w:ascii="宋体" w:hAnsi="宋体" w:eastAsia="宋体" w:cs="宋体"/>
                <w:color w:val="auto"/>
                <w:highlight w:val="none"/>
                <w:lang w:val="en-US" w:eastAsia="zh-CN"/>
              </w:rPr>
            </w:pPr>
          </w:p>
          <w:p>
            <w:pPr>
              <w:pStyle w:val="12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blHeader/>
        </w:trPr>
        <w:tc>
          <w:tcPr>
            <w:tcW w:w="4720" w:type="dxa"/>
            <w:tcBorders>
              <w:top w:val="single" w:color="000000" w:sz="0" w:space="0"/>
              <w:left w:val="single" w:color="000000" w:sz="0" w:space="0"/>
              <w:bottom w:val="single" w:color="000000" w:sz="0" w:space="0"/>
              <w:right w:val="single" w:color="000000" w:sz="0" w:space="0"/>
            </w:tcBorders>
            <w:noWrap w:val="0"/>
            <w:tcMar>
              <w:top w:w="100" w:type="dxa"/>
              <w:bottom w:w="100" w:type="dxa"/>
            </w:tcMar>
            <w:vAlign w:val="center"/>
          </w:tcPr>
          <w:p>
            <w:pPr>
              <w:pStyle w:val="123"/>
              <w:rPr>
                <w:rFonts w:hint="eastAsia" w:ascii="宋体" w:hAnsi="宋体" w:eastAsia="宋体" w:cs="宋体"/>
                <w:color w:val="auto"/>
                <w:highlight w:val="none"/>
              </w:rPr>
            </w:pPr>
            <w:r>
              <w:rPr>
                <w:rFonts w:hint="eastAsia" w:ascii="宋体" w:hAnsi="宋体" w:eastAsia="宋体" w:cs="宋体"/>
                <w:color w:val="auto"/>
                <w:highlight w:val="none"/>
              </w:rPr>
              <w:t>交货期</w:t>
            </w:r>
          </w:p>
        </w:tc>
        <w:tc>
          <w:tcPr>
            <w:tcW w:w="3850" w:type="dxa"/>
            <w:tcBorders>
              <w:top w:val="single" w:color="000000" w:sz="0" w:space="0"/>
              <w:left w:val="single" w:color="000000" w:sz="0" w:space="0"/>
              <w:bottom w:val="single" w:color="000000" w:sz="0" w:space="0"/>
              <w:right w:val="single" w:color="000000" w:sz="0" w:space="0"/>
            </w:tcBorders>
            <w:noWrap w:val="0"/>
            <w:tcMar>
              <w:top w:w="100" w:type="dxa"/>
              <w:bottom w:w="100" w:type="dxa"/>
            </w:tcMar>
            <w:vAlign w:val="center"/>
          </w:tcPr>
          <w:p>
            <w:pPr>
              <w:pStyle w:val="123"/>
              <w:rPr>
                <w:rFonts w:hint="eastAsia" w:ascii="宋体" w:hAnsi="宋体" w:eastAsia="宋体" w:cs="宋体"/>
                <w:color w:val="auto"/>
                <w:highlight w:val="none"/>
                <w:lang w:val="en-US" w:eastAsia="zh-CN"/>
              </w:rPr>
            </w:pP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blHeader/>
        </w:trPr>
        <w:tc>
          <w:tcPr>
            <w:tcW w:w="4720" w:type="dxa"/>
            <w:tcBorders>
              <w:top w:val="single" w:color="000000" w:sz="0" w:space="0"/>
              <w:left w:val="single" w:color="000000" w:sz="0" w:space="0"/>
              <w:bottom w:val="single" w:color="000000" w:sz="0" w:space="0"/>
              <w:right w:val="single" w:color="000000" w:sz="0" w:space="0"/>
            </w:tcBorders>
            <w:noWrap w:val="0"/>
            <w:tcMar>
              <w:top w:w="100" w:type="dxa"/>
              <w:bottom w:w="100" w:type="dxa"/>
            </w:tcMar>
            <w:vAlign w:val="center"/>
          </w:tcPr>
          <w:p>
            <w:pPr>
              <w:pStyle w:val="123"/>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投标</w:t>
            </w:r>
            <w:r>
              <w:rPr>
                <w:rFonts w:hint="eastAsia" w:ascii="宋体" w:hAnsi="宋体" w:eastAsia="宋体" w:cs="宋体"/>
                <w:color w:val="auto"/>
                <w:highlight w:val="none"/>
                <w:lang w:eastAsia="zh-CN"/>
              </w:rPr>
              <w:t>货物是否</w:t>
            </w:r>
            <w:r>
              <w:rPr>
                <w:rFonts w:hint="eastAsia" w:ascii="宋体" w:hAnsi="宋体" w:eastAsia="宋体" w:cs="宋体"/>
                <w:color w:val="auto"/>
                <w:highlight w:val="none"/>
                <w:lang w:val="en-US" w:eastAsia="zh-CN"/>
              </w:rPr>
              <w:t>全部为</w:t>
            </w:r>
            <w:r>
              <w:rPr>
                <w:rFonts w:hint="eastAsia" w:ascii="宋体" w:hAnsi="宋体" w:eastAsia="宋体" w:cs="宋体"/>
                <w:color w:val="auto"/>
                <w:highlight w:val="none"/>
                <w:lang w:eastAsia="zh-CN"/>
              </w:rPr>
              <w:t>小微型企业</w:t>
            </w:r>
            <w:r>
              <w:rPr>
                <w:rFonts w:hint="eastAsia" w:ascii="宋体" w:hAnsi="宋体" w:eastAsia="宋体" w:cs="宋体"/>
                <w:color w:val="auto"/>
                <w:highlight w:val="none"/>
                <w:lang w:val="en-US" w:eastAsia="zh-CN"/>
              </w:rPr>
              <w:t>或监狱企业或残疾人福利性单位制造的货物或服务</w:t>
            </w:r>
          </w:p>
        </w:tc>
        <w:tc>
          <w:tcPr>
            <w:tcW w:w="3850" w:type="dxa"/>
            <w:tcBorders>
              <w:top w:val="single" w:color="000000" w:sz="0" w:space="0"/>
              <w:left w:val="single" w:color="000000" w:sz="0" w:space="0"/>
              <w:bottom w:val="single" w:color="000000" w:sz="0" w:space="0"/>
              <w:right w:val="single" w:color="000000" w:sz="0" w:space="0"/>
            </w:tcBorders>
            <w:noWrap w:val="0"/>
            <w:tcMar>
              <w:top w:w="100" w:type="dxa"/>
              <w:bottom w:w="100" w:type="dxa"/>
            </w:tcMar>
            <w:vAlign w:val="center"/>
          </w:tcPr>
          <w:p>
            <w:pPr>
              <w:pStyle w:val="123"/>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blHeader/>
        </w:trPr>
        <w:tc>
          <w:tcPr>
            <w:tcW w:w="4720" w:type="dxa"/>
            <w:tcBorders>
              <w:top w:val="single" w:color="000000" w:sz="0" w:space="0"/>
              <w:left w:val="single" w:color="000000" w:sz="0" w:space="0"/>
              <w:bottom w:val="single" w:color="000000" w:sz="0" w:space="0"/>
              <w:right w:val="single" w:color="000000" w:sz="0" w:space="0"/>
            </w:tcBorders>
            <w:noWrap w:val="0"/>
            <w:tcMar>
              <w:top w:w="100" w:type="dxa"/>
              <w:bottom w:w="100" w:type="dxa"/>
            </w:tcMar>
            <w:vAlign w:val="center"/>
          </w:tcPr>
          <w:p>
            <w:pPr>
              <w:pStyle w:val="12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是否为环保节能产品</w:t>
            </w:r>
          </w:p>
        </w:tc>
        <w:tc>
          <w:tcPr>
            <w:tcW w:w="3850" w:type="dxa"/>
            <w:tcBorders>
              <w:top w:val="single" w:color="000000" w:sz="0" w:space="0"/>
              <w:left w:val="single" w:color="000000" w:sz="0" w:space="0"/>
              <w:bottom w:val="single" w:color="000000" w:sz="0" w:space="0"/>
              <w:right w:val="single" w:color="000000" w:sz="0" w:space="0"/>
            </w:tcBorders>
            <w:noWrap w:val="0"/>
            <w:tcMar>
              <w:top w:w="100" w:type="dxa"/>
              <w:bottom w:w="100" w:type="dxa"/>
            </w:tcMar>
            <w:vAlign w:val="center"/>
          </w:tcPr>
          <w:p>
            <w:pPr>
              <w:pStyle w:val="123"/>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blHeader/>
        </w:trPr>
        <w:tc>
          <w:tcPr>
            <w:tcW w:w="4720" w:type="dxa"/>
            <w:tcBorders>
              <w:top w:val="single" w:color="000000" w:sz="0" w:space="0"/>
              <w:left w:val="single" w:color="000000" w:sz="0" w:space="0"/>
              <w:bottom w:val="single" w:color="000000" w:sz="0" w:space="0"/>
              <w:right w:val="single" w:color="000000" w:sz="0" w:space="0"/>
            </w:tcBorders>
            <w:noWrap w:val="0"/>
            <w:tcMar>
              <w:top w:w="100" w:type="dxa"/>
              <w:bottom w:w="100" w:type="dxa"/>
            </w:tcMar>
            <w:vAlign w:val="center"/>
          </w:tcPr>
          <w:p>
            <w:pPr>
              <w:pStyle w:val="123"/>
              <w:rPr>
                <w:rFonts w:hint="eastAsia" w:ascii="宋体" w:hAnsi="宋体" w:eastAsia="宋体" w:cs="宋体"/>
                <w:color w:val="auto"/>
                <w:highlight w:val="none"/>
              </w:rPr>
            </w:pPr>
            <w:r>
              <w:rPr>
                <w:rFonts w:hint="eastAsia" w:ascii="宋体" w:hAnsi="宋体" w:eastAsia="宋体" w:cs="宋体"/>
                <w:color w:val="auto"/>
                <w:highlight w:val="none"/>
              </w:rPr>
              <w:t>备注（品牌、</w:t>
            </w:r>
            <w:r>
              <w:rPr>
                <w:rFonts w:hint="eastAsia" w:ascii="宋体" w:hAnsi="宋体" w:eastAsia="宋体" w:cs="宋体"/>
                <w:color w:val="auto"/>
                <w:highlight w:val="none"/>
                <w:lang w:val="en-US" w:eastAsia="zh-CN"/>
              </w:rPr>
              <w:t>型号、</w:t>
            </w:r>
            <w:r>
              <w:rPr>
                <w:rFonts w:hint="eastAsia" w:ascii="宋体" w:hAnsi="宋体" w:eastAsia="宋体" w:cs="宋体"/>
                <w:color w:val="auto"/>
                <w:highlight w:val="none"/>
              </w:rPr>
              <w:t>国别）</w:t>
            </w:r>
          </w:p>
        </w:tc>
        <w:tc>
          <w:tcPr>
            <w:tcW w:w="3850" w:type="dxa"/>
            <w:tcBorders>
              <w:top w:val="single" w:color="000000" w:sz="0" w:space="0"/>
              <w:left w:val="single" w:color="000000" w:sz="0" w:space="0"/>
              <w:bottom w:val="single" w:color="000000" w:sz="0" w:space="0"/>
              <w:right w:val="single" w:color="000000" w:sz="0" w:space="0"/>
            </w:tcBorders>
            <w:noWrap w:val="0"/>
            <w:tcMar>
              <w:top w:w="100" w:type="dxa"/>
              <w:bottom w:w="100" w:type="dxa"/>
            </w:tcMar>
            <w:vAlign w:val="center"/>
          </w:tcPr>
          <w:p>
            <w:pPr>
              <w:pStyle w:val="123"/>
              <w:rPr>
                <w:rFonts w:hint="eastAsia" w:ascii="宋体" w:hAnsi="宋体" w:eastAsia="宋体" w:cs="宋体"/>
                <w:color w:val="auto"/>
                <w:highlight w:val="none"/>
              </w:rPr>
            </w:pPr>
          </w:p>
        </w:tc>
      </w:tr>
    </w:tbl>
    <w:p>
      <w:pPr>
        <w:pStyle w:val="107"/>
        <w:spacing w:line="700" w:lineRule="exact"/>
        <w:ind w:firstLine="629"/>
        <w:rPr>
          <w:rFonts w:hint="eastAsia" w:ascii="宋体" w:hAnsi="宋体"/>
          <w:color w:val="auto"/>
          <w:sz w:val="24"/>
          <w:highlight w:val="none"/>
        </w:rPr>
      </w:pPr>
    </w:p>
    <w:p>
      <w:pPr>
        <w:pStyle w:val="107"/>
        <w:spacing w:line="700" w:lineRule="exact"/>
        <w:ind w:firstLine="629"/>
        <w:rPr>
          <w:rFonts w:hint="eastAsia" w:ascii="宋体" w:hAnsi="宋体"/>
          <w:color w:val="auto"/>
          <w:sz w:val="24"/>
          <w:highlight w:val="none"/>
          <w:u w:val="single"/>
        </w:rPr>
      </w:pPr>
      <w:r>
        <w:rPr>
          <w:rFonts w:hint="eastAsia" w:ascii="宋体" w:hAnsi="宋体"/>
          <w:color w:val="auto"/>
          <w:sz w:val="24"/>
          <w:highlight w:val="none"/>
        </w:rPr>
        <w:t>单位名称：（盖章）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p>
    <w:p>
      <w:pPr>
        <w:pStyle w:val="107"/>
        <w:spacing w:line="700" w:lineRule="exact"/>
        <w:ind w:firstLine="629"/>
        <w:rPr>
          <w:rFonts w:hint="eastAsia" w:ascii="宋体" w:hAnsi="宋体"/>
          <w:color w:val="auto"/>
          <w:sz w:val="24"/>
          <w:highlight w:val="none"/>
        </w:rPr>
      </w:pPr>
      <w:r>
        <w:rPr>
          <w:rFonts w:hint="eastAsia" w:ascii="宋体" w:hAnsi="宋体"/>
          <w:color w:val="auto"/>
          <w:sz w:val="24"/>
          <w:highlight w:val="none"/>
        </w:rPr>
        <w:t>法定代表人（或授权代表）：（签字）</w:t>
      </w:r>
      <w:r>
        <w:rPr>
          <w:rFonts w:hint="eastAsia" w:ascii="宋体" w:hAnsi="宋体"/>
          <w:color w:val="auto"/>
          <w:sz w:val="24"/>
          <w:highlight w:val="none"/>
          <w:u w:val="single"/>
        </w:rPr>
        <w:t xml:space="preserve">              </w:t>
      </w:r>
    </w:p>
    <w:p>
      <w:pPr>
        <w:pStyle w:val="124"/>
        <w:outlineLvl w:val="1"/>
        <w:rPr>
          <w:rFonts w:ascii="宋体" w:hAnsi="宋体" w:eastAsia="宋体"/>
          <w:color w:val="auto"/>
          <w:highlight w:val="none"/>
        </w:rPr>
      </w:pPr>
      <w:r>
        <w:rPr>
          <w:rFonts w:ascii="宋体" w:hAnsi="宋体" w:eastAsia="宋体"/>
          <w:color w:val="auto"/>
          <w:highlight w:val="none"/>
        </w:rPr>
        <w:br w:type="page"/>
      </w:r>
      <w:bookmarkStart w:id="131" w:name="_Toc514054495"/>
      <w:bookmarkStart w:id="132" w:name="_Toc8851"/>
      <w:r>
        <w:rPr>
          <w:rFonts w:ascii="宋体" w:hAnsi="宋体" w:eastAsia="宋体"/>
          <w:color w:val="auto"/>
          <w:highlight w:val="none"/>
        </w:rPr>
        <w:t>十、明细报价表</w:t>
      </w:r>
      <w:bookmarkEnd w:id="131"/>
      <w:bookmarkEnd w:id="132"/>
    </w:p>
    <w:tbl>
      <w:tblPr>
        <w:tblStyle w:val="63"/>
        <w:tblW w:w="9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2597"/>
        <w:gridCol w:w="2237"/>
        <w:gridCol w:w="2258"/>
        <w:gridCol w:w="1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2" w:hRule="atLeast"/>
          <w:jc w:val="center"/>
        </w:trPr>
        <w:tc>
          <w:tcPr>
            <w:tcW w:w="866" w:type="dxa"/>
            <w:noWrap w:val="0"/>
            <w:vAlign w:val="center"/>
          </w:tcPr>
          <w:p>
            <w:pPr>
              <w:widowControl/>
              <w:adjustRightInd w:val="0"/>
              <w:snapToGrid w:val="0"/>
              <w:spacing w:before="100" w:beforeAutospacing="1" w:line="560" w:lineRule="exact"/>
              <w:jc w:val="center"/>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序号</w:t>
            </w:r>
          </w:p>
        </w:tc>
        <w:tc>
          <w:tcPr>
            <w:tcW w:w="2593" w:type="dxa"/>
            <w:noWrap w:val="0"/>
            <w:vAlign w:val="center"/>
          </w:tcPr>
          <w:p>
            <w:pPr>
              <w:widowControl/>
              <w:adjustRightInd w:val="0"/>
              <w:snapToGrid w:val="0"/>
              <w:spacing w:before="100" w:beforeAutospacing="1" w:line="560" w:lineRule="exact"/>
              <w:jc w:val="center"/>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名称</w:t>
            </w:r>
          </w:p>
        </w:tc>
        <w:tc>
          <w:tcPr>
            <w:tcW w:w="2237" w:type="dxa"/>
            <w:noWrap w:val="0"/>
            <w:vAlign w:val="center"/>
          </w:tcPr>
          <w:p>
            <w:pPr>
              <w:widowControl/>
              <w:adjustRightInd w:val="0"/>
              <w:snapToGrid w:val="0"/>
              <w:spacing w:before="100" w:beforeAutospacing="1" w:line="560" w:lineRule="exact"/>
              <w:jc w:val="center"/>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 单价</w:t>
            </w:r>
          </w:p>
          <w:p>
            <w:pPr>
              <w:widowControl/>
              <w:adjustRightInd w:val="0"/>
              <w:snapToGrid w:val="0"/>
              <w:spacing w:before="100" w:beforeAutospacing="1" w:line="560" w:lineRule="exact"/>
              <w:jc w:val="center"/>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（元）</w:t>
            </w:r>
          </w:p>
        </w:tc>
        <w:tc>
          <w:tcPr>
            <w:tcW w:w="2258" w:type="dxa"/>
            <w:noWrap w:val="0"/>
            <w:vAlign w:val="center"/>
          </w:tcPr>
          <w:p>
            <w:pPr>
              <w:widowControl/>
              <w:adjustRightInd w:val="0"/>
              <w:snapToGrid w:val="0"/>
              <w:spacing w:before="100" w:beforeAutospacing="1" w:line="560" w:lineRule="exact"/>
              <w:jc w:val="center"/>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合价</w:t>
            </w:r>
          </w:p>
          <w:p>
            <w:pPr>
              <w:widowControl/>
              <w:adjustRightInd w:val="0"/>
              <w:snapToGrid w:val="0"/>
              <w:spacing w:before="100" w:beforeAutospacing="1" w:line="560" w:lineRule="exact"/>
              <w:jc w:val="center"/>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（元）</w:t>
            </w:r>
          </w:p>
        </w:tc>
        <w:tc>
          <w:tcPr>
            <w:tcW w:w="1980" w:type="dxa"/>
            <w:noWrap w:val="0"/>
            <w:vAlign w:val="center"/>
          </w:tcPr>
          <w:p>
            <w:pPr>
              <w:widowControl/>
              <w:adjustRightInd w:val="0"/>
              <w:snapToGrid w:val="0"/>
              <w:spacing w:before="100" w:beforeAutospacing="1" w:line="560" w:lineRule="exact"/>
              <w:jc w:val="center"/>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866" w:type="dxa"/>
            <w:noWrap w:val="0"/>
            <w:vAlign w:val="top"/>
          </w:tcPr>
          <w:p>
            <w:pPr>
              <w:widowControl/>
              <w:spacing w:line="560" w:lineRule="exact"/>
              <w:rPr>
                <w:rFonts w:hint="eastAsia" w:ascii="宋体" w:hAnsi="宋体" w:eastAsia="宋体" w:cs="Times New Roman"/>
                <w:color w:val="auto"/>
                <w:sz w:val="28"/>
                <w:szCs w:val="28"/>
                <w:highlight w:val="none"/>
              </w:rPr>
            </w:pPr>
          </w:p>
        </w:tc>
        <w:tc>
          <w:tcPr>
            <w:tcW w:w="2593" w:type="dxa"/>
            <w:noWrap w:val="0"/>
            <w:vAlign w:val="top"/>
          </w:tcPr>
          <w:p>
            <w:pPr>
              <w:widowControl/>
              <w:spacing w:line="560" w:lineRule="exact"/>
              <w:jc w:val="center"/>
              <w:rPr>
                <w:rFonts w:hint="eastAsia" w:ascii="宋体" w:hAnsi="宋体" w:eastAsia="宋体" w:cs="Times New Roman"/>
                <w:color w:val="auto"/>
                <w:highlight w:val="none"/>
              </w:rPr>
            </w:pPr>
          </w:p>
        </w:tc>
        <w:tc>
          <w:tcPr>
            <w:tcW w:w="2237" w:type="dxa"/>
            <w:noWrap w:val="0"/>
            <w:vAlign w:val="top"/>
          </w:tcPr>
          <w:p>
            <w:pPr>
              <w:widowControl/>
              <w:spacing w:line="560" w:lineRule="exact"/>
              <w:jc w:val="center"/>
              <w:rPr>
                <w:rFonts w:hint="eastAsia" w:ascii="宋体" w:hAnsi="宋体" w:eastAsia="宋体" w:cs="Times New Roman"/>
                <w:color w:val="auto"/>
                <w:highlight w:val="none"/>
              </w:rPr>
            </w:pPr>
          </w:p>
        </w:tc>
        <w:tc>
          <w:tcPr>
            <w:tcW w:w="2258" w:type="dxa"/>
            <w:noWrap w:val="0"/>
            <w:vAlign w:val="center"/>
          </w:tcPr>
          <w:p>
            <w:pPr>
              <w:spacing w:line="560" w:lineRule="exact"/>
              <w:jc w:val="center"/>
              <w:rPr>
                <w:rFonts w:hint="eastAsia" w:ascii="宋体" w:hAnsi="宋体" w:eastAsia="宋体" w:cs="Times New Roman"/>
                <w:color w:val="auto"/>
                <w:highlight w:val="none"/>
              </w:rPr>
            </w:pPr>
          </w:p>
        </w:tc>
        <w:tc>
          <w:tcPr>
            <w:tcW w:w="1980" w:type="dxa"/>
            <w:noWrap w:val="0"/>
            <w:vAlign w:val="center"/>
          </w:tcPr>
          <w:p>
            <w:pPr>
              <w:spacing w:line="560" w:lineRule="exact"/>
              <w:jc w:val="center"/>
              <w:rPr>
                <w:rFonts w:hint="eastAsia" w:ascii="宋体" w:hAnsi="宋体"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866" w:type="dxa"/>
            <w:noWrap w:val="0"/>
            <w:vAlign w:val="top"/>
          </w:tcPr>
          <w:p>
            <w:pPr>
              <w:widowControl/>
              <w:spacing w:line="560" w:lineRule="exact"/>
              <w:rPr>
                <w:rFonts w:hint="eastAsia" w:ascii="宋体" w:hAnsi="宋体" w:eastAsia="宋体" w:cs="Times New Roman"/>
                <w:color w:val="auto"/>
                <w:sz w:val="28"/>
                <w:szCs w:val="28"/>
                <w:highlight w:val="none"/>
              </w:rPr>
            </w:pPr>
          </w:p>
        </w:tc>
        <w:tc>
          <w:tcPr>
            <w:tcW w:w="2593" w:type="dxa"/>
            <w:noWrap w:val="0"/>
            <w:vAlign w:val="top"/>
          </w:tcPr>
          <w:p>
            <w:pPr>
              <w:widowControl/>
              <w:spacing w:line="560" w:lineRule="exact"/>
              <w:jc w:val="center"/>
              <w:rPr>
                <w:rFonts w:hint="eastAsia" w:ascii="宋体" w:hAnsi="宋体" w:eastAsia="宋体" w:cs="Times New Roman"/>
                <w:color w:val="auto"/>
                <w:highlight w:val="none"/>
              </w:rPr>
            </w:pPr>
          </w:p>
        </w:tc>
        <w:tc>
          <w:tcPr>
            <w:tcW w:w="2237" w:type="dxa"/>
            <w:noWrap w:val="0"/>
            <w:vAlign w:val="top"/>
          </w:tcPr>
          <w:p>
            <w:pPr>
              <w:widowControl/>
              <w:spacing w:line="560" w:lineRule="exact"/>
              <w:jc w:val="center"/>
              <w:rPr>
                <w:rFonts w:hint="eastAsia" w:ascii="宋体" w:hAnsi="宋体" w:eastAsia="宋体" w:cs="Times New Roman"/>
                <w:color w:val="auto"/>
                <w:highlight w:val="none"/>
              </w:rPr>
            </w:pPr>
          </w:p>
        </w:tc>
        <w:tc>
          <w:tcPr>
            <w:tcW w:w="2258" w:type="dxa"/>
            <w:noWrap w:val="0"/>
            <w:vAlign w:val="center"/>
          </w:tcPr>
          <w:p>
            <w:pPr>
              <w:spacing w:line="560" w:lineRule="exact"/>
              <w:jc w:val="center"/>
              <w:rPr>
                <w:rFonts w:hint="eastAsia" w:ascii="宋体" w:hAnsi="宋体" w:eastAsia="宋体" w:cs="Times New Roman"/>
                <w:color w:val="auto"/>
                <w:highlight w:val="none"/>
              </w:rPr>
            </w:pPr>
          </w:p>
        </w:tc>
        <w:tc>
          <w:tcPr>
            <w:tcW w:w="1980" w:type="dxa"/>
            <w:noWrap w:val="0"/>
            <w:vAlign w:val="center"/>
          </w:tcPr>
          <w:p>
            <w:pPr>
              <w:spacing w:line="560" w:lineRule="exact"/>
              <w:jc w:val="center"/>
              <w:rPr>
                <w:rFonts w:hint="eastAsia" w:ascii="宋体" w:hAnsi="宋体"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866" w:type="dxa"/>
            <w:noWrap w:val="0"/>
            <w:vAlign w:val="top"/>
          </w:tcPr>
          <w:p>
            <w:pPr>
              <w:widowControl/>
              <w:spacing w:line="560" w:lineRule="exact"/>
              <w:rPr>
                <w:rFonts w:hint="eastAsia" w:ascii="宋体" w:hAnsi="宋体" w:eastAsia="宋体" w:cs="Times New Roman"/>
                <w:color w:val="auto"/>
                <w:sz w:val="28"/>
                <w:szCs w:val="28"/>
                <w:highlight w:val="none"/>
              </w:rPr>
            </w:pPr>
          </w:p>
        </w:tc>
        <w:tc>
          <w:tcPr>
            <w:tcW w:w="2593" w:type="dxa"/>
            <w:noWrap w:val="0"/>
            <w:vAlign w:val="top"/>
          </w:tcPr>
          <w:p>
            <w:pPr>
              <w:widowControl/>
              <w:spacing w:line="560" w:lineRule="exact"/>
              <w:jc w:val="center"/>
              <w:rPr>
                <w:rFonts w:hint="eastAsia" w:ascii="宋体" w:hAnsi="宋体" w:eastAsia="宋体" w:cs="Times New Roman"/>
                <w:color w:val="auto"/>
                <w:highlight w:val="none"/>
              </w:rPr>
            </w:pPr>
          </w:p>
        </w:tc>
        <w:tc>
          <w:tcPr>
            <w:tcW w:w="2237" w:type="dxa"/>
            <w:noWrap w:val="0"/>
            <w:vAlign w:val="top"/>
          </w:tcPr>
          <w:p>
            <w:pPr>
              <w:widowControl/>
              <w:spacing w:line="560" w:lineRule="exact"/>
              <w:jc w:val="center"/>
              <w:rPr>
                <w:rFonts w:hint="eastAsia" w:ascii="宋体" w:hAnsi="宋体" w:eastAsia="宋体" w:cs="Times New Roman"/>
                <w:color w:val="auto"/>
                <w:highlight w:val="none"/>
              </w:rPr>
            </w:pPr>
          </w:p>
        </w:tc>
        <w:tc>
          <w:tcPr>
            <w:tcW w:w="2258" w:type="dxa"/>
            <w:noWrap w:val="0"/>
            <w:vAlign w:val="center"/>
          </w:tcPr>
          <w:p>
            <w:pPr>
              <w:spacing w:line="560" w:lineRule="exact"/>
              <w:jc w:val="center"/>
              <w:rPr>
                <w:rFonts w:hint="eastAsia" w:ascii="宋体" w:hAnsi="宋体" w:eastAsia="宋体" w:cs="Times New Roman"/>
                <w:color w:val="auto"/>
                <w:highlight w:val="none"/>
              </w:rPr>
            </w:pPr>
          </w:p>
        </w:tc>
        <w:tc>
          <w:tcPr>
            <w:tcW w:w="1980" w:type="dxa"/>
            <w:noWrap w:val="0"/>
            <w:vAlign w:val="center"/>
          </w:tcPr>
          <w:p>
            <w:pPr>
              <w:spacing w:line="560" w:lineRule="exact"/>
              <w:jc w:val="center"/>
              <w:rPr>
                <w:rFonts w:hint="eastAsia" w:ascii="宋体" w:hAnsi="宋体"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8" w:hRule="atLeast"/>
          <w:jc w:val="center"/>
        </w:trPr>
        <w:tc>
          <w:tcPr>
            <w:tcW w:w="866" w:type="dxa"/>
            <w:noWrap w:val="0"/>
            <w:vAlign w:val="top"/>
          </w:tcPr>
          <w:p>
            <w:pPr>
              <w:widowControl/>
              <w:spacing w:line="560" w:lineRule="exact"/>
              <w:rPr>
                <w:rFonts w:hint="eastAsia" w:ascii="宋体" w:hAnsi="宋体" w:eastAsia="宋体" w:cs="Times New Roman"/>
                <w:color w:val="auto"/>
                <w:sz w:val="28"/>
                <w:szCs w:val="28"/>
                <w:highlight w:val="none"/>
              </w:rPr>
            </w:pPr>
          </w:p>
        </w:tc>
        <w:tc>
          <w:tcPr>
            <w:tcW w:w="2593" w:type="dxa"/>
            <w:noWrap w:val="0"/>
            <w:vAlign w:val="top"/>
          </w:tcPr>
          <w:p>
            <w:pPr>
              <w:widowControl/>
              <w:spacing w:line="560" w:lineRule="exact"/>
              <w:jc w:val="center"/>
              <w:rPr>
                <w:rFonts w:hint="eastAsia" w:ascii="宋体" w:hAnsi="宋体" w:eastAsia="宋体" w:cs="Times New Roman"/>
                <w:color w:val="auto"/>
                <w:highlight w:val="none"/>
              </w:rPr>
            </w:pPr>
          </w:p>
        </w:tc>
        <w:tc>
          <w:tcPr>
            <w:tcW w:w="2237" w:type="dxa"/>
            <w:noWrap w:val="0"/>
            <w:vAlign w:val="top"/>
          </w:tcPr>
          <w:p>
            <w:pPr>
              <w:widowControl/>
              <w:spacing w:line="560" w:lineRule="exact"/>
              <w:jc w:val="center"/>
              <w:rPr>
                <w:rFonts w:hint="eastAsia" w:ascii="宋体" w:hAnsi="宋体" w:eastAsia="宋体" w:cs="Times New Roman"/>
                <w:color w:val="auto"/>
                <w:highlight w:val="none"/>
              </w:rPr>
            </w:pPr>
          </w:p>
        </w:tc>
        <w:tc>
          <w:tcPr>
            <w:tcW w:w="2258" w:type="dxa"/>
            <w:noWrap w:val="0"/>
            <w:vAlign w:val="center"/>
          </w:tcPr>
          <w:p>
            <w:pPr>
              <w:spacing w:line="560" w:lineRule="exact"/>
              <w:jc w:val="center"/>
              <w:rPr>
                <w:rFonts w:hint="eastAsia" w:ascii="宋体" w:hAnsi="宋体" w:eastAsia="宋体" w:cs="Times New Roman"/>
                <w:color w:val="auto"/>
                <w:highlight w:val="none"/>
              </w:rPr>
            </w:pPr>
          </w:p>
        </w:tc>
        <w:tc>
          <w:tcPr>
            <w:tcW w:w="1980" w:type="dxa"/>
            <w:noWrap w:val="0"/>
            <w:vAlign w:val="center"/>
          </w:tcPr>
          <w:p>
            <w:pPr>
              <w:spacing w:line="560" w:lineRule="exact"/>
              <w:jc w:val="center"/>
              <w:rPr>
                <w:rFonts w:hint="eastAsia" w:ascii="宋体" w:hAnsi="宋体"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 w:hRule="atLeast"/>
          <w:jc w:val="center"/>
        </w:trPr>
        <w:tc>
          <w:tcPr>
            <w:tcW w:w="866" w:type="dxa"/>
            <w:noWrap w:val="0"/>
            <w:vAlign w:val="center"/>
          </w:tcPr>
          <w:p>
            <w:pPr>
              <w:spacing w:line="560" w:lineRule="exact"/>
              <w:jc w:val="center"/>
              <w:rPr>
                <w:rFonts w:hint="eastAsia" w:ascii="宋体" w:hAnsi="宋体" w:eastAsia="宋体" w:cs="Times New Roman"/>
                <w:i/>
                <w:iCs/>
                <w:color w:val="auto"/>
                <w:sz w:val="28"/>
                <w:szCs w:val="28"/>
                <w:highlight w:val="none"/>
              </w:rPr>
            </w:pPr>
            <w:r>
              <w:rPr>
                <w:rFonts w:hint="eastAsia" w:ascii="宋体" w:hAnsi="宋体" w:eastAsia="宋体" w:cs="Times New Roman"/>
                <w:i/>
                <w:iCs/>
                <w:color w:val="auto"/>
                <w:sz w:val="28"/>
                <w:szCs w:val="28"/>
                <w:highlight w:val="none"/>
              </w:rPr>
              <w:t>…</w:t>
            </w:r>
          </w:p>
        </w:tc>
        <w:tc>
          <w:tcPr>
            <w:tcW w:w="2593" w:type="dxa"/>
            <w:noWrap w:val="0"/>
            <w:vAlign w:val="center"/>
          </w:tcPr>
          <w:p>
            <w:pPr>
              <w:spacing w:line="560" w:lineRule="exact"/>
              <w:jc w:val="center"/>
              <w:rPr>
                <w:rFonts w:hint="eastAsia" w:ascii="宋体" w:hAnsi="宋体" w:eastAsia="宋体" w:cs="Times New Roman"/>
                <w:iCs/>
                <w:color w:val="auto"/>
                <w:highlight w:val="none"/>
              </w:rPr>
            </w:pPr>
          </w:p>
        </w:tc>
        <w:tc>
          <w:tcPr>
            <w:tcW w:w="2237" w:type="dxa"/>
            <w:noWrap w:val="0"/>
            <w:vAlign w:val="center"/>
          </w:tcPr>
          <w:p>
            <w:pPr>
              <w:widowControl/>
              <w:spacing w:line="560" w:lineRule="exact"/>
              <w:jc w:val="center"/>
              <w:rPr>
                <w:rFonts w:hint="eastAsia" w:ascii="宋体" w:hAnsi="宋体" w:eastAsia="宋体" w:cs="Times New Roman"/>
                <w:color w:val="auto"/>
                <w:highlight w:val="none"/>
              </w:rPr>
            </w:pPr>
          </w:p>
        </w:tc>
        <w:tc>
          <w:tcPr>
            <w:tcW w:w="2258" w:type="dxa"/>
            <w:noWrap w:val="0"/>
            <w:vAlign w:val="center"/>
          </w:tcPr>
          <w:p>
            <w:pPr>
              <w:spacing w:line="560" w:lineRule="exact"/>
              <w:jc w:val="center"/>
              <w:rPr>
                <w:rFonts w:hint="eastAsia" w:ascii="宋体" w:hAnsi="宋体" w:eastAsia="宋体" w:cs="Times New Roman"/>
                <w:color w:val="auto"/>
                <w:highlight w:val="none"/>
              </w:rPr>
            </w:pPr>
          </w:p>
        </w:tc>
        <w:tc>
          <w:tcPr>
            <w:tcW w:w="1980" w:type="dxa"/>
            <w:noWrap w:val="0"/>
            <w:vAlign w:val="center"/>
          </w:tcPr>
          <w:p>
            <w:pPr>
              <w:spacing w:line="560" w:lineRule="exact"/>
              <w:jc w:val="center"/>
              <w:rPr>
                <w:rFonts w:hint="eastAsia" w:ascii="宋体" w:hAnsi="宋体"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 w:hRule="atLeast"/>
          <w:jc w:val="center"/>
        </w:trPr>
        <w:tc>
          <w:tcPr>
            <w:tcW w:w="866" w:type="dxa"/>
            <w:noWrap w:val="0"/>
            <w:vAlign w:val="center"/>
          </w:tcPr>
          <w:p>
            <w:pPr>
              <w:spacing w:line="560" w:lineRule="exact"/>
              <w:jc w:val="center"/>
              <w:rPr>
                <w:rFonts w:hint="eastAsia" w:ascii="宋体" w:hAnsi="宋体" w:eastAsia="宋体" w:cs="Times New Roman"/>
                <w:i/>
                <w:iCs/>
                <w:color w:val="auto"/>
                <w:sz w:val="28"/>
                <w:szCs w:val="28"/>
                <w:highlight w:val="none"/>
              </w:rPr>
            </w:pPr>
          </w:p>
        </w:tc>
        <w:tc>
          <w:tcPr>
            <w:tcW w:w="4830" w:type="dxa"/>
            <w:gridSpan w:val="2"/>
            <w:noWrap w:val="0"/>
            <w:vAlign w:val="center"/>
          </w:tcPr>
          <w:p>
            <w:pPr>
              <w:spacing w:line="560" w:lineRule="exact"/>
              <w:jc w:val="center"/>
              <w:rPr>
                <w:rFonts w:hint="eastAsia" w:ascii="宋体" w:hAnsi="宋体" w:eastAsia="宋体" w:cs="Times New Roman"/>
                <w:color w:val="auto"/>
                <w:highlight w:val="none"/>
              </w:rPr>
            </w:pPr>
            <w:r>
              <w:rPr>
                <w:rFonts w:hint="eastAsia" w:ascii="宋体" w:hAnsi="宋体" w:eastAsia="宋体" w:cs="Times New Roman"/>
                <w:iCs/>
                <w:color w:val="auto"/>
                <w:highlight w:val="none"/>
              </w:rPr>
              <w:t>合计</w:t>
            </w:r>
          </w:p>
        </w:tc>
        <w:tc>
          <w:tcPr>
            <w:tcW w:w="2258" w:type="dxa"/>
            <w:noWrap w:val="0"/>
            <w:vAlign w:val="center"/>
          </w:tcPr>
          <w:p>
            <w:pPr>
              <w:spacing w:line="560" w:lineRule="exact"/>
              <w:jc w:val="center"/>
              <w:rPr>
                <w:rFonts w:hint="eastAsia" w:ascii="宋体" w:hAnsi="宋体" w:eastAsia="宋体" w:cs="Times New Roman"/>
                <w:color w:val="auto"/>
                <w:highlight w:val="none"/>
              </w:rPr>
            </w:pPr>
          </w:p>
        </w:tc>
        <w:tc>
          <w:tcPr>
            <w:tcW w:w="1980" w:type="dxa"/>
            <w:noWrap w:val="0"/>
            <w:vAlign w:val="center"/>
          </w:tcPr>
          <w:p>
            <w:pPr>
              <w:spacing w:line="560" w:lineRule="exact"/>
              <w:jc w:val="center"/>
              <w:rPr>
                <w:rFonts w:hint="eastAsia" w:ascii="宋体" w:hAnsi="宋体"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3463" w:type="dxa"/>
            <w:gridSpan w:val="2"/>
            <w:noWrap w:val="0"/>
            <w:vAlign w:val="center"/>
          </w:tcPr>
          <w:p>
            <w:pPr>
              <w:spacing w:line="560" w:lineRule="exact"/>
              <w:jc w:val="center"/>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投标</w:t>
            </w:r>
          </w:p>
          <w:p>
            <w:pPr>
              <w:spacing w:line="560" w:lineRule="exact"/>
              <w:jc w:val="center"/>
              <w:rPr>
                <w:rFonts w:hint="eastAsia" w:ascii="宋体" w:hAnsi="宋体" w:eastAsia="宋体" w:cs="Times New Roman"/>
                <w:b/>
                <w:bCs/>
                <w:color w:val="auto"/>
                <w:highlight w:val="none"/>
              </w:rPr>
            </w:pPr>
            <w:r>
              <w:rPr>
                <w:rFonts w:hint="eastAsia" w:ascii="宋体" w:hAnsi="宋体" w:eastAsia="宋体" w:cs="Times New Roman"/>
                <w:b/>
                <w:bCs/>
                <w:color w:val="auto"/>
                <w:sz w:val="28"/>
                <w:szCs w:val="28"/>
                <w:highlight w:val="none"/>
              </w:rPr>
              <w:t>报价总计</w:t>
            </w:r>
          </w:p>
        </w:tc>
        <w:tc>
          <w:tcPr>
            <w:tcW w:w="6475" w:type="dxa"/>
            <w:gridSpan w:val="3"/>
            <w:noWrap w:val="0"/>
            <w:vAlign w:val="center"/>
          </w:tcPr>
          <w:p>
            <w:pPr>
              <w:spacing w:line="560" w:lineRule="exact"/>
              <w:rPr>
                <w:rFonts w:hint="eastAsia" w:ascii="宋体" w:hAnsi="宋体" w:eastAsia="宋体" w:cs="Times New Roman"/>
                <w:b/>
                <w:bCs/>
                <w:color w:val="auto"/>
                <w:highlight w:val="none"/>
              </w:rPr>
            </w:pPr>
            <w:r>
              <w:rPr>
                <w:rFonts w:hint="eastAsia" w:ascii="宋体" w:hAnsi="宋体" w:eastAsia="宋体" w:cs="Times New Roman"/>
                <w:b/>
                <w:bCs/>
                <w:color w:val="auto"/>
                <w:highlight w:val="none"/>
              </w:rPr>
              <w:t>￥</w:t>
            </w:r>
            <w:r>
              <w:rPr>
                <w:rFonts w:hint="eastAsia" w:ascii="宋体" w:hAnsi="宋体" w:eastAsia="宋体" w:cs="Times New Roman"/>
                <w:b/>
                <w:bCs/>
                <w:color w:val="auto"/>
                <w:highlight w:val="none"/>
                <w:u w:val="single"/>
              </w:rPr>
              <w:t xml:space="preserve">                          </w:t>
            </w:r>
          </w:p>
          <w:p>
            <w:pPr>
              <w:spacing w:line="560" w:lineRule="exact"/>
              <w:rPr>
                <w:rFonts w:hint="eastAsia" w:ascii="宋体" w:hAnsi="宋体" w:eastAsia="宋体" w:cs="Times New Roman"/>
                <w:b/>
                <w:bCs/>
                <w:color w:val="auto"/>
                <w:highlight w:val="none"/>
              </w:rPr>
            </w:pPr>
            <w:r>
              <w:rPr>
                <w:rFonts w:hint="eastAsia" w:ascii="宋体" w:hAnsi="宋体" w:eastAsia="宋体" w:cs="Times New Roman"/>
                <w:b/>
                <w:bCs/>
                <w:color w:val="auto"/>
                <w:highlight w:val="none"/>
              </w:rPr>
              <w:t>人民币（大写）：</w:t>
            </w:r>
          </w:p>
          <w:p>
            <w:pPr>
              <w:spacing w:line="560" w:lineRule="exact"/>
              <w:rPr>
                <w:rFonts w:hint="eastAsia" w:ascii="宋体" w:hAnsi="宋体" w:eastAsia="宋体" w:cs="Times New Roman"/>
                <w:b/>
                <w:bCs/>
                <w:color w:val="auto"/>
                <w:highlight w:val="none"/>
              </w:rPr>
            </w:pPr>
            <w:r>
              <w:rPr>
                <w:rFonts w:hint="eastAsia" w:ascii="宋体" w:hAnsi="宋体" w:eastAsia="宋体" w:cs="Times New Roman"/>
                <w:b/>
                <w:bCs/>
                <w:color w:val="auto"/>
                <w:highlight w:val="none"/>
                <w:u w:val="single"/>
              </w:rPr>
              <w:t xml:space="preserve">    </w:t>
            </w:r>
            <w:r>
              <w:rPr>
                <w:rFonts w:hint="eastAsia" w:ascii="宋体" w:hAnsi="宋体" w:eastAsia="宋体" w:cs="Times New Roman"/>
                <w:b/>
                <w:bCs/>
                <w:color w:val="auto"/>
                <w:highlight w:val="none"/>
              </w:rPr>
              <w:t>仟</w:t>
            </w:r>
            <w:r>
              <w:rPr>
                <w:rFonts w:hint="eastAsia" w:ascii="宋体" w:hAnsi="宋体" w:eastAsia="宋体" w:cs="Times New Roman"/>
                <w:b/>
                <w:bCs/>
                <w:color w:val="auto"/>
                <w:highlight w:val="none"/>
                <w:u w:val="single"/>
              </w:rPr>
              <w:t xml:space="preserve">    </w:t>
            </w:r>
            <w:r>
              <w:rPr>
                <w:rFonts w:hint="eastAsia" w:ascii="宋体" w:hAnsi="宋体" w:eastAsia="宋体" w:cs="Times New Roman"/>
                <w:b/>
                <w:bCs/>
                <w:color w:val="auto"/>
                <w:highlight w:val="none"/>
              </w:rPr>
              <w:t>佰</w:t>
            </w:r>
            <w:r>
              <w:rPr>
                <w:rFonts w:hint="eastAsia" w:ascii="宋体" w:hAnsi="宋体" w:eastAsia="宋体" w:cs="Times New Roman"/>
                <w:b/>
                <w:bCs/>
                <w:color w:val="auto"/>
                <w:highlight w:val="none"/>
                <w:u w:val="single"/>
              </w:rPr>
              <w:t xml:space="preserve">    </w:t>
            </w:r>
            <w:r>
              <w:rPr>
                <w:rFonts w:hint="eastAsia" w:ascii="宋体" w:hAnsi="宋体" w:eastAsia="宋体" w:cs="Times New Roman"/>
                <w:b/>
                <w:bCs/>
                <w:color w:val="auto"/>
                <w:highlight w:val="none"/>
              </w:rPr>
              <w:t>拾</w:t>
            </w:r>
            <w:r>
              <w:rPr>
                <w:rFonts w:hint="eastAsia" w:ascii="宋体" w:hAnsi="宋体" w:eastAsia="宋体" w:cs="Times New Roman"/>
                <w:b/>
                <w:bCs/>
                <w:color w:val="auto"/>
                <w:highlight w:val="none"/>
                <w:u w:val="single"/>
              </w:rPr>
              <w:t xml:space="preserve">    </w:t>
            </w:r>
            <w:r>
              <w:rPr>
                <w:rFonts w:hint="eastAsia" w:ascii="宋体" w:hAnsi="宋体" w:eastAsia="宋体" w:cs="Times New Roman"/>
                <w:b/>
                <w:bCs/>
                <w:color w:val="auto"/>
                <w:highlight w:val="none"/>
              </w:rPr>
              <w:t>万</w:t>
            </w:r>
            <w:r>
              <w:rPr>
                <w:rFonts w:hint="eastAsia" w:ascii="宋体" w:hAnsi="宋体" w:eastAsia="宋体" w:cs="Times New Roman"/>
                <w:b/>
                <w:bCs/>
                <w:color w:val="auto"/>
                <w:highlight w:val="none"/>
                <w:u w:val="single"/>
              </w:rPr>
              <w:t xml:space="preserve">    </w:t>
            </w:r>
            <w:r>
              <w:rPr>
                <w:rFonts w:hint="eastAsia" w:ascii="宋体" w:hAnsi="宋体" w:eastAsia="宋体" w:cs="Times New Roman"/>
                <w:b/>
                <w:bCs/>
                <w:color w:val="auto"/>
                <w:highlight w:val="none"/>
              </w:rPr>
              <w:t>仟</w:t>
            </w:r>
            <w:r>
              <w:rPr>
                <w:rFonts w:hint="eastAsia" w:ascii="宋体" w:hAnsi="宋体" w:eastAsia="宋体" w:cs="Times New Roman"/>
                <w:b/>
                <w:bCs/>
                <w:color w:val="auto"/>
                <w:highlight w:val="none"/>
                <w:u w:val="single"/>
              </w:rPr>
              <w:t xml:space="preserve">    </w:t>
            </w:r>
            <w:r>
              <w:rPr>
                <w:rFonts w:hint="eastAsia" w:ascii="宋体" w:hAnsi="宋体" w:eastAsia="宋体" w:cs="Times New Roman"/>
                <w:b/>
                <w:bCs/>
                <w:color w:val="auto"/>
                <w:highlight w:val="none"/>
              </w:rPr>
              <w:t>佰</w:t>
            </w:r>
            <w:r>
              <w:rPr>
                <w:rFonts w:hint="eastAsia" w:ascii="宋体" w:hAnsi="宋体" w:eastAsia="宋体" w:cs="Times New Roman"/>
                <w:b/>
                <w:bCs/>
                <w:color w:val="auto"/>
                <w:highlight w:val="none"/>
                <w:u w:val="single"/>
              </w:rPr>
              <w:t xml:space="preserve">    </w:t>
            </w:r>
            <w:r>
              <w:rPr>
                <w:rFonts w:hint="eastAsia" w:ascii="宋体" w:hAnsi="宋体" w:eastAsia="宋体" w:cs="Times New Roman"/>
                <w:b/>
                <w:bCs/>
                <w:color w:val="auto"/>
                <w:highlight w:val="none"/>
              </w:rPr>
              <w:t>拾</w:t>
            </w:r>
            <w:r>
              <w:rPr>
                <w:rFonts w:hint="eastAsia" w:ascii="宋体" w:hAnsi="宋体" w:eastAsia="宋体" w:cs="Times New Roman"/>
                <w:b/>
                <w:bCs/>
                <w:color w:val="auto"/>
                <w:highlight w:val="none"/>
                <w:u w:val="single"/>
              </w:rPr>
              <w:t xml:space="preserve">    </w:t>
            </w:r>
            <w:r>
              <w:rPr>
                <w:rFonts w:hint="eastAsia" w:ascii="宋体" w:hAnsi="宋体" w:eastAsia="宋体" w:cs="Times New Roman"/>
                <w:b/>
                <w:bCs/>
                <w:color w:val="auto"/>
                <w:highlight w:val="none"/>
              </w:rPr>
              <w:t>元</w:t>
            </w:r>
            <w:r>
              <w:rPr>
                <w:rFonts w:hint="eastAsia" w:ascii="宋体" w:hAnsi="宋体" w:eastAsia="宋体" w:cs="Times New Roman"/>
                <w:b/>
                <w:bCs/>
                <w:color w:val="auto"/>
                <w:highlight w:val="none"/>
                <w:u w:val="single"/>
              </w:rPr>
              <w:t xml:space="preserve">   </w:t>
            </w:r>
            <w:r>
              <w:rPr>
                <w:rFonts w:hint="eastAsia" w:ascii="宋体" w:hAnsi="宋体" w:eastAsia="宋体" w:cs="Times New Roman"/>
                <w:b/>
                <w:bCs/>
                <w:color w:val="auto"/>
                <w:highlight w:val="none"/>
              </w:rPr>
              <w:t>角</w:t>
            </w:r>
            <w:r>
              <w:rPr>
                <w:rFonts w:hint="eastAsia" w:ascii="宋体" w:hAnsi="宋体" w:eastAsia="宋体" w:cs="Times New Roman"/>
                <w:b/>
                <w:bCs/>
                <w:color w:val="auto"/>
                <w:highlight w:val="none"/>
                <w:u w:val="single"/>
              </w:rPr>
              <w:t xml:space="preserve">   </w:t>
            </w:r>
            <w:r>
              <w:rPr>
                <w:rFonts w:hint="eastAsia" w:ascii="宋体" w:hAnsi="宋体" w:eastAsia="宋体" w:cs="Times New Roman"/>
                <w:b/>
                <w:bCs/>
                <w:color w:val="auto"/>
                <w:highlight w:val="none"/>
              </w:rPr>
              <w:t>分</w:t>
            </w:r>
          </w:p>
        </w:tc>
      </w:tr>
    </w:tbl>
    <w:p>
      <w:pPr>
        <w:pStyle w:val="107"/>
        <w:ind w:firstLine="629"/>
        <w:rPr>
          <w:rFonts w:hint="eastAsia" w:ascii="宋体" w:hAnsi="宋体"/>
          <w:color w:val="auto"/>
          <w:sz w:val="24"/>
          <w:highlight w:val="none"/>
        </w:rPr>
      </w:pPr>
      <w:r>
        <w:rPr>
          <w:rFonts w:hint="eastAsia" w:ascii="宋体" w:hAnsi="宋体"/>
          <w:color w:val="auto"/>
          <w:sz w:val="24"/>
          <w:highlight w:val="none"/>
        </w:rPr>
        <w:t>注：投标人应分项进行填报，表中表格行数可自行添加。招标文件中未列出的相关辅助材料和在实施过程中涉及到的其它一切费用应在报价时一并考虑，项目实施过程中不再单独结算。</w:t>
      </w:r>
      <w:r>
        <w:rPr>
          <w:rFonts w:hint="eastAsia" w:ascii="宋体" w:hAnsi="宋体"/>
          <w:b/>
          <w:bCs/>
          <w:color w:val="auto"/>
          <w:sz w:val="24"/>
          <w:highlight w:val="none"/>
        </w:rPr>
        <w:t>表中投标报价总计应与对应报价一览表中投标总价一致。</w:t>
      </w:r>
    </w:p>
    <w:p>
      <w:pPr>
        <w:pStyle w:val="107"/>
        <w:spacing w:line="700" w:lineRule="exact"/>
        <w:ind w:firstLine="629"/>
        <w:rPr>
          <w:rFonts w:hint="eastAsia" w:ascii="宋体" w:hAnsi="宋体"/>
          <w:color w:val="auto"/>
          <w:sz w:val="24"/>
          <w:highlight w:val="none"/>
          <w:u w:val="single"/>
        </w:rPr>
      </w:pPr>
      <w:r>
        <w:rPr>
          <w:rFonts w:hint="eastAsia" w:ascii="宋体" w:hAnsi="宋体"/>
          <w:color w:val="auto"/>
          <w:sz w:val="24"/>
          <w:highlight w:val="none"/>
        </w:rPr>
        <w:t>单位名称：（盖章）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p>
    <w:p>
      <w:pPr>
        <w:pStyle w:val="107"/>
        <w:spacing w:line="700" w:lineRule="exact"/>
        <w:ind w:firstLine="629"/>
        <w:rPr>
          <w:rFonts w:hint="eastAsia" w:ascii="宋体" w:hAnsi="宋体"/>
          <w:color w:val="auto"/>
          <w:sz w:val="24"/>
          <w:highlight w:val="none"/>
        </w:rPr>
      </w:pPr>
      <w:r>
        <w:rPr>
          <w:rFonts w:hint="eastAsia" w:ascii="宋体" w:hAnsi="宋体"/>
          <w:color w:val="auto"/>
          <w:sz w:val="24"/>
          <w:highlight w:val="none"/>
        </w:rPr>
        <w:t>法定代表人（或授权代表）：（签字）</w:t>
      </w:r>
      <w:r>
        <w:rPr>
          <w:rFonts w:hint="eastAsia" w:ascii="宋体" w:hAnsi="宋体"/>
          <w:color w:val="auto"/>
          <w:sz w:val="24"/>
          <w:highlight w:val="none"/>
          <w:u w:val="single"/>
        </w:rPr>
        <w:t xml:space="preserve">              </w:t>
      </w:r>
    </w:p>
    <w:p>
      <w:pPr>
        <w:pStyle w:val="125"/>
        <w:outlineLvl w:val="1"/>
        <w:rPr>
          <w:rFonts w:hint="eastAsia" w:ascii="宋体" w:hAnsi="宋体" w:eastAsia="宋体"/>
          <w:color w:val="auto"/>
          <w:highlight w:val="none"/>
        </w:rPr>
      </w:pPr>
      <w:bookmarkStart w:id="133" w:name="_Toc514054496"/>
      <w:r>
        <w:rPr>
          <w:rFonts w:ascii="宋体" w:hAnsi="宋体" w:eastAsia="宋体"/>
          <w:color w:val="auto"/>
          <w:highlight w:val="none"/>
        </w:rPr>
        <w:br w:type="page"/>
      </w:r>
      <w:bookmarkStart w:id="134" w:name="_Toc10632"/>
      <w:r>
        <w:rPr>
          <w:rFonts w:ascii="宋体" w:hAnsi="宋体" w:eastAsia="宋体"/>
          <w:color w:val="auto"/>
          <w:highlight w:val="none"/>
        </w:rPr>
        <w:t>十一、中小企业声明函</w:t>
      </w:r>
      <w:bookmarkEnd w:id="133"/>
      <w:bookmarkEnd w:id="134"/>
    </w:p>
    <w:p>
      <w:pPr>
        <w:jc w:val="center"/>
        <w:rPr>
          <w:rFonts w:hint="eastAsia" w:ascii="宋体" w:hAnsi="宋体" w:cs="楷体"/>
          <w:color w:val="auto"/>
          <w:sz w:val="32"/>
          <w:szCs w:val="32"/>
          <w:highlight w:val="none"/>
        </w:rPr>
      </w:pPr>
      <w:r>
        <w:rPr>
          <w:rStyle w:val="66"/>
          <w:rFonts w:hint="eastAsia" w:ascii="宋体" w:hAnsi="宋体" w:cs="楷体"/>
          <w:color w:val="auto"/>
          <w:kern w:val="0"/>
          <w:sz w:val="32"/>
          <w:szCs w:val="32"/>
          <w:highlight w:val="none"/>
          <w:lang w:bidi="ar"/>
        </w:rPr>
        <w:t>中小企业声明函（货物）</w:t>
      </w:r>
    </w:p>
    <w:p>
      <w:pPr>
        <w:widowControl/>
        <w:spacing w:before="100" w:beforeAutospacing="1" w:after="100" w:afterAutospacing="1" w:line="435" w:lineRule="exact"/>
        <w:ind w:firstLine="480" w:firstLineChars="200"/>
        <w:jc w:val="left"/>
        <w:rPr>
          <w:rFonts w:hint="eastAsia" w:ascii="宋体" w:hAnsi="宋体"/>
          <w:color w:val="auto"/>
          <w:sz w:val="24"/>
          <w:szCs w:val="20"/>
          <w:highlight w:val="none"/>
        </w:rPr>
      </w:pPr>
      <w:r>
        <w:rPr>
          <w:rFonts w:hint="eastAsia" w:ascii="宋体" w:hAnsi="宋体"/>
          <w:color w:val="auto"/>
          <w:sz w:val="24"/>
          <w:szCs w:val="20"/>
          <w:highlight w:val="none"/>
        </w:rPr>
        <w:t>本公司（联合体）郑重声明，根据《政府采购促进中小企业发展管理办法》（财库﹝2020﹞46 号）的规定，本公司（联合体）参加</w:t>
      </w:r>
      <w:r>
        <w:rPr>
          <w:rFonts w:hint="eastAsia" w:ascii="宋体" w:hAnsi="宋体"/>
          <w:color w:val="auto"/>
          <w:sz w:val="24"/>
          <w:szCs w:val="20"/>
          <w:highlight w:val="none"/>
          <w:u w:val="single"/>
        </w:rPr>
        <w:t xml:space="preserve">    （单位名称）</w:t>
      </w:r>
      <w:r>
        <w:rPr>
          <w:rFonts w:hint="eastAsia" w:ascii="宋体" w:hAnsi="宋体" w:cs="仿宋"/>
          <w:color w:val="auto"/>
          <w:kern w:val="0"/>
          <w:sz w:val="24"/>
          <w:szCs w:val="24"/>
          <w:highlight w:val="none"/>
          <w:lang w:bidi="ar"/>
        </w:rPr>
        <w:t>的</w:t>
      </w:r>
      <w:r>
        <w:rPr>
          <w:rFonts w:hint="eastAsia" w:ascii="宋体" w:hAnsi="宋体" w:cs="仿宋"/>
          <w:color w:val="auto"/>
          <w:kern w:val="0"/>
          <w:sz w:val="24"/>
          <w:szCs w:val="24"/>
          <w:highlight w:val="none"/>
          <w:u w:val="single"/>
          <w:lang w:bidi="ar"/>
        </w:rPr>
        <w:t xml:space="preserve"> </w:t>
      </w:r>
      <w:r>
        <w:rPr>
          <w:rFonts w:hint="eastAsia" w:ascii="宋体" w:hAnsi="宋体"/>
          <w:color w:val="auto"/>
          <w:sz w:val="24"/>
          <w:szCs w:val="20"/>
          <w:highlight w:val="none"/>
          <w:u w:val="single"/>
        </w:rPr>
        <w:t xml:space="preserve">   （项目名称）采</w:t>
      </w:r>
      <w:r>
        <w:rPr>
          <w:rFonts w:hint="eastAsia" w:ascii="宋体" w:hAnsi="宋体"/>
          <w:color w:val="auto"/>
          <w:sz w:val="24"/>
          <w:szCs w:val="20"/>
          <w:highlight w:val="none"/>
        </w:rPr>
        <w:t>购活动，提供的货物全部由符合政策要求的中小企业制造。相关企业（含联合体中的中小企业、签订分包意向协议的中小企业）的具体情况如下：</w:t>
      </w:r>
    </w:p>
    <w:p>
      <w:pPr>
        <w:widowControl/>
        <w:spacing w:before="100" w:beforeAutospacing="1" w:after="100" w:afterAutospacing="1" w:line="435" w:lineRule="exact"/>
        <w:ind w:firstLine="480" w:firstLineChars="200"/>
        <w:jc w:val="left"/>
        <w:rPr>
          <w:rFonts w:hint="eastAsia" w:ascii="宋体" w:hAnsi="宋体" w:cs="仿宋"/>
          <w:color w:val="auto"/>
          <w:sz w:val="24"/>
          <w:szCs w:val="24"/>
          <w:highlight w:val="none"/>
        </w:rPr>
      </w:pPr>
      <w:r>
        <w:rPr>
          <w:rFonts w:hint="eastAsia" w:ascii="宋体" w:hAnsi="宋体" w:cs="仿宋"/>
          <w:color w:val="auto"/>
          <w:kern w:val="0"/>
          <w:sz w:val="24"/>
          <w:szCs w:val="24"/>
          <w:highlight w:val="none"/>
          <w:lang w:bidi="ar"/>
        </w:rPr>
        <w:t>1</w:t>
      </w:r>
      <w:r>
        <w:rPr>
          <w:rFonts w:hint="eastAsia" w:ascii="宋体" w:hAnsi="宋体"/>
          <w:color w:val="auto"/>
          <w:sz w:val="24"/>
          <w:szCs w:val="20"/>
          <w:highlight w:val="none"/>
          <w:u w:val="single"/>
        </w:rPr>
        <w:t xml:space="preserve">.     </w:t>
      </w:r>
      <w:r>
        <w:rPr>
          <w:rFonts w:hint="eastAsia" w:ascii="宋体" w:hAnsi="宋体" w:cs="仿宋"/>
          <w:color w:val="auto"/>
          <w:kern w:val="0"/>
          <w:sz w:val="24"/>
          <w:szCs w:val="24"/>
          <w:highlight w:val="none"/>
          <w:u w:val="single"/>
          <w:lang w:bidi="ar"/>
        </w:rPr>
        <w:t>（</w:t>
      </w:r>
      <w:r>
        <w:rPr>
          <w:rFonts w:hint="eastAsia" w:ascii="宋体" w:hAnsi="宋体"/>
          <w:color w:val="auto"/>
          <w:sz w:val="24"/>
          <w:szCs w:val="20"/>
          <w:highlight w:val="none"/>
          <w:u w:val="single"/>
        </w:rPr>
        <w:t>标的名称）</w:t>
      </w:r>
      <w:r>
        <w:rPr>
          <w:rFonts w:hint="eastAsia" w:ascii="宋体" w:hAnsi="宋体" w:cs="仿宋"/>
          <w:color w:val="auto"/>
          <w:kern w:val="0"/>
          <w:sz w:val="24"/>
          <w:szCs w:val="24"/>
          <w:highlight w:val="none"/>
          <w:lang w:bidi="ar"/>
        </w:rPr>
        <w:t>，属于</w:t>
      </w:r>
      <w:r>
        <w:rPr>
          <w:rFonts w:hint="eastAsia" w:ascii="宋体" w:hAnsi="宋体"/>
          <w:color w:val="auto"/>
          <w:sz w:val="24"/>
          <w:szCs w:val="20"/>
          <w:highlight w:val="none"/>
          <w:u w:val="single"/>
        </w:rPr>
        <w:t xml:space="preserve">     （采购文件中明确的所属行业）</w:t>
      </w:r>
      <w:r>
        <w:rPr>
          <w:rFonts w:hint="eastAsia" w:ascii="宋体" w:hAnsi="宋体" w:cs="仿宋"/>
          <w:color w:val="auto"/>
          <w:kern w:val="0"/>
          <w:sz w:val="24"/>
          <w:szCs w:val="24"/>
          <w:highlight w:val="none"/>
          <w:lang w:bidi="ar"/>
        </w:rPr>
        <w:t>行业；</w:t>
      </w:r>
      <w:r>
        <w:rPr>
          <w:rFonts w:hint="eastAsia" w:ascii="宋体" w:hAnsi="宋体"/>
          <w:color w:val="auto"/>
          <w:sz w:val="24"/>
          <w:szCs w:val="20"/>
          <w:highlight w:val="none"/>
        </w:rPr>
        <w:t xml:space="preserve">制造商为 </w:t>
      </w:r>
      <w:r>
        <w:rPr>
          <w:rFonts w:hint="eastAsia" w:ascii="宋体" w:hAnsi="宋体"/>
          <w:color w:val="auto"/>
          <w:sz w:val="24"/>
          <w:szCs w:val="20"/>
          <w:highlight w:val="none"/>
          <w:u w:val="single"/>
        </w:rPr>
        <w:t xml:space="preserve">         （企业名称）</w:t>
      </w:r>
      <w:r>
        <w:rPr>
          <w:rFonts w:hint="eastAsia" w:ascii="宋体" w:hAnsi="宋体" w:cs="仿宋"/>
          <w:color w:val="auto"/>
          <w:kern w:val="0"/>
          <w:sz w:val="24"/>
          <w:szCs w:val="24"/>
          <w:highlight w:val="none"/>
          <w:lang w:bidi="ar"/>
        </w:rPr>
        <w:t>，</w:t>
      </w:r>
      <w:r>
        <w:rPr>
          <w:rFonts w:hint="eastAsia" w:ascii="宋体" w:hAnsi="宋体"/>
          <w:color w:val="auto"/>
          <w:sz w:val="24"/>
          <w:szCs w:val="20"/>
          <w:highlight w:val="none"/>
        </w:rPr>
        <w:t>从业人员</w:t>
      </w:r>
      <w:r>
        <w:rPr>
          <w:rFonts w:hint="eastAsia" w:ascii="宋体" w:hAnsi="宋体" w:cs="仿宋"/>
          <w:color w:val="auto"/>
          <w:kern w:val="0"/>
          <w:sz w:val="24"/>
          <w:szCs w:val="24"/>
          <w:highlight w:val="none"/>
          <w:u w:val="single"/>
          <w:lang w:bidi="ar"/>
        </w:rPr>
        <w:t xml:space="preserve">    </w:t>
      </w:r>
      <w:r>
        <w:rPr>
          <w:rFonts w:hint="eastAsia" w:ascii="宋体" w:hAnsi="宋体" w:cs="仿宋"/>
          <w:color w:val="auto"/>
          <w:kern w:val="0"/>
          <w:sz w:val="24"/>
          <w:szCs w:val="24"/>
          <w:highlight w:val="none"/>
          <w:lang w:bidi="ar"/>
        </w:rPr>
        <w:t>人，</w:t>
      </w:r>
      <w:r>
        <w:rPr>
          <w:rFonts w:hint="eastAsia" w:ascii="宋体" w:hAnsi="宋体"/>
          <w:color w:val="auto"/>
          <w:sz w:val="24"/>
          <w:szCs w:val="20"/>
          <w:highlight w:val="none"/>
        </w:rPr>
        <w:t>营业收入为</w:t>
      </w:r>
      <w:r>
        <w:rPr>
          <w:rFonts w:hint="eastAsia" w:ascii="宋体" w:hAnsi="宋体" w:cs="仿宋"/>
          <w:color w:val="auto"/>
          <w:kern w:val="0"/>
          <w:sz w:val="24"/>
          <w:szCs w:val="24"/>
          <w:highlight w:val="none"/>
          <w:u w:val="single"/>
          <w:lang w:bidi="ar"/>
        </w:rPr>
        <w:t xml:space="preserve">    </w:t>
      </w:r>
      <w:r>
        <w:rPr>
          <w:rFonts w:hint="eastAsia" w:ascii="宋体" w:hAnsi="宋体" w:cs="仿宋"/>
          <w:color w:val="auto"/>
          <w:kern w:val="0"/>
          <w:sz w:val="24"/>
          <w:szCs w:val="24"/>
          <w:highlight w:val="none"/>
          <w:lang w:bidi="ar"/>
        </w:rPr>
        <w:t>万元，</w:t>
      </w:r>
      <w:r>
        <w:rPr>
          <w:rFonts w:hint="eastAsia" w:ascii="宋体" w:hAnsi="宋体"/>
          <w:color w:val="auto"/>
          <w:sz w:val="24"/>
          <w:szCs w:val="20"/>
          <w:highlight w:val="none"/>
        </w:rPr>
        <w:t>资产总额为</w:t>
      </w:r>
      <w:r>
        <w:rPr>
          <w:rFonts w:hint="eastAsia" w:ascii="宋体" w:hAnsi="宋体" w:cs="仿宋"/>
          <w:color w:val="auto"/>
          <w:kern w:val="0"/>
          <w:sz w:val="24"/>
          <w:szCs w:val="24"/>
          <w:highlight w:val="none"/>
          <w:u w:val="single"/>
          <w:lang w:bidi="ar"/>
        </w:rPr>
        <w:t xml:space="preserve">   </w:t>
      </w:r>
      <w:r>
        <w:rPr>
          <w:rFonts w:hint="eastAsia" w:ascii="宋体" w:hAnsi="宋体" w:cs="仿宋"/>
          <w:color w:val="auto"/>
          <w:kern w:val="0"/>
          <w:sz w:val="24"/>
          <w:szCs w:val="24"/>
          <w:highlight w:val="none"/>
          <w:lang w:bidi="ar"/>
        </w:rPr>
        <w:t>万</w:t>
      </w:r>
      <w:r>
        <w:rPr>
          <w:rFonts w:hint="eastAsia" w:ascii="宋体" w:hAnsi="宋体"/>
          <w:color w:val="auto"/>
          <w:sz w:val="24"/>
          <w:szCs w:val="20"/>
          <w:highlight w:val="none"/>
        </w:rPr>
        <w:t>元，属于</w:t>
      </w:r>
      <w:r>
        <w:rPr>
          <w:rFonts w:hint="eastAsia" w:ascii="宋体" w:hAnsi="宋体"/>
          <w:color w:val="auto"/>
          <w:sz w:val="24"/>
          <w:szCs w:val="20"/>
          <w:highlight w:val="none"/>
          <w:u w:val="single"/>
        </w:rPr>
        <w:t xml:space="preserve">     （中型企业、小型企业、微型企业）</w:t>
      </w:r>
      <w:r>
        <w:rPr>
          <w:rFonts w:hint="eastAsia" w:ascii="宋体" w:hAnsi="宋体" w:cs="仿宋"/>
          <w:color w:val="auto"/>
          <w:kern w:val="0"/>
          <w:sz w:val="24"/>
          <w:szCs w:val="24"/>
          <w:highlight w:val="none"/>
          <w:lang w:bidi="ar"/>
        </w:rPr>
        <w:t>；</w:t>
      </w:r>
    </w:p>
    <w:p>
      <w:pPr>
        <w:widowControl/>
        <w:spacing w:before="100" w:beforeAutospacing="1" w:after="100" w:afterAutospacing="1" w:line="435" w:lineRule="exact"/>
        <w:ind w:firstLine="480" w:firstLineChars="200"/>
        <w:jc w:val="left"/>
        <w:rPr>
          <w:rFonts w:hint="eastAsia" w:ascii="宋体" w:hAnsi="宋体" w:cs="仿宋"/>
          <w:color w:val="auto"/>
          <w:sz w:val="24"/>
          <w:szCs w:val="24"/>
          <w:highlight w:val="none"/>
        </w:rPr>
      </w:pPr>
      <w:r>
        <w:rPr>
          <w:rFonts w:hint="eastAsia" w:ascii="宋体" w:hAnsi="宋体" w:cs="仿宋"/>
          <w:color w:val="auto"/>
          <w:kern w:val="0"/>
          <w:sz w:val="24"/>
          <w:szCs w:val="24"/>
          <w:highlight w:val="none"/>
          <w:lang w:bidi="ar"/>
        </w:rPr>
        <w:t>2</w:t>
      </w:r>
      <w:r>
        <w:rPr>
          <w:rFonts w:hint="eastAsia" w:ascii="宋体" w:hAnsi="宋体"/>
          <w:color w:val="auto"/>
          <w:sz w:val="24"/>
          <w:szCs w:val="20"/>
          <w:highlight w:val="none"/>
          <w:u w:val="single"/>
        </w:rPr>
        <w:t xml:space="preserve">.     </w:t>
      </w:r>
      <w:r>
        <w:rPr>
          <w:rFonts w:hint="eastAsia" w:ascii="宋体" w:hAnsi="宋体" w:cs="仿宋"/>
          <w:color w:val="auto"/>
          <w:kern w:val="0"/>
          <w:sz w:val="24"/>
          <w:szCs w:val="24"/>
          <w:highlight w:val="none"/>
          <w:u w:val="single"/>
          <w:lang w:bidi="ar"/>
        </w:rPr>
        <w:t>（</w:t>
      </w:r>
      <w:r>
        <w:rPr>
          <w:rFonts w:hint="eastAsia" w:ascii="宋体" w:hAnsi="宋体"/>
          <w:color w:val="auto"/>
          <w:sz w:val="24"/>
          <w:szCs w:val="20"/>
          <w:highlight w:val="none"/>
          <w:u w:val="single"/>
        </w:rPr>
        <w:t>标的名称）</w:t>
      </w:r>
      <w:r>
        <w:rPr>
          <w:rFonts w:hint="eastAsia" w:ascii="宋体" w:hAnsi="宋体" w:cs="仿宋"/>
          <w:color w:val="auto"/>
          <w:kern w:val="0"/>
          <w:sz w:val="24"/>
          <w:szCs w:val="24"/>
          <w:highlight w:val="none"/>
          <w:lang w:bidi="ar"/>
        </w:rPr>
        <w:t>，属于</w:t>
      </w:r>
      <w:r>
        <w:rPr>
          <w:rFonts w:hint="eastAsia" w:ascii="宋体" w:hAnsi="宋体"/>
          <w:color w:val="auto"/>
          <w:sz w:val="24"/>
          <w:szCs w:val="20"/>
          <w:highlight w:val="none"/>
          <w:u w:val="single"/>
        </w:rPr>
        <w:t xml:space="preserve">     （采购文件中明确的所属行业）</w:t>
      </w:r>
      <w:r>
        <w:rPr>
          <w:rFonts w:hint="eastAsia" w:ascii="宋体" w:hAnsi="宋体" w:cs="仿宋"/>
          <w:color w:val="auto"/>
          <w:kern w:val="0"/>
          <w:sz w:val="24"/>
          <w:szCs w:val="24"/>
          <w:highlight w:val="none"/>
          <w:lang w:bidi="ar"/>
        </w:rPr>
        <w:t>行业；</w:t>
      </w:r>
      <w:r>
        <w:rPr>
          <w:rFonts w:hint="eastAsia" w:ascii="宋体" w:hAnsi="宋体"/>
          <w:color w:val="auto"/>
          <w:sz w:val="24"/>
          <w:szCs w:val="20"/>
          <w:highlight w:val="none"/>
        </w:rPr>
        <w:t xml:space="preserve">制造商为 </w:t>
      </w:r>
      <w:r>
        <w:rPr>
          <w:rFonts w:hint="eastAsia" w:ascii="宋体" w:hAnsi="宋体"/>
          <w:color w:val="auto"/>
          <w:sz w:val="24"/>
          <w:szCs w:val="20"/>
          <w:highlight w:val="none"/>
          <w:u w:val="single"/>
        </w:rPr>
        <w:t xml:space="preserve">         （企业名称）</w:t>
      </w:r>
      <w:r>
        <w:rPr>
          <w:rFonts w:hint="eastAsia" w:ascii="宋体" w:hAnsi="宋体" w:cs="仿宋"/>
          <w:color w:val="auto"/>
          <w:kern w:val="0"/>
          <w:sz w:val="24"/>
          <w:szCs w:val="24"/>
          <w:highlight w:val="none"/>
          <w:lang w:bidi="ar"/>
        </w:rPr>
        <w:t>，</w:t>
      </w:r>
      <w:r>
        <w:rPr>
          <w:rFonts w:hint="eastAsia" w:ascii="宋体" w:hAnsi="宋体"/>
          <w:color w:val="auto"/>
          <w:sz w:val="24"/>
          <w:szCs w:val="20"/>
          <w:highlight w:val="none"/>
        </w:rPr>
        <w:t>从业人员</w:t>
      </w:r>
      <w:r>
        <w:rPr>
          <w:rFonts w:hint="eastAsia" w:ascii="宋体" w:hAnsi="宋体" w:cs="仿宋"/>
          <w:color w:val="auto"/>
          <w:kern w:val="0"/>
          <w:sz w:val="24"/>
          <w:szCs w:val="24"/>
          <w:highlight w:val="none"/>
          <w:u w:val="single"/>
          <w:lang w:bidi="ar"/>
        </w:rPr>
        <w:t xml:space="preserve">    </w:t>
      </w:r>
      <w:r>
        <w:rPr>
          <w:rFonts w:hint="eastAsia" w:ascii="宋体" w:hAnsi="宋体" w:cs="仿宋"/>
          <w:color w:val="auto"/>
          <w:kern w:val="0"/>
          <w:sz w:val="24"/>
          <w:szCs w:val="24"/>
          <w:highlight w:val="none"/>
          <w:lang w:bidi="ar"/>
        </w:rPr>
        <w:t>人，</w:t>
      </w:r>
      <w:r>
        <w:rPr>
          <w:rFonts w:hint="eastAsia" w:ascii="宋体" w:hAnsi="宋体"/>
          <w:color w:val="auto"/>
          <w:sz w:val="24"/>
          <w:szCs w:val="20"/>
          <w:highlight w:val="none"/>
        </w:rPr>
        <w:t>营业收入为</w:t>
      </w:r>
      <w:r>
        <w:rPr>
          <w:rFonts w:hint="eastAsia" w:ascii="宋体" w:hAnsi="宋体" w:cs="仿宋"/>
          <w:color w:val="auto"/>
          <w:kern w:val="0"/>
          <w:sz w:val="24"/>
          <w:szCs w:val="24"/>
          <w:highlight w:val="none"/>
          <w:u w:val="single"/>
          <w:lang w:bidi="ar"/>
        </w:rPr>
        <w:t xml:space="preserve">    </w:t>
      </w:r>
      <w:r>
        <w:rPr>
          <w:rFonts w:hint="eastAsia" w:ascii="宋体" w:hAnsi="宋体" w:cs="仿宋"/>
          <w:color w:val="auto"/>
          <w:kern w:val="0"/>
          <w:sz w:val="24"/>
          <w:szCs w:val="24"/>
          <w:highlight w:val="none"/>
          <w:lang w:bidi="ar"/>
        </w:rPr>
        <w:t>万元，</w:t>
      </w:r>
      <w:r>
        <w:rPr>
          <w:rFonts w:hint="eastAsia" w:ascii="宋体" w:hAnsi="宋体"/>
          <w:color w:val="auto"/>
          <w:sz w:val="24"/>
          <w:szCs w:val="20"/>
          <w:highlight w:val="none"/>
        </w:rPr>
        <w:t>资产总额为</w:t>
      </w:r>
      <w:r>
        <w:rPr>
          <w:rFonts w:hint="eastAsia" w:ascii="宋体" w:hAnsi="宋体" w:cs="仿宋"/>
          <w:color w:val="auto"/>
          <w:kern w:val="0"/>
          <w:sz w:val="24"/>
          <w:szCs w:val="24"/>
          <w:highlight w:val="none"/>
          <w:u w:val="single"/>
          <w:lang w:bidi="ar"/>
        </w:rPr>
        <w:t xml:space="preserve">   </w:t>
      </w:r>
      <w:r>
        <w:rPr>
          <w:rFonts w:hint="eastAsia" w:ascii="宋体" w:hAnsi="宋体" w:cs="仿宋"/>
          <w:color w:val="auto"/>
          <w:kern w:val="0"/>
          <w:sz w:val="24"/>
          <w:szCs w:val="24"/>
          <w:highlight w:val="none"/>
          <w:lang w:bidi="ar"/>
        </w:rPr>
        <w:t>万</w:t>
      </w:r>
      <w:r>
        <w:rPr>
          <w:rFonts w:hint="eastAsia" w:ascii="宋体" w:hAnsi="宋体"/>
          <w:color w:val="auto"/>
          <w:sz w:val="24"/>
          <w:szCs w:val="20"/>
          <w:highlight w:val="none"/>
        </w:rPr>
        <w:t>元，属于</w:t>
      </w:r>
      <w:r>
        <w:rPr>
          <w:rFonts w:hint="eastAsia" w:ascii="宋体" w:hAnsi="宋体"/>
          <w:color w:val="auto"/>
          <w:sz w:val="24"/>
          <w:szCs w:val="20"/>
          <w:highlight w:val="none"/>
          <w:u w:val="single"/>
        </w:rPr>
        <w:t xml:space="preserve">     （中型企业、小型企业、微型企业）</w:t>
      </w:r>
      <w:r>
        <w:rPr>
          <w:rFonts w:hint="eastAsia" w:ascii="宋体" w:hAnsi="宋体" w:cs="仿宋"/>
          <w:color w:val="auto"/>
          <w:kern w:val="0"/>
          <w:sz w:val="24"/>
          <w:szCs w:val="24"/>
          <w:highlight w:val="none"/>
          <w:lang w:bidi="ar"/>
        </w:rPr>
        <w:t>；</w:t>
      </w:r>
    </w:p>
    <w:p>
      <w:pPr>
        <w:widowControl/>
        <w:spacing w:before="100" w:beforeAutospacing="1" w:after="100" w:afterAutospacing="1" w:line="435" w:lineRule="exact"/>
        <w:ind w:firstLine="480" w:firstLineChars="200"/>
        <w:jc w:val="left"/>
        <w:rPr>
          <w:rFonts w:hint="eastAsia" w:ascii="宋体" w:hAnsi="宋体" w:cs="仿宋"/>
          <w:color w:val="auto"/>
          <w:sz w:val="24"/>
          <w:szCs w:val="24"/>
          <w:highlight w:val="none"/>
        </w:rPr>
      </w:pPr>
      <w:r>
        <w:rPr>
          <w:rFonts w:hint="eastAsia" w:ascii="宋体" w:hAnsi="宋体" w:cs="仿宋"/>
          <w:color w:val="auto"/>
          <w:kern w:val="0"/>
          <w:sz w:val="24"/>
          <w:szCs w:val="24"/>
          <w:highlight w:val="none"/>
          <w:lang w:bidi="ar"/>
        </w:rPr>
        <w:t>……</w:t>
      </w:r>
    </w:p>
    <w:p>
      <w:pPr>
        <w:widowControl/>
        <w:spacing w:before="100" w:beforeAutospacing="1" w:after="100" w:afterAutospacing="1" w:line="435" w:lineRule="exact"/>
        <w:ind w:firstLine="480" w:firstLineChars="200"/>
        <w:jc w:val="left"/>
        <w:rPr>
          <w:rFonts w:hint="eastAsia" w:ascii="宋体" w:hAnsi="宋体"/>
          <w:color w:val="auto"/>
          <w:sz w:val="24"/>
          <w:szCs w:val="20"/>
          <w:highlight w:val="none"/>
        </w:rPr>
      </w:pPr>
      <w:r>
        <w:rPr>
          <w:rFonts w:hint="eastAsia" w:ascii="宋体" w:hAnsi="宋体"/>
          <w:color w:val="auto"/>
          <w:sz w:val="24"/>
          <w:szCs w:val="20"/>
          <w:highlight w:val="none"/>
        </w:rPr>
        <w:t>以上企业，不属于大企业的分支机构，不存在控股股东为大企业的情形，也不存在与大企业的负责人为同一人的情形。</w:t>
      </w:r>
    </w:p>
    <w:p>
      <w:pPr>
        <w:widowControl/>
        <w:spacing w:before="100" w:beforeAutospacing="1" w:after="100" w:afterAutospacing="1" w:line="435" w:lineRule="exact"/>
        <w:ind w:firstLine="480" w:firstLineChars="200"/>
        <w:jc w:val="left"/>
        <w:rPr>
          <w:rFonts w:hint="eastAsia" w:ascii="宋体" w:hAnsi="宋体"/>
          <w:color w:val="auto"/>
          <w:sz w:val="24"/>
          <w:szCs w:val="20"/>
          <w:highlight w:val="none"/>
        </w:rPr>
      </w:pPr>
      <w:r>
        <w:rPr>
          <w:rFonts w:hint="eastAsia" w:ascii="宋体" w:hAnsi="宋体"/>
          <w:color w:val="auto"/>
          <w:sz w:val="24"/>
          <w:szCs w:val="20"/>
          <w:highlight w:val="none"/>
        </w:rPr>
        <w:t>本企业对上述声明内容的真实性负责。如有虚假，将依法承担相应责任。</w:t>
      </w:r>
    </w:p>
    <w:p>
      <w:pPr>
        <w:widowControl/>
        <w:spacing w:before="100" w:beforeAutospacing="1" w:after="100" w:afterAutospacing="1" w:line="435" w:lineRule="exact"/>
        <w:ind w:right="1920" w:firstLine="480" w:firstLineChars="200"/>
        <w:jc w:val="right"/>
        <w:rPr>
          <w:rFonts w:hint="eastAsia" w:ascii="宋体" w:hAnsi="宋体"/>
          <w:color w:val="auto"/>
          <w:sz w:val="24"/>
          <w:szCs w:val="20"/>
          <w:highlight w:val="none"/>
        </w:rPr>
      </w:pPr>
      <w:r>
        <w:rPr>
          <w:rFonts w:hint="eastAsia" w:ascii="宋体" w:hAnsi="宋体"/>
          <w:color w:val="auto"/>
          <w:sz w:val="24"/>
          <w:szCs w:val="20"/>
          <w:highlight w:val="none"/>
        </w:rPr>
        <w:t>企业名称（盖章）：</w:t>
      </w:r>
    </w:p>
    <w:p>
      <w:pPr>
        <w:widowControl/>
        <w:spacing w:before="100" w:beforeAutospacing="1" w:after="100" w:afterAutospacing="1" w:line="435" w:lineRule="exact"/>
        <w:ind w:right="2400" w:firstLine="480" w:firstLineChars="200"/>
        <w:jc w:val="right"/>
        <w:rPr>
          <w:rFonts w:hint="eastAsia" w:ascii="宋体" w:hAnsi="宋体"/>
          <w:color w:val="auto"/>
          <w:sz w:val="24"/>
          <w:szCs w:val="20"/>
          <w:highlight w:val="none"/>
        </w:rPr>
      </w:pPr>
      <w:r>
        <w:rPr>
          <w:rFonts w:hint="eastAsia" w:ascii="宋体" w:hAnsi="宋体"/>
          <w:color w:val="auto"/>
          <w:sz w:val="24"/>
          <w:szCs w:val="20"/>
          <w:highlight w:val="none"/>
        </w:rPr>
        <w:t>日 期：</w:t>
      </w:r>
    </w:p>
    <w:p>
      <w:pPr>
        <w:autoSpaceDE w:val="0"/>
        <w:autoSpaceDN w:val="0"/>
        <w:adjustRightInd w:val="0"/>
        <w:spacing w:line="420" w:lineRule="auto"/>
        <w:ind w:firstLine="422" w:firstLineChars="200"/>
        <w:jc w:val="left"/>
        <w:rPr>
          <w:rFonts w:hint="eastAsia" w:ascii="宋体" w:hAnsi="宋体"/>
          <w:color w:val="auto"/>
          <w:szCs w:val="21"/>
          <w:highlight w:val="none"/>
        </w:rPr>
      </w:pPr>
      <w:r>
        <w:rPr>
          <w:rFonts w:hint="eastAsia" w:ascii="宋体" w:hAnsi="宋体"/>
          <w:b/>
          <w:bCs/>
          <w:color w:val="auto"/>
          <w:szCs w:val="21"/>
          <w:highlight w:val="none"/>
          <w:vertAlign w:val="superscript"/>
        </w:rPr>
        <w:t>1</w:t>
      </w:r>
      <w:r>
        <w:rPr>
          <w:rFonts w:hint="eastAsia" w:ascii="宋体" w:hAnsi="宋体"/>
          <w:color w:val="auto"/>
          <w:szCs w:val="21"/>
          <w:highlight w:val="none"/>
        </w:rPr>
        <w:t>从业人员、营业收入、资产总额填报上一年度数据，无上一年度数据的新成立企业可不填报。</w:t>
      </w:r>
    </w:p>
    <w:p>
      <w:pPr>
        <w:autoSpaceDE w:val="0"/>
        <w:autoSpaceDN w:val="0"/>
        <w:adjustRightInd w:val="0"/>
        <w:spacing w:line="360" w:lineRule="auto"/>
        <w:ind w:firstLine="422" w:firstLineChars="200"/>
        <w:jc w:val="left"/>
        <w:rPr>
          <w:rFonts w:hint="eastAsia" w:ascii="宋体" w:hAnsi="宋体"/>
          <w:b/>
          <w:bCs/>
          <w:color w:val="auto"/>
          <w:szCs w:val="21"/>
          <w:highlight w:val="none"/>
        </w:rPr>
      </w:pPr>
      <w:r>
        <w:rPr>
          <w:rFonts w:hint="eastAsia" w:ascii="宋体" w:hAnsi="宋体"/>
          <w:b/>
          <w:bCs/>
          <w:color w:val="auto"/>
          <w:szCs w:val="21"/>
          <w:highlight w:val="none"/>
        </w:rPr>
        <w:t>备注：</w:t>
      </w:r>
    </w:p>
    <w:p>
      <w:pPr>
        <w:numPr>
          <w:ilvl w:val="0"/>
          <w:numId w:val="17"/>
        </w:numPr>
        <w:autoSpaceDE w:val="0"/>
        <w:autoSpaceDN w:val="0"/>
        <w:adjustRightInd w:val="0"/>
        <w:spacing w:line="360" w:lineRule="auto"/>
        <w:ind w:firstLine="422" w:firstLineChars="200"/>
        <w:jc w:val="left"/>
        <w:rPr>
          <w:rFonts w:hint="eastAsia" w:ascii="宋体" w:hAnsi="宋体"/>
          <w:color w:val="auto"/>
          <w:szCs w:val="21"/>
          <w:highlight w:val="none"/>
        </w:rPr>
      </w:pPr>
      <w:r>
        <w:rPr>
          <w:rFonts w:hint="eastAsia" w:ascii="宋体" w:hAnsi="宋体"/>
          <w:b/>
          <w:bCs/>
          <w:color w:val="auto"/>
          <w:szCs w:val="21"/>
          <w:highlight w:val="none"/>
        </w:rPr>
        <w:t>如供应商所投货物的制造商均为中小企业的，须由供应商在响应文件中提供加盖本单位公章的</w:t>
      </w:r>
      <w:r>
        <w:rPr>
          <w:rFonts w:hint="eastAsia" w:ascii="宋体" w:hAnsi="宋体"/>
          <w:b/>
          <w:color w:val="auto"/>
          <w:szCs w:val="21"/>
          <w:highlight w:val="none"/>
        </w:rPr>
        <w:t>声明</w:t>
      </w:r>
      <w:r>
        <w:rPr>
          <w:rFonts w:hint="eastAsia" w:ascii="宋体" w:hAnsi="宋体"/>
          <w:b/>
          <w:bCs/>
          <w:color w:val="auto"/>
          <w:szCs w:val="21"/>
          <w:highlight w:val="none"/>
        </w:rPr>
        <w:t>函，供应商应从制造商处获得充分、准确的信息，并对其出具的《中小企业声明函》真实性负责。</w:t>
      </w:r>
    </w:p>
    <w:p>
      <w:pPr>
        <w:pStyle w:val="126"/>
        <w:spacing w:before="151" w:after="151" w:line="600" w:lineRule="exact"/>
        <w:jc w:val="center"/>
        <w:rPr>
          <w:rFonts w:hint="eastAsia" w:ascii="宋体" w:hAnsi="宋体"/>
          <w:b/>
          <w:bCs/>
          <w:color w:val="auto"/>
          <w:sz w:val="32"/>
          <w:szCs w:val="32"/>
          <w:highlight w:val="none"/>
        </w:rPr>
      </w:pPr>
      <w:r>
        <w:rPr>
          <w:rFonts w:hint="eastAsia" w:ascii="宋体" w:hAnsi="宋体" w:cs="宋体"/>
          <w:b/>
          <w:bCs/>
          <w:color w:val="auto"/>
          <w:sz w:val="32"/>
          <w:szCs w:val="32"/>
          <w:highlight w:val="none"/>
        </w:rPr>
        <w:br w:type="page"/>
      </w:r>
      <w:r>
        <w:rPr>
          <w:rFonts w:hint="eastAsia" w:ascii="宋体" w:hAnsi="宋体"/>
          <w:b/>
          <w:bCs/>
          <w:color w:val="auto"/>
          <w:sz w:val="32"/>
          <w:szCs w:val="32"/>
          <w:highlight w:val="none"/>
        </w:rPr>
        <w:t>残疾人福利性单位声明函</w:t>
      </w:r>
    </w:p>
    <w:p>
      <w:pPr>
        <w:pStyle w:val="127"/>
        <w:spacing w:line="588" w:lineRule="exact"/>
        <w:rPr>
          <w:rFonts w:hint="eastAsia" w:ascii="宋体" w:hAnsi="宋体"/>
          <w:b/>
          <w:color w:val="auto"/>
          <w:spacing w:val="6"/>
          <w:sz w:val="30"/>
          <w:szCs w:val="30"/>
          <w:highlight w:val="none"/>
        </w:rPr>
      </w:pPr>
    </w:p>
    <w:p>
      <w:pPr>
        <w:pStyle w:val="126"/>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p>
    <w:p>
      <w:pPr>
        <w:pStyle w:val="126"/>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本单位对上述声明的真实性负责。如有虚假，将依法承担相应责任。</w:t>
      </w:r>
    </w:p>
    <w:p>
      <w:pPr>
        <w:pStyle w:val="127"/>
        <w:spacing w:line="588" w:lineRule="exact"/>
        <w:ind w:firstLine="504" w:firstLineChars="200"/>
        <w:rPr>
          <w:rFonts w:hint="eastAsia" w:ascii="宋体" w:hAnsi="宋体"/>
          <w:color w:val="auto"/>
          <w:spacing w:val="6"/>
          <w:sz w:val="24"/>
          <w:szCs w:val="24"/>
          <w:highlight w:val="none"/>
        </w:rPr>
      </w:pPr>
    </w:p>
    <w:p>
      <w:pPr>
        <w:pStyle w:val="127"/>
        <w:spacing w:line="588" w:lineRule="exact"/>
        <w:ind w:firstLine="504" w:firstLineChars="200"/>
        <w:rPr>
          <w:rFonts w:hint="eastAsia" w:ascii="宋体" w:hAnsi="宋体"/>
          <w:color w:val="auto"/>
          <w:spacing w:val="6"/>
          <w:sz w:val="24"/>
          <w:szCs w:val="24"/>
          <w:highlight w:val="none"/>
        </w:rPr>
      </w:pPr>
    </w:p>
    <w:p>
      <w:pPr>
        <w:pStyle w:val="107"/>
        <w:spacing w:line="700" w:lineRule="exact"/>
        <w:ind w:firstLine="629"/>
        <w:rPr>
          <w:rFonts w:hint="eastAsia" w:ascii="宋体" w:hAnsi="宋体"/>
          <w:color w:val="auto"/>
          <w:sz w:val="24"/>
          <w:highlight w:val="none"/>
          <w:u w:val="single"/>
        </w:rPr>
      </w:pPr>
      <w:r>
        <w:rPr>
          <w:rFonts w:hint="eastAsia" w:ascii="宋体" w:hAnsi="宋体"/>
          <w:color w:val="auto"/>
          <w:sz w:val="24"/>
          <w:highlight w:val="none"/>
        </w:rPr>
        <w:t>单位名称：（盖章）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p>
    <w:p>
      <w:pPr>
        <w:pStyle w:val="107"/>
        <w:spacing w:line="700" w:lineRule="exact"/>
        <w:ind w:firstLine="629"/>
        <w:rPr>
          <w:rFonts w:hint="eastAsia" w:ascii="宋体" w:hAnsi="宋体"/>
          <w:color w:val="auto"/>
          <w:sz w:val="24"/>
          <w:highlight w:val="none"/>
        </w:rPr>
      </w:pPr>
      <w:r>
        <w:rPr>
          <w:rFonts w:hint="eastAsia" w:ascii="宋体" w:hAnsi="宋体"/>
          <w:color w:val="auto"/>
          <w:sz w:val="24"/>
          <w:highlight w:val="none"/>
        </w:rPr>
        <w:t>法定代表人（或授权代表）：（签字）</w:t>
      </w:r>
      <w:r>
        <w:rPr>
          <w:rFonts w:hint="eastAsia" w:ascii="宋体" w:hAnsi="宋体"/>
          <w:color w:val="auto"/>
          <w:sz w:val="24"/>
          <w:highlight w:val="none"/>
          <w:u w:val="single"/>
        </w:rPr>
        <w:t xml:space="preserve">              </w:t>
      </w:r>
    </w:p>
    <w:p>
      <w:pPr>
        <w:pStyle w:val="128"/>
        <w:ind w:firstLine="720" w:firstLineChars="300"/>
        <w:rPr>
          <w:rFonts w:hint="eastAsia" w:ascii="宋体" w:hAnsi="宋体"/>
          <w:color w:val="auto"/>
          <w:sz w:val="24"/>
          <w:highlight w:val="none"/>
          <w:u w:val="single"/>
        </w:rPr>
      </w:pPr>
    </w:p>
    <w:p>
      <w:pPr>
        <w:pStyle w:val="128"/>
        <w:ind w:firstLine="4320" w:firstLineChars="1800"/>
        <w:rPr>
          <w:rFonts w:hint="eastAsia" w:ascii="宋体" w:hAnsi="宋体"/>
          <w:color w:val="auto"/>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pPr>
        <w:pStyle w:val="129"/>
        <w:rPr>
          <w:rFonts w:ascii="宋体" w:hAnsi="宋体" w:eastAsia="宋体"/>
          <w:color w:val="auto"/>
          <w:highlight w:val="none"/>
        </w:rPr>
      </w:pPr>
    </w:p>
    <w:p>
      <w:pPr>
        <w:pStyle w:val="126"/>
        <w:rPr>
          <w:rFonts w:hint="eastAsia" w:ascii="宋体" w:hAnsi="宋体"/>
          <w:color w:val="auto"/>
          <w:highlight w:val="none"/>
        </w:rPr>
      </w:pPr>
      <w:r>
        <w:rPr>
          <w:rFonts w:hint="eastAsia" w:ascii="宋体" w:hAnsi="宋体"/>
          <w:color w:val="auto"/>
          <w:highlight w:val="none"/>
        </w:rPr>
        <w:t>注：1、残疾人福利性单位应完整填写此函并提供相关证明材料；</w:t>
      </w:r>
    </w:p>
    <w:p>
      <w:pPr>
        <w:pStyle w:val="126"/>
        <w:ind w:firstLine="420" w:firstLineChars="200"/>
        <w:rPr>
          <w:rFonts w:hint="eastAsia" w:ascii="宋体" w:hAnsi="宋体"/>
          <w:color w:val="auto"/>
          <w:highlight w:val="none"/>
        </w:rPr>
      </w:pPr>
      <w:r>
        <w:rPr>
          <w:rFonts w:hint="eastAsia" w:ascii="宋体" w:hAnsi="宋体"/>
          <w:color w:val="auto"/>
          <w:highlight w:val="none"/>
        </w:rPr>
        <w:t>2、非残疾人福利性单位不需提供此声明函</w:t>
      </w:r>
    </w:p>
    <w:p>
      <w:pPr>
        <w:pStyle w:val="129"/>
        <w:outlineLvl w:val="1"/>
        <w:rPr>
          <w:rFonts w:ascii="宋体" w:hAnsi="宋体" w:eastAsia="宋体"/>
          <w:color w:val="auto"/>
          <w:highlight w:val="none"/>
        </w:rPr>
      </w:pPr>
      <w:r>
        <w:rPr>
          <w:rFonts w:ascii="宋体" w:hAnsi="宋体" w:eastAsia="宋体"/>
          <w:color w:val="auto"/>
          <w:highlight w:val="none"/>
        </w:rPr>
        <w:br w:type="page"/>
      </w:r>
      <w:bookmarkStart w:id="135" w:name="_Toc514054497"/>
      <w:bookmarkStart w:id="136" w:name="_Toc16234"/>
      <w:r>
        <w:rPr>
          <w:rFonts w:ascii="宋体" w:hAnsi="宋体" w:eastAsia="宋体"/>
          <w:color w:val="auto"/>
          <w:highlight w:val="none"/>
        </w:rPr>
        <w:t>十二、响应偏差表</w:t>
      </w:r>
      <w:bookmarkEnd w:id="135"/>
      <w:bookmarkEnd w:id="136"/>
    </w:p>
    <w:p>
      <w:pPr>
        <w:pStyle w:val="130"/>
        <w:jc w:val="center"/>
        <w:rPr>
          <w:rFonts w:hint="eastAsia" w:ascii="宋体" w:hAnsi="宋体"/>
          <w:color w:val="auto"/>
          <w:sz w:val="32"/>
          <w:szCs w:val="32"/>
          <w:highlight w:val="none"/>
        </w:rPr>
      </w:pPr>
      <w:bookmarkStart w:id="137" w:name="_Toc29509_WPSOffice_Level2"/>
      <w:r>
        <w:rPr>
          <w:rFonts w:hint="eastAsia" w:ascii="宋体" w:hAnsi="宋体"/>
          <w:color w:val="auto"/>
          <w:sz w:val="32"/>
          <w:szCs w:val="32"/>
          <w:highlight w:val="none"/>
        </w:rPr>
        <w:t>（一）投标技术响应偏差表</w:t>
      </w:r>
      <w:bookmarkEnd w:id="137"/>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3"/>
        <w:gridCol w:w="2682"/>
        <w:gridCol w:w="26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noWrap w:val="0"/>
            <w:vAlign w:val="center"/>
          </w:tcPr>
          <w:p>
            <w:pPr>
              <w:pStyle w:val="130"/>
              <w:widowControl/>
              <w:adjustRightInd w:val="0"/>
              <w:snapToGrid w:val="0"/>
              <w:spacing w:before="100" w:beforeAutospacing="1" w:line="560" w:lineRule="exact"/>
              <w:jc w:val="center"/>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招标文件内容</w:t>
            </w: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widowControl/>
              <w:adjustRightInd w:val="0"/>
              <w:snapToGrid w:val="0"/>
              <w:spacing w:before="100" w:beforeAutospacing="1" w:line="560" w:lineRule="exact"/>
              <w:jc w:val="center"/>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投标文件内容</w:t>
            </w: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widowControl/>
              <w:adjustRightInd w:val="0"/>
              <w:snapToGrid w:val="0"/>
              <w:spacing w:before="100" w:beforeAutospacing="1" w:line="560" w:lineRule="exact"/>
              <w:jc w:val="center"/>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偏差内容及说明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r>
    </w:tbl>
    <w:p>
      <w:pPr>
        <w:pStyle w:val="107"/>
        <w:spacing w:line="700" w:lineRule="exact"/>
        <w:ind w:firstLine="629"/>
        <w:rPr>
          <w:rFonts w:hint="eastAsia" w:ascii="宋体" w:hAnsi="宋体"/>
          <w:color w:val="auto"/>
          <w:sz w:val="24"/>
          <w:highlight w:val="none"/>
          <w:u w:val="single"/>
        </w:rPr>
      </w:pPr>
      <w:r>
        <w:rPr>
          <w:rFonts w:hint="eastAsia" w:ascii="宋体" w:hAnsi="宋体"/>
          <w:color w:val="auto"/>
          <w:sz w:val="24"/>
          <w:highlight w:val="none"/>
        </w:rPr>
        <w:t>单位名称：（盖章）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p>
    <w:p>
      <w:pPr>
        <w:pStyle w:val="107"/>
        <w:spacing w:line="700" w:lineRule="exact"/>
        <w:ind w:firstLine="629"/>
        <w:rPr>
          <w:rFonts w:hint="eastAsia" w:ascii="宋体" w:hAnsi="宋体"/>
          <w:color w:val="auto"/>
          <w:sz w:val="24"/>
          <w:highlight w:val="none"/>
        </w:rPr>
      </w:pPr>
      <w:r>
        <w:rPr>
          <w:rFonts w:hint="eastAsia" w:ascii="宋体" w:hAnsi="宋体"/>
          <w:color w:val="auto"/>
          <w:sz w:val="24"/>
          <w:highlight w:val="none"/>
        </w:rPr>
        <w:t>法定代表人（或授权代表）：（签字）</w:t>
      </w:r>
      <w:r>
        <w:rPr>
          <w:rFonts w:hint="eastAsia" w:ascii="宋体" w:hAnsi="宋体"/>
          <w:color w:val="auto"/>
          <w:sz w:val="24"/>
          <w:highlight w:val="none"/>
          <w:u w:val="single"/>
        </w:rPr>
        <w:t xml:space="preserve">              </w:t>
      </w:r>
    </w:p>
    <w:p>
      <w:pPr>
        <w:pStyle w:val="132"/>
        <w:ind w:firstLine="482"/>
        <w:rPr>
          <w:rFonts w:hint="eastAsia" w:hAnsi="宋体"/>
          <w:b/>
          <w:bCs/>
          <w:color w:val="auto"/>
          <w:sz w:val="24"/>
          <w:szCs w:val="28"/>
          <w:highlight w:val="none"/>
        </w:rPr>
      </w:pPr>
    </w:p>
    <w:p>
      <w:pPr>
        <w:pStyle w:val="132"/>
        <w:rPr>
          <w:rFonts w:hint="eastAsia" w:hAnsi="宋体"/>
          <w:b/>
          <w:bCs/>
          <w:color w:val="auto"/>
          <w:sz w:val="24"/>
          <w:szCs w:val="28"/>
          <w:highlight w:val="none"/>
        </w:rPr>
      </w:pPr>
      <w:r>
        <w:rPr>
          <w:rFonts w:hint="eastAsia" w:hAnsi="宋体"/>
          <w:b/>
          <w:bCs/>
          <w:color w:val="auto"/>
          <w:sz w:val="24"/>
          <w:szCs w:val="28"/>
          <w:highlight w:val="none"/>
        </w:rPr>
        <w:t>1、凡投标文件中所投货物或服务与招标文件有偏差的（包括正偏差，负偏差），均应在此表中详细列出并说明理由。第四部分技术要求须逐条应答。</w:t>
      </w:r>
    </w:p>
    <w:p>
      <w:pPr>
        <w:pStyle w:val="130"/>
        <w:adjustRightInd w:val="0"/>
        <w:snapToGrid w:val="0"/>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2、投标人所投产品如与招标文件要求的规格及配置不一致，则须在上表偏离说明中详细注明。</w:t>
      </w:r>
    </w:p>
    <w:p>
      <w:pPr>
        <w:pStyle w:val="133"/>
        <w:rPr>
          <w:rFonts w:hint="eastAsia" w:ascii="宋体" w:hAnsi="宋体"/>
          <w:color w:val="auto"/>
          <w:highlight w:val="none"/>
        </w:rPr>
      </w:pPr>
      <w:r>
        <w:rPr>
          <w:rFonts w:hint="eastAsia" w:ascii="宋体" w:hAnsi="宋体"/>
          <w:b/>
          <w:bCs/>
          <w:color w:val="auto"/>
          <w:sz w:val="24"/>
          <w:szCs w:val="28"/>
          <w:highlight w:val="none"/>
        </w:rPr>
        <w:t>3、响应部分可后附详细说明及技术资料，并注明投标文件中对应的页码范围。</w:t>
      </w:r>
    </w:p>
    <w:p>
      <w:pPr>
        <w:pStyle w:val="134"/>
        <w:jc w:val="center"/>
        <w:rPr>
          <w:rFonts w:hint="eastAsia" w:ascii="宋体" w:hAnsi="宋体" w:eastAsia="宋体"/>
          <w:color w:val="auto"/>
          <w:highlight w:val="none"/>
          <w:lang w:eastAsia="zh-CN"/>
        </w:rPr>
      </w:pPr>
    </w:p>
    <w:p>
      <w:pPr>
        <w:pStyle w:val="134"/>
        <w:jc w:val="center"/>
        <w:rPr>
          <w:rFonts w:hint="eastAsia" w:ascii="宋体" w:hAnsi="宋体" w:eastAsia="宋体"/>
          <w:color w:val="auto"/>
          <w:highlight w:val="none"/>
          <w:lang w:eastAsia="zh-CN"/>
        </w:rPr>
      </w:pPr>
    </w:p>
    <w:p>
      <w:pPr>
        <w:pStyle w:val="134"/>
        <w:jc w:val="center"/>
        <w:outlineLvl w:val="1"/>
        <w:rPr>
          <w:rFonts w:hint="eastAsia" w:ascii="宋体" w:hAnsi="宋体" w:eastAsia="宋体"/>
          <w:color w:val="auto"/>
          <w:highlight w:val="none"/>
          <w:lang w:eastAsia="zh-CN"/>
        </w:rPr>
      </w:pPr>
      <w:bookmarkStart w:id="138" w:name="_Toc9396"/>
      <w:bookmarkStart w:id="139" w:name="_Toc3171_WPSOffice_Level2"/>
      <w:bookmarkStart w:id="140" w:name="_Toc514054498"/>
      <w:r>
        <w:rPr>
          <w:rFonts w:hint="eastAsia" w:ascii="宋体" w:hAnsi="宋体" w:eastAsia="宋体"/>
          <w:color w:val="auto"/>
          <w:highlight w:val="none"/>
          <w:lang w:eastAsia="zh-CN"/>
        </w:rPr>
        <w:t>（二）投标商务偏离表</w:t>
      </w:r>
      <w:bookmarkEnd w:id="138"/>
      <w:bookmarkEnd w:id="139"/>
      <w:bookmarkEnd w:id="140"/>
    </w:p>
    <w:p>
      <w:pPr>
        <w:pStyle w:val="134"/>
        <w:outlineLvl w:val="1"/>
        <w:rPr>
          <w:rFonts w:hint="eastAsia" w:ascii="宋体" w:hAnsi="宋体" w:eastAsia="宋体"/>
          <w:color w:val="auto"/>
          <w:highlight w:val="none"/>
          <w:lang w:eastAsia="zh-CN"/>
        </w:rPr>
      </w:pPr>
      <w:bookmarkStart w:id="141" w:name="_Toc19062"/>
      <w:bookmarkStart w:id="142" w:name="_Toc27869_WPSOffice_Level1"/>
      <w:bookmarkStart w:id="143" w:name="_Toc514054499"/>
      <w:r>
        <w:rPr>
          <w:rFonts w:hint="eastAsia" w:ascii="宋体" w:hAnsi="宋体" w:eastAsia="宋体"/>
          <w:color w:val="auto"/>
          <w:highlight w:val="none"/>
          <w:lang w:eastAsia="zh-CN"/>
        </w:rPr>
        <w:t>（付款方式、交货期</w:t>
      </w:r>
      <w:r>
        <w:rPr>
          <w:rFonts w:hint="eastAsia" w:ascii="宋体" w:hAnsi="宋体" w:eastAsia="宋体"/>
          <w:color w:val="auto"/>
          <w:highlight w:val="none"/>
          <w:lang w:val="en-US" w:eastAsia="zh-CN"/>
        </w:rPr>
        <w:t>等</w:t>
      </w:r>
      <w:r>
        <w:rPr>
          <w:rFonts w:hint="eastAsia" w:ascii="宋体" w:hAnsi="宋体" w:eastAsia="宋体"/>
          <w:color w:val="auto"/>
          <w:highlight w:val="none"/>
          <w:lang w:eastAsia="zh-CN"/>
        </w:rPr>
        <w:t>须</w:t>
      </w:r>
      <w:r>
        <w:rPr>
          <w:rFonts w:hint="eastAsia" w:ascii="宋体" w:hAnsi="宋体" w:eastAsia="宋体"/>
          <w:color w:val="auto"/>
          <w:highlight w:val="none"/>
          <w:lang w:val="en-US" w:eastAsia="zh-CN"/>
        </w:rPr>
        <w:t>逐条</w:t>
      </w:r>
      <w:r>
        <w:rPr>
          <w:rFonts w:hint="eastAsia" w:ascii="宋体" w:hAnsi="宋体" w:eastAsia="宋体"/>
          <w:color w:val="auto"/>
          <w:highlight w:val="none"/>
          <w:lang w:eastAsia="zh-CN"/>
        </w:rPr>
        <w:t>应答，</w:t>
      </w:r>
      <w:r>
        <w:rPr>
          <w:rFonts w:hint="eastAsia" w:ascii="宋体" w:hAnsi="宋体" w:eastAsia="宋体"/>
          <w:color w:val="auto"/>
          <w:highlight w:val="none"/>
          <w:lang w:val="en-US" w:eastAsia="zh-CN"/>
        </w:rPr>
        <w:t>且不可负偏差</w:t>
      </w:r>
      <w:r>
        <w:rPr>
          <w:rFonts w:hint="eastAsia" w:ascii="宋体" w:hAnsi="宋体" w:eastAsia="宋体"/>
          <w:color w:val="auto"/>
          <w:highlight w:val="none"/>
          <w:lang w:eastAsia="zh-CN"/>
        </w:rPr>
        <w:t>）</w:t>
      </w:r>
      <w:bookmarkEnd w:id="141"/>
      <w:bookmarkEnd w:id="142"/>
      <w:bookmarkEnd w:id="143"/>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3"/>
        <w:gridCol w:w="2682"/>
        <w:gridCol w:w="26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noWrap w:val="0"/>
            <w:vAlign w:val="center"/>
          </w:tcPr>
          <w:p>
            <w:pPr>
              <w:pStyle w:val="130"/>
              <w:widowControl/>
              <w:adjustRightInd w:val="0"/>
              <w:snapToGrid w:val="0"/>
              <w:spacing w:before="100" w:beforeAutospacing="1" w:line="560" w:lineRule="exact"/>
              <w:jc w:val="center"/>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招标文件内容</w:t>
            </w: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widowControl/>
              <w:adjustRightInd w:val="0"/>
              <w:snapToGrid w:val="0"/>
              <w:spacing w:before="100" w:beforeAutospacing="1" w:line="560" w:lineRule="exact"/>
              <w:jc w:val="center"/>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投标文件内容</w:t>
            </w: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widowControl/>
              <w:adjustRightInd w:val="0"/>
              <w:snapToGrid w:val="0"/>
              <w:spacing w:before="100" w:beforeAutospacing="1" w:line="560" w:lineRule="exact"/>
              <w:jc w:val="center"/>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偏差内容及说明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noWrap w:val="0"/>
            <w:vAlign w:val="center"/>
          </w:tcPr>
          <w:p>
            <w:pPr>
              <w:pStyle w:val="130"/>
              <w:spacing w:line="560" w:lineRule="exact"/>
              <w:jc w:val="center"/>
              <w:rPr>
                <w:rFonts w:ascii="宋体" w:hAnsi="宋体" w:eastAsia="宋体" w:cs="Times New Roman"/>
                <w:color w:val="auto"/>
                <w:sz w:val="24"/>
                <w:highlight w:val="none"/>
              </w:rPr>
            </w:pPr>
          </w:p>
        </w:tc>
      </w:tr>
    </w:tbl>
    <w:p>
      <w:pPr>
        <w:pStyle w:val="107"/>
        <w:spacing w:line="700" w:lineRule="exact"/>
        <w:ind w:firstLine="629"/>
        <w:rPr>
          <w:rFonts w:hint="eastAsia" w:ascii="宋体" w:hAnsi="宋体"/>
          <w:color w:val="auto"/>
          <w:sz w:val="24"/>
          <w:highlight w:val="none"/>
          <w:u w:val="single"/>
        </w:rPr>
      </w:pPr>
      <w:r>
        <w:rPr>
          <w:rFonts w:hint="eastAsia" w:ascii="宋体" w:hAnsi="宋体"/>
          <w:color w:val="auto"/>
          <w:sz w:val="24"/>
          <w:highlight w:val="none"/>
        </w:rPr>
        <w:t>单位名称：（盖章）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p>
    <w:p>
      <w:pPr>
        <w:pStyle w:val="107"/>
        <w:spacing w:line="700" w:lineRule="exact"/>
        <w:ind w:firstLine="629"/>
        <w:rPr>
          <w:rFonts w:hint="eastAsia" w:ascii="宋体" w:hAnsi="宋体"/>
          <w:color w:val="auto"/>
          <w:sz w:val="24"/>
          <w:highlight w:val="none"/>
        </w:rPr>
      </w:pPr>
      <w:r>
        <w:rPr>
          <w:rFonts w:hint="eastAsia" w:ascii="宋体" w:hAnsi="宋体"/>
          <w:color w:val="auto"/>
          <w:sz w:val="24"/>
          <w:highlight w:val="none"/>
        </w:rPr>
        <w:t>法定代表人（或授权代表）：（签字）</w:t>
      </w:r>
      <w:r>
        <w:rPr>
          <w:rFonts w:hint="eastAsia" w:ascii="宋体" w:hAnsi="宋体"/>
          <w:color w:val="auto"/>
          <w:sz w:val="24"/>
          <w:highlight w:val="none"/>
          <w:u w:val="single"/>
        </w:rPr>
        <w:t xml:space="preserve">              </w:t>
      </w:r>
    </w:p>
    <w:p>
      <w:pPr>
        <w:pStyle w:val="132"/>
        <w:ind w:firstLine="482"/>
        <w:rPr>
          <w:rFonts w:hint="eastAsia" w:hAnsi="宋体"/>
          <w:b/>
          <w:bCs/>
          <w:color w:val="auto"/>
          <w:sz w:val="24"/>
          <w:szCs w:val="28"/>
          <w:highlight w:val="none"/>
        </w:rPr>
      </w:pPr>
    </w:p>
    <w:p>
      <w:pPr>
        <w:pStyle w:val="132"/>
        <w:rPr>
          <w:rFonts w:hint="eastAsia" w:hAnsi="宋体"/>
          <w:b/>
          <w:bCs/>
          <w:color w:val="auto"/>
          <w:sz w:val="24"/>
          <w:szCs w:val="28"/>
          <w:highlight w:val="none"/>
        </w:rPr>
      </w:pPr>
      <w:r>
        <w:rPr>
          <w:rFonts w:hint="eastAsia" w:hAnsi="宋体"/>
          <w:b/>
          <w:bCs/>
          <w:color w:val="auto"/>
          <w:sz w:val="24"/>
          <w:szCs w:val="28"/>
          <w:highlight w:val="none"/>
        </w:rPr>
        <w:t>1、凡投标文件中所投货物或服务与招标文件有偏差的（包括正偏差，负偏差），均应在此表中详细列出并说明理由，须点对点应答。</w:t>
      </w:r>
    </w:p>
    <w:p>
      <w:pPr>
        <w:pStyle w:val="130"/>
        <w:adjustRightInd w:val="0"/>
        <w:snapToGrid w:val="0"/>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2、投标人商务条件如与招标文件要求的不一致，则须在上表偏离说明中详细注明。</w:t>
      </w:r>
    </w:p>
    <w:p>
      <w:pPr>
        <w:pStyle w:val="134"/>
        <w:outlineLvl w:val="1"/>
        <w:rPr>
          <w:rFonts w:ascii="宋体" w:hAnsi="宋体" w:eastAsia="宋体"/>
          <w:color w:val="auto"/>
          <w:highlight w:val="none"/>
        </w:rPr>
      </w:pPr>
      <w:bookmarkStart w:id="144" w:name="_Toc514054500"/>
      <w:r>
        <w:rPr>
          <w:rFonts w:ascii="宋体" w:hAnsi="宋体" w:eastAsia="宋体"/>
          <w:color w:val="auto"/>
          <w:highlight w:val="none"/>
        </w:rPr>
        <w:br w:type="page"/>
      </w:r>
      <w:bookmarkStart w:id="145" w:name="_Toc14591"/>
      <w:r>
        <w:rPr>
          <w:rFonts w:ascii="宋体" w:hAnsi="宋体" w:eastAsia="宋体"/>
          <w:color w:val="auto"/>
          <w:highlight w:val="none"/>
        </w:rPr>
        <w:t>十三、所投产品技术资料或样本等</w:t>
      </w:r>
      <w:bookmarkEnd w:id="144"/>
      <w:bookmarkEnd w:id="145"/>
    </w:p>
    <w:p>
      <w:pPr>
        <w:pStyle w:val="135"/>
        <w:rPr>
          <w:rFonts w:hint="eastAsia" w:ascii="宋体" w:hAnsi="宋体"/>
          <w:color w:val="auto"/>
          <w:szCs w:val="21"/>
          <w:highlight w:val="none"/>
        </w:rPr>
      </w:pPr>
      <w:r>
        <w:rPr>
          <w:rFonts w:hint="eastAsia" w:ascii="宋体" w:hAnsi="宋体"/>
          <w:bCs/>
          <w:color w:val="auto"/>
          <w:szCs w:val="21"/>
          <w:highlight w:val="none"/>
        </w:rPr>
        <w:t>格式自拟，可附相关产品技术彩页</w:t>
      </w:r>
    </w:p>
    <w:p>
      <w:pPr>
        <w:pStyle w:val="136"/>
        <w:outlineLvl w:val="1"/>
        <w:rPr>
          <w:rFonts w:ascii="宋体" w:hAnsi="宋体" w:eastAsia="宋体"/>
          <w:color w:val="auto"/>
          <w:highlight w:val="none"/>
        </w:rPr>
      </w:pPr>
      <w:r>
        <w:rPr>
          <w:rFonts w:ascii="宋体" w:hAnsi="宋体" w:eastAsia="宋体"/>
          <w:color w:val="auto"/>
          <w:highlight w:val="none"/>
        </w:rPr>
        <w:br w:type="page"/>
      </w:r>
      <w:bookmarkStart w:id="146" w:name="_Toc514054501"/>
      <w:bookmarkStart w:id="147" w:name="_Toc27623"/>
      <w:bookmarkStart w:id="148" w:name="_Toc23522_WPSOffice_Level2"/>
      <w:r>
        <w:rPr>
          <w:rFonts w:ascii="宋体" w:hAnsi="宋体" w:eastAsia="宋体"/>
          <w:color w:val="auto"/>
          <w:highlight w:val="none"/>
        </w:rPr>
        <w:t>十四、主要部件、辅材明细表</w:t>
      </w:r>
      <w:bookmarkEnd w:id="146"/>
      <w:bookmarkEnd w:id="147"/>
      <w:bookmarkEnd w:id="148"/>
    </w:p>
    <w:p>
      <w:pPr>
        <w:pStyle w:val="137"/>
        <w:rPr>
          <w:rFonts w:hint="eastAsia" w:ascii="宋体" w:hAnsi="宋体"/>
          <w:color w:val="auto"/>
          <w:highlight w:val="none"/>
        </w:rPr>
      </w:pPr>
    </w:p>
    <w:tbl>
      <w:tblPr>
        <w:tblStyle w:val="63"/>
        <w:tblpPr w:leftFromText="180" w:rightFromText="180" w:vertAnchor="text" w:horzAnchor="margin" w:tblpY="3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3"/>
        <w:gridCol w:w="1260"/>
        <w:gridCol w:w="1080"/>
        <w:gridCol w:w="1440"/>
        <w:gridCol w:w="1974"/>
        <w:gridCol w:w="1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453"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主要部件及辅材</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品牌</w:t>
            </w:r>
          </w:p>
        </w:tc>
        <w:tc>
          <w:tcPr>
            <w:tcW w:w="1080"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产地</w:t>
            </w:r>
          </w:p>
        </w:tc>
        <w:tc>
          <w:tcPr>
            <w:tcW w:w="1440"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生产厂家</w:t>
            </w:r>
          </w:p>
        </w:tc>
        <w:tc>
          <w:tcPr>
            <w:tcW w:w="1974"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主要技术参数</w:t>
            </w:r>
          </w:p>
        </w:tc>
        <w:tc>
          <w:tcPr>
            <w:tcW w:w="1901"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质保期满后优惠价格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453"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974"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901"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453"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974"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901"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453"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974"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901"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5" w:hRule="atLeast"/>
        </w:trPr>
        <w:tc>
          <w:tcPr>
            <w:tcW w:w="1453"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974"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901"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453"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974"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901"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453"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974"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901"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453"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974"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rPr>
                <w:rFonts w:ascii="宋体" w:hAnsi="宋体" w:eastAsia="宋体" w:cs="Times New Roman"/>
                <w:color w:val="auto"/>
                <w:sz w:val="24"/>
                <w:szCs w:val="22"/>
                <w:highlight w:val="none"/>
              </w:rPr>
            </w:pPr>
          </w:p>
        </w:tc>
        <w:tc>
          <w:tcPr>
            <w:tcW w:w="1901"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rPr>
                <w:rFonts w:ascii="宋体" w:hAnsi="宋体" w:eastAsia="宋体" w:cs="Times New Roman"/>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453"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974"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rPr>
                <w:rFonts w:ascii="宋体" w:hAnsi="宋体" w:eastAsia="宋体" w:cs="Times New Roman"/>
                <w:color w:val="auto"/>
                <w:sz w:val="24"/>
                <w:szCs w:val="22"/>
                <w:highlight w:val="none"/>
              </w:rPr>
            </w:pPr>
          </w:p>
        </w:tc>
        <w:tc>
          <w:tcPr>
            <w:tcW w:w="1901"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rPr>
                <w:rFonts w:ascii="宋体" w:hAnsi="宋体" w:eastAsia="宋体" w:cs="Times New Roman"/>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453"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rPr>
                <w:rFonts w:ascii="宋体" w:hAnsi="宋体" w:eastAsia="宋体" w:cs="Times New Roman"/>
                <w:color w:val="auto"/>
                <w:sz w:val="24"/>
                <w:szCs w:val="22"/>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rPr>
                <w:rFonts w:ascii="宋体" w:hAnsi="宋体" w:eastAsia="宋体" w:cs="Times New Roman"/>
                <w:color w:val="auto"/>
                <w:sz w:val="24"/>
                <w:szCs w:val="22"/>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rPr>
                <w:rFonts w:ascii="宋体" w:hAnsi="宋体" w:eastAsia="宋体" w:cs="Times New Roman"/>
                <w:color w:val="auto"/>
                <w:sz w:val="24"/>
                <w:szCs w:val="22"/>
                <w:highlight w:val="none"/>
              </w:rPr>
            </w:pPr>
          </w:p>
        </w:tc>
        <w:tc>
          <w:tcPr>
            <w:tcW w:w="1974"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rPr>
                <w:rFonts w:ascii="宋体" w:hAnsi="宋体" w:eastAsia="宋体" w:cs="Times New Roman"/>
                <w:color w:val="auto"/>
                <w:sz w:val="24"/>
                <w:szCs w:val="22"/>
                <w:highlight w:val="none"/>
              </w:rPr>
            </w:pPr>
          </w:p>
        </w:tc>
        <w:tc>
          <w:tcPr>
            <w:tcW w:w="1901"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rPr>
                <w:rFonts w:ascii="宋体" w:hAnsi="宋体" w:eastAsia="宋体" w:cs="Times New Roman"/>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453"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rPr>
                <w:rFonts w:ascii="宋体" w:hAnsi="宋体" w:eastAsia="宋体" w:cs="Times New Roman"/>
                <w:color w:val="auto"/>
                <w:sz w:val="24"/>
                <w:szCs w:val="22"/>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rPr>
                <w:rFonts w:ascii="宋体" w:hAnsi="宋体" w:eastAsia="宋体" w:cs="Times New Roman"/>
                <w:color w:val="auto"/>
                <w:sz w:val="24"/>
                <w:szCs w:val="22"/>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rPr>
                <w:rFonts w:ascii="宋体" w:hAnsi="宋体" w:eastAsia="宋体" w:cs="Times New Roman"/>
                <w:color w:val="auto"/>
                <w:sz w:val="24"/>
                <w:szCs w:val="22"/>
                <w:highlight w:val="none"/>
              </w:rPr>
            </w:pPr>
          </w:p>
        </w:tc>
        <w:tc>
          <w:tcPr>
            <w:tcW w:w="1974"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rPr>
                <w:rFonts w:ascii="宋体" w:hAnsi="宋体" w:eastAsia="宋体" w:cs="Times New Roman"/>
                <w:color w:val="auto"/>
                <w:sz w:val="24"/>
                <w:szCs w:val="22"/>
                <w:highlight w:val="none"/>
              </w:rPr>
            </w:pPr>
          </w:p>
        </w:tc>
        <w:tc>
          <w:tcPr>
            <w:tcW w:w="1901"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rPr>
                <w:rFonts w:ascii="宋体" w:hAnsi="宋体" w:eastAsia="宋体" w:cs="Times New Roman"/>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453"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rPr>
                <w:rFonts w:ascii="宋体" w:hAnsi="宋体" w:eastAsia="宋体" w:cs="Times New Roman"/>
                <w:color w:val="auto"/>
                <w:sz w:val="24"/>
                <w:szCs w:val="22"/>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rPr>
                <w:rFonts w:ascii="宋体" w:hAnsi="宋体" w:eastAsia="宋体" w:cs="Times New Roman"/>
                <w:color w:val="auto"/>
                <w:sz w:val="24"/>
                <w:szCs w:val="22"/>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rPr>
                <w:rFonts w:ascii="宋体" w:hAnsi="宋体" w:eastAsia="宋体" w:cs="Times New Roman"/>
                <w:color w:val="auto"/>
                <w:sz w:val="24"/>
                <w:szCs w:val="22"/>
                <w:highlight w:val="none"/>
              </w:rPr>
            </w:pPr>
          </w:p>
        </w:tc>
        <w:tc>
          <w:tcPr>
            <w:tcW w:w="1974"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rPr>
                <w:rFonts w:ascii="宋体" w:hAnsi="宋体" w:eastAsia="宋体" w:cs="Times New Roman"/>
                <w:color w:val="auto"/>
                <w:sz w:val="24"/>
                <w:szCs w:val="22"/>
                <w:highlight w:val="none"/>
              </w:rPr>
            </w:pPr>
          </w:p>
        </w:tc>
        <w:tc>
          <w:tcPr>
            <w:tcW w:w="1901"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rPr>
                <w:rFonts w:ascii="宋体" w:hAnsi="宋体" w:eastAsia="宋体" w:cs="Times New Roman"/>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453"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jc w:val="center"/>
              <w:rPr>
                <w:rFonts w:ascii="宋体" w:hAnsi="宋体" w:eastAsia="宋体" w:cs="Times New Roman"/>
                <w:color w:val="auto"/>
                <w:sz w:val="24"/>
                <w:szCs w:val="22"/>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rPr>
                <w:rFonts w:ascii="宋体" w:hAnsi="宋体" w:eastAsia="宋体" w:cs="Times New Roman"/>
                <w:color w:val="auto"/>
                <w:sz w:val="24"/>
                <w:szCs w:val="22"/>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rPr>
                <w:rFonts w:ascii="宋体" w:hAnsi="宋体" w:eastAsia="宋体" w:cs="Times New Roman"/>
                <w:color w:val="auto"/>
                <w:sz w:val="24"/>
                <w:szCs w:val="22"/>
                <w:highlight w:val="none"/>
              </w:rPr>
            </w:pPr>
          </w:p>
        </w:tc>
        <w:tc>
          <w:tcPr>
            <w:tcW w:w="1440"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rPr>
                <w:rFonts w:ascii="宋体" w:hAnsi="宋体" w:eastAsia="宋体" w:cs="Times New Roman"/>
                <w:color w:val="auto"/>
                <w:sz w:val="24"/>
                <w:szCs w:val="22"/>
                <w:highlight w:val="none"/>
              </w:rPr>
            </w:pPr>
          </w:p>
        </w:tc>
        <w:tc>
          <w:tcPr>
            <w:tcW w:w="1974"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rPr>
                <w:rFonts w:ascii="宋体" w:hAnsi="宋体" w:eastAsia="宋体" w:cs="Times New Roman"/>
                <w:color w:val="auto"/>
                <w:sz w:val="24"/>
                <w:szCs w:val="22"/>
                <w:highlight w:val="none"/>
              </w:rPr>
            </w:pPr>
          </w:p>
        </w:tc>
        <w:tc>
          <w:tcPr>
            <w:tcW w:w="1901" w:type="dxa"/>
            <w:tcBorders>
              <w:top w:val="single" w:color="auto" w:sz="4" w:space="0"/>
              <w:left w:val="single" w:color="auto" w:sz="4" w:space="0"/>
              <w:bottom w:val="single" w:color="auto" w:sz="4" w:space="0"/>
              <w:right w:val="single" w:color="auto" w:sz="4" w:space="0"/>
            </w:tcBorders>
            <w:noWrap w:val="0"/>
            <w:vAlign w:val="top"/>
          </w:tcPr>
          <w:p>
            <w:pPr>
              <w:pStyle w:val="138"/>
              <w:widowControl/>
              <w:adjustRightInd w:val="0"/>
              <w:snapToGrid w:val="0"/>
              <w:spacing w:before="100" w:beforeAutospacing="1" w:line="560" w:lineRule="exact"/>
              <w:rPr>
                <w:rFonts w:ascii="宋体" w:hAnsi="宋体" w:eastAsia="宋体" w:cs="Times New Roman"/>
                <w:color w:val="auto"/>
                <w:sz w:val="24"/>
                <w:szCs w:val="22"/>
                <w:highlight w:val="none"/>
              </w:rPr>
            </w:pPr>
          </w:p>
        </w:tc>
      </w:tr>
    </w:tbl>
    <w:p>
      <w:pPr>
        <w:pStyle w:val="138"/>
        <w:widowControl/>
        <w:adjustRightInd w:val="0"/>
        <w:snapToGrid w:val="0"/>
        <w:spacing w:before="100" w:beforeAutospacing="1" w:line="480" w:lineRule="exact"/>
        <w:ind w:left="-288" w:leftChars="-137" w:firstLine="285" w:firstLineChars="119"/>
        <w:rPr>
          <w:rFonts w:hint="eastAsia" w:ascii="宋体" w:hAnsi="宋体"/>
          <w:bCs/>
          <w:color w:val="auto"/>
          <w:sz w:val="24"/>
          <w:szCs w:val="22"/>
          <w:highlight w:val="none"/>
        </w:rPr>
      </w:pPr>
      <w:r>
        <w:rPr>
          <w:rFonts w:hint="eastAsia" w:ascii="宋体" w:hAnsi="宋体"/>
          <w:bCs/>
          <w:color w:val="auto"/>
          <w:sz w:val="24"/>
          <w:highlight w:val="none"/>
        </w:rPr>
        <w:t>注：投标人应将所投货物的主要部件、配件等材料的品牌、产地、相关参数、质保期满后的优惠价格等在表中空白处填列。</w:t>
      </w:r>
    </w:p>
    <w:p>
      <w:pPr>
        <w:pStyle w:val="138"/>
        <w:spacing w:line="560" w:lineRule="exact"/>
        <w:ind w:right="105" w:rightChars="50" w:firstLine="313" w:firstLineChars="98"/>
        <w:rPr>
          <w:rFonts w:hint="eastAsia" w:ascii="宋体" w:hAnsi="宋体"/>
          <w:color w:val="auto"/>
          <w:sz w:val="32"/>
          <w:szCs w:val="32"/>
          <w:highlight w:val="none"/>
        </w:rPr>
      </w:pPr>
    </w:p>
    <w:p>
      <w:pPr>
        <w:pStyle w:val="138"/>
        <w:spacing w:line="560" w:lineRule="exact"/>
        <w:ind w:right="105" w:rightChars="50" w:firstLine="313" w:firstLineChars="98"/>
        <w:rPr>
          <w:rFonts w:hint="eastAsia" w:ascii="宋体" w:hAnsi="宋体"/>
          <w:color w:val="auto"/>
          <w:sz w:val="32"/>
          <w:szCs w:val="32"/>
          <w:highlight w:val="none"/>
        </w:rPr>
      </w:pPr>
    </w:p>
    <w:p>
      <w:pPr>
        <w:pStyle w:val="107"/>
        <w:spacing w:line="700" w:lineRule="exact"/>
        <w:ind w:firstLine="629"/>
        <w:rPr>
          <w:rFonts w:hint="eastAsia" w:ascii="宋体" w:hAnsi="宋体"/>
          <w:color w:val="auto"/>
          <w:sz w:val="24"/>
          <w:highlight w:val="none"/>
          <w:u w:val="single"/>
        </w:rPr>
      </w:pPr>
      <w:r>
        <w:rPr>
          <w:rFonts w:hint="eastAsia" w:ascii="宋体" w:hAnsi="宋体"/>
          <w:color w:val="auto"/>
          <w:sz w:val="24"/>
          <w:highlight w:val="none"/>
        </w:rPr>
        <w:t>单位名称：（盖章）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p>
    <w:p>
      <w:pPr>
        <w:pStyle w:val="107"/>
        <w:spacing w:line="700" w:lineRule="exact"/>
        <w:ind w:firstLine="629"/>
        <w:rPr>
          <w:rFonts w:hint="eastAsia" w:ascii="宋体" w:hAnsi="宋体"/>
          <w:color w:val="auto"/>
          <w:sz w:val="24"/>
          <w:highlight w:val="none"/>
        </w:rPr>
      </w:pPr>
      <w:r>
        <w:rPr>
          <w:rFonts w:hint="eastAsia" w:ascii="宋体" w:hAnsi="宋体"/>
          <w:color w:val="auto"/>
          <w:sz w:val="24"/>
          <w:highlight w:val="none"/>
        </w:rPr>
        <w:t>法定代表人（或授权代表）：（签字）</w:t>
      </w:r>
      <w:r>
        <w:rPr>
          <w:rFonts w:hint="eastAsia" w:ascii="宋体" w:hAnsi="宋体"/>
          <w:color w:val="auto"/>
          <w:sz w:val="24"/>
          <w:highlight w:val="none"/>
          <w:u w:val="single"/>
        </w:rPr>
        <w:t xml:space="preserve">              </w:t>
      </w:r>
    </w:p>
    <w:p>
      <w:pPr>
        <w:pStyle w:val="139"/>
        <w:outlineLvl w:val="1"/>
        <w:rPr>
          <w:rFonts w:ascii="宋体" w:hAnsi="宋体" w:eastAsia="宋体"/>
          <w:color w:val="auto"/>
          <w:highlight w:val="none"/>
        </w:rPr>
      </w:pPr>
      <w:r>
        <w:rPr>
          <w:rFonts w:ascii="宋体" w:hAnsi="宋体" w:eastAsia="宋体"/>
          <w:color w:val="auto"/>
          <w:highlight w:val="none"/>
        </w:rPr>
        <w:br w:type="page"/>
      </w:r>
      <w:bookmarkStart w:id="149" w:name="_Toc25001_WPSOffice_Level2"/>
      <w:bookmarkStart w:id="150" w:name="_Toc15828"/>
      <w:bookmarkStart w:id="151" w:name="_Toc514054502"/>
      <w:r>
        <w:rPr>
          <w:rFonts w:ascii="宋体" w:hAnsi="宋体" w:eastAsia="宋体"/>
          <w:color w:val="auto"/>
          <w:highlight w:val="none"/>
        </w:rPr>
        <w:t>十五、</w:t>
      </w:r>
      <w:r>
        <w:rPr>
          <w:rFonts w:hint="eastAsia" w:ascii="宋体" w:hAnsi="宋体" w:eastAsia="宋体"/>
          <w:color w:val="auto"/>
          <w:highlight w:val="none"/>
          <w:lang w:val="en-US" w:eastAsia="zh-CN"/>
        </w:rPr>
        <w:t>服务</w:t>
      </w:r>
      <w:r>
        <w:rPr>
          <w:rFonts w:ascii="宋体" w:hAnsi="宋体" w:eastAsia="宋体"/>
          <w:color w:val="auto"/>
          <w:highlight w:val="none"/>
        </w:rPr>
        <w:t>方案</w:t>
      </w:r>
      <w:bookmarkEnd w:id="149"/>
      <w:bookmarkEnd w:id="150"/>
      <w:bookmarkEnd w:id="151"/>
    </w:p>
    <w:p>
      <w:pPr>
        <w:pStyle w:val="140"/>
        <w:spacing w:line="560" w:lineRule="exact"/>
        <w:jc w:val="center"/>
        <w:rPr>
          <w:rFonts w:hint="eastAsia" w:ascii="宋体" w:hAnsi="宋体"/>
          <w:b/>
          <w:bCs/>
          <w:color w:val="auto"/>
          <w:sz w:val="32"/>
          <w:szCs w:val="32"/>
          <w:highlight w:val="none"/>
        </w:rPr>
      </w:pPr>
      <w:bookmarkStart w:id="152" w:name="_Toc2882_WPSOffice_Level2"/>
      <w:r>
        <w:rPr>
          <w:rFonts w:hint="eastAsia" w:ascii="宋体" w:hAnsi="宋体"/>
          <w:b/>
          <w:bCs/>
          <w:color w:val="auto"/>
          <w:sz w:val="32"/>
          <w:szCs w:val="32"/>
          <w:highlight w:val="none"/>
        </w:rPr>
        <w:t>按照招标文件要求，格式自拟</w:t>
      </w:r>
      <w:bookmarkEnd w:id="152"/>
    </w:p>
    <w:p>
      <w:pPr>
        <w:pStyle w:val="141"/>
        <w:outlineLvl w:val="1"/>
        <w:rPr>
          <w:rFonts w:ascii="宋体" w:hAnsi="宋体" w:eastAsia="宋体"/>
          <w:color w:val="auto"/>
          <w:highlight w:val="none"/>
        </w:rPr>
      </w:pPr>
      <w:r>
        <w:rPr>
          <w:rFonts w:ascii="宋体" w:hAnsi="宋体" w:eastAsia="宋体"/>
          <w:color w:val="auto"/>
          <w:highlight w:val="none"/>
        </w:rPr>
        <w:br w:type="page"/>
      </w:r>
      <w:bookmarkStart w:id="153" w:name="_Toc5519"/>
      <w:bookmarkStart w:id="154" w:name="_Toc514054504"/>
      <w:bookmarkStart w:id="155" w:name="_Toc30208_WPSOffice_Level2"/>
      <w:r>
        <w:rPr>
          <w:rFonts w:ascii="宋体" w:hAnsi="宋体" w:eastAsia="宋体"/>
          <w:color w:val="auto"/>
          <w:highlight w:val="none"/>
        </w:rPr>
        <w:t>十</w:t>
      </w:r>
      <w:r>
        <w:rPr>
          <w:rFonts w:hint="eastAsia" w:ascii="宋体" w:hAnsi="宋体" w:eastAsia="宋体"/>
          <w:color w:val="auto"/>
          <w:highlight w:val="none"/>
          <w:lang w:val="en-US" w:eastAsia="zh-CN"/>
        </w:rPr>
        <w:t>六</w:t>
      </w:r>
      <w:r>
        <w:rPr>
          <w:rFonts w:ascii="宋体" w:hAnsi="宋体" w:eastAsia="宋体"/>
          <w:color w:val="auto"/>
          <w:highlight w:val="none"/>
        </w:rPr>
        <w:t>、投标人承担类似项目业绩一览表</w:t>
      </w:r>
      <w:bookmarkEnd w:id="153"/>
      <w:bookmarkEnd w:id="154"/>
      <w:bookmarkEnd w:id="155"/>
    </w:p>
    <w:p>
      <w:pPr>
        <w:pStyle w:val="142"/>
        <w:jc w:val="center"/>
        <w:rPr>
          <w:rFonts w:ascii="宋体" w:hAnsi="宋体"/>
          <w:b/>
          <w:color w:val="auto"/>
          <w:sz w:val="32"/>
          <w:szCs w:val="32"/>
          <w:highlight w:val="none"/>
        </w:rPr>
      </w:pPr>
      <w:bookmarkStart w:id="156" w:name="_Toc10294_WPSOffice_Level2"/>
      <w:r>
        <w:rPr>
          <w:rFonts w:hint="eastAsia" w:ascii="宋体" w:hAnsi="宋体"/>
          <w:b/>
          <w:color w:val="auto"/>
          <w:sz w:val="32"/>
          <w:szCs w:val="32"/>
          <w:highlight w:val="none"/>
        </w:rPr>
        <w:t>投标人承担类似项目业绩一览表</w:t>
      </w:r>
      <w:bookmarkEnd w:id="156"/>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3827"/>
        <w:gridCol w:w="2433"/>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229" w:type="dxa"/>
            <w:noWrap w:val="0"/>
            <w:vAlign w:val="top"/>
          </w:tcPr>
          <w:p>
            <w:pPr>
              <w:pStyle w:val="143"/>
              <w:spacing w:line="560" w:lineRule="exact"/>
              <w:jc w:val="center"/>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序号</w:t>
            </w:r>
          </w:p>
        </w:tc>
        <w:tc>
          <w:tcPr>
            <w:tcW w:w="3827" w:type="dxa"/>
            <w:noWrap w:val="0"/>
            <w:vAlign w:val="center"/>
          </w:tcPr>
          <w:p>
            <w:pPr>
              <w:pStyle w:val="143"/>
              <w:spacing w:line="560" w:lineRule="exact"/>
              <w:jc w:val="center"/>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项目名称</w:t>
            </w:r>
          </w:p>
        </w:tc>
        <w:tc>
          <w:tcPr>
            <w:tcW w:w="2433" w:type="dxa"/>
            <w:noWrap w:val="0"/>
            <w:vAlign w:val="center"/>
          </w:tcPr>
          <w:p>
            <w:pPr>
              <w:pStyle w:val="143"/>
              <w:spacing w:line="560" w:lineRule="exact"/>
              <w:jc w:val="center"/>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采购单位</w:t>
            </w:r>
          </w:p>
        </w:tc>
        <w:tc>
          <w:tcPr>
            <w:tcW w:w="1395" w:type="dxa"/>
            <w:noWrap w:val="0"/>
            <w:vAlign w:val="center"/>
          </w:tcPr>
          <w:p>
            <w:pPr>
              <w:pStyle w:val="143"/>
              <w:spacing w:line="560" w:lineRule="exact"/>
              <w:jc w:val="center"/>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合同金额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noWrap w:val="0"/>
            <w:vAlign w:val="top"/>
          </w:tcPr>
          <w:p>
            <w:pPr>
              <w:pStyle w:val="143"/>
              <w:spacing w:line="560" w:lineRule="exact"/>
              <w:jc w:val="center"/>
              <w:rPr>
                <w:rFonts w:ascii="宋体" w:hAnsi="宋体" w:eastAsia="宋体" w:cs="Times New Roman"/>
                <w:color w:val="auto"/>
                <w:sz w:val="28"/>
                <w:highlight w:val="none"/>
              </w:rPr>
            </w:pPr>
          </w:p>
        </w:tc>
        <w:tc>
          <w:tcPr>
            <w:tcW w:w="3827" w:type="dxa"/>
            <w:noWrap w:val="0"/>
            <w:vAlign w:val="center"/>
          </w:tcPr>
          <w:p>
            <w:pPr>
              <w:pStyle w:val="143"/>
              <w:spacing w:line="560" w:lineRule="exact"/>
              <w:jc w:val="center"/>
              <w:rPr>
                <w:rFonts w:ascii="宋体" w:hAnsi="宋体" w:eastAsia="宋体" w:cs="Times New Roman"/>
                <w:color w:val="auto"/>
                <w:sz w:val="28"/>
                <w:highlight w:val="none"/>
              </w:rPr>
            </w:pPr>
          </w:p>
        </w:tc>
        <w:tc>
          <w:tcPr>
            <w:tcW w:w="2433" w:type="dxa"/>
            <w:noWrap w:val="0"/>
            <w:vAlign w:val="center"/>
          </w:tcPr>
          <w:p>
            <w:pPr>
              <w:pStyle w:val="143"/>
              <w:spacing w:line="560" w:lineRule="exact"/>
              <w:jc w:val="center"/>
              <w:rPr>
                <w:rFonts w:ascii="宋体" w:hAnsi="宋体" w:eastAsia="宋体" w:cs="Times New Roman"/>
                <w:color w:val="auto"/>
                <w:sz w:val="28"/>
                <w:highlight w:val="none"/>
              </w:rPr>
            </w:pPr>
          </w:p>
        </w:tc>
        <w:tc>
          <w:tcPr>
            <w:tcW w:w="1395" w:type="dxa"/>
            <w:noWrap w:val="0"/>
            <w:vAlign w:val="center"/>
          </w:tcPr>
          <w:p>
            <w:pPr>
              <w:pStyle w:val="143"/>
              <w:spacing w:line="560" w:lineRule="exact"/>
              <w:jc w:val="center"/>
              <w:rPr>
                <w:rFonts w:ascii="宋体" w:hAnsi="宋体" w:eastAsia="宋体" w:cs="Times New Roman"/>
                <w:color w:val="auto"/>
                <w:sz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noWrap w:val="0"/>
            <w:vAlign w:val="top"/>
          </w:tcPr>
          <w:p>
            <w:pPr>
              <w:pStyle w:val="143"/>
              <w:spacing w:line="560" w:lineRule="exact"/>
              <w:jc w:val="center"/>
              <w:rPr>
                <w:rFonts w:ascii="宋体" w:hAnsi="宋体" w:eastAsia="宋体" w:cs="Times New Roman"/>
                <w:color w:val="auto"/>
                <w:sz w:val="28"/>
                <w:highlight w:val="none"/>
              </w:rPr>
            </w:pPr>
          </w:p>
        </w:tc>
        <w:tc>
          <w:tcPr>
            <w:tcW w:w="3827" w:type="dxa"/>
            <w:noWrap w:val="0"/>
            <w:vAlign w:val="center"/>
          </w:tcPr>
          <w:p>
            <w:pPr>
              <w:pStyle w:val="143"/>
              <w:spacing w:line="560" w:lineRule="exact"/>
              <w:jc w:val="center"/>
              <w:rPr>
                <w:rFonts w:ascii="宋体" w:hAnsi="宋体" w:eastAsia="宋体" w:cs="Times New Roman"/>
                <w:color w:val="auto"/>
                <w:sz w:val="28"/>
                <w:highlight w:val="none"/>
              </w:rPr>
            </w:pPr>
          </w:p>
        </w:tc>
        <w:tc>
          <w:tcPr>
            <w:tcW w:w="2433" w:type="dxa"/>
            <w:noWrap w:val="0"/>
            <w:vAlign w:val="center"/>
          </w:tcPr>
          <w:p>
            <w:pPr>
              <w:pStyle w:val="143"/>
              <w:spacing w:line="560" w:lineRule="exact"/>
              <w:jc w:val="center"/>
              <w:rPr>
                <w:rFonts w:ascii="宋体" w:hAnsi="宋体" w:eastAsia="宋体" w:cs="Times New Roman"/>
                <w:color w:val="auto"/>
                <w:sz w:val="28"/>
                <w:highlight w:val="none"/>
              </w:rPr>
            </w:pPr>
          </w:p>
        </w:tc>
        <w:tc>
          <w:tcPr>
            <w:tcW w:w="1395" w:type="dxa"/>
            <w:noWrap w:val="0"/>
            <w:vAlign w:val="center"/>
          </w:tcPr>
          <w:p>
            <w:pPr>
              <w:pStyle w:val="143"/>
              <w:spacing w:line="560" w:lineRule="exact"/>
              <w:jc w:val="center"/>
              <w:rPr>
                <w:rFonts w:ascii="宋体" w:hAnsi="宋体" w:eastAsia="宋体" w:cs="Times New Roman"/>
                <w:color w:val="auto"/>
                <w:sz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noWrap w:val="0"/>
            <w:vAlign w:val="top"/>
          </w:tcPr>
          <w:p>
            <w:pPr>
              <w:pStyle w:val="143"/>
              <w:spacing w:line="560" w:lineRule="exact"/>
              <w:jc w:val="center"/>
              <w:rPr>
                <w:rFonts w:ascii="宋体" w:hAnsi="宋体" w:eastAsia="宋体" w:cs="Times New Roman"/>
                <w:color w:val="auto"/>
                <w:sz w:val="28"/>
                <w:highlight w:val="none"/>
              </w:rPr>
            </w:pPr>
          </w:p>
        </w:tc>
        <w:tc>
          <w:tcPr>
            <w:tcW w:w="3827" w:type="dxa"/>
            <w:noWrap w:val="0"/>
            <w:vAlign w:val="center"/>
          </w:tcPr>
          <w:p>
            <w:pPr>
              <w:pStyle w:val="143"/>
              <w:spacing w:line="560" w:lineRule="exact"/>
              <w:jc w:val="center"/>
              <w:rPr>
                <w:rFonts w:ascii="宋体" w:hAnsi="宋体" w:eastAsia="宋体" w:cs="Times New Roman"/>
                <w:color w:val="auto"/>
                <w:sz w:val="28"/>
                <w:highlight w:val="none"/>
              </w:rPr>
            </w:pPr>
          </w:p>
        </w:tc>
        <w:tc>
          <w:tcPr>
            <w:tcW w:w="2433" w:type="dxa"/>
            <w:noWrap w:val="0"/>
            <w:vAlign w:val="center"/>
          </w:tcPr>
          <w:p>
            <w:pPr>
              <w:pStyle w:val="143"/>
              <w:spacing w:line="560" w:lineRule="exact"/>
              <w:jc w:val="center"/>
              <w:rPr>
                <w:rFonts w:ascii="宋体" w:hAnsi="宋体" w:eastAsia="宋体" w:cs="Times New Roman"/>
                <w:color w:val="auto"/>
                <w:sz w:val="28"/>
                <w:highlight w:val="none"/>
              </w:rPr>
            </w:pPr>
          </w:p>
        </w:tc>
        <w:tc>
          <w:tcPr>
            <w:tcW w:w="1395" w:type="dxa"/>
            <w:noWrap w:val="0"/>
            <w:vAlign w:val="center"/>
          </w:tcPr>
          <w:p>
            <w:pPr>
              <w:pStyle w:val="143"/>
              <w:spacing w:line="560" w:lineRule="exact"/>
              <w:jc w:val="center"/>
              <w:rPr>
                <w:rFonts w:ascii="宋体" w:hAnsi="宋体" w:eastAsia="宋体" w:cs="Times New Roman"/>
                <w:color w:val="auto"/>
                <w:sz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25" w:hRule="atLeast"/>
          <w:jc w:val="center"/>
        </w:trPr>
        <w:tc>
          <w:tcPr>
            <w:tcW w:w="1229" w:type="dxa"/>
            <w:noWrap w:val="0"/>
            <w:vAlign w:val="top"/>
          </w:tcPr>
          <w:p>
            <w:pPr>
              <w:pStyle w:val="143"/>
              <w:spacing w:line="560" w:lineRule="exact"/>
              <w:jc w:val="center"/>
              <w:rPr>
                <w:rFonts w:ascii="宋体" w:hAnsi="宋体" w:eastAsia="宋体" w:cs="Times New Roman"/>
                <w:color w:val="auto"/>
                <w:sz w:val="28"/>
                <w:highlight w:val="none"/>
              </w:rPr>
            </w:pPr>
          </w:p>
        </w:tc>
        <w:tc>
          <w:tcPr>
            <w:tcW w:w="3827" w:type="dxa"/>
            <w:noWrap w:val="0"/>
            <w:vAlign w:val="center"/>
          </w:tcPr>
          <w:p>
            <w:pPr>
              <w:pStyle w:val="143"/>
              <w:spacing w:line="560" w:lineRule="exact"/>
              <w:jc w:val="center"/>
              <w:rPr>
                <w:rFonts w:ascii="宋体" w:hAnsi="宋体" w:eastAsia="宋体" w:cs="Times New Roman"/>
                <w:color w:val="auto"/>
                <w:sz w:val="28"/>
                <w:highlight w:val="none"/>
              </w:rPr>
            </w:pPr>
          </w:p>
        </w:tc>
        <w:tc>
          <w:tcPr>
            <w:tcW w:w="2433" w:type="dxa"/>
            <w:noWrap w:val="0"/>
            <w:vAlign w:val="center"/>
          </w:tcPr>
          <w:p>
            <w:pPr>
              <w:pStyle w:val="143"/>
              <w:spacing w:line="560" w:lineRule="exact"/>
              <w:jc w:val="center"/>
              <w:rPr>
                <w:rFonts w:ascii="宋体" w:hAnsi="宋体" w:eastAsia="宋体" w:cs="Times New Roman"/>
                <w:color w:val="auto"/>
                <w:sz w:val="28"/>
                <w:highlight w:val="none"/>
              </w:rPr>
            </w:pPr>
          </w:p>
        </w:tc>
        <w:tc>
          <w:tcPr>
            <w:tcW w:w="1395" w:type="dxa"/>
            <w:noWrap w:val="0"/>
            <w:vAlign w:val="center"/>
          </w:tcPr>
          <w:p>
            <w:pPr>
              <w:pStyle w:val="143"/>
              <w:spacing w:line="560" w:lineRule="exact"/>
              <w:jc w:val="center"/>
              <w:rPr>
                <w:rFonts w:ascii="宋体" w:hAnsi="宋体" w:eastAsia="宋体" w:cs="Times New Roman"/>
                <w:color w:val="auto"/>
                <w:sz w:val="28"/>
                <w:highlight w:val="none"/>
              </w:rPr>
            </w:pPr>
          </w:p>
        </w:tc>
      </w:tr>
    </w:tbl>
    <w:p>
      <w:pPr>
        <w:pStyle w:val="144"/>
        <w:outlineLvl w:val="1"/>
        <w:rPr>
          <w:rFonts w:ascii="宋体" w:hAnsi="宋体" w:eastAsia="宋体"/>
          <w:color w:val="auto"/>
          <w:highlight w:val="none"/>
        </w:rPr>
      </w:pPr>
      <w:r>
        <w:rPr>
          <w:rFonts w:ascii="宋体" w:hAnsi="宋体" w:eastAsia="宋体"/>
          <w:color w:val="auto"/>
          <w:highlight w:val="none"/>
        </w:rPr>
        <w:br w:type="page"/>
      </w:r>
      <w:bookmarkStart w:id="157" w:name="_Toc30836_WPSOffice_Level2"/>
      <w:bookmarkStart w:id="158" w:name="_Toc15753"/>
      <w:bookmarkStart w:id="159" w:name="_Toc502821163"/>
      <w:bookmarkStart w:id="160" w:name="_Toc514054505"/>
      <w:r>
        <w:rPr>
          <w:rFonts w:ascii="宋体" w:hAnsi="宋体" w:eastAsia="宋体"/>
          <w:color w:val="auto"/>
          <w:highlight w:val="none"/>
        </w:rPr>
        <w:t>十</w:t>
      </w:r>
      <w:r>
        <w:rPr>
          <w:rFonts w:hint="eastAsia" w:ascii="宋体" w:hAnsi="宋体" w:eastAsia="宋体"/>
          <w:color w:val="auto"/>
          <w:highlight w:val="none"/>
          <w:lang w:val="en-US" w:eastAsia="zh-CN"/>
        </w:rPr>
        <w:t>七</w:t>
      </w:r>
      <w:r>
        <w:rPr>
          <w:rFonts w:ascii="宋体" w:hAnsi="宋体" w:eastAsia="宋体"/>
          <w:color w:val="auto"/>
          <w:highlight w:val="none"/>
        </w:rPr>
        <w:t>、投标所需其他材料</w:t>
      </w:r>
      <w:bookmarkEnd w:id="157"/>
      <w:bookmarkEnd w:id="158"/>
      <w:bookmarkEnd w:id="159"/>
      <w:bookmarkEnd w:id="160"/>
    </w:p>
    <w:p>
      <w:pPr>
        <w:pStyle w:val="145"/>
        <w:spacing w:line="360" w:lineRule="auto"/>
        <w:ind w:firstLine="420" w:firstLineChars="200"/>
        <w:rPr>
          <w:rFonts w:hint="eastAsia" w:ascii="宋体" w:hAnsi="宋体"/>
          <w:color w:val="auto"/>
          <w:highlight w:val="none"/>
        </w:rPr>
      </w:pPr>
      <w:r>
        <w:rPr>
          <w:rFonts w:hint="eastAsia" w:ascii="宋体" w:hAnsi="宋体"/>
          <w:color w:val="auto"/>
          <w:highlight w:val="none"/>
        </w:rPr>
        <w:t>请在此文档中增加投标所需其他相关内容（包括资格要求、评分办法、采购需求中涉及的证件证明及其它投标人认为有必要提供的资料），如没有请空置。</w:t>
      </w:r>
    </w:p>
    <w:p>
      <w:pPr>
        <w:rPr>
          <w:rFonts w:hint="eastAsia" w:ascii="宋体" w:hAnsi="宋体"/>
          <w:color w:val="auto"/>
          <w:sz w:val="20"/>
          <w:highlight w:val="none"/>
        </w:rPr>
      </w:pPr>
      <w:r>
        <w:rPr>
          <w:rFonts w:hint="eastAsia" w:ascii="宋体" w:hAnsi="宋体"/>
          <w:color w:val="auto"/>
          <w:sz w:val="20"/>
          <w:highlight w:val="none"/>
        </w:rPr>
        <w:t xml:space="preserve"> </w:t>
      </w:r>
      <w:bookmarkEnd w:id="86"/>
    </w:p>
    <w:sectPr>
      <w:pgSz w:w="11906" w:h="16838"/>
      <w:pgMar w:top="1440" w:right="1474" w:bottom="1440"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
    <w:altName w:val="宋体"/>
    <w:panose1 w:val="00000000000000000000"/>
    <w:charset w:val="86"/>
    <w:family w:val="swiss"/>
    <w:pitch w:val="default"/>
    <w:sig w:usb0="00000000" w:usb1="00000000" w:usb2="00000010" w:usb3="00000000" w:csb0="00040000" w:csb1="00000000"/>
  </w:font>
  <w:font w:name="楷体_GB2312">
    <w:altName w:val="楷体"/>
    <w:panose1 w:val="02010609030001010101"/>
    <w:charset w:val="86"/>
    <w:family w:val="modern"/>
    <w:pitch w:val="default"/>
    <w:sig w:usb0="00000000" w:usb1="00000000" w:usb2="00000000" w:usb3="00000000" w:csb0="00040000" w:csb1="00000000"/>
  </w:font>
  <w:font w:name="Univers LT Std 45 Light">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Arial Unicode MS">
    <w:altName w:val="Arial"/>
    <w:panose1 w:val="020B0604020202020204"/>
    <w:charset w:val="00"/>
    <w:family w:val="roman"/>
    <w:pitch w:val="default"/>
    <w:sig w:usb0="00000000" w:usb1="00000000" w:usb2="00000000" w:usb3="00000000" w:csb0="00000001" w:csb1="00000000"/>
  </w:font>
  <w:font w:name="Helvetica-Light">
    <w:altName w:val="Arial"/>
    <w:panose1 w:val="00000000000000000000"/>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幼圆">
    <w:panose1 w:val="02010509060101010101"/>
    <w:charset w:val="86"/>
    <w:family w:val="modern"/>
    <w:pitch w:val="default"/>
    <w:sig w:usb0="00000001" w:usb1="080E0000" w:usb2="00000000" w:usb3="00000000" w:csb0="00040000" w:csb1="00000000"/>
  </w:font>
  <w:font w:name="Kingsoft Phonetic Plain">
    <w:altName w:val="Times New Roman"/>
    <w:panose1 w:val="00000000000000000000"/>
    <w:charset w:val="00"/>
    <w:family w:val="auto"/>
    <w:pitch w:val="default"/>
    <w:sig w:usb0="00000000" w:usb1="00000000" w:usb2="00000000" w:usb3="00000000" w:csb0="00040001" w:csb1="00000000"/>
  </w:font>
  <w:font w:name="Book Antiqua">
    <w:panose1 w:val="02040602050305030304"/>
    <w:charset w:val="00"/>
    <w:family w:val="roman"/>
    <w:pitch w:val="default"/>
    <w:sig w:usb0="00000287" w:usb1="00000000" w:usb2="00000000" w:usb3="00000000" w:csb0="2000009F" w:csb1="DFD70000"/>
  </w:font>
  <w:font w:name="Helvetica">
    <w:altName w:val="Arial"/>
    <w:panose1 w:val="020B0604020202020204"/>
    <w:charset w:val="00"/>
    <w:family w:val="swiss"/>
    <w:pitch w:val="default"/>
    <w:sig w:usb0="00000000" w:usb1="00000000" w:usb2="00000009" w:usb3="00000000" w:csb0="000001FF" w:csb1="00000000"/>
  </w:font>
  <w:font w:name="Calibri Light">
    <w:panose1 w:val="020F03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center"/>
    </w:pPr>
    <w:r>
      <w:fldChar w:fldCharType="begin"/>
    </w:r>
    <w:r>
      <w:instrText xml:space="preserve">PAGE   \* MERGEFORMAT</w:instrText>
    </w:r>
    <w:r>
      <w:fldChar w:fldCharType="separate"/>
    </w:r>
    <w:r>
      <w:rPr>
        <w:lang w:val="zh-CN"/>
      </w:rPr>
      <w:t>2</w:t>
    </w:r>
    <w:r>
      <w:fldChar w:fldCharType="end"/>
    </w:r>
  </w:p>
  <w:p>
    <w:pPr>
      <w:pStyle w:val="40"/>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B9DDDE"/>
    <w:multiLevelType w:val="singleLevel"/>
    <w:tmpl w:val="B6B9DDDE"/>
    <w:lvl w:ilvl="0" w:tentative="0">
      <w:start w:val="1"/>
      <w:numFmt w:val="decimal"/>
      <w:suff w:val="nothing"/>
      <w:lvlText w:val="%1、"/>
      <w:lvlJc w:val="left"/>
    </w:lvl>
  </w:abstractNum>
  <w:abstractNum w:abstractNumId="1">
    <w:nsid w:val="F1EDBE2B"/>
    <w:multiLevelType w:val="singleLevel"/>
    <w:tmpl w:val="F1EDBE2B"/>
    <w:lvl w:ilvl="0" w:tentative="0">
      <w:start w:val="1"/>
      <w:numFmt w:val="decimal"/>
      <w:suff w:val="nothing"/>
      <w:lvlText w:val="%1）"/>
      <w:lvlJc w:val="left"/>
      <w:pPr>
        <w:ind w:left="-60"/>
      </w:pPr>
    </w:lvl>
  </w:abstractNum>
  <w:abstractNum w:abstractNumId="2">
    <w:nsid w:val="00000001"/>
    <w:multiLevelType w:val="multilevel"/>
    <w:tmpl w:val="00000001"/>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0"/>
        </w:tabs>
        <w:ind w:left="1320" w:hanging="420"/>
      </w:pPr>
      <w:rPr>
        <w:rFonts w:hint="default" w:ascii="Wingdings" w:hAnsi="Wingdings"/>
      </w:rPr>
    </w:lvl>
    <w:lvl w:ilvl="2" w:tentative="0">
      <w:start w:val="1"/>
      <w:numFmt w:val="bullet"/>
      <w:pStyle w:val="229"/>
      <w:lvlText w:val=""/>
      <w:lvlJc w:val="left"/>
      <w:pPr>
        <w:tabs>
          <w:tab w:val="left" w:pos="0"/>
        </w:tabs>
        <w:ind w:left="1740" w:hanging="420"/>
      </w:pPr>
      <w:rPr>
        <w:rFonts w:hint="default" w:ascii="Wingdings" w:hAnsi="Wingdings"/>
      </w:rPr>
    </w:lvl>
    <w:lvl w:ilvl="3" w:tentative="0">
      <w:start w:val="1"/>
      <w:numFmt w:val="bullet"/>
      <w:lvlText w:val=""/>
      <w:lvlJc w:val="left"/>
      <w:pPr>
        <w:tabs>
          <w:tab w:val="left" w:pos="0"/>
        </w:tabs>
        <w:ind w:left="2160" w:hanging="420"/>
      </w:pPr>
      <w:rPr>
        <w:rFonts w:hint="default" w:ascii="Wingdings" w:hAnsi="Wingdings"/>
      </w:rPr>
    </w:lvl>
    <w:lvl w:ilvl="4" w:tentative="0">
      <w:start w:val="1"/>
      <w:numFmt w:val="bullet"/>
      <w:lvlText w:val=""/>
      <w:lvlJc w:val="left"/>
      <w:pPr>
        <w:tabs>
          <w:tab w:val="left" w:pos="0"/>
        </w:tabs>
        <w:ind w:left="2580" w:hanging="420"/>
      </w:pPr>
      <w:rPr>
        <w:rFonts w:hint="default" w:ascii="Wingdings" w:hAnsi="Wingdings"/>
      </w:rPr>
    </w:lvl>
    <w:lvl w:ilvl="5" w:tentative="0">
      <w:start w:val="1"/>
      <w:numFmt w:val="bullet"/>
      <w:lvlText w:val=""/>
      <w:lvlJc w:val="left"/>
      <w:pPr>
        <w:tabs>
          <w:tab w:val="left" w:pos="0"/>
        </w:tabs>
        <w:ind w:left="3000" w:hanging="420"/>
      </w:pPr>
      <w:rPr>
        <w:rFonts w:hint="default" w:ascii="Wingdings" w:hAnsi="Wingdings"/>
      </w:rPr>
    </w:lvl>
    <w:lvl w:ilvl="6" w:tentative="0">
      <w:start w:val="1"/>
      <w:numFmt w:val="bullet"/>
      <w:lvlText w:val=""/>
      <w:lvlJc w:val="left"/>
      <w:pPr>
        <w:tabs>
          <w:tab w:val="left" w:pos="0"/>
        </w:tabs>
        <w:ind w:left="3420" w:hanging="420"/>
      </w:pPr>
      <w:rPr>
        <w:rFonts w:hint="default" w:ascii="Wingdings" w:hAnsi="Wingdings"/>
      </w:rPr>
    </w:lvl>
    <w:lvl w:ilvl="7" w:tentative="0">
      <w:start w:val="1"/>
      <w:numFmt w:val="bullet"/>
      <w:lvlText w:val=""/>
      <w:lvlJc w:val="left"/>
      <w:pPr>
        <w:tabs>
          <w:tab w:val="left" w:pos="0"/>
        </w:tabs>
        <w:ind w:left="3840" w:hanging="420"/>
      </w:pPr>
      <w:rPr>
        <w:rFonts w:hint="default" w:ascii="Wingdings" w:hAnsi="Wingdings"/>
      </w:rPr>
    </w:lvl>
    <w:lvl w:ilvl="8" w:tentative="0">
      <w:start w:val="1"/>
      <w:numFmt w:val="bullet"/>
      <w:lvlText w:val=""/>
      <w:lvlJc w:val="left"/>
      <w:pPr>
        <w:tabs>
          <w:tab w:val="left" w:pos="0"/>
        </w:tabs>
        <w:ind w:left="4260" w:hanging="420"/>
      </w:pPr>
      <w:rPr>
        <w:rFonts w:hint="default" w:ascii="Wingdings" w:hAnsi="Wingdings"/>
      </w:rPr>
    </w:lvl>
  </w:abstractNum>
  <w:abstractNum w:abstractNumId="3">
    <w:nsid w:val="00000003"/>
    <w:multiLevelType w:val="singleLevel"/>
    <w:tmpl w:val="00000003"/>
    <w:lvl w:ilvl="0" w:tentative="0">
      <w:start w:val="3"/>
      <w:numFmt w:val="decimal"/>
      <w:lvlText w:val="%1."/>
      <w:lvlJc w:val="left"/>
      <w:pPr>
        <w:tabs>
          <w:tab w:val="left" w:pos="312"/>
        </w:tabs>
      </w:pPr>
    </w:lvl>
  </w:abstractNum>
  <w:abstractNum w:abstractNumId="4">
    <w:nsid w:val="00000004"/>
    <w:multiLevelType w:val="singleLevel"/>
    <w:tmpl w:val="00000004"/>
    <w:lvl w:ilvl="0" w:tentative="0">
      <w:start w:val="1"/>
      <w:numFmt w:val="bullet"/>
      <w:pStyle w:val="333"/>
      <w:lvlText w:val="◆"/>
      <w:lvlJc w:val="left"/>
      <w:pPr>
        <w:tabs>
          <w:tab w:val="left" w:pos="930"/>
        </w:tabs>
        <w:ind w:left="930" w:hanging="210"/>
      </w:pPr>
      <w:rPr>
        <w:rFonts w:hint="eastAsia" w:ascii="宋体" w:hAnsi="宋体"/>
      </w:rPr>
    </w:lvl>
  </w:abstractNum>
  <w:abstractNum w:abstractNumId="5">
    <w:nsid w:val="00000005"/>
    <w:multiLevelType w:val="singleLevel"/>
    <w:tmpl w:val="00000005"/>
    <w:lvl w:ilvl="0" w:tentative="0">
      <w:start w:val="7"/>
      <w:numFmt w:val="chineseCounting"/>
      <w:suff w:val="nothing"/>
      <w:lvlText w:val="%1、"/>
      <w:lvlJc w:val="left"/>
      <w:rPr>
        <w:rFonts w:hint="eastAsia"/>
      </w:rPr>
    </w:lvl>
  </w:abstractNum>
  <w:abstractNum w:abstractNumId="6">
    <w:nsid w:val="00000007"/>
    <w:multiLevelType w:val="singleLevel"/>
    <w:tmpl w:val="00000007"/>
    <w:lvl w:ilvl="0" w:tentative="0">
      <w:start w:val="3"/>
      <w:numFmt w:val="decimal"/>
      <w:suff w:val="nothing"/>
      <w:lvlText w:val="%1、"/>
      <w:lvlJc w:val="left"/>
      <w:pPr>
        <w:ind w:left="500" w:firstLine="0"/>
      </w:pPr>
    </w:lvl>
  </w:abstractNum>
  <w:abstractNum w:abstractNumId="7">
    <w:nsid w:val="00000008"/>
    <w:multiLevelType w:val="multilevel"/>
    <w:tmpl w:val="00000008"/>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279"/>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8">
    <w:nsid w:val="0000000C"/>
    <w:multiLevelType w:val="multilevel"/>
    <w:tmpl w:val="0000000C"/>
    <w:lvl w:ilvl="0" w:tentative="0">
      <w:start w:val="1"/>
      <w:numFmt w:val="chineseCountingThousand"/>
      <w:lvlText w:val="(%1)"/>
      <w:lvlJc w:val="left"/>
      <w:pPr>
        <w:ind w:left="1608" w:hanging="420"/>
      </w:pPr>
    </w:lvl>
    <w:lvl w:ilvl="1" w:tentative="0">
      <w:start w:val="1"/>
      <w:numFmt w:val="lowerLetter"/>
      <w:lvlText w:val="%2)"/>
      <w:lvlJc w:val="left"/>
      <w:pPr>
        <w:ind w:left="1548" w:hanging="420"/>
      </w:pPr>
    </w:lvl>
    <w:lvl w:ilvl="2" w:tentative="0">
      <w:start w:val="1"/>
      <w:numFmt w:val="lowerRoman"/>
      <w:lvlText w:val="%3."/>
      <w:lvlJc w:val="right"/>
      <w:pPr>
        <w:ind w:left="1968" w:hanging="420"/>
      </w:pPr>
    </w:lvl>
    <w:lvl w:ilvl="3" w:tentative="0">
      <w:start w:val="1"/>
      <w:numFmt w:val="decimal"/>
      <w:lvlText w:val="%4."/>
      <w:lvlJc w:val="left"/>
      <w:pPr>
        <w:ind w:left="2388" w:hanging="420"/>
      </w:pPr>
    </w:lvl>
    <w:lvl w:ilvl="4" w:tentative="0">
      <w:start w:val="1"/>
      <w:numFmt w:val="lowerLetter"/>
      <w:lvlText w:val="%5)"/>
      <w:lvlJc w:val="left"/>
      <w:pPr>
        <w:ind w:left="2808" w:hanging="420"/>
      </w:pPr>
    </w:lvl>
    <w:lvl w:ilvl="5" w:tentative="0">
      <w:start w:val="1"/>
      <w:numFmt w:val="lowerRoman"/>
      <w:lvlText w:val="%6."/>
      <w:lvlJc w:val="right"/>
      <w:pPr>
        <w:ind w:left="3228" w:hanging="420"/>
      </w:pPr>
    </w:lvl>
    <w:lvl w:ilvl="6" w:tentative="0">
      <w:start w:val="1"/>
      <w:numFmt w:val="decimal"/>
      <w:lvlText w:val="%7."/>
      <w:lvlJc w:val="left"/>
      <w:pPr>
        <w:ind w:left="3648" w:hanging="420"/>
      </w:pPr>
    </w:lvl>
    <w:lvl w:ilvl="7" w:tentative="0">
      <w:start w:val="1"/>
      <w:numFmt w:val="lowerLetter"/>
      <w:lvlText w:val="%8)"/>
      <w:lvlJc w:val="left"/>
      <w:pPr>
        <w:ind w:left="4068" w:hanging="420"/>
      </w:pPr>
    </w:lvl>
    <w:lvl w:ilvl="8" w:tentative="0">
      <w:start w:val="1"/>
      <w:numFmt w:val="lowerRoman"/>
      <w:lvlText w:val="%9."/>
      <w:lvlJc w:val="right"/>
      <w:pPr>
        <w:ind w:left="4488" w:hanging="420"/>
      </w:pPr>
    </w:lvl>
  </w:abstractNum>
  <w:abstractNum w:abstractNumId="9">
    <w:nsid w:val="0000000D"/>
    <w:multiLevelType w:val="singleLevel"/>
    <w:tmpl w:val="0000000D"/>
    <w:lvl w:ilvl="0" w:tentative="0">
      <w:start w:val="1"/>
      <w:numFmt w:val="decimal"/>
      <w:lvlText w:val="(%1)"/>
      <w:lvlJc w:val="left"/>
      <w:pPr>
        <w:ind w:left="425" w:hanging="425"/>
      </w:pPr>
      <w:rPr>
        <w:rFonts w:hint="default"/>
      </w:rPr>
    </w:lvl>
  </w:abstractNum>
  <w:abstractNum w:abstractNumId="10">
    <w:nsid w:val="0000000E"/>
    <w:multiLevelType w:val="singleLevel"/>
    <w:tmpl w:val="0000000E"/>
    <w:lvl w:ilvl="0" w:tentative="0">
      <w:start w:val="12"/>
      <w:numFmt w:val="decimal"/>
      <w:suff w:val="nothing"/>
      <w:lvlText w:val="%1、"/>
      <w:lvlJc w:val="left"/>
    </w:lvl>
  </w:abstractNum>
  <w:abstractNum w:abstractNumId="11">
    <w:nsid w:val="0C0852A3"/>
    <w:multiLevelType w:val="multilevel"/>
    <w:tmpl w:val="0C0852A3"/>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D225DA4"/>
    <w:multiLevelType w:val="multilevel"/>
    <w:tmpl w:val="1D225DA4"/>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3">
    <w:nsid w:val="55542D18"/>
    <w:multiLevelType w:val="multilevel"/>
    <w:tmpl w:val="55542D18"/>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4">
    <w:nsid w:val="66689776"/>
    <w:multiLevelType w:val="singleLevel"/>
    <w:tmpl w:val="66689776"/>
    <w:lvl w:ilvl="0" w:tentative="0">
      <w:start w:val="1"/>
      <w:numFmt w:val="decimal"/>
      <w:suff w:val="nothing"/>
      <w:lvlText w:val="%1）"/>
      <w:lvlJc w:val="left"/>
    </w:lvl>
  </w:abstractNum>
  <w:abstractNum w:abstractNumId="15">
    <w:nsid w:val="76CA772D"/>
    <w:multiLevelType w:val="multilevel"/>
    <w:tmpl w:val="76CA772D"/>
    <w:lvl w:ilvl="0" w:tentative="0">
      <w:start w:val="1"/>
      <w:numFmt w:val="chineseCountingThousand"/>
      <w:pStyle w:val="435"/>
      <w:suff w:val="space"/>
      <w:lvlText w:val="第%1章."/>
      <w:lvlJc w:val="left"/>
      <w:pPr>
        <w:ind w:left="425" w:hanging="425"/>
      </w:pPr>
      <w:rPr>
        <w:rFonts w:hint="eastAsia" w:eastAsia="宋体"/>
        <w:b/>
        <w:bCs w:val="0"/>
        <w:i w:val="0"/>
        <w:color w:val="auto"/>
        <w:sz w:val="36"/>
        <w:szCs w:val="36"/>
      </w:rPr>
    </w:lvl>
    <w:lvl w:ilvl="1" w:tentative="0">
      <w:start w:val="1"/>
      <w:numFmt w:val="decimal"/>
      <w:isLgl/>
      <w:suff w:val="space"/>
      <w:lvlText w:val="%1.%2."/>
      <w:lvlJc w:val="left"/>
      <w:pPr>
        <w:ind w:left="567" w:hanging="567"/>
      </w:pPr>
      <w:rPr>
        <w:rFonts w:hint="eastAsia" w:ascii="宋体" w:hAnsi="宋体" w:eastAsia="宋体"/>
        <w:b w:val="0"/>
        <w:i w:val="0"/>
        <w:color w:val="auto"/>
        <w:sz w:val="32"/>
        <w:szCs w:val="32"/>
      </w:rPr>
    </w:lvl>
    <w:lvl w:ilvl="2" w:tentative="0">
      <w:start w:val="1"/>
      <w:numFmt w:val="decimal"/>
      <w:isLgl/>
      <w:suff w:val="space"/>
      <w:lvlText w:val="%1.%2.%3."/>
      <w:lvlJc w:val="left"/>
      <w:pPr>
        <w:ind w:left="992" w:hanging="709"/>
      </w:pPr>
      <w:rPr>
        <w:rFonts w:hint="eastAsia" w:ascii="宋体" w:hAnsi="宋体" w:eastAsia="宋体"/>
        <w:b w:val="0"/>
        <w:i w:val="0"/>
        <w:color w:val="auto"/>
        <w:sz w:val="32"/>
        <w:szCs w:val="32"/>
      </w:rPr>
    </w:lvl>
    <w:lvl w:ilvl="3" w:tentative="0">
      <w:start w:val="1"/>
      <w:numFmt w:val="decimal"/>
      <w:isLgl/>
      <w:suff w:val="space"/>
      <w:lvlText w:val="%1.%2.%3.%4."/>
      <w:lvlJc w:val="left"/>
      <w:pPr>
        <w:ind w:left="1701" w:hanging="851"/>
      </w:pPr>
      <w:rPr>
        <w:rFonts w:hint="eastAsia" w:ascii="宋体" w:hAnsi="宋体" w:eastAsia="宋体"/>
        <w:b w:val="0"/>
        <w:i w:val="0"/>
        <w:color w:val="auto"/>
        <w:sz w:val="28"/>
        <w:szCs w:val="28"/>
      </w:rPr>
    </w:lvl>
    <w:lvl w:ilvl="4" w:tentative="0">
      <w:start w:val="1"/>
      <w:numFmt w:val="decimal"/>
      <w:isLgl/>
      <w:suff w:val="space"/>
      <w:lvlText w:val="%1.%2.%3.%4.%5."/>
      <w:lvlJc w:val="left"/>
      <w:pPr>
        <w:ind w:left="992" w:hanging="992"/>
      </w:pPr>
      <w:rPr>
        <w:rFonts w:hint="eastAsia" w:eastAsia="宋体"/>
        <w:b w:val="0"/>
        <w:i w:val="0"/>
        <w:color w:val="auto"/>
        <w:sz w:val="24"/>
      </w:rPr>
    </w:lvl>
    <w:lvl w:ilvl="5" w:tentative="0">
      <w:start w:val="1"/>
      <w:numFmt w:val="decimal"/>
      <w:isLgl/>
      <w:suff w:val="space"/>
      <w:lvlText w:val="%1.%2.%3.%4.%5.%6."/>
      <w:lvlJc w:val="left"/>
      <w:pPr>
        <w:ind w:left="1134" w:hanging="1134"/>
      </w:pPr>
      <w:rPr>
        <w:rFonts w:hint="eastAsia" w:eastAsia="宋体"/>
        <w:b w:val="0"/>
        <w:i w:val="0"/>
        <w:color w:val="auto"/>
        <w:sz w:val="24"/>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16">
    <w:nsid w:val="77F7205E"/>
    <w:multiLevelType w:val="multilevel"/>
    <w:tmpl w:val="77F7205E"/>
    <w:lvl w:ilvl="0" w:tentative="0">
      <w:start w:val="1"/>
      <w:numFmt w:val="decimal"/>
      <w:lvlText w:val="%1、"/>
      <w:lvlJc w:val="left"/>
      <w:pPr>
        <w:ind w:left="1632" w:hanging="360"/>
      </w:pPr>
      <w:rPr>
        <w:rFonts w:hint="default"/>
      </w:rPr>
    </w:lvl>
    <w:lvl w:ilvl="1" w:tentative="0">
      <w:start w:val="1"/>
      <w:numFmt w:val="lowerLetter"/>
      <w:lvlText w:val="%2)"/>
      <w:lvlJc w:val="left"/>
      <w:pPr>
        <w:ind w:left="2152" w:hanging="440"/>
      </w:pPr>
    </w:lvl>
    <w:lvl w:ilvl="2" w:tentative="0">
      <w:start w:val="1"/>
      <w:numFmt w:val="lowerRoman"/>
      <w:lvlText w:val="%3."/>
      <w:lvlJc w:val="right"/>
      <w:pPr>
        <w:ind w:left="2592" w:hanging="440"/>
      </w:pPr>
    </w:lvl>
    <w:lvl w:ilvl="3" w:tentative="0">
      <w:start w:val="1"/>
      <w:numFmt w:val="decimal"/>
      <w:lvlText w:val="%4."/>
      <w:lvlJc w:val="left"/>
      <w:pPr>
        <w:ind w:left="3032" w:hanging="440"/>
      </w:pPr>
    </w:lvl>
    <w:lvl w:ilvl="4" w:tentative="0">
      <w:start w:val="1"/>
      <w:numFmt w:val="lowerLetter"/>
      <w:lvlText w:val="%5)"/>
      <w:lvlJc w:val="left"/>
      <w:pPr>
        <w:ind w:left="3472" w:hanging="440"/>
      </w:pPr>
    </w:lvl>
    <w:lvl w:ilvl="5" w:tentative="0">
      <w:start w:val="1"/>
      <w:numFmt w:val="lowerRoman"/>
      <w:lvlText w:val="%6."/>
      <w:lvlJc w:val="right"/>
      <w:pPr>
        <w:ind w:left="3912" w:hanging="440"/>
      </w:pPr>
    </w:lvl>
    <w:lvl w:ilvl="6" w:tentative="0">
      <w:start w:val="1"/>
      <w:numFmt w:val="decimal"/>
      <w:lvlText w:val="%7."/>
      <w:lvlJc w:val="left"/>
      <w:pPr>
        <w:ind w:left="4352" w:hanging="440"/>
      </w:pPr>
    </w:lvl>
    <w:lvl w:ilvl="7" w:tentative="0">
      <w:start w:val="1"/>
      <w:numFmt w:val="lowerLetter"/>
      <w:lvlText w:val="%8)"/>
      <w:lvlJc w:val="left"/>
      <w:pPr>
        <w:ind w:left="4792" w:hanging="440"/>
      </w:pPr>
    </w:lvl>
    <w:lvl w:ilvl="8" w:tentative="0">
      <w:start w:val="1"/>
      <w:numFmt w:val="lowerRoman"/>
      <w:lvlText w:val="%9."/>
      <w:lvlJc w:val="right"/>
      <w:pPr>
        <w:ind w:left="5232" w:hanging="440"/>
      </w:pPr>
    </w:lvl>
  </w:abstractNum>
  <w:num w:numId="1">
    <w:abstractNumId w:val="2"/>
  </w:num>
  <w:num w:numId="2">
    <w:abstractNumId w:val="7"/>
  </w:num>
  <w:num w:numId="3">
    <w:abstractNumId w:val="4"/>
  </w:num>
  <w:num w:numId="4">
    <w:abstractNumId w:val="15"/>
  </w:num>
  <w:num w:numId="5">
    <w:abstractNumId w:val="8"/>
  </w:num>
  <w:num w:numId="6">
    <w:abstractNumId w:val="16"/>
  </w:num>
  <w:num w:numId="7">
    <w:abstractNumId w:val="5"/>
  </w:num>
  <w:num w:numId="8">
    <w:abstractNumId w:val="3"/>
  </w:num>
  <w:num w:numId="9">
    <w:abstractNumId w:val="9"/>
  </w:num>
  <w:num w:numId="10">
    <w:abstractNumId w:val="10"/>
  </w:num>
  <w:num w:numId="11">
    <w:abstractNumId w:val="6"/>
  </w:num>
  <w:num w:numId="12">
    <w:abstractNumId w:val="11"/>
  </w:num>
  <w:num w:numId="13">
    <w:abstractNumId w:val="1"/>
  </w:num>
  <w:num w:numId="14">
    <w:abstractNumId w:val="14"/>
  </w:num>
  <w:num w:numId="15">
    <w:abstractNumId w:val="12"/>
  </w:num>
  <w:num w:numId="16">
    <w:abstractNumId w:val="13"/>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U0MTFmYzZmZDM2ZGViNDAyYTRhODI2YzUyYjg2ZjMifQ=="/>
  </w:docVars>
  <w:rsids>
    <w:rsidRoot w:val="00172A27"/>
    <w:rsid w:val="0000537E"/>
    <w:rsid w:val="0001166A"/>
    <w:rsid w:val="00021AA4"/>
    <w:rsid w:val="00050987"/>
    <w:rsid w:val="00084EFF"/>
    <w:rsid w:val="00092EE1"/>
    <w:rsid w:val="000C5680"/>
    <w:rsid w:val="000C5F6B"/>
    <w:rsid w:val="001123BB"/>
    <w:rsid w:val="001236D8"/>
    <w:rsid w:val="00123C0C"/>
    <w:rsid w:val="00126A6D"/>
    <w:rsid w:val="00161595"/>
    <w:rsid w:val="00165D44"/>
    <w:rsid w:val="00170282"/>
    <w:rsid w:val="0017316C"/>
    <w:rsid w:val="00190DEB"/>
    <w:rsid w:val="0019657A"/>
    <w:rsid w:val="001F0AB3"/>
    <w:rsid w:val="001F4362"/>
    <w:rsid w:val="00201214"/>
    <w:rsid w:val="002116E8"/>
    <w:rsid w:val="0022187F"/>
    <w:rsid w:val="00240630"/>
    <w:rsid w:val="00246560"/>
    <w:rsid w:val="002579AC"/>
    <w:rsid w:val="00273769"/>
    <w:rsid w:val="002761C8"/>
    <w:rsid w:val="002A25C7"/>
    <w:rsid w:val="002A7997"/>
    <w:rsid w:val="002C70BC"/>
    <w:rsid w:val="002D05EA"/>
    <w:rsid w:val="002D3731"/>
    <w:rsid w:val="002E0224"/>
    <w:rsid w:val="003170D1"/>
    <w:rsid w:val="00322955"/>
    <w:rsid w:val="0032526D"/>
    <w:rsid w:val="00371DE5"/>
    <w:rsid w:val="00374602"/>
    <w:rsid w:val="00395CDF"/>
    <w:rsid w:val="003A76DA"/>
    <w:rsid w:val="003C5FBF"/>
    <w:rsid w:val="003D71E9"/>
    <w:rsid w:val="003F2503"/>
    <w:rsid w:val="003F5611"/>
    <w:rsid w:val="00432426"/>
    <w:rsid w:val="0049336B"/>
    <w:rsid w:val="004B5BDF"/>
    <w:rsid w:val="004D5002"/>
    <w:rsid w:val="004F118D"/>
    <w:rsid w:val="004F157F"/>
    <w:rsid w:val="0050051D"/>
    <w:rsid w:val="00503E1F"/>
    <w:rsid w:val="00553596"/>
    <w:rsid w:val="00556BA8"/>
    <w:rsid w:val="00562606"/>
    <w:rsid w:val="00563DE1"/>
    <w:rsid w:val="00564553"/>
    <w:rsid w:val="005650C7"/>
    <w:rsid w:val="00591413"/>
    <w:rsid w:val="005C57EC"/>
    <w:rsid w:val="005C5D3A"/>
    <w:rsid w:val="005D03EC"/>
    <w:rsid w:val="005E36AD"/>
    <w:rsid w:val="005F4138"/>
    <w:rsid w:val="006017C6"/>
    <w:rsid w:val="00604B2A"/>
    <w:rsid w:val="00605A4C"/>
    <w:rsid w:val="00607459"/>
    <w:rsid w:val="00607D43"/>
    <w:rsid w:val="00610D9E"/>
    <w:rsid w:val="00621654"/>
    <w:rsid w:val="00625052"/>
    <w:rsid w:val="00625A0C"/>
    <w:rsid w:val="00647241"/>
    <w:rsid w:val="0066784C"/>
    <w:rsid w:val="0068142E"/>
    <w:rsid w:val="006B0613"/>
    <w:rsid w:val="006C02BE"/>
    <w:rsid w:val="006C7686"/>
    <w:rsid w:val="0071749B"/>
    <w:rsid w:val="0073316B"/>
    <w:rsid w:val="00743552"/>
    <w:rsid w:val="007576B0"/>
    <w:rsid w:val="007627E0"/>
    <w:rsid w:val="007755D8"/>
    <w:rsid w:val="007D290B"/>
    <w:rsid w:val="007E2578"/>
    <w:rsid w:val="007E38B6"/>
    <w:rsid w:val="007F1908"/>
    <w:rsid w:val="00834718"/>
    <w:rsid w:val="00853D6E"/>
    <w:rsid w:val="00880AD2"/>
    <w:rsid w:val="008838EF"/>
    <w:rsid w:val="008B5320"/>
    <w:rsid w:val="00900239"/>
    <w:rsid w:val="00903107"/>
    <w:rsid w:val="00903ABC"/>
    <w:rsid w:val="009072A4"/>
    <w:rsid w:val="00944F4D"/>
    <w:rsid w:val="00955E64"/>
    <w:rsid w:val="00980854"/>
    <w:rsid w:val="00997F30"/>
    <w:rsid w:val="009B55B5"/>
    <w:rsid w:val="009B6BC6"/>
    <w:rsid w:val="009C7109"/>
    <w:rsid w:val="009E3907"/>
    <w:rsid w:val="009E740D"/>
    <w:rsid w:val="00A15D05"/>
    <w:rsid w:val="00A32832"/>
    <w:rsid w:val="00A4316F"/>
    <w:rsid w:val="00A43E99"/>
    <w:rsid w:val="00A44EA1"/>
    <w:rsid w:val="00A52793"/>
    <w:rsid w:val="00A52B7F"/>
    <w:rsid w:val="00A61576"/>
    <w:rsid w:val="00A80394"/>
    <w:rsid w:val="00A813F7"/>
    <w:rsid w:val="00AC37A4"/>
    <w:rsid w:val="00AD3CD4"/>
    <w:rsid w:val="00B07ADE"/>
    <w:rsid w:val="00B13DEE"/>
    <w:rsid w:val="00B1639A"/>
    <w:rsid w:val="00B1675A"/>
    <w:rsid w:val="00B25CEE"/>
    <w:rsid w:val="00B34BCC"/>
    <w:rsid w:val="00B474B5"/>
    <w:rsid w:val="00B57271"/>
    <w:rsid w:val="00B91A20"/>
    <w:rsid w:val="00BA05BC"/>
    <w:rsid w:val="00BB5290"/>
    <w:rsid w:val="00BC08E0"/>
    <w:rsid w:val="00BC639C"/>
    <w:rsid w:val="00BC7FF2"/>
    <w:rsid w:val="00BD5CB5"/>
    <w:rsid w:val="00BE5A28"/>
    <w:rsid w:val="00BF2B5D"/>
    <w:rsid w:val="00C325C1"/>
    <w:rsid w:val="00C37201"/>
    <w:rsid w:val="00C430D3"/>
    <w:rsid w:val="00C815FD"/>
    <w:rsid w:val="00C8334C"/>
    <w:rsid w:val="00CA4E56"/>
    <w:rsid w:val="00CA6AA6"/>
    <w:rsid w:val="00CB532C"/>
    <w:rsid w:val="00CD6519"/>
    <w:rsid w:val="00CE4218"/>
    <w:rsid w:val="00D17E2A"/>
    <w:rsid w:val="00D54CD3"/>
    <w:rsid w:val="00D555EF"/>
    <w:rsid w:val="00D55948"/>
    <w:rsid w:val="00D80E93"/>
    <w:rsid w:val="00DE4348"/>
    <w:rsid w:val="00E122E0"/>
    <w:rsid w:val="00E1611C"/>
    <w:rsid w:val="00E51EC4"/>
    <w:rsid w:val="00E705FD"/>
    <w:rsid w:val="00E75097"/>
    <w:rsid w:val="00E96959"/>
    <w:rsid w:val="00EA33B5"/>
    <w:rsid w:val="00EA6E62"/>
    <w:rsid w:val="00EC1526"/>
    <w:rsid w:val="00EC5D7E"/>
    <w:rsid w:val="00EE3DBD"/>
    <w:rsid w:val="00F21B6A"/>
    <w:rsid w:val="00F361AB"/>
    <w:rsid w:val="00F53EBC"/>
    <w:rsid w:val="00F73586"/>
    <w:rsid w:val="00FA1EFB"/>
    <w:rsid w:val="00FA7DB0"/>
    <w:rsid w:val="00FC0A46"/>
    <w:rsid w:val="00FC40E9"/>
    <w:rsid w:val="00FE440D"/>
    <w:rsid w:val="00FF2838"/>
    <w:rsid w:val="00FF4DEC"/>
    <w:rsid w:val="01C4558B"/>
    <w:rsid w:val="01E96729"/>
    <w:rsid w:val="02550D21"/>
    <w:rsid w:val="02A00385"/>
    <w:rsid w:val="02DD6089"/>
    <w:rsid w:val="03267FEF"/>
    <w:rsid w:val="03B83C77"/>
    <w:rsid w:val="04054B0A"/>
    <w:rsid w:val="040B6950"/>
    <w:rsid w:val="04180E77"/>
    <w:rsid w:val="042512D1"/>
    <w:rsid w:val="045F0F04"/>
    <w:rsid w:val="0466197E"/>
    <w:rsid w:val="04810666"/>
    <w:rsid w:val="04985152"/>
    <w:rsid w:val="04CF162C"/>
    <w:rsid w:val="052B6BCF"/>
    <w:rsid w:val="05390341"/>
    <w:rsid w:val="056255CE"/>
    <w:rsid w:val="05991874"/>
    <w:rsid w:val="05C76E61"/>
    <w:rsid w:val="05F06371"/>
    <w:rsid w:val="05F55600"/>
    <w:rsid w:val="0622155A"/>
    <w:rsid w:val="06267163"/>
    <w:rsid w:val="06322B7D"/>
    <w:rsid w:val="066005BE"/>
    <w:rsid w:val="0697258F"/>
    <w:rsid w:val="06A95F33"/>
    <w:rsid w:val="06B22CBB"/>
    <w:rsid w:val="06B62CBE"/>
    <w:rsid w:val="07211383"/>
    <w:rsid w:val="07290897"/>
    <w:rsid w:val="07324AE9"/>
    <w:rsid w:val="073E4772"/>
    <w:rsid w:val="07543C3B"/>
    <w:rsid w:val="07941485"/>
    <w:rsid w:val="07A45AE6"/>
    <w:rsid w:val="07CF4DE0"/>
    <w:rsid w:val="08486B84"/>
    <w:rsid w:val="084E1719"/>
    <w:rsid w:val="085D0E47"/>
    <w:rsid w:val="087A5D27"/>
    <w:rsid w:val="08FD4778"/>
    <w:rsid w:val="09331EF6"/>
    <w:rsid w:val="094C1D6C"/>
    <w:rsid w:val="09A028D7"/>
    <w:rsid w:val="09D50F9B"/>
    <w:rsid w:val="09E467B4"/>
    <w:rsid w:val="09EE1002"/>
    <w:rsid w:val="0A1B0808"/>
    <w:rsid w:val="0A4C3C02"/>
    <w:rsid w:val="0A5D02F9"/>
    <w:rsid w:val="0A661B24"/>
    <w:rsid w:val="0AA71557"/>
    <w:rsid w:val="0ABB4395"/>
    <w:rsid w:val="0ADA440C"/>
    <w:rsid w:val="0B1545E8"/>
    <w:rsid w:val="0B271428"/>
    <w:rsid w:val="0B853FFB"/>
    <w:rsid w:val="0B9F45D6"/>
    <w:rsid w:val="0C00473A"/>
    <w:rsid w:val="0C2B1895"/>
    <w:rsid w:val="0C465531"/>
    <w:rsid w:val="0D0125E6"/>
    <w:rsid w:val="0D2E2C4E"/>
    <w:rsid w:val="0DA308B7"/>
    <w:rsid w:val="0E376D73"/>
    <w:rsid w:val="0E6C6348"/>
    <w:rsid w:val="0E7F296D"/>
    <w:rsid w:val="0E9114BB"/>
    <w:rsid w:val="0EA6654B"/>
    <w:rsid w:val="0ED325F2"/>
    <w:rsid w:val="0EEB184E"/>
    <w:rsid w:val="0F67453B"/>
    <w:rsid w:val="0F712A2B"/>
    <w:rsid w:val="0FA83670"/>
    <w:rsid w:val="0FB146F6"/>
    <w:rsid w:val="0FE64E29"/>
    <w:rsid w:val="0FFD461D"/>
    <w:rsid w:val="1001136B"/>
    <w:rsid w:val="10214641"/>
    <w:rsid w:val="10366181"/>
    <w:rsid w:val="106E4160"/>
    <w:rsid w:val="10B47D10"/>
    <w:rsid w:val="10D9692B"/>
    <w:rsid w:val="10EE2587"/>
    <w:rsid w:val="10EF339B"/>
    <w:rsid w:val="10FA427B"/>
    <w:rsid w:val="112F31AE"/>
    <w:rsid w:val="117369F4"/>
    <w:rsid w:val="11820C08"/>
    <w:rsid w:val="11960F9B"/>
    <w:rsid w:val="11DF0DD9"/>
    <w:rsid w:val="12055F6E"/>
    <w:rsid w:val="12322597"/>
    <w:rsid w:val="123C00EC"/>
    <w:rsid w:val="12452572"/>
    <w:rsid w:val="127E5D7B"/>
    <w:rsid w:val="128C0847"/>
    <w:rsid w:val="128F02CE"/>
    <w:rsid w:val="129374E3"/>
    <w:rsid w:val="129C49FF"/>
    <w:rsid w:val="12A67C59"/>
    <w:rsid w:val="12E97C4A"/>
    <w:rsid w:val="12F75BB0"/>
    <w:rsid w:val="13075253"/>
    <w:rsid w:val="13237BE7"/>
    <w:rsid w:val="13261045"/>
    <w:rsid w:val="13572CE9"/>
    <w:rsid w:val="13586F52"/>
    <w:rsid w:val="135A7783"/>
    <w:rsid w:val="136C0074"/>
    <w:rsid w:val="137F0390"/>
    <w:rsid w:val="14083306"/>
    <w:rsid w:val="141A50D8"/>
    <w:rsid w:val="1458515C"/>
    <w:rsid w:val="14597B71"/>
    <w:rsid w:val="14BB6541"/>
    <w:rsid w:val="14C96F10"/>
    <w:rsid w:val="14DE1D5E"/>
    <w:rsid w:val="156211B0"/>
    <w:rsid w:val="15641466"/>
    <w:rsid w:val="15674319"/>
    <w:rsid w:val="15A3158A"/>
    <w:rsid w:val="15A77C7C"/>
    <w:rsid w:val="15B851A6"/>
    <w:rsid w:val="15FC3CA3"/>
    <w:rsid w:val="163D0466"/>
    <w:rsid w:val="164C1079"/>
    <w:rsid w:val="16817125"/>
    <w:rsid w:val="16D74B32"/>
    <w:rsid w:val="171F0E6F"/>
    <w:rsid w:val="17377D82"/>
    <w:rsid w:val="178B4634"/>
    <w:rsid w:val="17E86A50"/>
    <w:rsid w:val="188C583F"/>
    <w:rsid w:val="18A676BA"/>
    <w:rsid w:val="18B4532A"/>
    <w:rsid w:val="18C81723"/>
    <w:rsid w:val="18EB1002"/>
    <w:rsid w:val="19540167"/>
    <w:rsid w:val="196229FF"/>
    <w:rsid w:val="198445CD"/>
    <w:rsid w:val="198A76E6"/>
    <w:rsid w:val="199809CA"/>
    <w:rsid w:val="19BC41BF"/>
    <w:rsid w:val="19CA1907"/>
    <w:rsid w:val="1A1207AD"/>
    <w:rsid w:val="1A251C8B"/>
    <w:rsid w:val="1A4D757E"/>
    <w:rsid w:val="1A4E3CD6"/>
    <w:rsid w:val="1A5E6337"/>
    <w:rsid w:val="1AC707A9"/>
    <w:rsid w:val="1ACF2883"/>
    <w:rsid w:val="1AE71241"/>
    <w:rsid w:val="1B5176DF"/>
    <w:rsid w:val="1B5D2B28"/>
    <w:rsid w:val="1BC867BE"/>
    <w:rsid w:val="1BDB14E5"/>
    <w:rsid w:val="1C4A71AB"/>
    <w:rsid w:val="1C722D4A"/>
    <w:rsid w:val="1C91796C"/>
    <w:rsid w:val="1D0F1C41"/>
    <w:rsid w:val="1D43351B"/>
    <w:rsid w:val="1DB00122"/>
    <w:rsid w:val="1DF63ACA"/>
    <w:rsid w:val="1E067C30"/>
    <w:rsid w:val="1E0A3890"/>
    <w:rsid w:val="1E4503B0"/>
    <w:rsid w:val="1EF86E6C"/>
    <w:rsid w:val="1F01411F"/>
    <w:rsid w:val="1FC666A6"/>
    <w:rsid w:val="1FD057BE"/>
    <w:rsid w:val="201900EE"/>
    <w:rsid w:val="2055050C"/>
    <w:rsid w:val="20885F8A"/>
    <w:rsid w:val="20F30A1B"/>
    <w:rsid w:val="210F1CA9"/>
    <w:rsid w:val="210F65AD"/>
    <w:rsid w:val="21281B9B"/>
    <w:rsid w:val="214275CF"/>
    <w:rsid w:val="216A0D0C"/>
    <w:rsid w:val="218A1A06"/>
    <w:rsid w:val="22451E05"/>
    <w:rsid w:val="22BC3C57"/>
    <w:rsid w:val="22D2576F"/>
    <w:rsid w:val="22F423EA"/>
    <w:rsid w:val="23434F97"/>
    <w:rsid w:val="23957E82"/>
    <w:rsid w:val="23B65BB4"/>
    <w:rsid w:val="23E55453"/>
    <w:rsid w:val="23EE010A"/>
    <w:rsid w:val="23FC39F3"/>
    <w:rsid w:val="244C7F44"/>
    <w:rsid w:val="24676BA5"/>
    <w:rsid w:val="248943F7"/>
    <w:rsid w:val="249B4BAD"/>
    <w:rsid w:val="24A6666E"/>
    <w:rsid w:val="24CF0D60"/>
    <w:rsid w:val="25200217"/>
    <w:rsid w:val="25450435"/>
    <w:rsid w:val="25717BE3"/>
    <w:rsid w:val="25920AFF"/>
    <w:rsid w:val="25CF7FE5"/>
    <w:rsid w:val="260847B7"/>
    <w:rsid w:val="260A73C2"/>
    <w:rsid w:val="262048BD"/>
    <w:rsid w:val="265B2E9C"/>
    <w:rsid w:val="26611A7E"/>
    <w:rsid w:val="26675D4E"/>
    <w:rsid w:val="26BA23B1"/>
    <w:rsid w:val="2768326E"/>
    <w:rsid w:val="27B9604F"/>
    <w:rsid w:val="285351DD"/>
    <w:rsid w:val="2864709F"/>
    <w:rsid w:val="287A1F18"/>
    <w:rsid w:val="28DA5218"/>
    <w:rsid w:val="28F34F4F"/>
    <w:rsid w:val="29261596"/>
    <w:rsid w:val="292C16FB"/>
    <w:rsid w:val="29323965"/>
    <w:rsid w:val="29666331"/>
    <w:rsid w:val="2975490E"/>
    <w:rsid w:val="29825852"/>
    <w:rsid w:val="29991A09"/>
    <w:rsid w:val="29B97180"/>
    <w:rsid w:val="29D731D4"/>
    <w:rsid w:val="29ED4C08"/>
    <w:rsid w:val="2A21651D"/>
    <w:rsid w:val="2A540D6C"/>
    <w:rsid w:val="2AAF0C3F"/>
    <w:rsid w:val="2ADB5B87"/>
    <w:rsid w:val="2ADF4084"/>
    <w:rsid w:val="2B051904"/>
    <w:rsid w:val="2B5D1A6B"/>
    <w:rsid w:val="2B8E751A"/>
    <w:rsid w:val="2C233CCE"/>
    <w:rsid w:val="2C523ABD"/>
    <w:rsid w:val="2C8C32DC"/>
    <w:rsid w:val="2C9E6807"/>
    <w:rsid w:val="2CC50939"/>
    <w:rsid w:val="2CD4326F"/>
    <w:rsid w:val="2CF57E14"/>
    <w:rsid w:val="2D0654A5"/>
    <w:rsid w:val="2D1F59FB"/>
    <w:rsid w:val="2D5743BD"/>
    <w:rsid w:val="2D630A85"/>
    <w:rsid w:val="2D9E60D7"/>
    <w:rsid w:val="2DAA6BE5"/>
    <w:rsid w:val="2DAE7956"/>
    <w:rsid w:val="2E24768A"/>
    <w:rsid w:val="2E275FAC"/>
    <w:rsid w:val="2E7A61FC"/>
    <w:rsid w:val="2EBF5D1E"/>
    <w:rsid w:val="2EF8149C"/>
    <w:rsid w:val="2F0F494E"/>
    <w:rsid w:val="2F1A0B51"/>
    <w:rsid w:val="2F4E7E78"/>
    <w:rsid w:val="2F536C91"/>
    <w:rsid w:val="2F7A295B"/>
    <w:rsid w:val="2FD21935"/>
    <w:rsid w:val="304F2600"/>
    <w:rsid w:val="30A40B17"/>
    <w:rsid w:val="30D73AE0"/>
    <w:rsid w:val="30D84A5D"/>
    <w:rsid w:val="30FE7D1A"/>
    <w:rsid w:val="31053544"/>
    <w:rsid w:val="31731D38"/>
    <w:rsid w:val="31C61758"/>
    <w:rsid w:val="31CD7C22"/>
    <w:rsid w:val="31D63147"/>
    <w:rsid w:val="31EC3781"/>
    <w:rsid w:val="32222D1D"/>
    <w:rsid w:val="322D3E95"/>
    <w:rsid w:val="326C76FF"/>
    <w:rsid w:val="32842013"/>
    <w:rsid w:val="32CE0BF9"/>
    <w:rsid w:val="32F9390A"/>
    <w:rsid w:val="331733C1"/>
    <w:rsid w:val="333B26CF"/>
    <w:rsid w:val="334B5AC8"/>
    <w:rsid w:val="335C5FBF"/>
    <w:rsid w:val="336104B0"/>
    <w:rsid w:val="338D077F"/>
    <w:rsid w:val="33A67997"/>
    <w:rsid w:val="33AB5121"/>
    <w:rsid w:val="33BE564F"/>
    <w:rsid w:val="33C55819"/>
    <w:rsid w:val="33C67833"/>
    <w:rsid w:val="33E26D83"/>
    <w:rsid w:val="33E457EE"/>
    <w:rsid w:val="33F87A1E"/>
    <w:rsid w:val="33FA114D"/>
    <w:rsid w:val="34143233"/>
    <w:rsid w:val="34A74BBA"/>
    <w:rsid w:val="34BD6186"/>
    <w:rsid w:val="34C77442"/>
    <w:rsid w:val="34DD12E8"/>
    <w:rsid w:val="34DF18A1"/>
    <w:rsid w:val="352D3BC1"/>
    <w:rsid w:val="353F41FE"/>
    <w:rsid w:val="355B6B1C"/>
    <w:rsid w:val="355F4968"/>
    <w:rsid w:val="3569418A"/>
    <w:rsid w:val="357650F1"/>
    <w:rsid w:val="35A10E0D"/>
    <w:rsid w:val="35DE2C53"/>
    <w:rsid w:val="36083345"/>
    <w:rsid w:val="365236D0"/>
    <w:rsid w:val="36733C37"/>
    <w:rsid w:val="37B25DD7"/>
    <w:rsid w:val="37D71B26"/>
    <w:rsid w:val="37DC2D06"/>
    <w:rsid w:val="37DD4329"/>
    <w:rsid w:val="37E91560"/>
    <w:rsid w:val="38086216"/>
    <w:rsid w:val="380A21DF"/>
    <w:rsid w:val="382E616B"/>
    <w:rsid w:val="38473240"/>
    <w:rsid w:val="38511FE4"/>
    <w:rsid w:val="389B6587"/>
    <w:rsid w:val="38C460D2"/>
    <w:rsid w:val="38D32D28"/>
    <w:rsid w:val="38E5258F"/>
    <w:rsid w:val="3948581A"/>
    <w:rsid w:val="397017BA"/>
    <w:rsid w:val="3A0570F1"/>
    <w:rsid w:val="3A0A3865"/>
    <w:rsid w:val="3A1741DD"/>
    <w:rsid w:val="3A7D4B6B"/>
    <w:rsid w:val="3A981440"/>
    <w:rsid w:val="3AE84CF3"/>
    <w:rsid w:val="3B8F5CCB"/>
    <w:rsid w:val="3BA72930"/>
    <w:rsid w:val="3C834FB5"/>
    <w:rsid w:val="3C932251"/>
    <w:rsid w:val="3CAB5366"/>
    <w:rsid w:val="3D35238C"/>
    <w:rsid w:val="3D360A6C"/>
    <w:rsid w:val="3D434776"/>
    <w:rsid w:val="3DB82756"/>
    <w:rsid w:val="3DD24516"/>
    <w:rsid w:val="3DDB40EF"/>
    <w:rsid w:val="3E0C2C6F"/>
    <w:rsid w:val="3E1A1FFF"/>
    <w:rsid w:val="3E2B55C3"/>
    <w:rsid w:val="3E380DF4"/>
    <w:rsid w:val="3E657566"/>
    <w:rsid w:val="3EA463FB"/>
    <w:rsid w:val="3EE23536"/>
    <w:rsid w:val="3EED0B8F"/>
    <w:rsid w:val="3EF41CD0"/>
    <w:rsid w:val="3F764014"/>
    <w:rsid w:val="3FC748CB"/>
    <w:rsid w:val="403545B3"/>
    <w:rsid w:val="404D7990"/>
    <w:rsid w:val="40A01659"/>
    <w:rsid w:val="40CF4E07"/>
    <w:rsid w:val="40E02D18"/>
    <w:rsid w:val="41024E93"/>
    <w:rsid w:val="4124719D"/>
    <w:rsid w:val="412B15D8"/>
    <w:rsid w:val="41826EB7"/>
    <w:rsid w:val="418D6E4C"/>
    <w:rsid w:val="41A768F3"/>
    <w:rsid w:val="42151A2B"/>
    <w:rsid w:val="421A40EA"/>
    <w:rsid w:val="422E29FC"/>
    <w:rsid w:val="4239795E"/>
    <w:rsid w:val="42442D4F"/>
    <w:rsid w:val="424F3CAE"/>
    <w:rsid w:val="425A5DB0"/>
    <w:rsid w:val="42701434"/>
    <w:rsid w:val="42725710"/>
    <w:rsid w:val="432D3D9A"/>
    <w:rsid w:val="433C1E53"/>
    <w:rsid w:val="437E00E5"/>
    <w:rsid w:val="43BC6A8E"/>
    <w:rsid w:val="43CF6CE6"/>
    <w:rsid w:val="43EB664C"/>
    <w:rsid w:val="44176214"/>
    <w:rsid w:val="445B6037"/>
    <w:rsid w:val="445F5CB1"/>
    <w:rsid w:val="447C162A"/>
    <w:rsid w:val="44912A94"/>
    <w:rsid w:val="44E77FF7"/>
    <w:rsid w:val="44EF4258"/>
    <w:rsid w:val="45597918"/>
    <w:rsid w:val="455B5861"/>
    <w:rsid w:val="456321ED"/>
    <w:rsid w:val="45781EF3"/>
    <w:rsid w:val="457E3BAA"/>
    <w:rsid w:val="458B6276"/>
    <w:rsid w:val="45A47F07"/>
    <w:rsid w:val="45D9778B"/>
    <w:rsid w:val="46176D11"/>
    <w:rsid w:val="46915998"/>
    <w:rsid w:val="46A57A8D"/>
    <w:rsid w:val="47720397"/>
    <w:rsid w:val="47753672"/>
    <w:rsid w:val="48393A65"/>
    <w:rsid w:val="486949EB"/>
    <w:rsid w:val="488D582A"/>
    <w:rsid w:val="48976A6D"/>
    <w:rsid w:val="48AE2359"/>
    <w:rsid w:val="491F4510"/>
    <w:rsid w:val="493A31F1"/>
    <w:rsid w:val="49460EC3"/>
    <w:rsid w:val="496352E8"/>
    <w:rsid w:val="4A961DE3"/>
    <w:rsid w:val="4A9A2911"/>
    <w:rsid w:val="4ADA3B60"/>
    <w:rsid w:val="4AF63A9B"/>
    <w:rsid w:val="4B1F5624"/>
    <w:rsid w:val="4B530D8A"/>
    <w:rsid w:val="4BB711B4"/>
    <w:rsid w:val="4C7C05D9"/>
    <w:rsid w:val="4CC213F2"/>
    <w:rsid w:val="4CC5179B"/>
    <w:rsid w:val="4CDA3572"/>
    <w:rsid w:val="4D0F4ED1"/>
    <w:rsid w:val="4E266EEC"/>
    <w:rsid w:val="4E607573"/>
    <w:rsid w:val="4ECE12B0"/>
    <w:rsid w:val="4EE670FE"/>
    <w:rsid w:val="4F0E71F7"/>
    <w:rsid w:val="4F2C52EE"/>
    <w:rsid w:val="4F5F4CD3"/>
    <w:rsid w:val="4F6120FD"/>
    <w:rsid w:val="4F840831"/>
    <w:rsid w:val="4F905A6B"/>
    <w:rsid w:val="4FC32649"/>
    <w:rsid w:val="4FC41575"/>
    <w:rsid w:val="4FDA7255"/>
    <w:rsid w:val="504B5163"/>
    <w:rsid w:val="504D19FE"/>
    <w:rsid w:val="50687593"/>
    <w:rsid w:val="506D5769"/>
    <w:rsid w:val="50AD2009"/>
    <w:rsid w:val="50BA1A5A"/>
    <w:rsid w:val="50C45C31"/>
    <w:rsid w:val="50E006D7"/>
    <w:rsid w:val="50FB0926"/>
    <w:rsid w:val="514F1F23"/>
    <w:rsid w:val="519D31CB"/>
    <w:rsid w:val="523E34C1"/>
    <w:rsid w:val="52643E2D"/>
    <w:rsid w:val="52C462D8"/>
    <w:rsid w:val="52E301C4"/>
    <w:rsid w:val="52EB7859"/>
    <w:rsid w:val="532520FE"/>
    <w:rsid w:val="5334414A"/>
    <w:rsid w:val="536A46DD"/>
    <w:rsid w:val="53CF4A39"/>
    <w:rsid w:val="53D17939"/>
    <w:rsid w:val="53FC6404"/>
    <w:rsid w:val="54514F28"/>
    <w:rsid w:val="545E04FA"/>
    <w:rsid w:val="54600C32"/>
    <w:rsid w:val="548C31C2"/>
    <w:rsid w:val="548E6EA9"/>
    <w:rsid w:val="54B24889"/>
    <w:rsid w:val="550F0F45"/>
    <w:rsid w:val="55584D81"/>
    <w:rsid w:val="557E34A8"/>
    <w:rsid w:val="55921828"/>
    <w:rsid w:val="55927376"/>
    <w:rsid w:val="55BA26D5"/>
    <w:rsid w:val="56A46810"/>
    <w:rsid w:val="56B27C95"/>
    <w:rsid w:val="56B5027D"/>
    <w:rsid w:val="56E46059"/>
    <w:rsid w:val="56F13672"/>
    <w:rsid w:val="56FB5FC3"/>
    <w:rsid w:val="57040208"/>
    <w:rsid w:val="57B318A8"/>
    <w:rsid w:val="57D67F65"/>
    <w:rsid w:val="57F0416F"/>
    <w:rsid w:val="585E4BB7"/>
    <w:rsid w:val="587277A5"/>
    <w:rsid w:val="588100CA"/>
    <w:rsid w:val="58D564EF"/>
    <w:rsid w:val="58F13D25"/>
    <w:rsid w:val="59093680"/>
    <w:rsid w:val="590D158A"/>
    <w:rsid w:val="590E1E59"/>
    <w:rsid w:val="593C7C64"/>
    <w:rsid w:val="59A417FB"/>
    <w:rsid w:val="59B51FF2"/>
    <w:rsid w:val="59D345D5"/>
    <w:rsid w:val="59D36315"/>
    <w:rsid w:val="59E21DA4"/>
    <w:rsid w:val="59E45291"/>
    <w:rsid w:val="59EF1B90"/>
    <w:rsid w:val="5A3964F3"/>
    <w:rsid w:val="5A630C35"/>
    <w:rsid w:val="5A752070"/>
    <w:rsid w:val="5A901D02"/>
    <w:rsid w:val="5AFE0FC0"/>
    <w:rsid w:val="5B1516C2"/>
    <w:rsid w:val="5BAA22D4"/>
    <w:rsid w:val="5BB06AD7"/>
    <w:rsid w:val="5BC70A55"/>
    <w:rsid w:val="5BF27304"/>
    <w:rsid w:val="5BFE229B"/>
    <w:rsid w:val="5C015B40"/>
    <w:rsid w:val="5C2861E3"/>
    <w:rsid w:val="5C7B5868"/>
    <w:rsid w:val="5C7E4648"/>
    <w:rsid w:val="5CA50DD2"/>
    <w:rsid w:val="5D050BDC"/>
    <w:rsid w:val="5D380EAD"/>
    <w:rsid w:val="5D895DF2"/>
    <w:rsid w:val="5D9414CE"/>
    <w:rsid w:val="5DC5784F"/>
    <w:rsid w:val="5DDF3CBF"/>
    <w:rsid w:val="5E201B01"/>
    <w:rsid w:val="5E6A57E5"/>
    <w:rsid w:val="5E7E7A50"/>
    <w:rsid w:val="5EA34DAF"/>
    <w:rsid w:val="5EA67F41"/>
    <w:rsid w:val="5EC636F3"/>
    <w:rsid w:val="5EEB17D3"/>
    <w:rsid w:val="5EF151BC"/>
    <w:rsid w:val="5F130955"/>
    <w:rsid w:val="5F655612"/>
    <w:rsid w:val="5F6F5D3B"/>
    <w:rsid w:val="60481488"/>
    <w:rsid w:val="60602D90"/>
    <w:rsid w:val="606907DC"/>
    <w:rsid w:val="60957D36"/>
    <w:rsid w:val="60B22B68"/>
    <w:rsid w:val="610A22B4"/>
    <w:rsid w:val="610A2675"/>
    <w:rsid w:val="61117C2B"/>
    <w:rsid w:val="61144F96"/>
    <w:rsid w:val="612858FE"/>
    <w:rsid w:val="615D7CA7"/>
    <w:rsid w:val="61A85167"/>
    <w:rsid w:val="61C73443"/>
    <w:rsid w:val="61EB0055"/>
    <w:rsid w:val="62475E43"/>
    <w:rsid w:val="624C4633"/>
    <w:rsid w:val="62741E0A"/>
    <w:rsid w:val="6297262B"/>
    <w:rsid w:val="62992AB5"/>
    <w:rsid w:val="62C00F8F"/>
    <w:rsid w:val="62CE3DBD"/>
    <w:rsid w:val="634753DB"/>
    <w:rsid w:val="63C22B0A"/>
    <w:rsid w:val="63EF366B"/>
    <w:rsid w:val="643A769B"/>
    <w:rsid w:val="64567C78"/>
    <w:rsid w:val="64610CE9"/>
    <w:rsid w:val="64933E43"/>
    <w:rsid w:val="64A44A52"/>
    <w:rsid w:val="64B226BC"/>
    <w:rsid w:val="651346FB"/>
    <w:rsid w:val="65491EA9"/>
    <w:rsid w:val="65751B94"/>
    <w:rsid w:val="65A66435"/>
    <w:rsid w:val="65E40235"/>
    <w:rsid w:val="65F01122"/>
    <w:rsid w:val="668115D4"/>
    <w:rsid w:val="66CD3987"/>
    <w:rsid w:val="66EC357D"/>
    <w:rsid w:val="673D6E73"/>
    <w:rsid w:val="676D2F42"/>
    <w:rsid w:val="67A973A5"/>
    <w:rsid w:val="682C703D"/>
    <w:rsid w:val="68805047"/>
    <w:rsid w:val="68DB5A85"/>
    <w:rsid w:val="68FA3F4D"/>
    <w:rsid w:val="690268D7"/>
    <w:rsid w:val="695206FD"/>
    <w:rsid w:val="696D4587"/>
    <w:rsid w:val="697A5C7D"/>
    <w:rsid w:val="69DC584F"/>
    <w:rsid w:val="69ED47F5"/>
    <w:rsid w:val="69F355C5"/>
    <w:rsid w:val="6A1A798B"/>
    <w:rsid w:val="6A3D0252"/>
    <w:rsid w:val="6A3E6DA0"/>
    <w:rsid w:val="6AB3406C"/>
    <w:rsid w:val="6AFC3B73"/>
    <w:rsid w:val="6B310756"/>
    <w:rsid w:val="6B4F7B8E"/>
    <w:rsid w:val="6B550C42"/>
    <w:rsid w:val="6B55422E"/>
    <w:rsid w:val="6BE63278"/>
    <w:rsid w:val="6C085337"/>
    <w:rsid w:val="6C2316D6"/>
    <w:rsid w:val="6C3031CC"/>
    <w:rsid w:val="6C8807CB"/>
    <w:rsid w:val="6CA464CE"/>
    <w:rsid w:val="6CB3333B"/>
    <w:rsid w:val="6CB42462"/>
    <w:rsid w:val="6D5D3DBC"/>
    <w:rsid w:val="6D6A3843"/>
    <w:rsid w:val="6D8C3ADE"/>
    <w:rsid w:val="6DFC3078"/>
    <w:rsid w:val="6E3836C7"/>
    <w:rsid w:val="6E48687E"/>
    <w:rsid w:val="6E505259"/>
    <w:rsid w:val="6E7A4E10"/>
    <w:rsid w:val="6E820375"/>
    <w:rsid w:val="6EE03586"/>
    <w:rsid w:val="6EEA23FB"/>
    <w:rsid w:val="6F353E70"/>
    <w:rsid w:val="6F513E55"/>
    <w:rsid w:val="6F646517"/>
    <w:rsid w:val="6F810D35"/>
    <w:rsid w:val="6F8E2454"/>
    <w:rsid w:val="6F962F28"/>
    <w:rsid w:val="6FB4345C"/>
    <w:rsid w:val="6FEB0250"/>
    <w:rsid w:val="700B6B5C"/>
    <w:rsid w:val="70125DB0"/>
    <w:rsid w:val="701D2DE7"/>
    <w:rsid w:val="708B76FE"/>
    <w:rsid w:val="708E5586"/>
    <w:rsid w:val="711368CE"/>
    <w:rsid w:val="711A462A"/>
    <w:rsid w:val="712C57C5"/>
    <w:rsid w:val="715A791F"/>
    <w:rsid w:val="717464FF"/>
    <w:rsid w:val="717958C4"/>
    <w:rsid w:val="71C67213"/>
    <w:rsid w:val="721E41C6"/>
    <w:rsid w:val="72242A9F"/>
    <w:rsid w:val="72630FF2"/>
    <w:rsid w:val="72B7351A"/>
    <w:rsid w:val="72B85CCA"/>
    <w:rsid w:val="72CA42C0"/>
    <w:rsid w:val="730B2BD2"/>
    <w:rsid w:val="73793774"/>
    <w:rsid w:val="73B14A21"/>
    <w:rsid w:val="744A653C"/>
    <w:rsid w:val="74E21A99"/>
    <w:rsid w:val="75C31BFD"/>
    <w:rsid w:val="76520C35"/>
    <w:rsid w:val="76A771B0"/>
    <w:rsid w:val="76BB18DA"/>
    <w:rsid w:val="771F6B93"/>
    <w:rsid w:val="7723656C"/>
    <w:rsid w:val="77435204"/>
    <w:rsid w:val="778A5F09"/>
    <w:rsid w:val="778B5390"/>
    <w:rsid w:val="77C05499"/>
    <w:rsid w:val="77D777E8"/>
    <w:rsid w:val="784E699C"/>
    <w:rsid w:val="78D07480"/>
    <w:rsid w:val="78D112D7"/>
    <w:rsid w:val="79101BF2"/>
    <w:rsid w:val="796F56A3"/>
    <w:rsid w:val="799139C7"/>
    <w:rsid w:val="79A41D98"/>
    <w:rsid w:val="79C52DEC"/>
    <w:rsid w:val="79D6037B"/>
    <w:rsid w:val="7A2B7977"/>
    <w:rsid w:val="7A3B1CB0"/>
    <w:rsid w:val="7A9E3AA1"/>
    <w:rsid w:val="7AA705C2"/>
    <w:rsid w:val="7AAE7271"/>
    <w:rsid w:val="7AB60D14"/>
    <w:rsid w:val="7AC335BE"/>
    <w:rsid w:val="7AC65AB8"/>
    <w:rsid w:val="7AC84B0B"/>
    <w:rsid w:val="7AD93554"/>
    <w:rsid w:val="7B09166A"/>
    <w:rsid w:val="7B52248F"/>
    <w:rsid w:val="7B58046C"/>
    <w:rsid w:val="7B8B06E8"/>
    <w:rsid w:val="7B8D69B4"/>
    <w:rsid w:val="7B9E39F9"/>
    <w:rsid w:val="7BA867D9"/>
    <w:rsid w:val="7BDA7CD0"/>
    <w:rsid w:val="7BDB715D"/>
    <w:rsid w:val="7BE06FAB"/>
    <w:rsid w:val="7BEF0529"/>
    <w:rsid w:val="7C126152"/>
    <w:rsid w:val="7CA70F0D"/>
    <w:rsid w:val="7CC61DE9"/>
    <w:rsid w:val="7CE356CF"/>
    <w:rsid w:val="7D205829"/>
    <w:rsid w:val="7DB45D94"/>
    <w:rsid w:val="7DBF4AD1"/>
    <w:rsid w:val="7DC5183B"/>
    <w:rsid w:val="7DDB6E5C"/>
    <w:rsid w:val="7E3B3F9F"/>
    <w:rsid w:val="7E950A29"/>
    <w:rsid w:val="7EAA5E87"/>
    <w:rsid w:val="7EED1AD4"/>
    <w:rsid w:val="7EFB331E"/>
    <w:rsid w:val="7F0730A4"/>
    <w:rsid w:val="7F5E6345"/>
    <w:rsid w:val="7F667C25"/>
    <w:rsid w:val="7FE51BB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qFormat="1" w:unhideWhenUsed="0" w:uiPriority="0" w:semiHidden="0" w:name="HTML Typewriter"/>
    <w:lsdException w:unhideWhenUsed="0" w:uiPriority="0" w:semiHidden="0" w:name="HTML Variable"/>
    <w:lsdException w:qFormat="1" w:unhideWhenUsed="0" w:uiPriority="0"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75"/>
    <w:autoRedefine/>
    <w:qFormat/>
    <w:uiPriority w:val="0"/>
    <w:pPr>
      <w:keepNext/>
      <w:keepLines/>
      <w:spacing w:before="340" w:after="330" w:line="576" w:lineRule="auto"/>
      <w:outlineLvl w:val="0"/>
    </w:pPr>
    <w:rPr>
      <w:rFonts w:ascii="Times New Roman" w:hAnsi="Times New Roman" w:eastAsia="宋体" w:cs="Times New Roman"/>
      <w:b/>
      <w:kern w:val="44"/>
      <w:sz w:val="44"/>
      <w:szCs w:val="20"/>
    </w:rPr>
  </w:style>
  <w:style w:type="paragraph" w:styleId="4">
    <w:name w:val="heading 2"/>
    <w:basedOn w:val="1"/>
    <w:next w:val="1"/>
    <w:link w:val="76"/>
    <w:autoRedefine/>
    <w:qFormat/>
    <w:uiPriority w:val="0"/>
    <w:pPr>
      <w:keepNext/>
      <w:keepLines/>
      <w:spacing w:before="260" w:after="260" w:line="413" w:lineRule="auto"/>
      <w:outlineLvl w:val="1"/>
    </w:pPr>
    <w:rPr>
      <w:rFonts w:ascii="Arial" w:hAnsi="Arial" w:eastAsia="黑体" w:cs="Times New Roman"/>
      <w:b/>
      <w:sz w:val="32"/>
      <w:szCs w:val="20"/>
    </w:rPr>
  </w:style>
  <w:style w:type="paragraph" w:styleId="5">
    <w:name w:val="heading 3"/>
    <w:basedOn w:val="1"/>
    <w:next w:val="1"/>
    <w:link w:val="77"/>
    <w:autoRedefine/>
    <w:qFormat/>
    <w:uiPriority w:val="0"/>
    <w:pPr>
      <w:keepNext/>
      <w:keepLines/>
      <w:spacing w:before="260" w:after="260" w:line="413" w:lineRule="auto"/>
      <w:outlineLvl w:val="2"/>
    </w:pPr>
    <w:rPr>
      <w:rFonts w:ascii="Times New Roman" w:hAnsi="Times New Roman" w:eastAsia="宋体" w:cs="Times New Roman"/>
      <w:b/>
      <w:sz w:val="32"/>
      <w:szCs w:val="20"/>
    </w:rPr>
  </w:style>
  <w:style w:type="paragraph" w:styleId="6">
    <w:name w:val="heading 4"/>
    <w:basedOn w:val="1"/>
    <w:next w:val="1"/>
    <w:link w:val="78"/>
    <w:autoRedefine/>
    <w:qFormat/>
    <w:uiPriority w:val="0"/>
    <w:pPr>
      <w:keepNext/>
      <w:keepLines/>
      <w:widowControl w:val="0"/>
      <w:tabs>
        <w:tab w:val="left" w:pos="1134"/>
        <w:tab w:val="right" w:pos="7371"/>
      </w:tabs>
      <w:overflowPunct w:val="0"/>
      <w:autoSpaceDE w:val="0"/>
      <w:autoSpaceDN w:val="0"/>
      <w:adjustRightInd w:val="0"/>
      <w:snapToGrid w:val="0"/>
      <w:spacing w:line="360" w:lineRule="auto"/>
      <w:textAlignment w:val="baseline"/>
      <w:outlineLvl w:val="3"/>
    </w:pPr>
    <w:rPr>
      <w:rFonts w:ascii="宋体" w:hAnsi="Times New Roman" w:eastAsia="宋体" w:cs="Times New Roman"/>
      <w:color w:val="800000"/>
      <w:kern w:val="0"/>
      <w:sz w:val="28"/>
      <w:szCs w:val="20"/>
    </w:rPr>
  </w:style>
  <w:style w:type="paragraph" w:styleId="7">
    <w:name w:val="heading 5"/>
    <w:basedOn w:val="1"/>
    <w:next w:val="1"/>
    <w:autoRedefine/>
    <w:qFormat/>
    <w:uiPriority w:val="0"/>
    <w:pPr>
      <w:keepNext/>
      <w:keepLines/>
      <w:widowControl w:val="0"/>
      <w:tabs>
        <w:tab w:val="left" w:pos="1134"/>
        <w:tab w:val="right" w:pos="7371"/>
      </w:tabs>
      <w:overflowPunct w:val="0"/>
      <w:autoSpaceDE w:val="0"/>
      <w:autoSpaceDN w:val="0"/>
      <w:adjustRightInd w:val="0"/>
      <w:snapToGrid w:val="0"/>
      <w:spacing w:line="360" w:lineRule="auto"/>
      <w:jc w:val="left"/>
      <w:textAlignment w:val="baseline"/>
      <w:outlineLvl w:val="4"/>
    </w:pPr>
    <w:rPr>
      <w:rFonts w:ascii="宋体" w:hAnsi="Times New Roman" w:eastAsia="宋体" w:cs="Times New Roman"/>
      <w:color w:val="008000"/>
      <w:kern w:val="0"/>
      <w:sz w:val="28"/>
      <w:szCs w:val="20"/>
    </w:rPr>
  </w:style>
  <w:style w:type="paragraph" w:styleId="8">
    <w:name w:val="heading 6"/>
    <w:basedOn w:val="1"/>
    <w:next w:val="1"/>
    <w:autoRedefine/>
    <w:qFormat/>
    <w:uiPriority w:val="0"/>
    <w:pPr>
      <w:keepNext/>
      <w:keepLines/>
      <w:widowControl w:val="0"/>
      <w:tabs>
        <w:tab w:val="left" w:pos="1134"/>
        <w:tab w:val="right" w:pos="7371"/>
      </w:tabs>
      <w:overflowPunct w:val="0"/>
      <w:autoSpaceDE w:val="0"/>
      <w:autoSpaceDN w:val="0"/>
      <w:adjustRightInd w:val="0"/>
      <w:snapToGrid w:val="0"/>
      <w:spacing w:before="240" w:after="64" w:line="316" w:lineRule="auto"/>
      <w:jc w:val="left"/>
      <w:textAlignment w:val="baseline"/>
      <w:outlineLvl w:val="5"/>
    </w:pPr>
    <w:rPr>
      <w:rFonts w:ascii="Arial" w:hAnsi="Arial" w:eastAsia="黑体" w:cs="Times New Roman"/>
      <w:b/>
      <w:color w:val="000000"/>
      <w:kern w:val="0"/>
      <w:sz w:val="24"/>
      <w:szCs w:val="20"/>
    </w:rPr>
  </w:style>
  <w:style w:type="paragraph" w:styleId="9">
    <w:name w:val="heading 7"/>
    <w:basedOn w:val="1"/>
    <w:next w:val="1"/>
    <w:autoRedefine/>
    <w:qFormat/>
    <w:uiPriority w:val="0"/>
    <w:pPr>
      <w:keepNext/>
      <w:keepLines/>
      <w:widowControl w:val="0"/>
      <w:tabs>
        <w:tab w:val="left" w:pos="1134"/>
        <w:tab w:val="right" w:pos="7371"/>
      </w:tabs>
      <w:overflowPunct w:val="0"/>
      <w:autoSpaceDE w:val="0"/>
      <w:autoSpaceDN w:val="0"/>
      <w:adjustRightInd w:val="0"/>
      <w:snapToGrid w:val="0"/>
      <w:spacing w:before="240" w:after="64" w:line="316" w:lineRule="auto"/>
      <w:jc w:val="left"/>
      <w:textAlignment w:val="baseline"/>
      <w:outlineLvl w:val="6"/>
    </w:pPr>
    <w:rPr>
      <w:rFonts w:ascii="宋体" w:hAnsi="Times New Roman" w:eastAsia="宋体" w:cs="Times New Roman"/>
      <w:b/>
      <w:color w:val="000000"/>
      <w:kern w:val="0"/>
      <w:sz w:val="24"/>
      <w:szCs w:val="20"/>
    </w:rPr>
  </w:style>
  <w:style w:type="paragraph" w:styleId="10">
    <w:name w:val="heading 8"/>
    <w:basedOn w:val="1"/>
    <w:next w:val="1"/>
    <w:autoRedefine/>
    <w:qFormat/>
    <w:uiPriority w:val="0"/>
    <w:pPr>
      <w:keepNext/>
      <w:keepLines/>
      <w:widowControl w:val="0"/>
      <w:tabs>
        <w:tab w:val="left" w:pos="1134"/>
        <w:tab w:val="right" w:pos="7371"/>
      </w:tabs>
      <w:overflowPunct w:val="0"/>
      <w:autoSpaceDE w:val="0"/>
      <w:autoSpaceDN w:val="0"/>
      <w:adjustRightInd w:val="0"/>
      <w:snapToGrid w:val="0"/>
      <w:spacing w:before="240" w:after="64" w:line="316" w:lineRule="auto"/>
      <w:jc w:val="left"/>
      <w:textAlignment w:val="baseline"/>
      <w:outlineLvl w:val="7"/>
    </w:pPr>
    <w:rPr>
      <w:rFonts w:ascii="Arial" w:hAnsi="Arial" w:eastAsia="黑体" w:cs="Times New Roman"/>
      <w:color w:val="000000"/>
      <w:kern w:val="0"/>
      <w:sz w:val="24"/>
      <w:szCs w:val="20"/>
    </w:rPr>
  </w:style>
  <w:style w:type="paragraph" w:styleId="11">
    <w:name w:val="heading 9"/>
    <w:basedOn w:val="1"/>
    <w:next w:val="1"/>
    <w:autoRedefine/>
    <w:qFormat/>
    <w:uiPriority w:val="0"/>
    <w:pPr>
      <w:keepNext/>
      <w:widowControl w:val="0"/>
      <w:spacing w:line="600" w:lineRule="exact"/>
      <w:jc w:val="center"/>
      <w:outlineLvl w:val="8"/>
    </w:pPr>
    <w:rPr>
      <w:rFonts w:ascii="仿宋_GB2312" w:hAnsi="Times New Roman" w:eastAsia="仿宋_GB2312" w:cs="Times New Roman"/>
      <w:sz w:val="32"/>
    </w:rPr>
  </w:style>
  <w:style w:type="character" w:default="1" w:styleId="65">
    <w:name w:val="Default Paragraph Font"/>
    <w:autoRedefine/>
    <w:qFormat/>
    <w:uiPriority w:val="0"/>
    <w:rPr>
      <w:rFonts w:ascii="Times New Roman" w:hAnsi="Times New Roman" w:eastAsia="宋体" w:cs="Times New Roman"/>
    </w:rPr>
  </w:style>
  <w:style w:type="table" w:default="1" w:styleId="63">
    <w:name w:val="Normal Table"/>
    <w:autoRedefine/>
    <w:qFormat/>
    <w:uiPriority w:val="0"/>
    <w:rPr>
      <w:rFonts w:ascii="Times New Roman" w:hAnsi="Times New Roman" w:eastAsia="宋体" w:cs="Times New Roman"/>
    </w:rPr>
    <w:tblPr>
      <w:tblCellMar>
        <w:top w:w="0" w:type="dxa"/>
        <w:left w:w="108" w:type="dxa"/>
        <w:bottom w:w="0" w:type="dxa"/>
        <w:right w:w="108" w:type="dxa"/>
      </w:tblCellMar>
    </w:tblPr>
  </w:style>
  <w:style w:type="paragraph" w:styleId="2">
    <w:name w:val="Body Text"/>
    <w:basedOn w:val="1"/>
    <w:autoRedefine/>
    <w:qFormat/>
    <w:uiPriority w:val="0"/>
    <w:pPr>
      <w:spacing w:line="60" w:lineRule="auto"/>
    </w:pPr>
    <w:rPr>
      <w:rFonts w:ascii="仿宋_GB2312" w:hAnsi="Times New Roman" w:eastAsia="仿宋_GB2312" w:cs="Times New Roman"/>
      <w:sz w:val="32"/>
    </w:rPr>
  </w:style>
  <w:style w:type="paragraph" w:styleId="12">
    <w:name w:val="toc 7"/>
    <w:basedOn w:val="1"/>
    <w:next w:val="1"/>
    <w:autoRedefine/>
    <w:qFormat/>
    <w:uiPriority w:val="0"/>
    <w:pPr>
      <w:ind w:left="1260"/>
      <w:jc w:val="left"/>
    </w:pPr>
    <w:rPr>
      <w:rFonts w:ascii="Calibri" w:hAnsi="Calibri" w:eastAsia="宋体" w:cs="Calibri"/>
      <w:sz w:val="18"/>
      <w:szCs w:val="18"/>
    </w:rPr>
  </w:style>
  <w:style w:type="paragraph" w:styleId="13">
    <w:name w:val="List Bullet 4"/>
    <w:basedOn w:val="1"/>
    <w:autoRedefine/>
    <w:qFormat/>
    <w:uiPriority w:val="0"/>
    <w:pPr>
      <w:tabs>
        <w:tab w:val="left" w:pos="360"/>
      </w:tabs>
      <w:spacing w:line="380" w:lineRule="exact"/>
      <w:ind w:left="360" w:hanging="360"/>
    </w:pPr>
    <w:rPr>
      <w:rFonts w:ascii="Calibri" w:hAnsi="Calibri" w:eastAsia="宋体" w:cs="Times New Roman"/>
      <w:sz w:val="28"/>
      <w:szCs w:val="22"/>
    </w:rPr>
  </w:style>
  <w:style w:type="paragraph" w:styleId="14">
    <w:name w:val="index 8"/>
    <w:basedOn w:val="1"/>
    <w:next w:val="1"/>
    <w:autoRedefine/>
    <w:qFormat/>
    <w:uiPriority w:val="0"/>
    <w:pPr>
      <w:ind w:left="1400" w:leftChars="1400"/>
    </w:pPr>
    <w:rPr>
      <w:rFonts w:ascii="Calibri" w:hAnsi="Calibri" w:eastAsia="宋体" w:cs="Times New Roman"/>
      <w:szCs w:val="22"/>
    </w:rPr>
  </w:style>
  <w:style w:type="paragraph" w:styleId="15">
    <w:name w:val="List Number"/>
    <w:basedOn w:val="1"/>
    <w:autoRedefine/>
    <w:qFormat/>
    <w:uiPriority w:val="0"/>
    <w:pPr>
      <w:tabs>
        <w:tab w:val="left" w:pos="0"/>
        <w:tab w:val="left" w:pos="840"/>
      </w:tabs>
      <w:spacing w:line="360" w:lineRule="auto"/>
    </w:pPr>
    <w:rPr>
      <w:rFonts w:ascii="Times New Roman" w:hAnsi="Times New Roman" w:eastAsia="宋体" w:cs="Times New Roman"/>
    </w:rPr>
  </w:style>
  <w:style w:type="paragraph" w:styleId="16">
    <w:name w:val="Normal Indent"/>
    <w:basedOn w:val="1"/>
    <w:link w:val="79"/>
    <w:autoRedefine/>
    <w:qFormat/>
    <w:uiPriority w:val="0"/>
    <w:pPr>
      <w:autoSpaceDE w:val="0"/>
      <w:autoSpaceDN w:val="0"/>
      <w:adjustRightInd w:val="0"/>
      <w:snapToGrid w:val="0"/>
      <w:ind w:firstLine="420"/>
    </w:pPr>
    <w:rPr>
      <w:rFonts w:ascii="宋体" w:hAnsi="Times New Roman" w:eastAsia="宋体" w:cs="Times New Roman"/>
      <w:color w:val="000000"/>
      <w:sz w:val="24"/>
      <w:szCs w:val="20"/>
    </w:rPr>
  </w:style>
  <w:style w:type="paragraph" w:styleId="17">
    <w:name w:val="caption"/>
    <w:basedOn w:val="1"/>
    <w:next w:val="1"/>
    <w:link w:val="80"/>
    <w:autoRedefine/>
    <w:qFormat/>
    <w:uiPriority w:val="0"/>
    <w:pPr>
      <w:tabs>
        <w:tab w:val="left" w:pos="0"/>
      </w:tabs>
      <w:spacing w:line="360" w:lineRule="auto"/>
    </w:pPr>
    <w:rPr>
      <w:rFonts w:ascii="Arial" w:hAnsi="Arial" w:eastAsia="黑体" w:cs="Times New Roman"/>
      <w:sz w:val="20"/>
      <w:szCs w:val="20"/>
    </w:rPr>
  </w:style>
  <w:style w:type="paragraph" w:styleId="18">
    <w:name w:val="index 5"/>
    <w:basedOn w:val="1"/>
    <w:next w:val="1"/>
    <w:autoRedefine/>
    <w:qFormat/>
    <w:uiPriority w:val="0"/>
    <w:pPr>
      <w:ind w:left="800" w:leftChars="800"/>
    </w:pPr>
    <w:rPr>
      <w:rFonts w:ascii="Calibri" w:hAnsi="Calibri" w:eastAsia="宋体" w:cs="Times New Roman"/>
      <w:szCs w:val="22"/>
    </w:rPr>
  </w:style>
  <w:style w:type="paragraph" w:styleId="19">
    <w:name w:val="List Bullet"/>
    <w:basedOn w:val="1"/>
    <w:autoRedefine/>
    <w:qFormat/>
    <w:uiPriority w:val="0"/>
    <w:pPr>
      <w:tabs>
        <w:tab w:val="left" w:pos="840"/>
      </w:tabs>
      <w:spacing w:line="360" w:lineRule="auto"/>
      <w:ind w:left="962" w:hanging="480"/>
    </w:pPr>
    <w:rPr>
      <w:rFonts w:ascii="Times New Roman" w:hAnsi="Times New Roman" w:eastAsia="宋体" w:cs="Times New Roman"/>
      <w:sz w:val="24"/>
    </w:rPr>
  </w:style>
  <w:style w:type="paragraph" w:styleId="20">
    <w:name w:val="Document Map"/>
    <w:basedOn w:val="1"/>
    <w:autoRedefine/>
    <w:qFormat/>
    <w:uiPriority w:val="0"/>
    <w:pPr>
      <w:shd w:val="clear" w:color="auto" w:fill="000080"/>
    </w:pPr>
    <w:rPr>
      <w:rFonts w:ascii="Times New Roman" w:hAnsi="Times New Roman" w:eastAsia="宋体" w:cs="Times New Roman"/>
    </w:rPr>
  </w:style>
  <w:style w:type="paragraph" w:styleId="21">
    <w:name w:val="annotation text"/>
    <w:basedOn w:val="1"/>
    <w:link w:val="81"/>
    <w:autoRedefine/>
    <w:qFormat/>
    <w:uiPriority w:val="0"/>
    <w:pPr>
      <w:jc w:val="left"/>
    </w:pPr>
    <w:rPr>
      <w:rFonts w:ascii="Calibri" w:hAnsi="Calibri" w:eastAsia="宋体" w:cs="Times New Roman"/>
      <w:szCs w:val="20"/>
    </w:rPr>
  </w:style>
  <w:style w:type="paragraph" w:styleId="22">
    <w:name w:val="index 6"/>
    <w:basedOn w:val="1"/>
    <w:next w:val="1"/>
    <w:autoRedefine/>
    <w:qFormat/>
    <w:uiPriority w:val="0"/>
    <w:pPr>
      <w:ind w:left="1000" w:leftChars="1000"/>
    </w:pPr>
    <w:rPr>
      <w:rFonts w:ascii="Calibri" w:hAnsi="Calibri" w:eastAsia="宋体" w:cs="Times New Roman"/>
      <w:szCs w:val="22"/>
    </w:rPr>
  </w:style>
  <w:style w:type="paragraph" w:styleId="23">
    <w:name w:val="Body Text 3"/>
    <w:basedOn w:val="1"/>
    <w:autoRedefine/>
    <w:qFormat/>
    <w:uiPriority w:val="0"/>
    <w:rPr>
      <w:rFonts w:ascii="Times New Roman" w:hAnsi="Times New Roman" w:eastAsia="宋体" w:cs="Times New Roman"/>
      <w:color w:val="000000"/>
    </w:rPr>
  </w:style>
  <w:style w:type="paragraph" w:styleId="24">
    <w:name w:val="List Bullet 3"/>
    <w:basedOn w:val="1"/>
    <w:autoRedefine/>
    <w:qFormat/>
    <w:uiPriority w:val="0"/>
    <w:pPr>
      <w:tabs>
        <w:tab w:val="left" w:pos="1200"/>
      </w:tabs>
      <w:spacing w:line="380" w:lineRule="exact"/>
      <w:ind w:left="1200" w:hanging="360"/>
    </w:pPr>
    <w:rPr>
      <w:rFonts w:ascii="Calibri" w:hAnsi="Calibri" w:eastAsia="宋体" w:cs="Times New Roman"/>
      <w:sz w:val="28"/>
      <w:szCs w:val="22"/>
    </w:rPr>
  </w:style>
  <w:style w:type="paragraph" w:styleId="25">
    <w:name w:val="Body Text Indent"/>
    <w:basedOn w:val="1"/>
    <w:autoRedefine/>
    <w:qFormat/>
    <w:uiPriority w:val="0"/>
    <w:pPr>
      <w:ind w:firstLine="225" w:firstLineChars="225"/>
    </w:pPr>
    <w:rPr>
      <w:rFonts w:ascii="仿宋_GB2312" w:hAnsi="Times New Roman" w:eastAsia="仿宋_GB2312" w:cs="Times New Roman"/>
      <w:sz w:val="32"/>
    </w:rPr>
  </w:style>
  <w:style w:type="paragraph" w:styleId="26">
    <w:name w:val="Block Text"/>
    <w:basedOn w:val="1"/>
    <w:autoRedefine/>
    <w:qFormat/>
    <w:uiPriority w:val="0"/>
    <w:pPr>
      <w:spacing w:line="360" w:lineRule="exact"/>
      <w:ind w:left="1548" w:leftChars="-857" w:right="12" w:rightChars="12" w:hanging="2405" w:hangingChars="2405"/>
    </w:pPr>
    <w:rPr>
      <w:rFonts w:ascii="宋体" w:hAnsi="Times New Roman" w:eastAsia="宋体" w:cs="Times New Roman"/>
      <w:bCs/>
      <w:sz w:val="28"/>
      <w:szCs w:val="22"/>
    </w:rPr>
  </w:style>
  <w:style w:type="paragraph" w:styleId="27">
    <w:name w:val="List Bullet 2"/>
    <w:basedOn w:val="1"/>
    <w:autoRedefine/>
    <w:qFormat/>
    <w:uiPriority w:val="0"/>
    <w:pPr>
      <w:tabs>
        <w:tab w:val="left" w:pos="720"/>
      </w:tabs>
      <w:spacing w:line="360" w:lineRule="auto"/>
      <w:ind w:left="720" w:hanging="360"/>
    </w:pPr>
    <w:rPr>
      <w:rFonts w:ascii="Times New Roman" w:hAnsi="Times New Roman" w:eastAsia="宋体" w:cs="Times New Roman"/>
      <w:sz w:val="24"/>
    </w:rPr>
  </w:style>
  <w:style w:type="paragraph" w:styleId="28">
    <w:name w:val="HTML Address"/>
    <w:basedOn w:val="1"/>
    <w:autoRedefine/>
    <w:qFormat/>
    <w:uiPriority w:val="0"/>
    <w:rPr>
      <w:rFonts w:ascii="Times New Roman" w:hAnsi="Times New Roman" w:eastAsia="宋体" w:cs="Times New Roman"/>
      <w:i/>
      <w:iCs/>
    </w:rPr>
  </w:style>
  <w:style w:type="paragraph" w:styleId="29">
    <w:name w:val="index 4"/>
    <w:basedOn w:val="1"/>
    <w:next w:val="1"/>
    <w:autoRedefine/>
    <w:qFormat/>
    <w:uiPriority w:val="0"/>
    <w:pPr>
      <w:ind w:left="600" w:leftChars="600"/>
    </w:pPr>
    <w:rPr>
      <w:rFonts w:ascii="Calibri" w:hAnsi="Calibri" w:eastAsia="宋体" w:cs="Times New Roman"/>
      <w:szCs w:val="22"/>
    </w:rPr>
  </w:style>
  <w:style w:type="paragraph" w:styleId="30">
    <w:name w:val="toc 5"/>
    <w:basedOn w:val="1"/>
    <w:next w:val="1"/>
    <w:autoRedefine/>
    <w:qFormat/>
    <w:uiPriority w:val="0"/>
    <w:pPr>
      <w:ind w:left="840"/>
      <w:jc w:val="left"/>
    </w:pPr>
    <w:rPr>
      <w:rFonts w:ascii="Calibri" w:hAnsi="Calibri" w:eastAsia="宋体" w:cs="Calibri"/>
      <w:sz w:val="18"/>
      <w:szCs w:val="18"/>
    </w:rPr>
  </w:style>
  <w:style w:type="paragraph" w:styleId="31">
    <w:name w:val="toc 3"/>
    <w:basedOn w:val="1"/>
    <w:next w:val="1"/>
    <w:autoRedefine/>
    <w:qFormat/>
    <w:uiPriority w:val="0"/>
    <w:pPr>
      <w:ind w:left="420"/>
      <w:jc w:val="left"/>
    </w:pPr>
    <w:rPr>
      <w:rFonts w:ascii="Calibri" w:hAnsi="Calibri" w:eastAsia="宋体" w:cs="Calibri"/>
      <w:i/>
      <w:iCs/>
      <w:sz w:val="20"/>
      <w:szCs w:val="20"/>
    </w:rPr>
  </w:style>
  <w:style w:type="paragraph" w:styleId="32">
    <w:name w:val="Plain Text"/>
    <w:basedOn w:val="1"/>
    <w:autoRedefine/>
    <w:qFormat/>
    <w:uiPriority w:val="0"/>
    <w:rPr>
      <w:rFonts w:ascii="宋体" w:hAnsi="Times New Roman" w:eastAsia="宋体" w:cs="Times New Roman"/>
      <w:szCs w:val="21"/>
    </w:rPr>
  </w:style>
  <w:style w:type="paragraph" w:styleId="33">
    <w:name w:val="List Bullet 5"/>
    <w:basedOn w:val="1"/>
    <w:autoRedefine/>
    <w:qFormat/>
    <w:uiPriority w:val="0"/>
    <w:pPr>
      <w:tabs>
        <w:tab w:val="left" w:pos="720"/>
      </w:tabs>
      <w:spacing w:line="380" w:lineRule="exact"/>
      <w:ind w:left="720" w:hanging="360"/>
    </w:pPr>
    <w:rPr>
      <w:rFonts w:ascii="Calibri" w:hAnsi="Calibri" w:eastAsia="宋体" w:cs="Times New Roman"/>
      <w:sz w:val="28"/>
      <w:szCs w:val="22"/>
    </w:rPr>
  </w:style>
  <w:style w:type="paragraph" w:styleId="34">
    <w:name w:val="toc 8"/>
    <w:basedOn w:val="1"/>
    <w:next w:val="1"/>
    <w:autoRedefine/>
    <w:qFormat/>
    <w:uiPriority w:val="0"/>
    <w:pPr>
      <w:ind w:left="1470"/>
      <w:jc w:val="left"/>
    </w:pPr>
    <w:rPr>
      <w:rFonts w:ascii="Calibri" w:hAnsi="Calibri" w:eastAsia="宋体" w:cs="Calibri"/>
      <w:sz w:val="18"/>
      <w:szCs w:val="18"/>
    </w:rPr>
  </w:style>
  <w:style w:type="paragraph" w:styleId="35">
    <w:name w:val="index 3"/>
    <w:basedOn w:val="1"/>
    <w:next w:val="1"/>
    <w:autoRedefine/>
    <w:qFormat/>
    <w:uiPriority w:val="0"/>
    <w:pPr>
      <w:ind w:left="400" w:leftChars="400"/>
    </w:pPr>
    <w:rPr>
      <w:rFonts w:ascii="Calibri" w:hAnsi="Calibri" w:eastAsia="宋体" w:cs="Times New Roman"/>
      <w:szCs w:val="22"/>
    </w:rPr>
  </w:style>
  <w:style w:type="paragraph" w:styleId="36">
    <w:name w:val="Date"/>
    <w:basedOn w:val="1"/>
    <w:next w:val="1"/>
    <w:autoRedefine/>
    <w:qFormat/>
    <w:uiPriority w:val="0"/>
    <w:pPr>
      <w:ind w:left="2500" w:leftChars="2500"/>
    </w:pPr>
    <w:rPr>
      <w:rFonts w:ascii="Times New Roman" w:hAnsi="Times New Roman" w:eastAsia="宋体" w:cs="Times New Roman"/>
    </w:rPr>
  </w:style>
  <w:style w:type="paragraph" w:styleId="37">
    <w:name w:val="Body Text Indent 2"/>
    <w:basedOn w:val="1"/>
    <w:autoRedefine/>
    <w:qFormat/>
    <w:uiPriority w:val="0"/>
    <w:pPr>
      <w:spacing w:line="540" w:lineRule="exact"/>
      <w:ind w:firstLine="225" w:firstLineChars="225"/>
      <w:jc w:val="left"/>
    </w:pPr>
    <w:rPr>
      <w:rFonts w:ascii="仿宋_GB2312" w:hAnsi="Times New Roman" w:eastAsia="仿宋_GB2312" w:cs="Times New Roman"/>
      <w:sz w:val="32"/>
    </w:rPr>
  </w:style>
  <w:style w:type="paragraph" w:styleId="38">
    <w:name w:val="endnote text"/>
    <w:basedOn w:val="1"/>
    <w:autoRedefine/>
    <w:qFormat/>
    <w:uiPriority w:val="0"/>
    <w:pPr>
      <w:widowControl/>
      <w:snapToGrid w:val="0"/>
      <w:jc w:val="left"/>
    </w:pPr>
    <w:rPr>
      <w:rFonts w:ascii="宋体" w:hAnsi="Times New Roman" w:eastAsia="宋体" w:cs="Times New Roman"/>
      <w:bCs/>
      <w:kern w:val="0"/>
      <w:szCs w:val="21"/>
    </w:rPr>
  </w:style>
  <w:style w:type="paragraph" w:styleId="39">
    <w:name w:val="Balloon Text"/>
    <w:basedOn w:val="1"/>
    <w:autoRedefine/>
    <w:qFormat/>
    <w:uiPriority w:val="0"/>
    <w:rPr>
      <w:rFonts w:ascii="Times New Roman" w:hAnsi="Times New Roman" w:eastAsia="宋体" w:cs="Times New Roman"/>
      <w:sz w:val="18"/>
      <w:szCs w:val="20"/>
    </w:rPr>
  </w:style>
  <w:style w:type="paragraph" w:styleId="40">
    <w:name w:val="footer"/>
    <w:basedOn w:val="1"/>
    <w:link w:val="82"/>
    <w:autoRedefine/>
    <w:qFormat/>
    <w:uiPriority w:val="99"/>
    <w:pPr>
      <w:tabs>
        <w:tab w:val="center" w:pos="4153"/>
        <w:tab w:val="right" w:pos="8306"/>
      </w:tabs>
      <w:snapToGrid w:val="0"/>
      <w:jc w:val="left"/>
    </w:pPr>
    <w:rPr>
      <w:rFonts w:ascii="Calibri" w:hAnsi="Calibri" w:eastAsia="宋体" w:cs="Times New Roman"/>
      <w:sz w:val="18"/>
      <w:szCs w:val="18"/>
    </w:rPr>
  </w:style>
  <w:style w:type="paragraph" w:styleId="41">
    <w:name w:val="header"/>
    <w:basedOn w:val="1"/>
    <w:autoRedefine/>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42">
    <w:name w:val="toc 1"/>
    <w:basedOn w:val="1"/>
    <w:next w:val="1"/>
    <w:autoRedefine/>
    <w:qFormat/>
    <w:uiPriority w:val="0"/>
    <w:pPr>
      <w:spacing w:before="120" w:after="120"/>
      <w:jc w:val="left"/>
    </w:pPr>
    <w:rPr>
      <w:rFonts w:ascii="Calibri" w:hAnsi="Calibri" w:eastAsia="宋体" w:cs="Calibri"/>
      <w:b/>
      <w:bCs/>
      <w:caps/>
      <w:sz w:val="20"/>
      <w:szCs w:val="20"/>
    </w:rPr>
  </w:style>
  <w:style w:type="paragraph" w:styleId="43">
    <w:name w:val="toc 4"/>
    <w:basedOn w:val="1"/>
    <w:next w:val="1"/>
    <w:autoRedefine/>
    <w:qFormat/>
    <w:uiPriority w:val="0"/>
    <w:pPr>
      <w:ind w:left="630"/>
      <w:jc w:val="left"/>
    </w:pPr>
    <w:rPr>
      <w:rFonts w:ascii="Calibri" w:hAnsi="Calibri" w:eastAsia="宋体" w:cs="Calibri"/>
      <w:sz w:val="18"/>
      <w:szCs w:val="18"/>
    </w:rPr>
  </w:style>
  <w:style w:type="paragraph" w:styleId="44">
    <w:name w:val="index heading"/>
    <w:basedOn w:val="1"/>
    <w:next w:val="45"/>
    <w:autoRedefine/>
    <w:qFormat/>
    <w:uiPriority w:val="0"/>
    <w:rPr>
      <w:rFonts w:ascii="Calibri" w:hAnsi="Calibri" w:eastAsia="宋体" w:cs="Times New Roman"/>
      <w:szCs w:val="22"/>
    </w:rPr>
  </w:style>
  <w:style w:type="paragraph" w:styleId="45">
    <w:name w:val="index 1"/>
    <w:basedOn w:val="1"/>
    <w:next w:val="1"/>
    <w:autoRedefine/>
    <w:qFormat/>
    <w:uiPriority w:val="0"/>
    <w:rPr>
      <w:rFonts w:ascii="Calibri" w:hAnsi="Calibri" w:eastAsia="宋体" w:cs="Times New Roman"/>
      <w:szCs w:val="22"/>
    </w:rPr>
  </w:style>
  <w:style w:type="paragraph" w:styleId="46">
    <w:name w:val="footnote text"/>
    <w:basedOn w:val="1"/>
    <w:link w:val="83"/>
    <w:autoRedefine/>
    <w:qFormat/>
    <w:uiPriority w:val="0"/>
    <w:pPr>
      <w:adjustRightInd w:val="0"/>
      <w:snapToGrid w:val="0"/>
      <w:jc w:val="left"/>
    </w:pPr>
    <w:rPr>
      <w:rFonts w:ascii="宋体" w:hAnsi="Times New Roman" w:eastAsia="宋体" w:cs="Times New Roman"/>
      <w:bCs/>
      <w:kern w:val="0"/>
      <w:sz w:val="18"/>
      <w:szCs w:val="18"/>
    </w:rPr>
  </w:style>
  <w:style w:type="paragraph" w:styleId="47">
    <w:name w:val="toc 6"/>
    <w:basedOn w:val="1"/>
    <w:next w:val="1"/>
    <w:autoRedefine/>
    <w:qFormat/>
    <w:uiPriority w:val="0"/>
    <w:pPr>
      <w:ind w:left="1050"/>
      <w:jc w:val="left"/>
    </w:pPr>
    <w:rPr>
      <w:rFonts w:ascii="Calibri" w:hAnsi="Calibri" w:eastAsia="宋体" w:cs="Calibri"/>
      <w:sz w:val="18"/>
      <w:szCs w:val="18"/>
    </w:rPr>
  </w:style>
  <w:style w:type="paragraph" w:styleId="48">
    <w:name w:val="Body Text Indent 3"/>
    <w:basedOn w:val="1"/>
    <w:autoRedefine/>
    <w:qFormat/>
    <w:uiPriority w:val="0"/>
    <w:pPr>
      <w:ind w:firstLine="213" w:firstLineChars="213"/>
    </w:pPr>
    <w:rPr>
      <w:rFonts w:ascii="仿宋_GB2312" w:hAnsi="Times New Roman" w:eastAsia="仿宋_GB2312" w:cs="Times New Roman"/>
      <w:sz w:val="30"/>
    </w:rPr>
  </w:style>
  <w:style w:type="paragraph" w:styleId="49">
    <w:name w:val="index 7"/>
    <w:basedOn w:val="1"/>
    <w:next w:val="1"/>
    <w:autoRedefine/>
    <w:qFormat/>
    <w:uiPriority w:val="0"/>
    <w:pPr>
      <w:ind w:left="1200" w:leftChars="1200"/>
    </w:pPr>
    <w:rPr>
      <w:rFonts w:ascii="Calibri" w:hAnsi="Calibri" w:eastAsia="宋体" w:cs="Times New Roman"/>
      <w:szCs w:val="22"/>
    </w:rPr>
  </w:style>
  <w:style w:type="paragraph" w:styleId="50">
    <w:name w:val="index 9"/>
    <w:basedOn w:val="1"/>
    <w:next w:val="1"/>
    <w:autoRedefine/>
    <w:qFormat/>
    <w:uiPriority w:val="0"/>
    <w:pPr>
      <w:ind w:left="1600" w:leftChars="1600"/>
    </w:pPr>
    <w:rPr>
      <w:rFonts w:ascii="Calibri" w:hAnsi="Calibri" w:eastAsia="宋体" w:cs="Times New Roman"/>
      <w:szCs w:val="22"/>
    </w:rPr>
  </w:style>
  <w:style w:type="paragraph" w:styleId="51">
    <w:name w:val="table of figures"/>
    <w:basedOn w:val="1"/>
    <w:next w:val="1"/>
    <w:autoRedefine/>
    <w:qFormat/>
    <w:uiPriority w:val="0"/>
    <w:pPr>
      <w:widowControl/>
      <w:ind w:left="400" w:leftChars="200" w:hanging="200" w:hangingChars="200"/>
      <w:jc w:val="left"/>
    </w:pPr>
    <w:rPr>
      <w:rFonts w:ascii="宋体" w:hAnsi="Times New Roman" w:eastAsia="宋体" w:cs="Times New Roman"/>
      <w:bCs/>
      <w:kern w:val="0"/>
      <w:szCs w:val="21"/>
    </w:rPr>
  </w:style>
  <w:style w:type="paragraph" w:styleId="52">
    <w:name w:val="toc 2"/>
    <w:basedOn w:val="1"/>
    <w:next w:val="1"/>
    <w:autoRedefine/>
    <w:qFormat/>
    <w:uiPriority w:val="0"/>
    <w:pPr>
      <w:ind w:left="210"/>
      <w:jc w:val="left"/>
    </w:pPr>
    <w:rPr>
      <w:rFonts w:ascii="Calibri" w:hAnsi="Calibri" w:eastAsia="宋体" w:cs="Calibri"/>
      <w:smallCaps/>
      <w:sz w:val="20"/>
      <w:szCs w:val="20"/>
    </w:rPr>
  </w:style>
  <w:style w:type="paragraph" w:styleId="53">
    <w:name w:val="toc 9"/>
    <w:basedOn w:val="1"/>
    <w:next w:val="1"/>
    <w:autoRedefine/>
    <w:qFormat/>
    <w:uiPriority w:val="0"/>
    <w:pPr>
      <w:ind w:left="1680"/>
      <w:jc w:val="left"/>
    </w:pPr>
    <w:rPr>
      <w:rFonts w:ascii="Calibri" w:hAnsi="Calibri" w:eastAsia="宋体" w:cs="Calibri"/>
      <w:sz w:val="18"/>
      <w:szCs w:val="18"/>
    </w:rPr>
  </w:style>
  <w:style w:type="paragraph" w:styleId="54">
    <w:name w:val="Body Text 2"/>
    <w:basedOn w:val="1"/>
    <w:autoRedefine/>
    <w:qFormat/>
    <w:uiPriority w:val="0"/>
    <w:pPr>
      <w:spacing w:line="560" w:lineRule="exact"/>
    </w:pPr>
    <w:rPr>
      <w:rFonts w:ascii="仿宋_GB2312" w:hAnsi="Times New Roman" w:eastAsia="仿宋_GB2312" w:cs="Times New Roman"/>
      <w:sz w:val="28"/>
      <w:szCs w:val="30"/>
    </w:rPr>
  </w:style>
  <w:style w:type="paragraph" w:styleId="55">
    <w:name w:val="List Continue 2"/>
    <w:basedOn w:val="1"/>
    <w:autoRedefine/>
    <w:qFormat/>
    <w:uiPriority w:val="0"/>
    <w:pPr>
      <w:spacing w:after="120"/>
      <w:ind w:left="840" w:leftChars="400"/>
    </w:pPr>
    <w:rPr>
      <w:rFonts w:ascii="Times New Roman" w:hAnsi="Times New Roman" w:eastAsia="宋体" w:cs="Times New Roman"/>
    </w:rPr>
  </w:style>
  <w:style w:type="paragraph" w:styleId="56">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eastAsia="宋体" w:cs="Arial"/>
      <w:kern w:val="0"/>
      <w:sz w:val="24"/>
      <w:lang w:bidi="ar-SA"/>
    </w:rPr>
  </w:style>
  <w:style w:type="paragraph" w:styleId="57">
    <w:name w:val="Normal (Web)"/>
    <w:basedOn w:val="1"/>
    <w:autoRedefine/>
    <w:qFormat/>
    <w:uiPriority w:val="99"/>
    <w:pPr>
      <w:widowControl/>
      <w:spacing w:before="100" w:beforeAutospacing="1" w:after="100" w:afterAutospacing="1"/>
      <w:jc w:val="left"/>
    </w:pPr>
    <w:rPr>
      <w:rFonts w:ascii="宋体" w:hAnsi="Times New Roman" w:eastAsia="宋体" w:cs="Times New Roman"/>
      <w:kern w:val="0"/>
      <w:sz w:val="24"/>
      <w:szCs w:val="20"/>
    </w:rPr>
  </w:style>
  <w:style w:type="paragraph" w:styleId="58">
    <w:name w:val="index 2"/>
    <w:basedOn w:val="1"/>
    <w:next w:val="1"/>
    <w:autoRedefine/>
    <w:qFormat/>
    <w:uiPriority w:val="0"/>
    <w:pPr>
      <w:ind w:left="200" w:leftChars="200"/>
    </w:pPr>
    <w:rPr>
      <w:rFonts w:ascii="Calibri" w:hAnsi="Calibri" w:eastAsia="宋体" w:cs="Times New Roman"/>
      <w:szCs w:val="22"/>
    </w:rPr>
  </w:style>
  <w:style w:type="paragraph" w:styleId="59">
    <w:name w:val="Title"/>
    <w:basedOn w:val="1"/>
    <w:autoRedefine/>
    <w:qFormat/>
    <w:uiPriority w:val="0"/>
    <w:pPr>
      <w:spacing w:before="240" w:after="60"/>
      <w:jc w:val="center"/>
      <w:outlineLvl w:val="0"/>
    </w:pPr>
    <w:rPr>
      <w:rFonts w:ascii="Cambria" w:hAnsi="Cambria" w:eastAsia="宋体" w:cs="Times New Roman"/>
      <w:b/>
      <w:bCs/>
      <w:sz w:val="32"/>
      <w:szCs w:val="32"/>
    </w:rPr>
  </w:style>
  <w:style w:type="paragraph" w:styleId="60">
    <w:name w:val="annotation subject"/>
    <w:basedOn w:val="21"/>
    <w:next w:val="21"/>
    <w:autoRedefine/>
    <w:qFormat/>
    <w:uiPriority w:val="0"/>
    <w:rPr>
      <w:rFonts w:ascii="Times New Roman" w:hAnsi="Times New Roman" w:eastAsia="宋体" w:cs="Times New Roman"/>
      <w:b/>
    </w:rPr>
  </w:style>
  <w:style w:type="paragraph" w:styleId="61">
    <w:name w:val="Body Text First Indent"/>
    <w:basedOn w:val="2"/>
    <w:autoRedefine/>
    <w:qFormat/>
    <w:uiPriority w:val="0"/>
    <w:pPr>
      <w:spacing w:after="120" w:line="240" w:lineRule="auto"/>
      <w:ind w:firstLine="100" w:firstLineChars="100"/>
    </w:pPr>
    <w:rPr>
      <w:rFonts w:ascii="Times New Roman" w:hAnsi="Times New Roman" w:eastAsia="宋体" w:cs="Times New Roman"/>
      <w:sz w:val="21"/>
    </w:rPr>
  </w:style>
  <w:style w:type="paragraph" w:styleId="62">
    <w:name w:val="Body Text First Indent 2"/>
    <w:basedOn w:val="25"/>
    <w:link w:val="84"/>
    <w:autoRedefine/>
    <w:qFormat/>
    <w:uiPriority w:val="0"/>
    <w:pPr>
      <w:spacing w:after="120"/>
      <w:ind w:left="200" w:leftChars="200" w:firstLine="200" w:firstLineChars="200"/>
    </w:pPr>
    <w:rPr>
      <w:rFonts w:ascii="Times New Roman" w:hAnsi="Times New Roman" w:eastAsia="宋体" w:cs="Times New Roman"/>
      <w:kern w:val="0"/>
      <w:sz w:val="24"/>
      <w:szCs w:val="24"/>
    </w:rPr>
  </w:style>
  <w:style w:type="table" w:styleId="64">
    <w:name w:val="Table Grid"/>
    <w:basedOn w:val="63"/>
    <w:autoRedefine/>
    <w:qFormat/>
    <w:uiPriority w:val="0"/>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6">
    <w:name w:val="Strong"/>
    <w:autoRedefine/>
    <w:qFormat/>
    <w:uiPriority w:val="0"/>
    <w:rPr>
      <w:rFonts w:ascii="Times New Roman" w:hAnsi="Times New Roman" w:eastAsia="宋体" w:cs="Times New Roman"/>
      <w:b/>
    </w:rPr>
  </w:style>
  <w:style w:type="character" w:styleId="67">
    <w:name w:val="endnote reference"/>
    <w:autoRedefine/>
    <w:qFormat/>
    <w:uiPriority w:val="0"/>
    <w:rPr>
      <w:rFonts w:ascii="Times New Roman" w:hAnsi="Times New Roman" w:eastAsia="宋体" w:cs="Times New Roman"/>
      <w:vertAlign w:val="superscript"/>
    </w:rPr>
  </w:style>
  <w:style w:type="character" w:styleId="68">
    <w:name w:val="page number"/>
    <w:autoRedefine/>
    <w:qFormat/>
    <w:uiPriority w:val="0"/>
    <w:rPr>
      <w:rFonts w:ascii="Times New Roman" w:hAnsi="Times New Roman" w:eastAsia="宋体" w:cs="Times New Roman"/>
    </w:rPr>
  </w:style>
  <w:style w:type="character" w:styleId="69">
    <w:name w:val="FollowedHyperlink"/>
    <w:autoRedefine/>
    <w:qFormat/>
    <w:uiPriority w:val="0"/>
    <w:rPr>
      <w:rFonts w:ascii="Times New Roman" w:hAnsi="Times New Roman" w:eastAsia="宋体" w:cs="Times New Roman"/>
      <w:color w:val="800080"/>
      <w:u w:val="single"/>
    </w:rPr>
  </w:style>
  <w:style w:type="character" w:styleId="70">
    <w:name w:val="Emphasis"/>
    <w:autoRedefine/>
    <w:qFormat/>
    <w:uiPriority w:val="0"/>
    <w:rPr>
      <w:rFonts w:ascii="Times New Roman" w:hAnsi="Times New Roman" w:eastAsia="宋体" w:cs="Times New Roman"/>
      <w:color w:val="CC0033"/>
    </w:rPr>
  </w:style>
  <w:style w:type="character" w:styleId="71">
    <w:name w:val="HTML Typewriter"/>
    <w:autoRedefine/>
    <w:qFormat/>
    <w:uiPriority w:val="0"/>
    <w:rPr>
      <w:rFonts w:ascii="宋体" w:hAnsi="Times New Roman" w:eastAsia="宋体" w:cs="宋体"/>
      <w:sz w:val="24"/>
      <w:szCs w:val="24"/>
      <w:lang w:bidi="ar-SA"/>
    </w:rPr>
  </w:style>
  <w:style w:type="character" w:styleId="72">
    <w:name w:val="Hyperlink"/>
    <w:autoRedefine/>
    <w:qFormat/>
    <w:uiPriority w:val="0"/>
    <w:rPr>
      <w:rFonts w:ascii="Times New Roman" w:hAnsi="Times New Roman" w:eastAsia="宋体" w:cs="Times New Roman"/>
      <w:color w:val="0000FF"/>
      <w:u w:val="single"/>
    </w:rPr>
  </w:style>
  <w:style w:type="character" w:styleId="73">
    <w:name w:val="annotation reference"/>
    <w:autoRedefine/>
    <w:qFormat/>
    <w:uiPriority w:val="0"/>
    <w:rPr>
      <w:rFonts w:ascii="Times New Roman" w:hAnsi="Times New Roman" w:eastAsia="宋体" w:cs="Times New Roman"/>
      <w:sz w:val="21"/>
    </w:rPr>
  </w:style>
  <w:style w:type="character" w:styleId="74">
    <w:name w:val="footnote reference"/>
    <w:autoRedefine/>
    <w:qFormat/>
    <w:uiPriority w:val="0"/>
    <w:rPr>
      <w:rFonts w:ascii="Times New Roman" w:hAnsi="Times New Roman" w:eastAsia="宋体" w:cs="Times New Roman"/>
      <w:vertAlign w:val="superscript"/>
    </w:rPr>
  </w:style>
  <w:style w:type="character" w:customStyle="1" w:styleId="75">
    <w:name w:val="标题 1 字符"/>
    <w:link w:val="3"/>
    <w:autoRedefine/>
    <w:qFormat/>
    <w:uiPriority w:val="0"/>
    <w:rPr>
      <w:rFonts w:ascii="Times New Roman" w:hAnsi="Times New Roman" w:eastAsia="宋体" w:cs="Times New Roman"/>
      <w:b/>
      <w:kern w:val="44"/>
      <w:sz w:val="44"/>
    </w:rPr>
  </w:style>
  <w:style w:type="character" w:customStyle="1" w:styleId="76">
    <w:name w:val="标题 2 字符"/>
    <w:link w:val="4"/>
    <w:autoRedefine/>
    <w:qFormat/>
    <w:uiPriority w:val="0"/>
    <w:rPr>
      <w:rFonts w:ascii="Arial" w:hAnsi="Arial" w:eastAsia="黑体" w:cs="Times New Roman"/>
      <w:b/>
      <w:kern w:val="2"/>
      <w:sz w:val="32"/>
    </w:rPr>
  </w:style>
  <w:style w:type="character" w:customStyle="1" w:styleId="77">
    <w:name w:val="标题 3 字符"/>
    <w:link w:val="5"/>
    <w:autoRedefine/>
    <w:qFormat/>
    <w:uiPriority w:val="0"/>
    <w:rPr>
      <w:rFonts w:ascii="Times New Roman" w:hAnsi="Times New Roman" w:eastAsia="宋体" w:cs="Times New Roman"/>
      <w:b/>
      <w:kern w:val="2"/>
      <w:sz w:val="32"/>
    </w:rPr>
  </w:style>
  <w:style w:type="character" w:customStyle="1" w:styleId="78">
    <w:name w:val="标题 4 字符"/>
    <w:link w:val="6"/>
    <w:autoRedefine/>
    <w:qFormat/>
    <w:uiPriority w:val="0"/>
    <w:rPr>
      <w:rFonts w:ascii="宋体" w:hAnsi="Times New Roman" w:eastAsia="宋体" w:cs="Times New Roman"/>
      <w:color w:val="800000"/>
      <w:sz w:val="28"/>
      <w:lang w:val="en-US" w:eastAsia="zh-CN" w:bidi="ar-SA"/>
    </w:rPr>
  </w:style>
  <w:style w:type="character" w:customStyle="1" w:styleId="79">
    <w:name w:val="正文缩进 字符"/>
    <w:link w:val="16"/>
    <w:autoRedefine/>
    <w:qFormat/>
    <w:uiPriority w:val="0"/>
    <w:rPr>
      <w:rFonts w:ascii="宋体" w:hAnsi="Times New Roman" w:eastAsia="宋体" w:cs="Times New Roman"/>
      <w:color w:val="000000"/>
      <w:kern w:val="2"/>
      <w:sz w:val="24"/>
    </w:rPr>
  </w:style>
  <w:style w:type="character" w:customStyle="1" w:styleId="80">
    <w:name w:val="题注 字符"/>
    <w:link w:val="17"/>
    <w:autoRedefine/>
    <w:qFormat/>
    <w:uiPriority w:val="0"/>
    <w:rPr>
      <w:rFonts w:ascii="Arial" w:hAnsi="Arial" w:eastAsia="黑体" w:cs="Arial"/>
      <w:kern w:val="2"/>
    </w:rPr>
  </w:style>
  <w:style w:type="character" w:customStyle="1" w:styleId="81">
    <w:name w:val="批注文字 字符"/>
    <w:link w:val="21"/>
    <w:autoRedefine/>
    <w:qFormat/>
    <w:uiPriority w:val="0"/>
    <w:rPr>
      <w:rFonts w:ascii="Calibri" w:hAnsi="Calibri" w:eastAsia="宋体" w:cs="Times New Roman"/>
      <w:kern w:val="2"/>
      <w:sz w:val="21"/>
    </w:rPr>
  </w:style>
  <w:style w:type="character" w:customStyle="1" w:styleId="82">
    <w:name w:val="页脚 字符"/>
    <w:link w:val="40"/>
    <w:autoRedefine/>
    <w:qFormat/>
    <w:uiPriority w:val="99"/>
    <w:rPr>
      <w:rFonts w:ascii="Calibri" w:hAnsi="Calibri" w:eastAsia="宋体" w:cs="Times New Roman"/>
      <w:kern w:val="2"/>
      <w:sz w:val="18"/>
      <w:szCs w:val="18"/>
    </w:rPr>
  </w:style>
  <w:style w:type="character" w:customStyle="1" w:styleId="83">
    <w:name w:val="脚注文本 字符"/>
    <w:link w:val="46"/>
    <w:autoRedefine/>
    <w:qFormat/>
    <w:uiPriority w:val="0"/>
    <w:rPr>
      <w:rFonts w:ascii="宋体" w:hAnsi="Times New Roman" w:eastAsia="宋体" w:cs="Times New Roman"/>
      <w:bCs/>
      <w:sz w:val="18"/>
      <w:szCs w:val="18"/>
    </w:rPr>
  </w:style>
  <w:style w:type="character" w:customStyle="1" w:styleId="84">
    <w:name w:val="正文文本首行缩进 2 字符"/>
    <w:link w:val="62"/>
    <w:autoRedefine/>
    <w:qFormat/>
    <w:uiPriority w:val="0"/>
    <w:rPr>
      <w:rFonts w:ascii="Times New Roman" w:hAnsi="Times New Roman" w:eastAsia="仿宋_GB2312" w:cs="Times New Roman"/>
      <w:sz w:val="24"/>
      <w:szCs w:val="24"/>
      <w:lang w:bidi="ar-SA"/>
    </w:rPr>
  </w:style>
  <w:style w:type="paragraph" w:customStyle="1" w:styleId="85">
    <w:name w:val="WPSOffice手动目录 1"/>
    <w:autoRedefine/>
    <w:qFormat/>
    <w:uiPriority w:val="0"/>
    <w:rPr>
      <w:rFonts w:ascii="Times New Roman" w:hAnsi="Times New Roman" w:eastAsia="宋体" w:cs="Times New Roman"/>
      <w:lang w:val="en-US" w:eastAsia="zh-CN" w:bidi="ar-SA"/>
    </w:rPr>
  </w:style>
  <w:style w:type="paragraph" w:customStyle="1" w:styleId="86">
    <w:name w:val="WPSOffice手动目录 2"/>
    <w:autoRedefine/>
    <w:qFormat/>
    <w:uiPriority w:val="0"/>
    <w:pPr>
      <w:ind w:leftChars="200"/>
    </w:pPr>
    <w:rPr>
      <w:rFonts w:ascii="Times New Roman" w:hAnsi="Times New Roman" w:eastAsia="宋体" w:cs="Times New Roman"/>
      <w:lang w:val="en-US" w:eastAsia="zh-CN" w:bidi="ar-SA"/>
    </w:rPr>
  </w:style>
  <w:style w:type="paragraph" w:customStyle="1" w:styleId="87">
    <w:name w:val="列出段落1"/>
    <w:basedOn w:val="1"/>
    <w:autoRedefine/>
    <w:qFormat/>
    <w:uiPriority w:val="0"/>
    <w:pPr>
      <w:ind w:firstLine="200" w:firstLineChars="200"/>
    </w:pPr>
    <w:rPr>
      <w:rFonts w:ascii="Calibri" w:hAnsi="Calibri" w:eastAsia="宋体" w:cs="Times New Roman"/>
      <w:szCs w:val="22"/>
    </w:rPr>
  </w:style>
  <w:style w:type="paragraph" w:styleId="88">
    <w:name w:val="List Paragraph"/>
    <w:basedOn w:val="1"/>
    <w:autoRedefine/>
    <w:qFormat/>
    <w:uiPriority w:val="0"/>
    <w:pPr>
      <w:ind w:firstLine="420" w:firstLineChars="200"/>
    </w:pPr>
    <w:rPr>
      <w:rFonts w:ascii="Times New Roman" w:hAnsi="Times New Roman" w:eastAsia="宋体" w:cs="Times New Roman"/>
    </w:rPr>
  </w:style>
  <w:style w:type="paragraph" w:customStyle="1" w:styleId="89">
    <w:name w:val="Normal_0"/>
    <w:autoRedefine/>
    <w:qFormat/>
    <w:uiPriority w:val="0"/>
    <w:rPr>
      <w:rFonts w:ascii="黑体" w:hAnsi="黑体" w:eastAsia="黑体" w:cs="Times New Roman"/>
      <w:b/>
      <w:sz w:val="32"/>
      <w:szCs w:val="24"/>
      <w:lang w:bidi="ar-SA"/>
    </w:rPr>
  </w:style>
  <w:style w:type="paragraph" w:customStyle="1" w:styleId="90">
    <w:name w:val="正文_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1">
    <w:name w:val="正文_2"/>
    <w:autoRedefine/>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92">
    <w:name w:val="正文文本缩进 2 Char"/>
    <w:link w:val="93"/>
    <w:autoRedefine/>
    <w:qFormat/>
    <w:uiPriority w:val="0"/>
    <w:rPr>
      <w:rFonts w:ascii="Times New Roman" w:hAnsi="Times New Roman" w:eastAsia="宋体" w:cs="Times New Roman"/>
      <w:sz w:val="21"/>
      <w:szCs w:val="20"/>
    </w:rPr>
  </w:style>
  <w:style w:type="paragraph" w:customStyle="1" w:styleId="93">
    <w:name w:val="正文文本缩进 2_0"/>
    <w:basedOn w:val="91"/>
    <w:link w:val="92"/>
    <w:autoRedefine/>
    <w:qFormat/>
    <w:uiPriority w:val="0"/>
    <w:pPr>
      <w:spacing w:line="420" w:lineRule="exact"/>
      <w:ind w:firstLine="525"/>
    </w:pPr>
    <w:rPr>
      <w:rFonts w:ascii="Times New Roman" w:hAnsi="Times New Roman" w:eastAsia="宋体" w:cs="Times New Roman"/>
      <w:kern w:val="0"/>
    </w:rPr>
  </w:style>
  <w:style w:type="paragraph" w:customStyle="1" w:styleId="94">
    <w:name w:val="Normal_0_3"/>
    <w:autoRedefine/>
    <w:qFormat/>
    <w:uiPriority w:val="0"/>
    <w:rPr>
      <w:rFonts w:ascii="黑体" w:hAnsi="黑体" w:eastAsia="黑体" w:cs="Times New Roman"/>
      <w:b/>
      <w:sz w:val="32"/>
      <w:szCs w:val="24"/>
      <w:lang w:bidi="ar-SA"/>
    </w:rPr>
  </w:style>
  <w:style w:type="paragraph" w:customStyle="1" w:styleId="95">
    <w:name w:val="正文_2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96">
    <w:name w:val="Normal_0_2"/>
    <w:autoRedefine/>
    <w:qFormat/>
    <w:uiPriority w:val="0"/>
    <w:rPr>
      <w:rFonts w:ascii="黑体" w:hAnsi="黑体" w:eastAsia="黑体" w:cs="Times New Roman"/>
      <w:b/>
      <w:sz w:val="32"/>
      <w:szCs w:val="24"/>
      <w:lang w:bidi="ar-SA"/>
    </w:rPr>
  </w:style>
  <w:style w:type="paragraph" w:customStyle="1" w:styleId="97">
    <w:name w:val="Normal_1_2"/>
    <w:autoRedefine/>
    <w:qFormat/>
    <w:uiPriority w:val="0"/>
    <w:rPr>
      <w:rFonts w:ascii="Times New Roman" w:hAnsi="Times New Roman" w:eastAsia="Times New Roman" w:cs="Times New Roman"/>
      <w:sz w:val="24"/>
      <w:szCs w:val="24"/>
      <w:lang w:bidi="ar-SA"/>
    </w:rPr>
  </w:style>
  <w:style w:type="paragraph" w:customStyle="1" w:styleId="98">
    <w:name w:val="Normal_0_1"/>
    <w:autoRedefine/>
    <w:qFormat/>
    <w:uiPriority w:val="0"/>
    <w:rPr>
      <w:rFonts w:ascii="黑体" w:hAnsi="黑体" w:eastAsia="黑体" w:cs="Times New Roman"/>
      <w:b/>
      <w:sz w:val="32"/>
      <w:szCs w:val="24"/>
      <w:lang w:bidi="ar-SA"/>
    </w:rPr>
  </w:style>
  <w:style w:type="paragraph" w:customStyle="1" w:styleId="99">
    <w:name w:val="正文_16"/>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00">
    <w:name w:val="Normal_1_1"/>
    <w:autoRedefine/>
    <w:qFormat/>
    <w:uiPriority w:val="0"/>
    <w:rPr>
      <w:rFonts w:ascii="黑体" w:hAnsi="黑体" w:eastAsia="黑体" w:cs="Times New Roman"/>
      <w:b/>
      <w:sz w:val="32"/>
      <w:szCs w:val="24"/>
      <w:lang w:bidi="ar-SA"/>
    </w:rPr>
  </w:style>
  <w:style w:type="paragraph" w:customStyle="1" w:styleId="101">
    <w:name w:val="Normal_2_0"/>
    <w:autoRedefine/>
    <w:qFormat/>
    <w:uiPriority w:val="0"/>
    <w:rPr>
      <w:rFonts w:ascii="黑体" w:hAnsi="黑体" w:eastAsia="黑体" w:cs="Times New Roman"/>
      <w:b/>
      <w:sz w:val="32"/>
      <w:szCs w:val="24"/>
      <w:lang w:bidi="ar-SA"/>
    </w:rPr>
  </w:style>
  <w:style w:type="paragraph" w:customStyle="1" w:styleId="102">
    <w:name w:val="正文_1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03">
    <w:name w:val="Normal_3_0"/>
    <w:autoRedefine/>
    <w:qFormat/>
    <w:uiPriority w:val="0"/>
    <w:rPr>
      <w:rFonts w:ascii="黑体" w:hAnsi="黑体" w:eastAsia="黑体" w:cs="Times New Roman"/>
      <w:b/>
      <w:sz w:val="32"/>
      <w:szCs w:val="24"/>
      <w:lang w:bidi="ar-SA"/>
    </w:rPr>
  </w:style>
  <w:style w:type="paragraph" w:customStyle="1" w:styleId="104">
    <w:name w:val="正文_2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05">
    <w:name w:val="Normal_4_0"/>
    <w:autoRedefine/>
    <w:qFormat/>
    <w:uiPriority w:val="0"/>
    <w:rPr>
      <w:rFonts w:ascii="黑体" w:hAnsi="黑体" w:eastAsia="黑体" w:cs="Times New Roman"/>
      <w:b/>
      <w:sz w:val="32"/>
      <w:szCs w:val="24"/>
      <w:lang w:bidi="ar-SA"/>
    </w:rPr>
  </w:style>
  <w:style w:type="paragraph" w:customStyle="1" w:styleId="106">
    <w:name w:val="正文_3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07">
    <w:name w:val="正文_4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8">
    <w:name w:val="正文_7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09">
    <w:name w:val="Normal_5_0"/>
    <w:autoRedefine/>
    <w:qFormat/>
    <w:uiPriority w:val="0"/>
    <w:rPr>
      <w:rFonts w:ascii="黑体" w:hAnsi="黑体" w:eastAsia="黑体" w:cs="Times New Roman"/>
      <w:b/>
      <w:sz w:val="32"/>
      <w:szCs w:val="24"/>
      <w:lang w:bidi="ar-SA"/>
    </w:rPr>
  </w:style>
  <w:style w:type="paragraph" w:customStyle="1" w:styleId="110">
    <w:name w:val="正文_4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1">
    <w:name w:val="正文_4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12">
    <w:name w:val="Normal_6_0"/>
    <w:autoRedefine/>
    <w:qFormat/>
    <w:uiPriority w:val="0"/>
    <w:rPr>
      <w:rFonts w:ascii="黑体" w:hAnsi="黑体" w:eastAsia="黑体" w:cs="Times New Roman"/>
      <w:b/>
      <w:sz w:val="32"/>
      <w:szCs w:val="24"/>
      <w:lang w:bidi="ar-SA"/>
    </w:rPr>
  </w:style>
  <w:style w:type="paragraph" w:customStyle="1" w:styleId="113">
    <w:name w:val="正文_0_0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4">
    <w:name w:val="正文_0_1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5">
    <w:name w:val="Normal_7_0"/>
    <w:autoRedefine/>
    <w:qFormat/>
    <w:uiPriority w:val="0"/>
    <w:rPr>
      <w:rFonts w:ascii="黑体" w:hAnsi="黑体" w:eastAsia="黑体" w:cs="Times New Roman"/>
      <w:b/>
      <w:sz w:val="32"/>
      <w:szCs w:val="24"/>
      <w:lang w:bidi="ar-SA"/>
    </w:rPr>
  </w:style>
  <w:style w:type="paragraph" w:customStyle="1" w:styleId="116">
    <w:name w:val="正文_1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7">
    <w:name w:val="正文_0_0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8">
    <w:name w:val="正文_0_0_0_0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19">
    <w:name w:val="正文_0_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0">
    <w:name w:val="正文_1_0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1">
    <w:name w:val="正文_6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22">
    <w:name w:val="Normal_8_0"/>
    <w:autoRedefine/>
    <w:qFormat/>
    <w:uiPriority w:val="0"/>
    <w:rPr>
      <w:rFonts w:ascii="黑体" w:hAnsi="黑体" w:eastAsia="黑体" w:cs="Times New Roman"/>
      <w:b/>
      <w:sz w:val="32"/>
      <w:szCs w:val="24"/>
      <w:lang w:bidi="ar-SA"/>
    </w:rPr>
  </w:style>
  <w:style w:type="paragraph" w:customStyle="1" w:styleId="123">
    <w:name w:val="Normal_9_0"/>
    <w:autoRedefine/>
    <w:qFormat/>
    <w:uiPriority w:val="0"/>
    <w:rPr>
      <w:rFonts w:ascii="Times New Roman" w:hAnsi="Times New Roman" w:eastAsia="Times New Roman" w:cs="Times New Roman"/>
      <w:sz w:val="24"/>
      <w:szCs w:val="24"/>
      <w:lang w:bidi="ar-SA"/>
    </w:rPr>
  </w:style>
  <w:style w:type="paragraph" w:customStyle="1" w:styleId="124">
    <w:name w:val="Normal_10_0"/>
    <w:autoRedefine/>
    <w:qFormat/>
    <w:uiPriority w:val="0"/>
    <w:rPr>
      <w:rFonts w:ascii="黑体" w:hAnsi="黑体" w:eastAsia="黑体" w:cs="Times New Roman"/>
      <w:b/>
      <w:sz w:val="32"/>
      <w:szCs w:val="24"/>
      <w:lang w:bidi="ar-SA"/>
    </w:rPr>
  </w:style>
  <w:style w:type="paragraph" w:customStyle="1" w:styleId="125">
    <w:name w:val="Normal_11_0"/>
    <w:autoRedefine/>
    <w:qFormat/>
    <w:uiPriority w:val="0"/>
    <w:rPr>
      <w:rFonts w:ascii="黑体" w:hAnsi="黑体" w:eastAsia="黑体" w:cs="Times New Roman"/>
      <w:b/>
      <w:sz w:val="32"/>
      <w:szCs w:val="24"/>
      <w:lang w:bidi="ar-SA"/>
    </w:rPr>
  </w:style>
  <w:style w:type="paragraph" w:customStyle="1" w:styleId="126">
    <w:name w:val="正文_9_0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27">
    <w:name w:val="正文_10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28">
    <w:name w:val="正文_1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29">
    <w:name w:val="Normal_12_0"/>
    <w:autoRedefine/>
    <w:qFormat/>
    <w:uiPriority w:val="0"/>
    <w:rPr>
      <w:rFonts w:ascii="黑体" w:hAnsi="黑体" w:eastAsia="黑体" w:cs="Times New Roman"/>
      <w:b/>
      <w:sz w:val="32"/>
      <w:szCs w:val="24"/>
      <w:lang w:bidi="ar-SA"/>
    </w:rPr>
  </w:style>
  <w:style w:type="paragraph" w:customStyle="1" w:styleId="130">
    <w:name w:val="正文_7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31">
    <w:name w:val="纯文本 Char_0_0"/>
    <w:link w:val="132"/>
    <w:autoRedefine/>
    <w:qFormat/>
    <w:uiPriority w:val="0"/>
    <w:rPr>
      <w:rFonts w:ascii="宋体" w:hAnsi="Courier New" w:eastAsia="宋体" w:cs="Times New Roman"/>
      <w:kern w:val="2"/>
      <w:sz w:val="21"/>
      <w:szCs w:val="21"/>
    </w:rPr>
  </w:style>
  <w:style w:type="paragraph" w:customStyle="1" w:styleId="132">
    <w:name w:val="纯文本_0_0"/>
    <w:basedOn w:val="130"/>
    <w:link w:val="131"/>
    <w:autoRedefine/>
    <w:qFormat/>
    <w:uiPriority w:val="0"/>
    <w:rPr>
      <w:rFonts w:ascii="宋体" w:hAnsi="Courier New" w:eastAsia="宋体" w:cs="Times New Roman"/>
      <w:szCs w:val="21"/>
    </w:rPr>
  </w:style>
  <w:style w:type="paragraph" w:customStyle="1" w:styleId="133">
    <w:name w:val="正文_12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34">
    <w:name w:val="Normal_13_0"/>
    <w:autoRedefine/>
    <w:qFormat/>
    <w:uiPriority w:val="0"/>
    <w:rPr>
      <w:rFonts w:ascii="黑体" w:hAnsi="黑体" w:eastAsia="黑体" w:cs="Times New Roman"/>
      <w:b/>
      <w:sz w:val="32"/>
      <w:szCs w:val="24"/>
      <w:lang w:bidi="ar-SA"/>
    </w:rPr>
  </w:style>
  <w:style w:type="paragraph" w:customStyle="1" w:styleId="135">
    <w:name w:val="正文_13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36">
    <w:name w:val="Normal_14_0"/>
    <w:autoRedefine/>
    <w:qFormat/>
    <w:uiPriority w:val="0"/>
    <w:rPr>
      <w:rFonts w:ascii="黑体" w:hAnsi="黑体" w:eastAsia="黑体" w:cs="Times New Roman"/>
      <w:b/>
      <w:sz w:val="32"/>
      <w:szCs w:val="24"/>
      <w:lang w:bidi="ar-SA"/>
    </w:rPr>
  </w:style>
  <w:style w:type="paragraph" w:customStyle="1" w:styleId="137">
    <w:name w:val="正文_14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38">
    <w:name w:val="正文_9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9">
    <w:name w:val="Normal_15_0"/>
    <w:autoRedefine/>
    <w:qFormat/>
    <w:uiPriority w:val="0"/>
    <w:rPr>
      <w:rFonts w:ascii="黑体" w:hAnsi="黑体" w:eastAsia="黑体" w:cs="Times New Roman"/>
      <w:b/>
      <w:sz w:val="32"/>
      <w:szCs w:val="24"/>
      <w:lang w:bidi="ar-SA"/>
    </w:rPr>
  </w:style>
  <w:style w:type="paragraph" w:customStyle="1" w:styleId="140">
    <w:name w:val="正文_10_1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1">
    <w:name w:val="Normal_17_0"/>
    <w:autoRedefine/>
    <w:qFormat/>
    <w:uiPriority w:val="0"/>
    <w:rPr>
      <w:rFonts w:ascii="黑体" w:hAnsi="黑体" w:eastAsia="黑体" w:cs="Times New Roman"/>
      <w:b/>
      <w:sz w:val="32"/>
      <w:szCs w:val="24"/>
      <w:lang w:bidi="ar-SA"/>
    </w:rPr>
  </w:style>
  <w:style w:type="paragraph" w:customStyle="1" w:styleId="142">
    <w:name w:val="正文_18"/>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43">
    <w:name w:val="正文_14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4">
    <w:name w:val="Normal_18_0"/>
    <w:autoRedefine/>
    <w:qFormat/>
    <w:uiPriority w:val="0"/>
    <w:rPr>
      <w:rFonts w:ascii="黑体" w:hAnsi="黑体" w:eastAsia="黑体" w:cs="Times New Roman"/>
      <w:b/>
      <w:sz w:val="32"/>
      <w:szCs w:val="24"/>
      <w:lang w:bidi="ar-SA"/>
    </w:rPr>
  </w:style>
  <w:style w:type="paragraph" w:customStyle="1" w:styleId="145">
    <w:name w:val="正文_19"/>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46">
    <w:name w:val="标题二、"/>
    <w:basedOn w:val="1"/>
    <w:autoRedefine/>
    <w:qFormat/>
    <w:uiPriority w:val="0"/>
    <w:pPr>
      <w:spacing w:line="360" w:lineRule="auto"/>
      <w:ind w:firstLine="200" w:firstLineChars="200"/>
      <w:outlineLvl w:val="2"/>
    </w:pPr>
    <w:rPr>
      <w:rFonts w:ascii="宋体" w:hAnsi="宋体" w:eastAsia="宋体" w:cs="Times New Roman"/>
      <w:b/>
      <w:szCs w:val="21"/>
    </w:rPr>
  </w:style>
  <w:style w:type="character" w:customStyle="1" w:styleId="147">
    <w:name w:val="font11"/>
    <w:autoRedefine/>
    <w:qFormat/>
    <w:uiPriority w:val="0"/>
    <w:rPr>
      <w:rFonts w:hint="default" w:ascii="Times" w:hAnsi="Times" w:eastAsia="Times" w:cs="Times"/>
      <w:color w:val="000000"/>
      <w:sz w:val="24"/>
      <w:szCs w:val="24"/>
      <w:u w:val="none"/>
    </w:rPr>
  </w:style>
  <w:style w:type="character" w:customStyle="1" w:styleId="148">
    <w:name w:val="Plain Text Char"/>
    <w:autoRedefine/>
    <w:qFormat/>
    <w:uiPriority w:val="0"/>
    <w:rPr>
      <w:rFonts w:ascii="宋体" w:hAnsi="Times New Roman" w:eastAsia="宋体" w:cs="Times New Roman"/>
      <w:kern w:val="2"/>
      <w:sz w:val="21"/>
      <w:lang w:val="en-US" w:eastAsia="zh-CN"/>
    </w:rPr>
  </w:style>
  <w:style w:type="character" w:customStyle="1" w:styleId="149">
    <w:name w:val="Footer Char"/>
    <w:autoRedefine/>
    <w:qFormat/>
    <w:uiPriority w:val="0"/>
    <w:rPr>
      <w:rFonts w:ascii="Times New Roman" w:hAnsi="Times New Roman" w:eastAsia="宋体" w:cs="Times New Roman"/>
      <w:kern w:val="2"/>
      <w:sz w:val="18"/>
      <w:lang w:val="en-US" w:eastAsia="zh-CN"/>
    </w:rPr>
  </w:style>
  <w:style w:type="character" w:customStyle="1" w:styleId="150">
    <w:name w:val="Char Char"/>
    <w:autoRedefine/>
    <w:qFormat/>
    <w:uiPriority w:val="0"/>
    <w:rPr>
      <w:rFonts w:ascii="Times New Roman" w:hAnsi="Times New Roman" w:eastAsia="宋体" w:cs="Times New Roman"/>
      <w:kern w:val="2"/>
      <w:sz w:val="18"/>
      <w:lang w:val="en-US" w:eastAsia="zh-CN"/>
    </w:rPr>
  </w:style>
  <w:style w:type="character" w:customStyle="1" w:styleId="151">
    <w:name w:val="z12 style23"/>
    <w:autoRedefine/>
    <w:qFormat/>
    <w:uiPriority w:val="0"/>
    <w:rPr>
      <w:rFonts w:ascii="Times New Roman" w:hAnsi="Times New Roman" w:eastAsia="宋体" w:cs="Times New Roman"/>
    </w:rPr>
  </w:style>
  <w:style w:type="character" w:customStyle="1" w:styleId="152">
    <w:name w:val="z1"/>
    <w:autoRedefine/>
    <w:qFormat/>
    <w:uiPriority w:val="0"/>
    <w:rPr>
      <w:rFonts w:ascii="Times New Roman" w:hAnsi="Times New Roman" w:eastAsia="宋体" w:cs="Times New Roman"/>
    </w:rPr>
  </w:style>
  <w:style w:type="character" w:customStyle="1" w:styleId="153">
    <w:name w:val="marklong"/>
    <w:autoRedefine/>
    <w:qFormat/>
    <w:uiPriority w:val="0"/>
    <w:rPr>
      <w:rFonts w:ascii="Times New Roman" w:hAnsi="Times New Roman" w:eastAsia="宋体" w:cs="Times New Roman"/>
    </w:rPr>
  </w:style>
  <w:style w:type="character" w:customStyle="1" w:styleId="154">
    <w:name w:val="Char Char2"/>
    <w:autoRedefine/>
    <w:qFormat/>
    <w:uiPriority w:val="0"/>
    <w:rPr>
      <w:rFonts w:ascii="Times New Roman" w:hAnsi="Times New Roman" w:eastAsia="宋体" w:cs="Times New Roman"/>
      <w:kern w:val="2"/>
      <w:sz w:val="18"/>
      <w:szCs w:val="18"/>
    </w:rPr>
  </w:style>
  <w:style w:type="character" w:customStyle="1" w:styleId="155">
    <w:name w:val="Char Char1"/>
    <w:autoRedefine/>
    <w:qFormat/>
    <w:uiPriority w:val="0"/>
    <w:rPr>
      <w:rFonts w:ascii="宋体" w:hAnsi="Times New Roman" w:eastAsia="宋体" w:cs="Times New Roman"/>
      <w:kern w:val="2"/>
      <w:sz w:val="21"/>
      <w:lang w:val="en-US" w:eastAsia="zh-CN"/>
    </w:rPr>
  </w:style>
  <w:style w:type="character" w:customStyle="1" w:styleId="156">
    <w:name w:val="style91"/>
    <w:autoRedefine/>
    <w:qFormat/>
    <w:uiPriority w:val="0"/>
    <w:rPr>
      <w:rFonts w:ascii="Times New Roman" w:hAnsi="Times New Roman" w:eastAsia="宋体" w:cs="Times New Roman"/>
      <w:color w:val="2060C0"/>
      <w:sz w:val="24"/>
      <w:szCs w:val="24"/>
    </w:rPr>
  </w:style>
  <w:style w:type="character" w:customStyle="1" w:styleId="157">
    <w:name w:val="apple-converted-space"/>
    <w:autoRedefine/>
    <w:qFormat/>
    <w:uiPriority w:val="0"/>
    <w:rPr>
      <w:rFonts w:ascii="Times New Roman" w:hAnsi="Times New Roman" w:eastAsia="宋体" w:cs="Times New Roman"/>
    </w:rPr>
  </w:style>
  <w:style w:type="character" w:customStyle="1" w:styleId="158">
    <w:name w:val="ca-21"/>
    <w:autoRedefine/>
    <w:qFormat/>
    <w:uiPriority w:val="0"/>
    <w:rPr>
      <w:rFonts w:ascii="宋体" w:hAnsi="Times New Roman" w:eastAsia="宋体" w:cs="Times New Roman"/>
      <w:sz w:val="21"/>
    </w:rPr>
  </w:style>
  <w:style w:type="paragraph" w:customStyle="1" w:styleId="159">
    <w:name w:val="正文_7"/>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0">
    <w:name w:val="正文缩进_0"/>
    <w:basedOn w:val="159"/>
    <w:link w:val="161"/>
    <w:autoRedefine/>
    <w:qFormat/>
    <w:uiPriority w:val="0"/>
    <w:pPr>
      <w:ind w:firstLine="420" w:firstLineChars="200"/>
    </w:pPr>
    <w:rPr>
      <w:rFonts w:ascii="Times New Roman" w:hAnsi="Times New Roman" w:eastAsia="宋体" w:cs="Times New Roman"/>
      <w:szCs w:val="22"/>
    </w:rPr>
  </w:style>
  <w:style w:type="character" w:customStyle="1" w:styleId="161">
    <w:name w:val="正文缩进 Char1_0"/>
    <w:link w:val="160"/>
    <w:autoRedefine/>
    <w:qFormat/>
    <w:uiPriority w:val="0"/>
    <w:rPr>
      <w:rFonts w:ascii="Times New Roman" w:hAnsi="Times New Roman" w:eastAsia="宋体" w:cs="Times New Roman"/>
      <w:kern w:val="2"/>
      <w:sz w:val="21"/>
      <w:szCs w:val="22"/>
    </w:rPr>
  </w:style>
  <w:style w:type="character" w:customStyle="1" w:styleId="162">
    <w:name w:val="ca-01"/>
    <w:autoRedefine/>
    <w:qFormat/>
    <w:uiPriority w:val="0"/>
    <w:rPr>
      <w:rFonts w:ascii="宋体" w:hAnsi="Times New Roman" w:eastAsia="宋体" w:cs="Times New Roman"/>
      <w:b/>
      <w:bCs/>
      <w:spacing w:val="-20"/>
      <w:sz w:val="24"/>
      <w:szCs w:val="24"/>
    </w:rPr>
  </w:style>
  <w:style w:type="character" w:customStyle="1" w:styleId="163">
    <w:name w:val="font21"/>
    <w:autoRedefine/>
    <w:qFormat/>
    <w:uiPriority w:val="0"/>
    <w:rPr>
      <w:rFonts w:ascii="Times New Roman" w:hAnsi="Times New Roman" w:eastAsia="宋体" w:cs="Times New Roman"/>
      <w:color w:val="000000"/>
      <w:sz w:val="20"/>
      <w:u w:val="none"/>
    </w:rPr>
  </w:style>
  <w:style w:type="character" w:customStyle="1" w:styleId="164">
    <w:name w:val="A0"/>
    <w:autoRedefine/>
    <w:qFormat/>
    <w:uiPriority w:val="0"/>
    <w:rPr>
      <w:rFonts w:ascii=".....?." w:hAnsi="宋体" w:eastAsia=".....?." w:cs="Times New Roman"/>
      <w:color w:val="000000"/>
      <w:sz w:val="22"/>
    </w:rPr>
  </w:style>
  <w:style w:type="character" w:customStyle="1" w:styleId="165">
    <w:name w:val="ca-51"/>
    <w:autoRedefine/>
    <w:qFormat/>
    <w:uiPriority w:val="0"/>
    <w:rPr>
      <w:rFonts w:ascii="楷体_GB2312" w:hAnsi="Times New Roman" w:eastAsia="楷体_GB2312" w:cs="Times New Roman"/>
      <w:b/>
      <w:bCs/>
      <w:spacing w:val="-20"/>
      <w:sz w:val="24"/>
      <w:szCs w:val="24"/>
    </w:rPr>
  </w:style>
  <w:style w:type="character" w:customStyle="1" w:styleId="166">
    <w:name w:val="正文（缩进） Char Char"/>
    <w:autoRedefine/>
    <w:qFormat/>
    <w:uiPriority w:val="0"/>
    <w:rPr>
      <w:rFonts w:ascii="Times New Roman" w:hAnsi="Times New Roman" w:eastAsia="宋体" w:cs="Times New Roman"/>
      <w:kern w:val="2"/>
      <w:sz w:val="24"/>
      <w:szCs w:val="24"/>
      <w:lang w:val="en-US" w:eastAsia="zh-CN" w:bidi="ar-SA"/>
    </w:rPr>
  </w:style>
  <w:style w:type="character" w:customStyle="1" w:styleId="167">
    <w:name w:val=" Char Char2"/>
    <w:autoRedefine/>
    <w:qFormat/>
    <w:uiPriority w:val="0"/>
    <w:rPr>
      <w:rFonts w:ascii="Times New Roman" w:hAnsi="Times New Roman" w:eastAsia="宋体" w:cs="Times New Roman"/>
      <w:kern w:val="2"/>
      <w:sz w:val="18"/>
      <w:szCs w:val="18"/>
    </w:rPr>
  </w:style>
  <w:style w:type="character" w:customStyle="1" w:styleId="168">
    <w:name w:val="普通文字1 Char"/>
    <w:autoRedefine/>
    <w:qFormat/>
    <w:uiPriority w:val="0"/>
    <w:rPr>
      <w:rFonts w:ascii="宋体" w:hAnsi="Times New Roman" w:eastAsia="宋体" w:cs="Courier New"/>
      <w:kern w:val="2"/>
      <w:sz w:val="21"/>
      <w:szCs w:val="21"/>
      <w:lang w:val="en-US" w:eastAsia="zh-CN" w:bidi="ar-SA"/>
    </w:rPr>
  </w:style>
  <w:style w:type="character" w:customStyle="1" w:styleId="169">
    <w:name w:val="Heading 2 Char"/>
    <w:autoRedefine/>
    <w:qFormat/>
    <w:uiPriority w:val="0"/>
    <w:rPr>
      <w:rFonts w:ascii="Arial" w:hAnsi="Arial" w:eastAsia="黑体" w:cs="Times New Roman"/>
      <w:b/>
      <w:bCs/>
      <w:kern w:val="2"/>
      <w:sz w:val="32"/>
      <w:szCs w:val="32"/>
      <w:lang w:val="en-US" w:eastAsia="zh-CN" w:bidi="ar-SA"/>
    </w:rPr>
  </w:style>
  <w:style w:type="character" w:customStyle="1" w:styleId="170">
    <w:name w:val="A1"/>
    <w:autoRedefine/>
    <w:qFormat/>
    <w:uiPriority w:val="0"/>
    <w:rPr>
      <w:rFonts w:ascii="Univers LT Std 45 Light" w:hAnsi="宋体" w:eastAsia="Univers LT Std 45 Light" w:cs="Univers LT Std 45 Light"/>
      <w:color w:val="221E1F"/>
      <w:sz w:val="10"/>
      <w:szCs w:val="10"/>
    </w:rPr>
  </w:style>
  <w:style w:type="paragraph" w:customStyle="1" w:styleId="171">
    <w:name w:val="正文（标记）"/>
    <w:basedOn w:val="1"/>
    <w:link w:val="172"/>
    <w:autoRedefine/>
    <w:qFormat/>
    <w:uiPriority w:val="0"/>
    <w:pPr>
      <w:tabs>
        <w:tab w:val="left" w:pos="0"/>
        <w:tab w:val="left" w:pos="840"/>
      </w:tabs>
      <w:spacing w:before="50" w:beforeLines="50" w:after="50" w:afterLines="50"/>
    </w:pPr>
    <w:rPr>
      <w:rFonts w:ascii="Times New Roman" w:hAnsi="Times New Roman" w:eastAsia="宋体" w:cs="Times New Roman"/>
      <w:sz w:val="24"/>
      <w:szCs w:val="24"/>
    </w:rPr>
  </w:style>
  <w:style w:type="character" w:customStyle="1" w:styleId="172">
    <w:name w:val="正文（标记） Char2"/>
    <w:link w:val="171"/>
    <w:autoRedefine/>
    <w:qFormat/>
    <w:uiPriority w:val="0"/>
    <w:rPr>
      <w:rFonts w:ascii="Times New Roman" w:hAnsi="Times New Roman" w:eastAsia="宋体" w:cs="Times New Roman"/>
      <w:kern w:val="2"/>
      <w:sz w:val="24"/>
      <w:szCs w:val="24"/>
    </w:rPr>
  </w:style>
  <w:style w:type="character" w:customStyle="1" w:styleId="173">
    <w:name w:val="font31"/>
    <w:autoRedefine/>
    <w:qFormat/>
    <w:uiPriority w:val="0"/>
    <w:rPr>
      <w:rFonts w:hint="default" w:ascii="Arial" w:hAnsi="Arial" w:eastAsia="宋体" w:cs="Arial"/>
      <w:color w:val="000000"/>
      <w:sz w:val="22"/>
      <w:szCs w:val="22"/>
      <w:u w:val="none"/>
    </w:rPr>
  </w:style>
  <w:style w:type="character" w:customStyle="1" w:styleId="174">
    <w:name w:val="ca-11"/>
    <w:autoRedefine/>
    <w:qFormat/>
    <w:uiPriority w:val="0"/>
    <w:rPr>
      <w:rFonts w:ascii="宋体" w:hAnsi="Times New Roman" w:eastAsia="宋体" w:cs="Times New Roman"/>
      <w:b/>
      <w:bCs/>
      <w:color w:val="000000"/>
      <w:spacing w:val="-20"/>
      <w:sz w:val="28"/>
      <w:szCs w:val="28"/>
    </w:rPr>
  </w:style>
  <w:style w:type="paragraph" w:styleId="175">
    <w:name w:val="No Spacing"/>
    <w:link w:val="176"/>
    <w:autoRedefine/>
    <w:qFormat/>
    <w:uiPriority w:val="0"/>
    <w:rPr>
      <w:rFonts w:ascii="Times New Roman" w:hAnsi="Times New Roman" w:eastAsia="宋体" w:cs="Times New Roman"/>
      <w:kern w:val="2"/>
      <w:sz w:val="22"/>
      <w:lang w:val="en-US" w:eastAsia="zh-CN" w:bidi="ar-SA"/>
    </w:rPr>
  </w:style>
  <w:style w:type="character" w:customStyle="1" w:styleId="176">
    <w:name w:val="无间隔 字符"/>
    <w:link w:val="175"/>
    <w:autoRedefine/>
    <w:qFormat/>
    <w:uiPriority w:val="0"/>
    <w:rPr>
      <w:rFonts w:ascii="Times New Roman" w:hAnsi="Times New Roman" w:eastAsia="宋体" w:cs="Times New Roman"/>
      <w:kern w:val="2"/>
      <w:sz w:val="22"/>
      <w:lang w:val="en-US" w:eastAsia="zh-CN" w:bidi="ar-SA"/>
    </w:rPr>
  </w:style>
  <w:style w:type="paragraph" w:customStyle="1" w:styleId="177">
    <w:name w:val="正文（缩进）"/>
    <w:basedOn w:val="1"/>
    <w:autoRedefine/>
    <w:qFormat/>
    <w:uiPriority w:val="0"/>
    <w:pPr>
      <w:spacing w:before="50" w:beforeLines="50" w:after="50" w:afterLines="50" w:line="360" w:lineRule="auto"/>
      <w:ind w:firstLine="200" w:firstLineChars="200"/>
    </w:pPr>
    <w:rPr>
      <w:rFonts w:ascii="Times New Roman" w:hAnsi="Times New Roman" w:eastAsia="宋体" w:cs="Times New Roman"/>
      <w:sz w:val="24"/>
    </w:rPr>
  </w:style>
  <w:style w:type="paragraph" w:customStyle="1" w:styleId="178">
    <w:name w:val="正文（编号）"/>
    <w:basedOn w:val="177"/>
    <w:link w:val="179"/>
    <w:autoRedefine/>
    <w:qFormat/>
    <w:uiPriority w:val="0"/>
    <w:pPr>
      <w:tabs>
        <w:tab w:val="left" w:pos="720"/>
        <w:tab w:val="left" w:pos="780"/>
      </w:tabs>
      <w:spacing w:beforeLines="0" w:afterLines="0"/>
      <w:ind w:left="720" w:firstLine="0" w:firstLineChars="0"/>
    </w:pPr>
    <w:rPr>
      <w:rFonts w:ascii="Times New Roman" w:hAnsi="Times New Roman" w:eastAsia="宋体" w:cs="Times New Roman"/>
      <w:szCs w:val="24"/>
    </w:rPr>
  </w:style>
  <w:style w:type="character" w:customStyle="1" w:styleId="179">
    <w:name w:val="正文（编号） Char Char"/>
    <w:link w:val="178"/>
    <w:autoRedefine/>
    <w:qFormat/>
    <w:uiPriority w:val="0"/>
    <w:rPr>
      <w:rFonts w:ascii="Times New Roman" w:hAnsi="Times New Roman" w:eastAsia="宋体" w:cs="Times New Roman"/>
      <w:kern w:val="2"/>
      <w:sz w:val="24"/>
      <w:szCs w:val="24"/>
    </w:rPr>
  </w:style>
  <w:style w:type="character" w:customStyle="1" w:styleId="180">
    <w:name w:val="style161"/>
    <w:autoRedefine/>
    <w:qFormat/>
    <w:uiPriority w:val="0"/>
    <w:rPr>
      <w:rFonts w:ascii="Verdana" w:hAnsi="Verdana" w:eastAsia="宋体" w:cs="Times New Roman"/>
      <w:b/>
      <w:color w:val="0A246A"/>
      <w:sz w:val="24"/>
      <w:szCs w:val="24"/>
      <w:lang w:val="en-US" w:eastAsia="zh-CN" w:bidi="ar-SA"/>
    </w:rPr>
  </w:style>
  <w:style w:type="character" w:customStyle="1" w:styleId="181">
    <w:name w:val="apple-style-span"/>
    <w:autoRedefine/>
    <w:qFormat/>
    <w:uiPriority w:val="0"/>
    <w:rPr>
      <w:rFonts w:ascii="宋体" w:hAnsi="宋体" w:eastAsia="宋体" w:cs="Times New Roman"/>
    </w:rPr>
  </w:style>
  <w:style w:type="character" w:customStyle="1" w:styleId="182">
    <w:name w:val="标题 2 Char Char Char"/>
    <w:autoRedefine/>
    <w:qFormat/>
    <w:uiPriority w:val="0"/>
    <w:rPr>
      <w:rFonts w:ascii="Arial" w:hAnsi="Arial" w:eastAsia="宋体" w:cs="Arial"/>
      <w:b/>
      <w:bCs/>
      <w:i/>
      <w:iCs/>
      <w:sz w:val="28"/>
      <w:szCs w:val="28"/>
      <w:lang w:val="en-US" w:eastAsia="zh-CN" w:bidi="ar-SA"/>
    </w:rPr>
  </w:style>
  <w:style w:type="character" w:customStyle="1" w:styleId="183">
    <w:name w:val="Heading 4 Char"/>
    <w:autoRedefine/>
    <w:qFormat/>
    <w:uiPriority w:val="0"/>
    <w:rPr>
      <w:rFonts w:ascii="Cambria" w:hAnsi="Cambria" w:eastAsia="宋体" w:cs="Cambria"/>
      <w:b/>
      <w:bCs/>
      <w:sz w:val="28"/>
      <w:szCs w:val="28"/>
      <w:lang w:bidi="ar-SA"/>
    </w:rPr>
  </w:style>
  <w:style w:type="character" w:customStyle="1" w:styleId="184">
    <w:name w:val="ca-41"/>
    <w:autoRedefine/>
    <w:qFormat/>
    <w:uiPriority w:val="0"/>
    <w:rPr>
      <w:rFonts w:ascii="宋体" w:hAnsi="Times New Roman" w:eastAsia="宋体" w:cs="Times New Roman"/>
      <w:b/>
      <w:bCs/>
      <w:color w:val="000000"/>
      <w:spacing w:val="-20"/>
      <w:sz w:val="21"/>
      <w:szCs w:val="21"/>
    </w:rPr>
  </w:style>
  <w:style w:type="character" w:customStyle="1" w:styleId="185">
    <w:name w:val="Footer Char1"/>
    <w:autoRedefine/>
    <w:qFormat/>
    <w:uiPriority w:val="0"/>
    <w:rPr>
      <w:rFonts w:ascii="Times New Roman" w:hAnsi="Times New Roman" w:eastAsia="宋体" w:cs="Times New Roman"/>
      <w:sz w:val="18"/>
      <w:szCs w:val="18"/>
      <w:lang w:bidi="ar-SA"/>
    </w:rPr>
  </w:style>
  <w:style w:type="character" w:customStyle="1" w:styleId="186">
    <w:name w:val=" Char Char23"/>
    <w:autoRedefine/>
    <w:qFormat/>
    <w:uiPriority w:val="0"/>
    <w:rPr>
      <w:rFonts w:ascii="Times New Roman" w:hAnsi="Times New Roman" w:eastAsia="宋体" w:cs="Times New Roman"/>
      <w:kern w:val="2"/>
      <w:sz w:val="24"/>
      <w:szCs w:val="21"/>
      <w:lang w:bidi="ar-SA"/>
    </w:rPr>
  </w:style>
  <w:style w:type="paragraph" w:customStyle="1" w:styleId="187">
    <w:name w:val="正文文本缩进_0"/>
    <w:basedOn w:val="91"/>
    <w:link w:val="188"/>
    <w:autoRedefine/>
    <w:qFormat/>
    <w:uiPriority w:val="0"/>
    <w:pPr>
      <w:spacing w:line="360" w:lineRule="auto"/>
      <w:ind w:firstLine="420"/>
    </w:pPr>
    <w:rPr>
      <w:rFonts w:ascii="Times New Roman" w:hAnsi="Times New Roman" w:eastAsia="宋体" w:cs="Times New Roman"/>
      <w:kern w:val="0"/>
      <w:sz w:val="20"/>
    </w:rPr>
  </w:style>
  <w:style w:type="character" w:customStyle="1" w:styleId="188">
    <w:name w:val="正文文本缩进 Char"/>
    <w:link w:val="187"/>
    <w:autoRedefine/>
    <w:qFormat/>
    <w:uiPriority w:val="0"/>
    <w:rPr>
      <w:rFonts w:ascii="Times New Roman" w:hAnsi="Times New Roman" w:eastAsia="宋体" w:cs="Times New Roman"/>
      <w:szCs w:val="20"/>
    </w:rPr>
  </w:style>
  <w:style w:type="character" w:customStyle="1" w:styleId="189">
    <w:name w:val="maywed421"/>
    <w:autoRedefine/>
    <w:qFormat/>
    <w:uiPriority w:val="0"/>
    <w:rPr>
      <w:rFonts w:ascii="Times New Roman" w:hAnsi="Times New Roman" w:eastAsia="宋体" w:cs="Times New Roman"/>
      <w:color w:val="366FB6"/>
      <w:u w:val="none"/>
    </w:rPr>
  </w:style>
  <w:style w:type="character" w:customStyle="1" w:styleId="190">
    <w:name w:val="Comment Text Char"/>
    <w:autoRedefine/>
    <w:qFormat/>
    <w:uiPriority w:val="0"/>
    <w:rPr>
      <w:rFonts w:ascii="Times New Roman" w:hAnsi="Times New Roman" w:eastAsia="宋体" w:cs="Times New Roman"/>
      <w:sz w:val="21"/>
      <w:szCs w:val="21"/>
      <w:lang w:bidi="ar-SA"/>
    </w:rPr>
  </w:style>
  <w:style w:type="character" w:customStyle="1" w:styleId="191">
    <w:name w:val="font41"/>
    <w:autoRedefine/>
    <w:qFormat/>
    <w:uiPriority w:val="0"/>
    <w:rPr>
      <w:rFonts w:hint="eastAsia" w:ascii="宋体" w:hAnsi="宋体" w:eastAsia="宋体" w:cs="宋体"/>
      <w:color w:val="000000"/>
      <w:sz w:val="24"/>
      <w:szCs w:val="24"/>
      <w:u w:val="none"/>
    </w:rPr>
  </w:style>
  <w:style w:type="character" w:customStyle="1" w:styleId="192">
    <w:name w:val="Header Char"/>
    <w:autoRedefine/>
    <w:qFormat/>
    <w:uiPriority w:val="0"/>
    <w:rPr>
      <w:rFonts w:ascii="Times New Roman" w:hAnsi="Times New Roman" w:eastAsia="宋体" w:cs="Times New Roman"/>
      <w:kern w:val="2"/>
      <w:sz w:val="18"/>
      <w:lang w:val="en-US" w:eastAsia="zh-CN"/>
    </w:rPr>
  </w:style>
  <w:style w:type="paragraph" w:customStyle="1" w:styleId="193">
    <w:name w:val="纯文本_0"/>
    <w:basedOn w:val="159"/>
    <w:link w:val="194"/>
    <w:autoRedefine/>
    <w:qFormat/>
    <w:uiPriority w:val="0"/>
    <w:rPr>
      <w:rFonts w:ascii="宋体" w:hAnsi="Courier New" w:eastAsia="宋体" w:cs="Times New Roman"/>
      <w:szCs w:val="21"/>
    </w:rPr>
  </w:style>
  <w:style w:type="character" w:customStyle="1" w:styleId="194">
    <w:name w:val="纯文本 Char_0"/>
    <w:link w:val="193"/>
    <w:autoRedefine/>
    <w:qFormat/>
    <w:uiPriority w:val="0"/>
    <w:rPr>
      <w:rFonts w:ascii="宋体" w:hAnsi="Courier New" w:eastAsia="宋体" w:cs="Courier New"/>
      <w:kern w:val="2"/>
      <w:sz w:val="21"/>
      <w:szCs w:val="21"/>
    </w:rPr>
  </w:style>
  <w:style w:type="character" w:customStyle="1" w:styleId="195">
    <w:name w:val=" Char Char3"/>
    <w:autoRedefine/>
    <w:qFormat/>
    <w:uiPriority w:val="0"/>
    <w:rPr>
      <w:rFonts w:ascii="宋体" w:hAnsi="Times New Roman" w:eastAsia="宋体" w:cs="Times New Roman"/>
      <w:sz w:val="18"/>
      <w:szCs w:val="18"/>
      <w:lang w:val="en-US" w:eastAsia="zh-CN" w:bidi="ar-SA"/>
    </w:rPr>
  </w:style>
  <w:style w:type="character" w:customStyle="1" w:styleId="196">
    <w:name w:val="question-title"/>
    <w:autoRedefine/>
    <w:qFormat/>
    <w:uiPriority w:val="0"/>
    <w:rPr>
      <w:rFonts w:ascii="Times New Roman" w:hAnsi="Times New Roman" w:eastAsia="宋体" w:cs="Times New Roman"/>
    </w:rPr>
  </w:style>
  <w:style w:type="character" w:customStyle="1" w:styleId="197">
    <w:name w:val="ca-31"/>
    <w:autoRedefine/>
    <w:qFormat/>
    <w:uiPriority w:val="0"/>
    <w:rPr>
      <w:rFonts w:ascii="宋体" w:hAnsi="Times New Roman" w:eastAsia="宋体" w:cs="Times New Roman"/>
      <w:color w:val="000000"/>
      <w:sz w:val="21"/>
      <w:szCs w:val="21"/>
    </w:rPr>
  </w:style>
  <w:style w:type="character" w:customStyle="1" w:styleId="198">
    <w:name w:val="style15"/>
    <w:autoRedefine/>
    <w:qFormat/>
    <w:uiPriority w:val="0"/>
    <w:rPr>
      <w:rFonts w:ascii="Times New Roman" w:hAnsi="Times New Roman" w:eastAsia="宋体" w:cs="Times New Roman"/>
    </w:rPr>
  </w:style>
  <w:style w:type="character" w:customStyle="1" w:styleId="199">
    <w:name w:val="Char Char3"/>
    <w:autoRedefine/>
    <w:qFormat/>
    <w:uiPriority w:val="0"/>
    <w:rPr>
      <w:rFonts w:ascii="Arial" w:hAnsi="Arial" w:eastAsia="黑体" w:cs="Times New Roman"/>
      <w:b/>
      <w:bCs/>
      <w:kern w:val="2"/>
      <w:sz w:val="32"/>
      <w:szCs w:val="32"/>
      <w:lang w:val="en-US" w:eastAsia="zh-CN" w:bidi="ar-SA"/>
    </w:rPr>
  </w:style>
  <w:style w:type="character" w:customStyle="1" w:styleId="200">
    <w:name w:val="Header Char1"/>
    <w:autoRedefine/>
    <w:qFormat/>
    <w:uiPriority w:val="0"/>
    <w:rPr>
      <w:rFonts w:ascii="Times New Roman" w:hAnsi="Times New Roman" w:eastAsia="宋体" w:cs="Times New Roman"/>
      <w:sz w:val="18"/>
      <w:szCs w:val="18"/>
      <w:lang w:bidi="ar-SA"/>
    </w:rPr>
  </w:style>
  <w:style w:type="character" w:customStyle="1" w:styleId="201">
    <w:name w:val="段落 Char"/>
    <w:autoRedefine/>
    <w:qFormat/>
    <w:uiPriority w:val="0"/>
    <w:rPr>
      <w:rFonts w:ascii="仿宋_GB2312" w:hAnsi="Times New Roman" w:eastAsia="仿宋_GB2312" w:cs="Times New Roman"/>
      <w:kern w:val="2"/>
      <w:sz w:val="24"/>
      <w:szCs w:val="24"/>
      <w:lang w:val="en-US" w:eastAsia="zh-CN" w:bidi="ar-SA"/>
    </w:rPr>
  </w:style>
  <w:style w:type="character" w:customStyle="1" w:styleId="202">
    <w:name w:val="font01"/>
    <w:autoRedefine/>
    <w:qFormat/>
    <w:uiPriority w:val="0"/>
    <w:rPr>
      <w:rFonts w:hint="eastAsia" w:ascii="宋体" w:hAnsi="宋体" w:eastAsia="宋体" w:cs="宋体"/>
      <w:color w:val="000000"/>
      <w:sz w:val="24"/>
      <w:szCs w:val="24"/>
      <w:u w:val="none"/>
    </w:rPr>
  </w:style>
  <w:style w:type="character" w:customStyle="1" w:styleId="203">
    <w:name w:val="wj1"/>
    <w:autoRedefine/>
    <w:qFormat/>
    <w:uiPriority w:val="0"/>
    <w:rPr>
      <w:rFonts w:ascii="Times New Roman" w:hAnsi="Times New Roman" w:eastAsia="宋体" w:cs="Times New Roman"/>
      <w:color w:val="000000"/>
      <w:sz w:val="18"/>
      <w:szCs w:val="18"/>
      <w:u w:val="none"/>
    </w:rPr>
  </w:style>
  <w:style w:type="character" w:customStyle="1" w:styleId="204">
    <w:name w:val="Heading 3 Char"/>
    <w:autoRedefine/>
    <w:qFormat/>
    <w:uiPriority w:val="0"/>
    <w:rPr>
      <w:rFonts w:ascii="Times New Roman" w:hAnsi="Times New Roman" w:eastAsia="宋体" w:cs="Times New Roman"/>
      <w:b/>
      <w:bCs/>
      <w:sz w:val="32"/>
      <w:szCs w:val="32"/>
      <w:lang w:bidi="ar-SA"/>
    </w:rPr>
  </w:style>
  <w:style w:type="character" w:customStyle="1" w:styleId="205">
    <w:name w:val="Plain Text Char1"/>
    <w:autoRedefine/>
    <w:qFormat/>
    <w:uiPriority w:val="0"/>
    <w:rPr>
      <w:rFonts w:ascii="宋体" w:hAnsi="Times New Roman" w:eastAsia="宋体" w:cs="Times New Roman"/>
      <w:kern w:val="2"/>
      <w:sz w:val="21"/>
      <w:szCs w:val="21"/>
      <w:lang w:val="en-US" w:eastAsia="zh-CN" w:bidi="ar-SA"/>
    </w:rPr>
  </w:style>
  <w:style w:type="character" w:customStyle="1" w:styleId="206">
    <w:name w:val="ca-1"/>
    <w:autoRedefine/>
    <w:qFormat/>
    <w:uiPriority w:val="0"/>
    <w:rPr>
      <w:rFonts w:ascii="Times New Roman" w:hAnsi="Times New Roman" w:eastAsia="宋体" w:cs="Times New Roman"/>
    </w:rPr>
  </w:style>
  <w:style w:type="paragraph" w:customStyle="1" w:styleId="207">
    <w:name w:val="技术方案2"/>
    <w:basedOn w:val="1"/>
    <w:autoRedefine/>
    <w:qFormat/>
    <w:uiPriority w:val="0"/>
    <w:pPr>
      <w:spacing w:line="480" w:lineRule="auto"/>
    </w:pPr>
    <w:rPr>
      <w:rFonts w:ascii="宋体" w:hAnsi="Times New Roman" w:eastAsia="宋体" w:cs="Times New Roman"/>
      <w:b/>
      <w:bCs/>
      <w:sz w:val="36"/>
      <w:szCs w:val="22"/>
    </w:rPr>
  </w:style>
  <w:style w:type="paragraph" w:customStyle="1" w:styleId="208">
    <w:name w:val="表中文字"/>
    <w:basedOn w:val="1"/>
    <w:autoRedefine/>
    <w:qFormat/>
    <w:uiPriority w:val="0"/>
    <w:pPr>
      <w:widowControl/>
    </w:pPr>
    <w:rPr>
      <w:rFonts w:ascii="Calibri" w:hAnsi="Calibri" w:eastAsia="宋体" w:cs="Times New Roman"/>
      <w:szCs w:val="20"/>
    </w:rPr>
  </w:style>
  <w:style w:type="paragraph" w:customStyle="1" w:styleId="209">
    <w:name w:val="Normal_9"/>
    <w:autoRedefine/>
    <w:qFormat/>
    <w:uiPriority w:val="0"/>
    <w:rPr>
      <w:rFonts w:ascii="黑体" w:hAnsi="黑体" w:eastAsia="黑体" w:cs="Times New Roman"/>
      <w:b/>
      <w:sz w:val="32"/>
      <w:szCs w:val="24"/>
      <w:lang w:bidi="ar-SA"/>
    </w:rPr>
  </w:style>
  <w:style w:type="paragraph" w:customStyle="1" w:styleId="210">
    <w:name w:val="正文_1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1">
    <w:name w:val="段落"/>
    <w:autoRedefine/>
    <w:qFormat/>
    <w:uiPriority w:val="0"/>
    <w:pPr>
      <w:adjustRightInd w:val="0"/>
      <w:snapToGrid w:val="0"/>
      <w:spacing w:before="120" w:after="120" w:line="360" w:lineRule="auto"/>
      <w:ind w:firstLine="420"/>
      <w:jc w:val="both"/>
    </w:pPr>
    <w:rPr>
      <w:rFonts w:ascii="Times New Roman" w:hAnsi="Times New Roman" w:eastAsia="仿宋_GB2312" w:cs="Times New Roman"/>
      <w:kern w:val="2"/>
      <w:sz w:val="24"/>
      <w:szCs w:val="24"/>
      <w:lang w:val="en-US" w:eastAsia="zh-CN" w:bidi="ar-SA"/>
    </w:rPr>
  </w:style>
  <w:style w:type="paragraph" w:customStyle="1" w:styleId="212">
    <w:name w:val="标书2"/>
    <w:next w:val="211"/>
    <w:autoRedefine/>
    <w:qFormat/>
    <w:uiPriority w:val="0"/>
    <w:rPr>
      <w:rFonts w:ascii="Times New Roman" w:hAnsi="Times New Roman" w:eastAsia="黑体" w:cs="宋体"/>
      <w:b/>
      <w:kern w:val="2"/>
      <w:sz w:val="44"/>
      <w:lang w:val="en-US" w:eastAsia="zh-CN" w:bidi="ar-SA"/>
    </w:rPr>
  </w:style>
  <w:style w:type="paragraph" w:customStyle="1" w:styleId="213">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14">
    <w:name w:val="一级条标题"/>
    <w:next w:val="213"/>
    <w:autoRedefine/>
    <w:qFormat/>
    <w:uiPriority w:val="0"/>
    <w:pPr>
      <w:outlineLvl w:val="2"/>
    </w:pPr>
    <w:rPr>
      <w:rFonts w:ascii="Times New Roman" w:hAnsi="Times New Roman" w:eastAsia="黑体" w:cs="Times New Roman"/>
      <w:sz w:val="21"/>
      <w:lang w:val="en-US" w:eastAsia="zh-CN" w:bidi="ar-SA"/>
    </w:rPr>
  </w:style>
  <w:style w:type="paragraph" w:customStyle="1" w:styleId="215">
    <w:name w:val="首页空格"/>
    <w:autoRedefine/>
    <w:qFormat/>
    <w:uiPriority w:val="0"/>
    <w:pPr>
      <w:adjustRightInd w:val="0"/>
      <w:snapToGrid w:val="0"/>
      <w:jc w:val="center"/>
    </w:pPr>
    <w:rPr>
      <w:rFonts w:ascii="Times New Roman" w:hAnsi="Times New Roman" w:eastAsia="宋体" w:cs="宋体"/>
      <w:kern w:val="2"/>
      <w:sz w:val="72"/>
      <w:lang w:val="en-US" w:eastAsia="zh-CN" w:bidi="ar-SA"/>
    </w:rPr>
  </w:style>
  <w:style w:type="paragraph" w:customStyle="1" w:styleId="216">
    <w:name w:val="首页小标题"/>
    <w:next w:val="215"/>
    <w:autoRedefine/>
    <w:qFormat/>
    <w:uiPriority w:val="0"/>
    <w:pPr>
      <w:adjustRightInd w:val="0"/>
      <w:snapToGrid w:val="0"/>
      <w:jc w:val="center"/>
    </w:pPr>
    <w:rPr>
      <w:rFonts w:ascii="Times New Roman" w:hAnsi="Times New Roman" w:eastAsia="宋体" w:cs="宋体"/>
      <w:kern w:val="2"/>
      <w:sz w:val="44"/>
      <w:lang w:val="en-US" w:eastAsia="zh-CN" w:bidi="ar-SA"/>
    </w:rPr>
  </w:style>
  <w:style w:type="paragraph" w:customStyle="1" w:styleId="217">
    <w:name w:val="正文_0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18">
    <w:name w:val="Normal_19"/>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19">
    <w:name w:val="pa-10"/>
    <w:basedOn w:val="1"/>
    <w:autoRedefine/>
    <w:qFormat/>
    <w:uiPriority w:val="0"/>
    <w:pPr>
      <w:widowControl/>
      <w:spacing w:line="240" w:lineRule="atLeast"/>
    </w:pPr>
    <w:rPr>
      <w:rFonts w:ascii="宋体" w:hAnsi="Times New Roman" w:eastAsia="宋体" w:cs="宋体"/>
      <w:kern w:val="0"/>
      <w:sz w:val="24"/>
      <w:lang w:bidi="ar-SA"/>
    </w:rPr>
  </w:style>
  <w:style w:type="paragraph" w:customStyle="1" w:styleId="220">
    <w:name w:val="封面标准号1"/>
    <w:autoRedefine/>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221">
    <w:name w:val="pa-2"/>
    <w:basedOn w:val="1"/>
    <w:autoRedefine/>
    <w:qFormat/>
    <w:uiPriority w:val="0"/>
    <w:pPr>
      <w:widowControl/>
      <w:spacing w:line="360" w:lineRule="atLeast"/>
    </w:pPr>
    <w:rPr>
      <w:rFonts w:ascii="宋体" w:hAnsi="Times New Roman" w:eastAsia="宋体" w:cs="宋体"/>
      <w:kern w:val="0"/>
      <w:sz w:val="24"/>
      <w:lang w:bidi="ar-SA"/>
    </w:rPr>
  </w:style>
  <w:style w:type="paragraph" w:customStyle="1" w:styleId="222">
    <w:name w:val="Char Char1 Char Char Char Char Char Char Char Char"/>
    <w:basedOn w:val="1"/>
    <w:autoRedefine/>
    <w:qFormat/>
    <w:uiPriority w:val="0"/>
    <w:pPr>
      <w:widowControl/>
      <w:spacing w:after="160" w:line="240" w:lineRule="exact"/>
      <w:jc w:val="left"/>
    </w:pPr>
    <w:rPr>
      <w:rFonts w:ascii="Times New Roman" w:hAnsi="Times New Roman" w:eastAsia="宋体" w:cs="Times New Roman"/>
    </w:rPr>
  </w:style>
  <w:style w:type="paragraph" w:customStyle="1" w:styleId="223">
    <w:name w:val="首页标题小初"/>
    <w:autoRedefine/>
    <w:qFormat/>
    <w:uiPriority w:val="0"/>
    <w:pPr>
      <w:adjustRightInd w:val="0"/>
      <w:snapToGrid w:val="0"/>
      <w:jc w:val="center"/>
    </w:pPr>
    <w:rPr>
      <w:rFonts w:ascii="黑体" w:hAnsi="Times New Roman" w:eastAsia="黑体" w:cs="宋体"/>
      <w:kern w:val="2"/>
      <w:sz w:val="72"/>
      <w:lang w:val="en-US" w:eastAsia="zh-CN" w:bidi="ar-SA"/>
    </w:rPr>
  </w:style>
  <w:style w:type="paragraph" w:customStyle="1" w:styleId="224">
    <w:name w:val="正文_6_0_0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25">
    <w:name w:val="正文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6">
    <w:name w:val="图表目录1"/>
    <w:autoRedefine/>
    <w:qFormat/>
    <w:uiPriority w:val="0"/>
    <w:pPr>
      <w:ind w:left="840" w:hanging="420"/>
    </w:pPr>
    <w:rPr>
      <w:rFonts w:ascii="Times New Roman" w:hAnsi="Times New Roman" w:eastAsia="宋体" w:cs="宋体"/>
      <w:kern w:val="2"/>
      <w:sz w:val="21"/>
      <w:lang w:val="en-US" w:eastAsia="zh-CN" w:bidi="ar-SA"/>
    </w:rPr>
  </w:style>
  <w:style w:type="paragraph" w:customStyle="1" w:styleId="227">
    <w:name w:val="正文1"/>
    <w:basedOn w:val="1"/>
    <w:autoRedefine/>
    <w:qFormat/>
    <w:uiPriority w:val="0"/>
    <w:pPr>
      <w:widowControl/>
      <w:spacing w:line="360" w:lineRule="auto"/>
      <w:ind w:left="357" w:firstLine="420"/>
      <w:jc w:val="left"/>
    </w:pPr>
    <w:rPr>
      <w:rFonts w:ascii="Times New Roman" w:hAnsi="Times New Roman" w:eastAsia="宋体" w:cs="Arial"/>
      <w:szCs w:val="20"/>
      <w:lang w:bidi="ar-SA"/>
    </w:rPr>
  </w:style>
  <w:style w:type="paragraph" w:customStyle="1" w:styleId="228">
    <w:name w:val="加点正文缩进"/>
    <w:basedOn w:val="1"/>
    <w:autoRedefine/>
    <w:qFormat/>
    <w:uiPriority w:val="0"/>
    <w:pPr>
      <w:tabs>
        <w:tab w:val="left" w:pos="840"/>
      </w:tabs>
      <w:snapToGrid w:val="0"/>
      <w:spacing w:line="300" w:lineRule="auto"/>
      <w:ind w:left="962" w:hanging="480"/>
    </w:pPr>
    <w:rPr>
      <w:rFonts w:ascii="Times New Roman" w:hAnsi="Times New Roman" w:eastAsia="宋体" w:cs="Times New Roman"/>
      <w:snapToGrid w:val="0"/>
      <w:sz w:val="24"/>
    </w:rPr>
  </w:style>
  <w:style w:type="paragraph" w:customStyle="1" w:styleId="229">
    <w:name w:val="说明书3级标题"/>
    <w:basedOn w:val="1"/>
    <w:next w:val="1"/>
    <w:autoRedefine/>
    <w:qFormat/>
    <w:uiPriority w:val="0"/>
    <w:pPr>
      <w:numPr>
        <w:ilvl w:val="2"/>
        <w:numId w:val="1"/>
      </w:numPr>
      <w:spacing w:line="360" w:lineRule="auto"/>
    </w:pPr>
    <w:rPr>
      <w:rFonts w:ascii="Calibri" w:hAnsi="Calibri" w:eastAsia="黑体" w:cs="Times New Roman"/>
      <w:sz w:val="24"/>
      <w:szCs w:val="22"/>
    </w:rPr>
  </w:style>
  <w:style w:type="paragraph" w:customStyle="1" w:styleId="230">
    <w:name w:val="序号-----------"/>
    <w:basedOn w:val="1"/>
    <w:autoRedefine/>
    <w:qFormat/>
    <w:uiPriority w:val="0"/>
    <w:pPr>
      <w:widowControl/>
      <w:jc w:val="left"/>
    </w:pPr>
    <w:rPr>
      <w:rFonts w:ascii="宋体" w:hAnsi="Times New Roman" w:eastAsia="宋体" w:cs="Times New Roman"/>
      <w:bCs/>
      <w:kern w:val="0"/>
      <w:szCs w:val="21"/>
    </w:rPr>
  </w:style>
  <w:style w:type="paragraph" w:customStyle="1" w:styleId="231">
    <w:name w:val="样式 序号----------- + 仿宋_GB23121"/>
    <w:basedOn w:val="230"/>
    <w:autoRedefine/>
    <w:qFormat/>
    <w:uiPriority w:val="0"/>
    <w:pPr>
      <w:spacing w:line="360" w:lineRule="auto"/>
    </w:pPr>
    <w:rPr>
      <w:rFonts w:ascii="仿宋_GB2312" w:hAnsi="Times New Roman" w:eastAsia="仿宋_GB2312" w:cs="Times New Roman"/>
      <w:bCs w:val="0"/>
    </w:rPr>
  </w:style>
  <w:style w:type="paragraph" w:customStyle="1" w:styleId="232">
    <w:name w:val=" Char1"/>
    <w:basedOn w:val="1"/>
    <w:autoRedefine/>
    <w:qFormat/>
    <w:uiPriority w:val="0"/>
    <w:pPr>
      <w:tabs>
        <w:tab w:val="left" w:pos="360"/>
      </w:tabs>
      <w:spacing w:line="480" w:lineRule="auto"/>
      <w:ind w:left="360" w:right="202" w:firstLine="360"/>
    </w:pPr>
    <w:rPr>
      <w:rFonts w:ascii="Times New Roman" w:hAnsi="Times New Roman" w:eastAsia="宋体" w:cs="Times New Roman"/>
      <w:sz w:val="24"/>
    </w:rPr>
  </w:style>
  <w:style w:type="paragraph" w:customStyle="1" w:styleId="233">
    <w:name w:val="章标题"/>
    <w:next w:val="213"/>
    <w:autoRedefine/>
    <w:qFormat/>
    <w:uiPriority w:val="0"/>
    <w:pPr>
      <w:tabs>
        <w:tab w:val="left" w:pos="1200"/>
      </w:tabs>
      <w:spacing w:before="50" w:beforeLines="50" w:after="50" w:afterLines="50"/>
      <w:ind w:left="1320" w:hanging="420"/>
      <w:jc w:val="both"/>
      <w:outlineLvl w:val="1"/>
    </w:pPr>
    <w:rPr>
      <w:rFonts w:ascii="黑体" w:hAnsi="Times New Roman" w:eastAsia="黑体" w:cs="Times New Roman"/>
      <w:sz w:val="21"/>
      <w:lang w:val="en-US" w:eastAsia="zh-CN" w:bidi="ar-SA"/>
    </w:rPr>
  </w:style>
  <w:style w:type="paragraph" w:customStyle="1" w:styleId="234">
    <w:name w:val="二级条标题"/>
    <w:basedOn w:val="214"/>
    <w:next w:val="213"/>
    <w:autoRedefine/>
    <w:qFormat/>
    <w:uiPriority w:val="0"/>
    <w:pPr>
      <w:ind w:left="360"/>
      <w:outlineLvl w:val="3"/>
    </w:pPr>
    <w:rPr>
      <w:rFonts w:ascii="Times New Roman" w:hAnsi="Times New Roman" w:eastAsia="宋体" w:cs="Times New Roman"/>
    </w:rPr>
  </w:style>
  <w:style w:type="paragraph" w:customStyle="1" w:styleId="235">
    <w:name w:val="三级条标题"/>
    <w:basedOn w:val="234"/>
    <w:next w:val="213"/>
    <w:autoRedefine/>
    <w:qFormat/>
    <w:uiPriority w:val="0"/>
    <w:pPr>
      <w:ind w:left="1050"/>
      <w:outlineLvl w:val="4"/>
    </w:pPr>
    <w:rPr>
      <w:rFonts w:ascii="Times New Roman" w:hAnsi="Times New Roman" w:eastAsia="宋体" w:cs="Times New Roman"/>
    </w:rPr>
  </w:style>
  <w:style w:type="paragraph" w:customStyle="1" w:styleId="236">
    <w:name w:val="表格样式居中"/>
    <w:autoRedefine/>
    <w:qFormat/>
    <w:uiPriority w:val="0"/>
    <w:pPr>
      <w:adjustRightInd w:val="0"/>
      <w:snapToGrid w:val="0"/>
      <w:jc w:val="center"/>
    </w:pPr>
    <w:rPr>
      <w:rFonts w:ascii="Times New Roman" w:hAnsi="Times New Roman" w:eastAsia="仿宋_GB2312" w:cs="Times New Roman"/>
      <w:bCs/>
      <w:kern w:val="44"/>
      <w:sz w:val="21"/>
      <w:szCs w:val="44"/>
      <w:lang w:val="en-US" w:eastAsia="zh-CN" w:bidi="ar-SA"/>
    </w:rPr>
  </w:style>
  <w:style w:type="paragraph" w:customStyle="1" w:styleId="237">
    <w:name w:val="Normal_12"/>
    <w:autoRedefine/>
    <w:qFormat/>
    <w:uiPriority w:val="0"/>
    <w:rPr>
      <w:rFonts w:ascii="黑体" w:hAnsi="黑体" w:eastAsia="黑体" w:cs="Times New Roman"/>
      <w:b/>
      <w:sz w:val="32"/>
      <w:szCs w:val="24"/>
      <w:lang w:bidi="ar-SA"/>
    </w:rPr>
  </w:style>
  <w:style w:type="paragraph" w:customStyle="1" w:styleId="238">
    <w:name w:val="技术方案正文"/>
    <w:basedOn w:val="1"/>
    <w:autoRedefine/>
    <w:qFormat/>
    <w:uiPriority w:val="0"/>
    <w:pPr>
      <w:spacing w:line="360" w:lineRule="auto"/>
      <w:ind w:firstLine="480"/>
    </w:pPr>
    <w:rPr>
      <w:rFonts w:ascii="宋体" w:hAnsi="Times New Roman" w:eastAsia="宋体" w:cs="Times New Roman"/>
      <w:sz w:val="24"/>
      <w:szCs w:val="22"/>
    </w:rPr>
  </w:style>
  <w:style w:type="paragraph" w:customStyle="1" w:styleId="239">
    <w:name w:val="表格序号"/>
    <w:autoRedefine/>
    <w:qFormat/>
    <w:uiPriority w:val="0"/>
    <w:rPr>
      <w:rFonts w:ascii="Times New Roman" w:hAnsi="Times New Roman" w:eastAsia="仿宋_GB2312" w:cs="宋体"/>
      <w:kern w:val="44"/>
      <w:sz w:val="21"/>
      <w:lang w:val="en-US" w:eastAsia="zh-CN" w:bidi="ar-SA"/>
    </w:rPr>
  </w:style>
  <w:style w:type="paragraph" w:customStyle="1" w:styleId="240">
    <w:name w:val="Normal_2"/>
    <w:autoRedefine/>
    <w:qFormat/>
    <w:uiPriority w:val="0"/>
    <w:rPr>
      <w:rFonts w:ascii="黑体" w:hAnsi="黑体" w:eastAsia="黑体" w:cs="Times New Roman"/>
      <w:b/>
      <w:sz w:val="32"/>
      <w:szCs w:val="24"/>
      <w:lang w:bidi="ar-SA"/>
    </w:rPr>
  </w:style>
  <w:style w:type="paragraph" w:customStyle="1" w:styleId="241">
    <w:name w:val="篇名"/>
    <w:next w:val="3"/>
    <w:autoRedefine/>
    <w:qFormat/>
    <w:uiPriority w:val="0"/>
    <w:pPr>
      <w:pageBreakBefore/>
      <w:adjustRightInd w:val="0"/>
      <w:snapToGrid w:val="0"/>
      <w:spacing w:before="480" w:after="480"/>
      <w:jc w:val="center"/>
    </w:pPr>
    <w:rPr>
      <w:rFonts w:ascii="Times New Roman" w:hAnsi="Times New Roman" w:eastAsia="黑体" w:cs="Times New Roman"/>
      <w:b/>
      <w:kern w:val="2"/>
      <w:sz w:val="44"/>
      <w:szCs w:val="24"/>
      <w:lang w:val="en-US" w:eastAsia="zh-CN" w:bidi="ar-SA"/>
    </w:rPr>
  </w:style>
  <w:style w:type="paragraph" w:customStyle="1" w:styleId="242">
    <w:name w:val="pa-6"/>
    <w:basedOn w:val="1"/>
    <w:autoRedefine/>
    <w:qFormat/>
    <w:uiPriority w:val="0"/>
    <w:pPr>
      <w:widowControl/>
      <w:spacing w:line="360" w:lineRule="atLeast"/>
    </w:pPr>
    <w:rPr>
      <w:rFonts w:ascii="宋体" w:hAnsi="Times New Roman" w:eastAsia="宋体" w:cs="Times New Roman"/>
      <w:kern w:val="0"/>
      <w:sz w:val="24"/>
      <w:szCs w:val="20"/>
    </w:rPr>
  </w:style>
  <w:style w:type="paragraph" w:customStyle="1" w:styleId="243">
    <w:name w:val="样式4"/>
    <w:basedOn w:val="5"/>
    <w:autoRedefine/>
    <w:qFormat/>
    <w:uiPriority w:val="0"/>
    <w:pPr>
      <w:autoSpaceDE/>
      <w:autoSpaceDN/>
      <w:adjustRightInd/>
      <w:snapToGrid/>
      <w:spacing w:line="415" w:lineRule="auto"/>
    </w:pPr>
    <w:rPr>
      <w:rFonts w:ascii="Calibri" w:hAnsi="Calibri" w:eastAsia="宋体" w:cs="Times New Roman"/>
      <w:bCs/>
      <w:color w:val="auto"/>
      <w:sz w:val="28"/>
      <w:szCs w:val="28"/>
    </w:rPr>
  </w:style>
  <w:style w:type="paragraph" w:customStyle="1" w:styleId="244">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宋体" w:cs="Times New Roman"/>
      <w:kern w:val="0"/>
      <w:sz w:val="20"/>
      <w:szCs w:val="20"/>
    </w:rPr>
  </w:style>
  <w:style w:type="paragraph" w:customStyle="1" w:styleId="245">
    <w:name w:val="Normal_1"/>
    <w:autoRedefine/>
    <w:qFormat/>
    <w:uiPriority w:val="0"/>
    <w:rPr>
      <w:rFonts w:ascii="黑体" w:hAnsi="黑体" w:eastAsia="黑体" w:cs="Times New Roman"/>
      <w:b/>
      <w:sz w:val="32"/>
      <w:szCs w:val="24"/>
      <w:lang w:bidi="ar-SA"/>
    </w:rPr>
  </w:style>
  <w:style w:type="paragraph" w:customStyle="1" w:styleId="246">
    <w:name w:val="正文_17"/>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47">
    <w:name w:val="标书3"/>
    <w:next w:val="211"/>
    <w:autoRedefine/>
    <w:qFormat/>
    <w:uiPriority w:val="0"/>
    <w:pPr>
      <w:widowControl w:val="0"/>
      <w:jc w:val="center"/>
    </w:pPr>
    <w:rPr>
      <w:rFonts w:ascii="Times New Roman" w:hAnsi="Times New Roman" w:eastAsia="黑体" w:cs="Times New Roman"/>
      <w:b/>
      <w:kern w:val="2"/>
      <w:sz w:val="44"/>
      <w:szCs w:val="24"/>
      <w:lang w:val="en-US" w:eastAsia="zh-CN" w:bidi="ar-SA"/>
    </w:rPr>
  </w:style>
  <w:style w:type="paragraph" w:customStyle="1" w:styleId="248">
    <w:name w:val="Char"/>
    <w:basedOn w:val="1"/>
    <w:autoRedefine/>
    <w:qFormat/>
    <w:uiPriority w:val="0"/>
    <w:pPr>
      <w:tabs>
        <w:tab w:val="left" w:pos="360"/>
      </w:tabs>
    </w:pPr>
    <w:rPr>
      <w:rFonts w:ascii="仿宋_GB2312" w:hAnsi="Times New Roman" w:eastAsia="仿宋_GB2312" w:cs="Times New Roman"/>
      <w:b/>
      <w:sz w:val="24"/>
    </w:rPr>
  </w:style>
  <w:style w:type="paragraph" w:customStyle="1" w:styleId="249">
    <w:name w:val="pa-3"/>
    <w:basedOn w:val="1"/>
    <w:autoRedefine/>
    <w:qFormat/>
    <w:uiPriority w:val="0"/>
    <w:pPr>
      <w:widowControl/>
      <w:spacing w:before="150" w:after="150"/>
      <w:jc w:val="left"/>
    </w:pPr>
    <w:rPr>
      <w:rFonts w:ascii="宋体" w:hAnsi="Times New Roman" w:eastAsia="宋体" w:cs="宋体"/>
      <w:kern w:val="0"/>
      <w:sz w:val="24"/>
      <w:lang w:bidi="ar-SA"/>
    </w:rPr>
  </w:style>
  <w:style w:type="paragraph" w:customStyle="1" w:styleId="250">
    <w:name w:val=" Char Char Char Char"/>
    <w:basedOn w:val="1"/>
    <w:autoRedefine/>
    <w:qFormat/>
    <w:uiPriority w:val="0"/>
    <w:pPr>
      <w:widowControl/>
      <w:spacing w:after="120" w:line="360" w:lineRule="auto"/>
      <w:ind w:left="560" w:firstLine="200" w:firstLineChars="200"/>
      <w:jc w:val="left"/>
    </w:pPr>
    <w:rPr>
      <w:rFonts w:ascii="Verdana" w:hAnsi="Verdana" w:eastAsia="宋体" w:cs="Times New Roman"/>
      <w:kern w:val="0"/>
      <w:sz w:val="24"/>
      <w:szCs w:val="22"/>
    </w:rPr>
  </w:style>
  <w:style w:type="paragraph" w:customStyle="1" w:styleId="251">
    <w:name w:val="font9"/>
    <w:basedOn w:val="1"/>
    <w:autoRedefine/>
    <w:qFormat/>
    <w:uiPriority w:val="0"/>
    <w:pPr>
      <w:widowControl/>
      <w:spacing w:before="100" w:beforeAutospacing="1" w:after="100" w:afterAutospacing="1"/>
      <w:jc w:val="left"/>
    </w:pPr>
    <w:rPr>
      <w:rFonts w:ascii="宋体" w:hAnsi="Times New Roman" w:eastAsia="宋体" w:cs="Times New Roman"/>
      <w:color w:val="000000"/>
      <w:kern w:val="0"/>
      <w:sz w:val="18"/>
      <w:szCs w:val="18"/>
    </w:rPr>
  </w:style>
  <w:style w:type="paragraph" w:customStyle="1" w:styleId="252">
    <w:name w:val="四级条标题"/>
    <w:basedOn w:val="235"/>
    <w:next w:val="213"/>
    <w:autoRedefine/>
    <w:qFormat/>
    <w:uiPriority w:val="0"/>
    <w:pPr>
      <w:ind w:left="0"/>
      <w:outlineLvl w:val="5"/>
    </w:pPr>
    <w:rPr>
      <w:rFonts w:ascii="Times New Roman" w:hAnsi="Times New Roman" w:eastAsia="宋体" w:cs="Times New Roman"/>
    </w:rPr>
  </w:style>
  <w:style w:type="paragraph" w:customStyle="1" w:styleId="253">
    <w:name w:val="五级条标题"/>
    <w:basedOn w:val="252"/>
    <w:next w:val="213"/>
    <w:autoRedefine/>
    <w:qFormat/>
    <w:uiPriority w:val="0"/>
    <w:pPr>
      <w:outlineLvl w:val="6"/>
    </w:pPr>
    <w:rPr>
      <w:rFonts w:ascii="Times New Roman" w:hAnsi="Times New Roman" w:eastAsia="宋体" w:cs="Times New Roman"/>
    </w:rPr>
  </w:style>
  <w:style w:type="paragraph" w:customStyle="1" w:styleId="254">
    <w:name w:val="目录 1_0"/>
    <w:basedOn w:val="91"/>
    <w:next w:val="91"/>
    <w:autoRedefine/>
    <w:qFormat/>
    <w:uiPriority w:val="0"/>
    <w:pPr>
      <w:autoSpaceDE w:val="0"/>
      <w:autoSpaceDN w:val="0"/>
      <w:adjustRightInd w:val="0"/>
      <w:jc w:val="left"/>
    </w:pPr>
    <w:rPr>
      <w:rFonts w:hint="eastAsia" w:ascii="宋体" w:hAnsi="宋体" w:eastAsia="宋体" w:cs="Times New Roman"/>
      <w:b/>
      <w:kern w:val="0"/>
      <w:sz w:val="24"/>
    </w:rPr>
  </w:style>
  <w:style w:type="paragraph" w:customStyle="1" w:styleId="255">
    <w:name w:val="正文_1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56">
    <w:name w:val="pa-0"/>
    <w:basedOn w:val="1"/>
    <w:autoRedefine/>
    <w:qFormat/>
    <w:uiPriority w:val="0"/>
    <w:pPr>
      <w:widowControl/>
      <w:spacing w:line="360" w:lineRule="atLeast"/>
      <w:ind w:firstLine="480"/>
    </w:pPr>
    <w:rPr>
      <w:rFonts w:ascii="宋体" w:hAnsi="Times New Roman" w:eastAsia="宋体" w:cs="宋体"/>
      <w:kern w:val="0"/>
      <w:sz w:val="24"/>
      <w:lang w:bidi="ar-SA"/>
    </w:rPr>
  </w:style>
  <w:style w:type="paragraph" w:customStyle="1" w:styleId="257">
    <w:name w:val="正文_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8">
    <w:name w:val="D&amp;L"/>
    <w:basedOn w:val="41"/>
    <w:autoRedefine/>
    <w:qFormat/>
    <w:uiPriority w:val="0"/>
    <w:pPr>
      <w:pBdr>
        <w:bottom w:val="thinThickSmallGap" w:color="auto" w:sz="18" w:space="1"/>
      </w:pBdr>
      <w:adjustRightInd w:val="0"/>
      <w:snapToGrid/>
      <w:spacing w:line="240" w:lineRule="atLeast"/>
      <w:textAlignment w:val="baseline"/>
    </w:pPr>
    <w:rPr>
      <w:rFonts w:ascii="Times New Roman" w:hAnsi="Times New Roman" w:eastAsia="宋体" w:cs="Times New Roman"/>
      <w:kern w:val="0"/>
      <w:sz w:val="24"/>
      <w:szCs w:val="20"/>
    </w:rPr>
  </w:style>
  <w:style w:type="paragraph" w:customStyle="1" w:styleId="259">
    <w:name w:val="正文_10_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0">
    <w:name w:val="Normal_16"/>
    <w:autoRedefine/>
    <w:qFormat/>
    <w:uiPriority w:val="0"/>
    <w:rPr>
      <w:rFonts w:ascii="黑体" w:hAnsi="黑体" w:eastAsia="黑体" w:cs="Times New Roman"/>
      <w:b/>
      <w:sz w:val="32"/>
      <w:szCs w:val="24"/>
      <w:lang w:bidi="ar-SA"/>
    </w:rPr>
  </w:style>
  <w:style w:type="paragraph" w:customStyle="1" w:styleId="261">
    <w:name w:val="正文_0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2">
    <w:name w:val="文档正文"/>
    <w:basedOn w:val="1"/>
    <w:autoRedefine/>
    <w:qFormat/>
    <w:uiPriority w:val="0"/>
    <w:rPr>
      <w:rFonts w:ascii="宋体" w:hAnsi="Times New Roman" w:eastAsia="宋体" w:cs="Times New Roman"/>
      <w:szCs w:val="20"/>
    </w:rPr>
  </w:style>
  <w:style w:type="paragraph" w:customStyle="1" w:styleId="263">
    <w:name w:val="pa-5"/>
    <w:basedOn w:val="1"/>
    <w:autoRedefine/>
    <w:qFormat/>
    <w:uiPriority w:val="0"/>
    <w:pPr>
      <w:widowControl/>
      <w:spacing w:line="280" w:lineRule="atLeast"/>
    </w:pPr>
    <w:rPr>
      <w:rFonts w:ascii="宋体" w:hAnsi="Times New Roman" w:eastAsia="宋体" w:cs="宋体"/>
      <w:kern w:val="0"/>
      <w:sz w:val="24"/>
      <w:lang w:bidi="ar-SA"/>
    </w:rPr>
  </w:style>
  <w:style w:type="paragraph" w:customStyle="1" w:styleId="264">
    <w:name w:val="标准小四"/>
    <w:basedOn w:val="1"/>
    <w:autoRedefine/>
    <w:qFormat/>
    <w:uiPriority w:val="0"/>
    <w:pPr>
      <w:spacing w:line="360" w:lineRule="auto"/>
      <w:ind w:firstLine="200" w:firstLineChars="200"/>
    </w:pPr>
    <w:rPr>
      <w:rFonts w:ascii="Arial" w:hAnsi="Arial" w:eastAsia="宋体" w:cs="Times New Roman"/>
      <w:sz w:val="24"/>
      <w:szCs w:val="21"/>
    </w:rPr>
  </w:style>
  <w:style w:type="paragraph" w:customStyle="1" w:styleId="265">
    <w:name w:val="Figure and Table Title"/>
    <w:basedOn w:val="1"/>
    <w:autoRedefine/>
    <w:qFormat/>
    <w:uiPriority w:val="0"/>
    <w:pPr>
      <w:widowControl/>
      <w:ind w:left="2160"/>
      <w:jc w:val="left"/>
    </w:pPr>
    <w:rPr>
      <w:rFonts w:ascii="Helvetica-Light" w:hAnsi="Helvetica-Light" w:eastAsia="宋体" w:cs="Times New Roman"/>
      <w:b/>
      <w:bCs/>
      <w:kern w:val="0"/>
      <w:sz w:val="20"/>
      <w:szCs w:val="22"/>
      <w:lang w:eastAsia="en-US"/>
    </w:rPr>
  </w:style>
  <w:style w:type="paragraph" w:customStyle="1" w:styleId="266">
    <w:name w:val="Char1 Char Char Char"/>
    <w:basedOn w:val="1"/>
    <w:autoRedefine/>
    <w:qFormat/>
    <w:uiPriority w:val="0"/>
    <w:rPr>
      <w:rFonts w:ascii="Times New Roman" w:hAnsi="Times New Roman" w:eastAsia="宋体" w:cs="Times New Roman"/>
      <w:szCs w:val="20"/>
    </w:rPr>
  </w:style>
  <w:style w:type="paragraph" w:customStyle="1" w:styleId="267">
    <w:name w:val="正文_15"/>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68">
    <w:name w:val="缩进正文"/>
    <w:basedOn w:val="1"/>
    <w:autoRedefine/>
    <w:qFormat/>
    <w:uiPriority w:val="0"/>
    <w:pPr>
      <w:widowControl/>
      <w:adjustRightInd w:val="0"/>
      <w:spacing w:after="200" w:line="400" w:lineRule="exact"/>
      <w:ind w:left="1418" w:firstLine="425"/>
      <w:jc w:val="left"/>
      <w:textAlignment w:val="baseline"/>
    </w:pPr>
    <w:rPr>
      <w:rFonts w:ascii="宋体" w:hAnsi="Times New Roman" w:eastAsia="宋体" w:cs="Times New Roman"/>
      <w:kern w:val="0"/>
      <w:sz w:val="24"/>
      <w:szCs w:val="20"/>
    </w:rPr>
  </w:style>
  <w:style w:type="paragraph" w:customStyle="1" w:styleId="269">
    <w:name w:val="正文_1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0">
    <w:name w:val=" Char Char Char Char Char Char Char Char Char Char"/>
    <w:basedOn w:val="1"/>
    <w:autoRedefine/>
    <w:qFormat/>
    <w:uiPriority w:val="0"/>
    <w:rPr>
      <w:rFonts w:ascii="Tahoma" w:hAnsi="Tahoma" w:eastAsia="宋体" w:cs="Times New Roman"/>
      <w:sz w:val="24"/>
      <w:szCs w:val="20"/>
    </w:rPr>
  </w:style>
  <w:style w:type="paragraph" w:customStyle="1" w:styleId="271">
    <w:name w:val="正文_6_0_0_0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72">
    <w:name w:val="表格标题"/>
    <w:basedOn w:val="1"/>
    <w:autoRedefine/>
    <w:qFormat/>
    <w:uiPriority w:val="0"/>
    <w:pPr>
      <w:jc w:val="center"/>
    </w:pPr>
    <w:rPr>
      <w:rFonts w:ascii="Times New Roman" w:hAnsi="Times New Roman" w:eastAsia="宋体" w:cs="Times New Roman"/>
      <w:b/>
    </w:rPr>
  </w:style>
  <w:style w:type="paragraph" w:customStyle="1" w:styleId="273">
    <w:name w:val="Table Text/Title"/>
    <w:basedOn w:val="1"/>
    <w:autoRedefine/>
    <w:qFormat/>
    <w:uiPriority w:val="0"/>
    <w:pPr>
      <w:widowControl/>
      <w:jc w:val="left"/>
    </w:pPr>
    <w:rPr>
      <w:rFonts w:ascii="宋体" w:hAnsi="Times New Roman" w:eastAsia="宋体" w:cs="Times New Roman"/>
      <w:b/>
      <w:bCs/>
      <w:kern w:val="0"/>
      <w:sz w:val="20"/>
      <w:szCs w:val="20"/>
      <w:lang w:eastAsia="en-US"/>
    </w:rPr>
  </w:style>
  <w:style w:type="paragraph" w:customStyle="1" w:styleId="274">
    <w:name w:val="默认段落字体 Para Char Char Char Char Char"/>
    <w:basedOn w:val="1"/>
    <w:autoRedefine/>
    <w:qFormat/>
    <w:uiPriority w:val="0"/>
    <w:pPr>
      <w:spacing w:before="100" w:beforeAutospacing="1" w:after="100" w:afterAutospacing="1" w:line="360" w:lineRule="auto"/>
      <w:ind w:firstLine="200" w:firstLineChars="200"/>
      <w:jc w:val="left"/>
    </w:pPr>
    <w:rPr>
      <w:rFonts w:ascii="Arial" w:hAnsi="Arial" w:eastAsia="宋体" w:cs="Times New Roman"/>
      <w:kern w:val="0"/>
      <w:sz w:val="24"/>
      <w:szCs w:val="22"/>
      <w:lang w:eastAsia="en-US"/>
    </w:rPr>
  </w:style>
  <w:style w:type="paragraph" w:customStyle="1" w:styleId="275">
    <w:name w:val="ibm-list-next"/>
    <w:basedOn w:val="1"/>
    <w:autoRedefine/>
    <w:qFormat/>
    <w:uiPriority w:val="0"/>
    <w:pPr>
      <w:widowControl/>
      <w:spacing w:before="100" w:beforeAutospacing="1" w:after="100" w:afterAutospacing="1"/>
      <w:jc w:val="left"/>
    </w:pPr>
    <w:rPr>
      <w:rFonts w:ascii="宋体" w:hAnsi="Times New Roman" w:eastAsia="宋体" w:cs="宋体"/>
      <w:kern w:val="0"/>
      <w:sz w:val="24"/>
      <w:lang w:bidi="ar-SA"/>
    </w:rPr>
  </w:style>
  <w:style w:type="paragraph" w:customStyle="1" w:styleId="276">
    <w:name w:val="正文_5"/>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77">
    <w:name w:val="Normal_3"/>
    <w:autoRedefine/>
    <w:qFormat/>
    <w:uiPriority w:val="0"/>
    <w:rPr>
      <w:rFonts w:ascii="黑体" w:hAnsi="黑体" w:eastAsia="黑体" w:cs="Times New Roman"/>
      <w:b/>
      <w:sz w:val="32"/>
      <w:szCs w:val="24"/>
      <w:lang w:bidi="ar-SA"/>
    </w:rPr>
  </w:style>
  <w:style w:type="paragraph" w:customStyle="1" w:styleId="278">
    <w:name w:val="序号"/>
    <w:next w:val="1"/>
    <w:autoRedefine/>
    <w:qFormat/>
    <w:uiPriority w:val="0"/>
    <w:pPr>
      <w:adjustRightInd w:val="0"/>
      <w:snapToGrid w:val="0"/>
      <w:jc w:val="center"/>
      <w:textAlignment w:val="center"/>
    </w:pPr>
    <w:rPr>
      <w:rFonts w:ascii="Times New Roman" w:hAnsi="Times New Roman" w:eastAsia="仿宋_GB2312" w:cs="Times New Roman"/>
      <w:bCs/>
      <w:kern w:val="44"/>
      <w:sz w:val="21"/>
      <w:szCs w:val="44"/>
      <w:lang w:val="en-US" w:eastAsia="zh-CN" w:bidi="ar-SA"/>
    </w:rPr>
  </w:style>
  <w:style w:type="paragraph" w:customStyle="1" w:styleId="279">
    <w:name w:val="说明书2级标题"/>
    <w:basedOn w:val="1"/>
    <w:next w:val="229"/>
    <w:autoRedefine/>
    <w:qFormat/>
    <w:uiPriority w:val="0"/>
    <w:pPr>
      <w:numPr>
        <w:ilvl w:val="2"/>
        <w:numId w:val="2"/>
      </w:numPr>
      <w:spacing w:before="100" w:beforeLines="100"/>
    </w:pPr>
    <w:rPr>
      <w:rFonts w:ascii="Calibri" w:hAnsi="Calibri" w:eastAsia="黑体" w:cs="Times New Roman"/>
      <w:sz w:val="28"/>
      <w:szCs w:val="28"/>
    </w:rPr>
  </w:style>
  <w:style w:type="paragraph" w:customStyle="1" w:styleId="280">
    <w:name w:val="编号2"/>
    <w:autoRedefine/>
    <w:qFormat/>
    <w:uiPriority w:val="0"/>
    <w:pPr>
      <w:tabs>
        <w:tab w:val="left" w:pos="-40"/>
      </w:tabs>
      <w:spacing w:before="120" w:after="120" w:line="360" w:lineRule="auto"/>
      <w:ind w:left="720" w:hanging="360"/>
    </w:pPr>
    <w:rPr>
      <w:rFonts w:ascii="仿宋_GB2312" w:hAnsi="Times New Roman" w:eastAsia="仿宋_GB2312" w:cs="Times New Roman"/>
      <w:color w:val="FF0000"/>
      <w:kern w:val="2"/>
      <w:sz w:val="24"/>
      <w:szCs w:val="24"/>
      <w:lang w:val="en-US" w:eastAsia="zh-CN" w:bidi="ar-SA"/>
    </w:rPr>
  </w:style>
  <w:style w:type="paragraph" w:customStyle="1" w:styleId="281">
    <w:name w:val="正文_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2">
    <w:name w:val="Normal_7"/>
    <w:autoRedefine/>
    <w:qFormat/>
    <w:uiPriority w:val="0"/>
    <w:rPr>
      <w:rFonts w:ascii="黑体" w:hAnsi="黑体" w:eastAsia="黑体" w:cs="Times New Roman"/>
      <w:b/>
      <w:sz w:val="32"/>
      <w:szCs w:val="24"/>
      <w:lang w:bidi="ar-SA"/>
    </w:rPr>
  </w:style>
  <w:style w:type="paragraph" w:customStyle="1" w:styleId="283">
    <w:name w:val="前言、引言标题"/>
    <w:next w:val="1"/>
    <w:autoRedefine/>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284">
    <w:name w:val="Normal_4"/>
    <w:autoRedefine/>
    <w:qFormat/>
    <w:uiPriority w:val="0"/>
    <w:rPr>
      <w:rFonts w:ascii="黑体" w:hAnsi="黑体" w:eastAsia="黑体" w:cs="Times New Roman"/>
      <w:b/>
      <w:sz w:val="32"/>
      <w:szCs w:val="24"/>
      <w:lang w:bidi="ar-SA"/>
    </w:rPr>
  </w:style>
  <w:style w:type="paragraph" w:customStyle="1" w:styleId="285">
    <w:name w:val="txt"/>
    <w:basedOn w:val="1"/>
    <w:autoRedefine/>
    <w:qFormat/>
    <w:uiPriority w:val="0"/>
    <w:pPr>
      <w:widowControl/>
      <w:spacing w:before="100" w:beforeAutospacing="1" w:after="100" w:afterAutospacing="1"/>
      <w:jc w:val="left"/>
    </w:pPr>
    <w:rPr>
      <w:rFonts w:ascii="宋体" w:hAnsi="Times New Roman" w:eastAsia="宋体" w:cs="宋体"/>
      <w:kern w:val="0"/>
      <w:sz w:val="24"/>
      <w:lang w:bidi="ar-SA"/>
    </w:rPr>
  </w:style>
  <w:style w:type="paragraph" w:customStyle="1" w:styleId="286">
    <w:name w:val="Char Char Char Char1"/>
    <w:basedOn w:val="1"/>
    <w:autoRedefine/>
    <w:qFormat/>
    <w:uiPriority w:val="0"/>
    <w:pPr>
      <w:spacing w:line="360" w:lineRule="auto"/>
      <w:ind w:firstLine="200" w:firstLineChars="200"/>
    </w:pPr>
    <w:rPr>
      <w:rFonts w:ascii="Times New Roman" w:hAnsi="Times New Roman" w:eastAsia="宋体" w:cs="Times New Roman"/>
      <w:kern w:val="0"/>
      <w:sz w:val="24"/>
      <w:szCs w:val="20"/>
    </w:rPr>
  </w:style>
  <w:style w:type="paragraph" w:customStyle="1" w:styleId="287">
    <w:name w:val="pbody"/>
    <w:basedOn w:val="1"/>
    <w:autoRedefine/>
    <w:qFormat/>
    <w:uiPriority w:val="0"/>
    <w:pPr>
      <w:widowControl/>
      <w:spacing w:before="100" w:beforeAutospacing="1" w:after="100" w:afterAutospacing="1" w:line="360" w:lineRule="auto"/>
      <w:jc w:val="left"/>
    </w:pPr>
    <w:rPr>
      <w:rFonts w:ascii="宋体" w:hAnsi="Times New Roman" w:eastAsia="宋体" w:cs="宋体"/>
      <w:kern w:val="0"/>
      <w:sz w:val="24"/>
      <w:lang w:bidi="ar-SA"/>
    </w:rPr>
  </w:style>
  <w:style w:type="paragraph" w:customStyle="1" w:styleId="288">
    <w:name w:val="正文_6_0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89">
    <w:name w:val="默认段落字体 Para Char Char Char Char Char Char Char Char Char1"/>
    <w:basedOn w:val="1"/>
    <w:autoRedefine/>
    <w:qFormat/>
    <w:uiPriority w:val="0"/>
    <w:rPr>
      <w:rFonts w:ascii="Tahoma" w:hAnsi="Tahoma" w:eastAsia="宋体" w:cs="Times New Roman"/>
      <w:sz w:val="24"/>
      <w:szCs w:val="20"/>
    </w:rPr>
  </w:style>
  <w:style w:type="paragraph" w:customStyle="1" w:styleId="290">
    <w:name w:val="font7"/>
    <w:basedOn w:val="1"/>
    <w:autoRedefine/>
    <w:qFormat/>
    <w:uiPriority w:val="0"/>
    <w:pPr>
      <w:widowControl/>
      <w:spacing w:before="100" w:beforeAutospacing="1" w:after="100" w:afterAutospacing="1"/>
      <w:jc w:val="left"/>
    </w:pPr>
    <w:rPr>
      <w:rFonts w:ascii="宋体" w:hAnsi="Times New Roman" w:eastAsia="宋体" w:cs="Times New Roman"/>
      <w:kern w:val="0"/>
      <w:sz w:val="20"/>
      <w:szCs w:val="20"/>
    </w:rPr>
  </w:style>
  <w:style w:type="paragraph" w:customStyle="1" w:styleId="291">
    <w:name w:val="正文（首行缩进）"/>
    <w:basedOn w:val="1"/>
    <w:autoRedefine/>
    <w:qFormat/>
    <w:uiPriority w:val="0"/>
    <w:pPr>
      <w:widowControl/>
      <w:spacing w:before="120" w:line="360" w:lineRule="auto"/>
      <w:ind w:firstLine="482"/>
    </w:pPr>
    <w:rPr>
      <w:rFonts w:ascii="Calibri" w:hAnsi="Calibri" w:eastAsia="宋体" w:cs="Times New Roman"/>
      <w:sz w:val="24"/>
      <w:szCs w:val="20"/>
    </w:rPr>
  </w:style>
  <w:style w:type="paragraph" w:customStyle="1" w:styleId="292">
    <w:name w:val="正文_8"/>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3">
    <w:name w:val="Indent Normal"/>
    <w:basedOn w:val="1"/>
    <w:autoRedefine/>
    <w:qFormat/>
    <w:uiPriority w:val="0"/>
    <w:pPr>
      <w:ind w:firstLine="150" w:firstLineChars="150"/>
    </w:pPr>
    <w:rPr>
      <w:rFonts w:ascii="Times New Roman" w:hAnsi="Times New Roman" w:eastAsia="宋体" w:cs="Times New Roman"/>
      <w:sz w:val="24"/>
      <w:szCs w:val="20"/>
    </w:rPr>
  </w:style>
  <w:style w:type="paragraph" w:customStyle="1" w:styleId="294">
    <w:name w:val="样式 正文2 + 首行缩进:  0 厘米 段后: 1.5 行"/>
    <w:basedOn w:val="1"/>
    <w:autoRedefine/>
    <w:qFormat/>
    <w:uiPriority w:val="0"/>
    <w:pPr>
      <w:widowControl/>
      <w:tabs>
        <w:tab w:val="left" w:pos="987"/>
      </w:tabs>
      <w:spacing w:line="360" w:lineRule="auto"/>
      <w:ind w:left="985" w:hanging="567"/>
      <w:jc w:val="left"/>
    </w:pPr>
    <w:rPr>
      <w:rFonts w:ascii="Calibri" w:hAnsi="Calibri" w:eastAsia="楷体_GB2312" w:cs="Times New Roman"/>
      <w:kern w:val="0"/>
      <w:sz w:val="24"/>
      <w:szCs w:val="20"/>
      <w:lang w:eastAsia="en-US"/>
    </w:rPr>
  </w:style>
  <w:style w:type="paragraph" w:customStyle="1" w:styleId="295">
    <w:name w:val="正文（黑体）"/>
    <w:basedOn w:val="1"/>
    <w:next w:val="1"/>
    <w:autoRedefine/>
    <w:qFormat/>
    <w:uiPriority w:val="0"/>
    <w:pPr>
      <w:spacing w:before="50" w:beforeLines="50" w:after="50" w:afterLines="50" w:line="360" w:lineRule="auto"/>
      <w:ind w:firstLine="200" w:firstLineChars="200"/>
    </w:pPr>
    <w:rPr>
      <w:rFonts w:ascii="黑体" w:hAnsi="Times New Roman" w:eastAsia="黑体" w:cs="Times New Roman"/>
      <w:color w:val="000080"/>
      <w:sz w:val="24"/>
    </w:rPr>
  </w:style>
  <w:style w:type="paragraph" w:customStyle="1" w:styleId="296">
    <w:name w:val="Char11"/>
    <w:basedOn w:val="1"/>
    <w:autoRedefine/>
    <w:qFormat/>
    <w:uiPriority w:val="0"/>
    <w:rPr>
      <w:rFonts w:ascii="Times New Roman" w:hAnsi="Times New Roman" w:eastAsia="宋体" w:cs="Times New Roman"/>
      <w:szCs w:val="21"/>
    </w:rPr>
  </w:style>
  <w:style w:type="paragraph" w:customStyle="1" w:styleId="297">
    <w:name w:val="CM17"/>
    <w:basedOn w:val="1"/>
    <w:next w:val="1"/>
    <w:autoRedefine/>
    <w:qFormat/>
    <w:uiPriority w:val="0"/>
    <w:pPr>
      <w:autoSpaceDE w:val="0"/>
      <w:autoSpaceDN w:val="0"/>
      <w:adjustRightInd w:val="0"/>
      <w:spacing w:after="273" w:line="360" w:lineRule="auto"/>
      <w:jc w:val="left"/>
    </w:pPr>
    <w:rPr>
      <w:rFonts w:ascii="宋体" w:hAnsi="Times New Roman" w:eastAsia="宋体" w:cs="Times New Roman"/>
      <w:kern w:val="0"/>
      <w:sz w:val="24"/>
    </w:rPr>
  </w:style>
  <w:style w:type="paragraph" w:customStyle="1" w:styleId="298">
    <w:name w:val="附图标题"/>
    <w:basedOn w:val="17"/>
    <w:next w:val="16"/>
    <w:autoRedefine/>
    <w:qFormat/>
    <w:uiPriority w:val="0"/>
    <w:pPr>
      <w:tabs>
        <w:tab w:val="left" w:pos="780"/>
        <w:tab w:val="clear" w:pos="0"/>
      </w:tabs>
      <w:spacing w:after="100" w:afterLines="100"/>
      <w:ind w:left="780" w:hanging="480"/>
      <w:jc w:val="center"/>
    </w:pPr>
    <w:rPr>
      <w:rFonts w:ascii="Times New Roman" w:hAnsi="Times New Roman" w:eastAsia="宋体" w:cs="Times New Roman"/>
      <w:b/>
      <w:sz w:val="21"/>
    </w:rPr>
  </w:style>
  <w:style w:type="paragraph" w:customStyle="1" w:styleId="299">
    <w:name w:val="p0"/>
    <w:basedOn w:val="1"/>
    <w:autoRedefine/>
    <w:qFormat/>
    <w:uiPriority w:val="0"/>
    <w:pPr>
      <w:widowControl/>
    </w:pPr>
    <w:rPr>
      <w:rFonts w:ascii="Times New Roman" w:hAnsi="Times New Roman" w:eastAsia="宋体" w:cs="Times New Roman"/>
      <w:kern w:val="0"/>
      <w:szCs w:val="21"/>
    </w:rPr>
  </w:style>
  <w:style w:type="paragraph" w:customStyle="1" w:styleId="300">
    <w:name w:val="默认段落字体 Para Char Char Char Char Char Char Char Char Char1 Char Char Char Char Char Char Char Char"/>
    <w:basedOn w:val="20"/>
    <w:autoRedefine/>
    <w:qFormat/>
    <w:uiPriority w:val="0"/>
    <w:rPr>
      <w:rFonts w:ascii="Calibri" w:hAnsi="Calibri" w:eastAsia="宋体" w:cs="Times New Roman"/>
      <w:szCs w:val="22"/>
    </w:rPr>
  </w:style>
  <w:style w:type="paragraph" w:customStyle="1" w:styleId="301">
    <w:name w:val="Normal_6"/>
    <w:autoRedefine/>
    <w:qFormat/>
    <w:uiPriority w:val="0"/>
    <w:rPr>
      <w:rFonts w:ascii="黑体" w:hAnsi="黑体" w:eastAsia="黑体" w:cs="Times New Roman"/>
      <w:b/>
      <w:sz w:val="32"/>
      <w:szCs w:val="24"/>
      <w:lang w:bidi="ar-SA"/>
    </w:rPr>
  </w:style>
  <w:style w:type="paragraph" w:customStyle="1" w:styleId="302">
    <w:name w:val=" Char Char Char"/>
    <w:basedOn w:val="1"/>
    <w:autoRedefine/>
    <w:qFormat/>
    <w:uiPriority w:val="0"/>
    <w:rPr>
      <w:rFonts w:ascii="Calibri" w:hAnsi="Calibri" w:eastAsia="宋体" w:cs="Times New Roman"/>
      <w:szCs w:val="21"/>
    </w:rPr>
  </w:style>
  <w:style w:type="paragraph" w:customStyle="1" w:styleId="303">
    <w:name w:val="无标题正文 Char Char Char Char Char Char Char Char Char Char Char Char Char Char Char Char Char Char Char Char Char Char Char Char Char Char Char1 Char"/>
    <w:basedOn w:val="1"/>
    <w:autoRedefine/>
    <w:qFormat/>
    <w:uiPriority w:val="0"/>
    <w:pPr>
      <w:widowControl/>
      <w:spacing w:after="160" w:line="240" w:lineRule="exact"/>
      <w:jc w:val="center"/>
    </w:pPr>
    <w:rPr>
      <w:rFonts w:ascii="Arial" w:hAnsi="Arial" w:eastAsia="宋体" w:cs="Times New Roman"/>
      <w:kern w:val="0"/>
      <w:sz w:val="20"/>
      <w:szCs w:val="20"/>
      <w:lang w:eastAsia="en-US"/>
    </w:rPr>
  </w:style>
  <w:style w:type="paragraph" w:customStyle="1" w:styleId="304">
    <w:name w:val="xl3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Times New Roman" w:hAnsi="Times New Roman" w:eastAsia="宋体" w:cs="Times New Roman"/>
      <w:kern w:val="0"/>
      <w:sz w:val="20"/>
      <w:szCs w:val="20"/>
    </w:rPr>
  </w:style>
  <w:style w:type="paragraph" w:customStyle="1" w:styleId="305">
    <w:name w:val="表文1"/>
    <w:basedOn w:val="1"/>
    <w:autoRedefine/>
    <w:qFormat/>
    <w:uiPriority w:val="0"/>
    <w:pPr>
      <w:widowControl/>
      <w:spacing w:line="360" w:lineRule="auto"/>
      <w:ind w:firstLine="196" w:firstLineChars="196"/>
    </w:pPr>
    <w:rPr>
      <w:rFonts w:ascii="宋体" w:hAnsi="Times New Roman" w:eastAsia="宋体" w:cs="Times New Roman"/>
      <w:sz w:val="24"/>
    </w:rPr>
  </w:style>
  <w:style w:type="paragraph" w:customStyle="1" w:styleId="306">
    <w:name w:val="普通正文"/>
    <w:basedOn w:val="1"/>
    <w:autoRedefine/>
    <w:qFormat/>
    <w:uiPriority w:val="0"/>
    <w:pPr>
      <w:adjustRightInd w:val="0"/>
      <w:ind w:firstLine="425"/>
      <w:jc w:val="left"/>
      <w:textAlignment w:val="baseline"/>
    </w:pPr>
    <w:rPr>
      <w:rFonts w:ascii="宋体" w:hAnsi="Times New Roman" w:eastAsia="宋体" w:cs="Times New Roman"/>
      <w:kern w:val="0"/>
      <w:sz w:val="20"/>
      <w:szCs w:val="20"/>
    </w:rPr>
  </w:style>
  <w:style w:type="paragraph" w:customStyle="1" w:styleId="307">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Times New Roman" w:hAnsi="Times New Roman" w:eastAsia="宋体" w:cs="Times New Roman"/>
      <w:kern w:val="0"/>
      <w:sz w:val="20"/>
      <w:szCs w:val="20"/>
    </w:rPr>
  </w:style>
  <w:style w:type="paragraph" w:customStyle="1" w:styleId="308">
    <w:name w:val="表头"/>
    <w:basedOn w:val="227"/>
    <w:autoRedefine/>
    <w:qFormat/>
    <w:uiPriority w:val="0"/>
    <w:pPr>
      <w:spacing w:line="240" w:lineRule="auto"/>
      <w:ind w:left="0" w:firstLine="0"/>
    </w:pPr>
    <w:rPr>
      <w:rFonts w:ascii="Times New Roman" w:hAnsi="Times New Roman" w:eastAsia="宋体" w:cs="Times New Roman"/>
      <w:sz w:val="20"/>
    </w:rPr>
  </w:style>
  <w:style w:type="paragraph" w:customStyle="1" w:styleId="309">
    <w:name w:val="样式1"/>
    <w:basedOn w:val="15"/>
    <w:next w:val="1"/>
    <w:autoRedefine/>
    <w:qFormat/>
    <w:uiPriority w:val="0"/>
    <w:pPr>
      <w:numPr>
        <w:ilvl w:val="0"/>
        <w:numId w:val="0"/>
      </w:numPr>
    </w:pPr>
    <w:rPr>
      <w:rFonts w:ascii="Arial" w:hAnsi="Arial" w:eastAsia="幼圆" w:cs="Arial"/>
      <w:sz w:val="24"/>
      <w:szCs w:val="20"/>
      <w:lang w:bidi="ar-SA"/>
    </w:rPr>
  </w:style>
  <w:style w:type="paragraph" w:customStyle="1" w:styleId="310">
    <w:name w:val="样式6"/>
    <w:basedOn w:val="309"/>
    <w:autoRedefine/>
    <w:qFormat/>
    <w:uiPriority w:val="0"/>
    <w:pPr>
      <w:keepNext/>
      <w:keepLines/>
      <w:widowControl w:val="0"/>
      <w:tabs>
        <w:tab w:val="clear" w:pos="840"/>
      </w:tabs>
      <w:spacing w:before="260" w:after="260" w:line="415" w:lineRule="auto"/>
      <w:outlineLvl w:val="1"/>
    </w:pPr>
    <w:rPr>
      <w:rFonts w:ascii="Times New Roman" w:hAnsi="Times New Roman" w:eastAsia="宋体" w:cs="Times New Roman"/>
      <w:b/>
      <w:bCs/>
      <w:sz w:val="32"/>
      <w:szCs w:val="32"/>
      <w:lang w:bidi="ar-SA"/>
    </w:rPr>
  </w:style>
  <w:style w:type="paragraph" w:customStyle="1" w:styleId="311">
    <w:name w:val="pa-9"/>
    <w:basedOn w:val="1"/>
    <w:autoRedefine/>
    <w:qFormat/>
    <w:uiPriority w:val="0"/>
    <w:pPr>
      <w:widowControl/>
      <w:spacing w:line="360" w:lineRule="atLeast"/>
      <w:jc w:val="center"/>
    </w:pPr>
    <w:rPr>
      <w:rFonts w:ascii="宋体" w:hAnsi="Times New Roman" w:eastAsia="宋体" w:cs="宋体"/>
      <w:kern w:val="0"/>
      <w:sz w:val="24"/>
      <w:lang w:bidi="ar-SA"/>
    </w:rPr>
  </w:style>
  <w:style w:type="paragraph" w:customStyle="1" w:styleId="312">
    <w:name w:val="样式5"/>
    <w:basedOn w:val="5"/>
    <w:autoRedefine/>
    <w:qFormat/>
    <w:uiPriority w:val="0"/>
    <w:pPr>
      <w:autoSpaceDE/>
      <w:autoSpaceDN/>
      <w:adjustRightInd/>
      <w:snapToGrid/>
      <w:spacing w:line="415" w:lineRule="auto"/>
    </w:pPr>
    <w:rPr>
      <w:rFonts w:ascii="Calibri" w:hAnsi="Calibri" w:eastAsia="宋体" w:cs="Times New Roman"/>
      <w:bCs/>
      <w:color w:val="auto"/>
      <w:sz w:val="28"/>
      <w:szCs w:val="28"/>
    </w:rPr>
  </w:style>
  <w:style w:type="paragraph" w:customStyle="1" w:styleId="313">
    <w:name w:val="Normal_0_0"/>
    <w:autoRedefine/>
    <w:qFormat/>
    <w:uiPriority w:val="0"/>
    <w:rPr>
      <w:rFonts w:ascii="黑体" w:hAnsi="黑体" w:eastAsia="黑体" w:cs="Times New Roman"/>
      <w:b/>
      <w:sz w:val="40"/>
      <w:szCs w:val="24"/>
      <w:lang w:bidi="ar-SA"/>
    </w:rPr>
  </w:style>
  <w:style w:type="paragraph" w:customStyle="1" w:styleId="314">
    <w:name w:val="Normal_10"/>
    <w:autoRedefine/>
    <w:qFormat/>
    <w:uiPriority w:val="0"/>
    <w:rPr>
      <w:rFonts w:ascii="黑体" w:hAnsi="黑体" w:eastAsia="黑体" w:cs="Times New Roman"/>
      <w:b/>
      <w:sz w:val="32"/>
      <w:szCs w:val="24"/>
      <w:lang w:bidi="ar-SA"/>
    </w:rPr>
  </w:style>
  <w:style w:type="paragraph" w:customStyle="1" w:styleId="315">
    <w:name w:val="首页标题"/>
    <w:autoRedefine/>
    <w:qFormat/>
    <w:uiPriority w:val="0"/>
    <w:pPr>
      <w:adjustRightInd w:val="0"/>
      <w:snapToGrid w:val="0"/>
      <w:jc w:val="center"/>
    </w:pPr>
    <w:rPr>
      <w:rFonts w:ascii="宋体" w:hAnsi="Times New Roman" w:eastAsia="宋体" w:cs="宋体"/>
      <w:kern w:val="2"/>
      <w:sz w:val="72"/>
      <w:szCs w:val="72"/>
      <w:lang w:val="en-US" w:eastAsia="zh-CN" w:bidi="ar-SA"/>
    </w:rPr>
  </w:style>
  <w:style w:type="paragraph" w:customStyle="1" w:styleId="316">
    <w:name w:val="首页标题 一号"/>
    <w:basedOn w:val="223"/>
    <w:autoRedefine/>
    <w:qFormat/>
    <w:uiPriority w:val="0"/>
    <w:rPr>
      <w:rFonts w:ascii="Times New Roman" w:hAnsi="Times New Roman" w:eastAsia="宋体" w:cs="Times New Roman"/>
      <w:sz w:val="52"/>
    </w:rPr>
  </w:style>
  <w:style w:type="paragraph" w:customStyle="1" w:styleId="317">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宋体" w:cs="Times New Roman"/>
      <w:kern w:val="0"/>
      <w:sz w:val="20"/>
      <w:szCs w:val="20"/>
    </w:rPr>
  </w:style>
  <w:style w:type="paragraph" w:customStyle="1" w:styleId="318">
    <w:name w:val="正文_1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9">
    <w:name w:val="技术方案3"/>
    <w:basedOn w:val="1"/>
    <w:autoRedefine/>
    <w:qFormat/>
    <w:uiPriority w:val="0"/>
    <w:pPr>
      <w:spacing w:line="360" w:lineRule="auto"/>
    </w:pPr>
    <w:rPr>
      <w:rFonts w:ascii="宋体" w:hAnsi="Times New Roman" w:eastAsia="宋体" w:cs="Times New Roman"/>
      <w:b/>
      <w:bCs/>
      <w:sz w:val="32"/>
      <w:szCs w:val="22"/>
    </w:rPr>
  </w:style>
  <w:style w:type="paragraph" w:customStyle="1" w:styleId="320">
    <w:name w:val="_Style 319"/>
    <w:basedOn w:val="3"/>
    <w:next w:val="1"/>
    <w:autoRedefine/>
    <w:qFormat/>
    <w:uiPriority w:val="0"/>
    <w:pPr>
      <w:widowControl/>
      <w:spacing w:before="480" w:after="0" w:line="276" w:lineRule="auto"/>
      <w:outlineLvl w:val="9"/>
    </w:pPr>
    <w:rPr>
      <w:rFonts w:ascii="Cambria" w:hAnsi="Cambria" w:eastAsia="宋体" w:cs="Times New Roman"/>
      <w:color w:val="365F91"/>
      <w:kern w:val="0"/>
      <w:sz w:val="28"/>
    </w:rPr>
  </w:style>
  <w:style w:type="paragraph" w:customStyle="1" w:styleId="321">
    <w:name w:val="正文（首行缩进两字）"/>
    <w:basedOn w:val="1"/>
    <w:autoRedefine/>
    <w:qFormat/>
    <w:uiPriority w:val="0"/>
    <w:pPr>
      <w:spacing w:line="312" w:lineRule="auto"/>
    </w:pPr>
    <w:rPr>
      <w:rFonts w:ascii="宋体" w:hAnsi="Times New Roman" w:eastAsia="宋体" w:cs="宋体"/>
      <w:sz w:val="24"/>
      <w:szCs w:val="22"/>
      <w:lang w:bidi="ar-SA"/>
    </w:rPr>
  </w:style>
  <w:style w:type="paragraph" w:customStyle="1" w:styleId="322">
    <w:name w:val="正文_13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3">
    <w:name w:val="新段落缩进"/>
    <w:basedOn w:val="1"/>
    <w:autoRedefine/>
    <w:qFormat/>
    <w:uiPriority w:val="0"/>
    <w:pPr>
      <w:spacing w:line="400" w:lineRule="exact"/>
      <w:ind w:firstLine="200" w:firstLineChars="200"/>
    </w:pPr>
    <w:rPr>
      <w:rFonts w:ascii="仿宋_GB2312" w:hAnsi="Times New Roman" w:eastAsia="仿宋_GB2312" w:cs="Times New Roman"/>
      <w:kern w:val="0"/>
      <w:sz w:val="24"/>
    </w:rPr>
  </w:style>
  <w:style w:type="paragraph" w:customStyle="1" w:styleId="324">
    <w:name w:val="_Style 323"/>
    <w:autoRedefine/>
    <w:qFormat/>
    <w:uiPriority w:val="0"/>
    <w:rPr>
      <w:rFonts w:ascii="Times New Roman" w:hAnsi="Times New Roman" w:eastAsia="宋体" w:cs="Times New Roman"/>
      <w:kern w:val="2"/>
      <w:sz w:val="21"/>
      <w:szCs w:val="24"/>
      <w:lang w:val="en-US" w:eastAsia="zh-CN" w:bidi="ar-SA"/>
    </w:rPr>
  </w:style>
  <w:style w:type="paragraph" w:customStyle="1" w:styleId="325">
    <w:name w:val="正文文字缩进 3"/>
    <w:basedOn w:val="1"/>
    <w:autoRedefine/>
    <w:qFormat/>
    <w:uiPriority w:val="0"/>
    <w:pPr>
      <w:spacing w:line="312" w:lineRule="auto"/>
      <w:ind w:left="420" w:firstLine="420"/>
    </w:pPr>
    <w:rPr>
      <w:rFonts w:ascii="黑体" w:hAnsi="黑体" w:eastAsia="宋体" w:cs="宋体"/>
      <w:bCs/>
      <w:color w:val="000000"/>
      <w:kern w:val="0"/>
      <w:sz w:val="24"/>
      <w:szCs w:val="22"/>
      <w:lang w:bidi="ar-SA"/>
    </w:rPr>
  </w:style>
  <w:style w:type="paragraph" w:customStyle="1" w:styleId="326">
    <w:name w:val="正文_1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7">
    <w:name w:val="pa-8"/>
    <w:basedOn w:val="1"/>
    <w:autoRedefine/>
    <w:qFormat/>
    <w:uiPriority w:val="0"/>
    <w:pPr>
      <w:widowControl/>
      <w:spacing w:line="280" w:lineRule="atLeast"/>
      <w:ind w:firstLine="480"/>
    </w:pPr>
    <w:rPr>
      <w:rFonts w:ascii="宋体" w:hAnsi="Times New Roman" w:eastAsia="宋体" w:cs="宋体"/>
      <w:kern w:val="0"/>
      <w:sz w:val="24"/>
      <w:lang w:bidi="ar-SA"/>
    </w:rPr>
  </w:style>
  <w:style w:type="paragraph" w:customStyle="1" w:styleId="328">
    <w:name w:val="Char Char Char Char Char Char Char"/>
    <w:basedOn w:val="1"/>
    <w:autoRedefine/>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329">
    <w:name w:val="技术方案正文样式"/>
    <w:basedOn w:val="1"/>
    <w:autoRedefine/>
    <w:qFormat/>
    <w:uiPriority w:val="0"/>
    <w:pPr>
      <w:autoSpaceDE w:val="0"/>
      <w:autoSpaceDN w:val="0"/>
      <w:adjustRightInd w:val="0"/>
      <w:spacing w:line="400" w:lineRule="exact"/>
      <w:ind w:firstLine="200" w:firstLineChars="200"/>
    </w:pPr>
    <w:rPr>
      <w:rFonts w:ascii="宋体" w:hAnsi="Times New Roman" w:eastAsia="宋体" w:cs="宋体"/>
      <w:sz w:val="24"/>
      <w:szCs w:val="21"/>
      <w:lang w:bidi="ar-SA"/>
    </w:rPr>
  </w:style>
  <w:style w:type="paragraph" w:customStyle="1" w:styleId="330">
    <w:name w:val="编号"/>
    <w:basedOn w:val="1"/>
    <w:next w:val="211"/>
    <w:autoRedefine/>
    <w:qFormat/>
    <w:uiPriority w:val="0"/>
    <w:pPr>
      <w:widowControl/>
      <w:tabs>
        <w:tab w:val="left" w:pos="420"/>
      </w:tabs>
      <w:ind w:left="420" w:right="-136" w:rightChars="-136" w:hanging="420"/>
    </w:pPr>
    <w:rPr>
      <w:rFonts w:ascii="仿宋_GB2312" w:hAnsi="Times New Roman" w:eastAsia="仿宋_GB2312" w:cs="Times New Roman"/>
      <w:b/>
      <w:bCs/>
      <w:kern w:val="0"/>
      <w:sz w:val="24"/>
      <w:szCs w:val="21"/>
    </w:rPr>
  </w:style>
  <w:style w:type="paragraph" w:customStyle="1" w:styleId="331">
    <w:name w:val="标题2"/>
    <w:basedOn w:val="1"/>
    <w:autoRedefine/>
    <w:qFormat/>
    <w:uiPriority w:val="0"/>
    <w:pPr>
      <w:tabs>
        <w:tab w:val="left" w:pos="0"/>
      </w:tabs>
    </w:pPr>
    <w:rPr>
      <w:rFonts w:ascii="黑体" w:hAnsi="Times New Roman" w:eastAsia="黑体" w:cs="Times New Roman"/>
      <w:sz w:val="24"/>
      <w:szCs w:val="22"/>
    </w:rPr>
  </w:style>
  <w:style w:type="paragraph" w:customStyle="1" w:styleId="332">
    <w:name w:val="xl34"/>
    <w:basedOn w:val="1"/>
    <w:autoRedefine/>
    <w:qFormat/>
    <w:uiPriority w:val="0"/>
    <w:pPr>
      <w:widowControl/>
      <w:spacing w:before="100" w:beforeAutospacing="1" w:after="100" w:afterAutospacing="1"/>
      <w:jc w:val="center"/>
    </w:pPr>
    <w:rPr>
      <w:rFonts w:ascii="Arial Unicode MS" w:hAnsi="Arial Unicode MS" w:eastAsia="Arial Unicode MS" w:cs="Times New Roman"/>
      <w:kern w:val="0"/>
      <w:sz w:val="24"/>
    </w:rPr>
  </w:style>
  <w:style w:type="paragraph" w:customStyle="1" w:styleId="333">
    <w:name w:val="ul"/>
    <w:basedOn w:val="1"/>
    <w:autoRedefine/>
    <w:qFormat/>
    <w:uiPriority w:val="0"/>
    <w:pPr>
      <w:widowControl/>
      <w:numPr>
        <w:ilvl w:val="0"/>
        <w:numId w:val="3"/>
      </w:numPr>
      <w:tabs>
        <w:tab w:val="left" w:pos="842"/>
        <w:tab w:val="clear" w:pos="930"/>
      </w:tabs>
      <w:spacing w:line="360" w:lineRule="auto"/>
      <w:ind w:left="567" w:hanging="85"/>
      <w:jc w:val="left"/>
    </w:pPr>
    <w:rPr>
      <w:rFonts w:ascii="Calibri" w:hAnsi="Calibri" w:eastAsia="宋体" w:cs="Times New Roman"/>
      <w:kern w:val="0"/>
      <w:sz w:val="24"/>
      <w:szCs w:val="22"/>
    </w:rPr>
  </w:style>
  <w:style w:type="paragraph" w:customStyle="1" w:styleId="334">
    <w:name w:val="List Paragraph1"/>
    <w:basedOn w:val="1"/>
    <w:autoRedefine/>
    <w:qFormat/>
    <w:uiPriority w:val="0"/>
    <w:pPr>
      <w:ind w:firstLine="200" w:firstLineChars="200"/>
    </w:pPr>
    <w:rPr>
      <w:rFonts w:ascii="Calibri" w:hAnsi="Calibri" w:eastAsia="宋体" w:cs="Times New Roman"/>
      <w:szCs w:val="22"/>
    </w:rPr>
  </w:style>
  <w:style w:type="paragraph" w:customStyle="1" w:styleId="335">
    <w:name w:val="Normal_18"/>
    <w:autoRedefine/>
    <w:qFormat/>
    <w:uiPriority w:val="0"/>
    <w:rPr>
      <w:rFonts w:ascii="黑体" w:hAnsi="黑体" w:eastAsia="黑体" w:cs="Times New Roman"/>
      <w:b/>
      <w:sz w:val="32"/>
      <w:szCs w:val="24"/>
      <w:lang w:bidi="ar-SA"/>
    </w:rPr>
  </w:style>
  <w:style w:type="paragraph" w:customStyle="1" w:styleId="336">
    <w:name w:val="font8"/>
    <w:basedOn w:val="1"/>
    <w:autoRedefine/>
    <w:qFormat/>
    <w:uiPriority w:val="0"/>
    <w:pPr>
      <w:widowControl/>
      <w:spacing w:before="100" w:beforeAutospacing="1" w:after="100" w:afterAutospacing="1"/>
      <w:jc w:val="left"/>
    </w:pPr>
    <w:rPr>
      <w:rFonts w:ascii="Arial" w:hAnsi="Arial" w:eastAsia="宋体" w:cs="Arial"/>
      <w:color w:val="000000"/>
      <w:kern w:val="0"/>
      <w:sz w:val="18"/>
      <w:szCs w:val="18"/>
      <w:lang w:bidi="ar-SA"/>
    </w:rPr>
  </w:style>
  <w:style w:type="paragraph" w:customStyle="1" w:styleId="337">
    <w:name w:val="xl31"/>
    <w:basedOn w:val="1"/>
    <w:autoRedefine/>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textAlignment w:val="top"/>
    </w:pPr>
    <w:rPr>
      <w:rFonts w:ascii="Arial Unicode MS" w:hAnsi="Arial Unicode MS" w:eastAsia="宋体" w:cs="Times New Roman"/>
      <w:color w:val="000000"/>
      <w:kern w:val="0"/>
      <w:sz w:val="18"/>
      <w:szCs w:val="18"/>
    </w:rPr>
  </w:style>
  <w:style w:type="paragraph" w:customStyle="1" w:styleId="338">
    <w:name w:val="正文_1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9">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宋体" w:cs="Times New Roman"/>
      <w:kern w:val="0"/>
      <w:sz w:val="20"/>
      <w:szCs w:val="20"/>
    </w:rPr>
  </w:style>
  <w:style w:type="paragraph" w:customStyle="1" w:styleId="340">
    <w:name w:val="font6"/>
    <w:basedOn w:val="1"/>
    <w:autoRedefine/>
    <w:qFormat/>
    <w:uiPriority w:val="0"/>
    <w:pPr>
      <w:widowControl/>
      <w:spacing w:before="100" w:beforeAutospacing="1" w:after="100" w:afterAutospacing="1"/>
      <w:jc w:val="left"/>
    </w:pPr>
    <w:rPr>
      <w:rFonts w:ascii="Times New Roman" w:hAnsi="Times New Roman" w:eastAsia="宋体" w:cs="Times New Roman"/>
      <w:kern w:val="0"/>
      <w:sz w:val="20"/>
      <w:szCs w:val="20"/>
    </w:rPr>
  </w:style>
  <w:style w:type="paragraph" w:customStyle="1" w:styleId="341">
    <w:name w:val="样式 正文首行缩进 + 宋体 首行缩进:  0.74 厘米"/>
    <w:basedOn w:val="61"/>
    <w:autoRedefine/>
    <w:qFormat/>
    <w:uiPriority w:val="0"/>
    <w:pPr>
      <w:autoSpaceDE w:val="0"/>
      <w:autoSpaceDN w:val="0"/>
      <w:adjustRightInd w:val="0"/>
      <w:spacing w:before="120" w:after="0" w:line="380" w:lineRule="exact"/>
      <w:ind w:firstLine="210" w:firstLineChars="0"/>
    </w:pPr>
    <w:rPr>
      <w:rFonts w:ascii="宋体" w:hAnsi="Times New Roman" w:eastAsia="宋体" w:cs="宋体"/>
      <w:kern w:val="0"/>
      <w:sz w:val="24"/>
      <w:szCs w:val="20"/>
      <w:lang w:bidi="ar-SA"/>
    </w:rPr>
  </w:style>
  <w:style w:type="paragraph" w:customStyle="1" w:styleId="342">
    <w:name w:val="英文音标"/>
    <w:autoRedefine/>
    <w:qFormat/>
    <w:uiPriority w:val="0"/>
    <w:rPr>
      <w:rFonts w:ascii="Kingsoft Phonetic Plain" w:hAnsi="Kingsoft Phonetic Plain" w:eastAsia="Kingsoft Phonetic Plain" w:cs="Times New Roman"/>
      <w:kern w:val="2"/>
      <w:sz w:val="24"/>
      <w:szCs w:val="24"/>
      <w:lang w:val="en-US" w:eastAsia="zh-CN" w:bidi="ar-SA"/>
    </w:rPr>
  </w:style>
  <w:style w:type="paragraph" w:customStyle="1" w:styleId="343">
    <w:name w:val="编号3"/>
    <w:autoRedefine/>
    <w:qFormat/>
    <w:uiPriority w:val="0"/>
    <w:pPr>
      <w:tabs>
        <w:tab w:val="left" w:pos="771"/>
      </w:tabs>
      <w:adjustRightInd w:val="0"/>
      <w:snapToGrid w:val="0"/>
      <w:spacing w:before="120" w:after="120" w:line="360" w:lineRule="auto"/>
      <w:ind w:left="1021" w:hanging="250"/>
      <w:jc w:val="both"/>
    </w:pPr>
    <w:rPr>
      <w:rFonts w:ascii="Times New Roman" w:hAnsi="Times New Roman" w:eastAsia="仿宋_GB2312" w:cs="Times New Roman"/>
      <w:kern w:val="2"/>
      <w:sz w:val="24"/>
      <w:szCs w:val="24"/>
      <w:lang w:val="en-US" w:eastAsia="zh-CN" w:bidi="ar-SA"/>
    </w:rPr>
  </w:style>
  <w:style w:type="paragraph" w:customStyle="1" w:styleId="344">
    <w:name w:val="Char Char1 Char Char Char Char Char Char"/>
    <w:basedOn w:val="1"/>
    <w:autoRedefine/>
    <w:qFormat/>
    <w:uiPriority w:val="0"/>
    <w:pPr>
      <w:widowControl/>
      <w:jc w:val="center"/>
    </w:pPr>
    <w:rPr>
      <w:rFonts w:ascii="Times New Roman" w:hAnsi="Times New Roman" w:eastAsia="宋体" w:cs="Times New Roman"/>
      <w:szCs w:val="20"/>
    </w:rPr>
  </w:style>
  <w:style w:type="paragraph" w:customStyle="1" w:styleId="345">
    <w:name w:val=" Char Char Char Char Char Char Char Char Char Char Char Char Char"/>
    <w:basedOn w:val="1"/>
    <w:autoRedefine/>
    <w:qFormat/>
    <w:uiPriority w:val="0"/>
    <w:pPr>
      <w:widowControl/>
      <w:spacing w:after="160" w:line="240" w:lineRule="exact"/>
      <w:jc w:val="left"/>
    </w:pPr>
    <w:rPr>
      <w:rFonts w:ascii="Arial" w:hAnsi="Arial" w:eastAsia="Times New Roman" w:cs="Verdana"/>
      <w:b/>
      <w:kern w:val="0"/>
      <w:sz w:val="24"/>
      <w:szCs w:val="32"/>
      <w:lang w:eastAsia="en-US" w:bidi="ar-SA"/>
    </w:rPr>
  </w:style>
  <w:style w:type="paragraph" w:customStyle="1" w:styleId="346">
    <w:name w:val="Normal_1_0"/>
    <w:autoRedefine/>
    <w:qFormat/>
    <w:uiPriority w:val="0"/>
    <w:rPr>
      <w:rFonts w:ascii="Times New Roman" w:hAnsi="Times New Roman" w:eastAsia="Times New Roman" w:cs="Times New Roman"/>
      <w:sz w:val="24"/>
      <w:szCs w:val="24"/>
      <w:lang w:bidi="ar-SA"/>
    </w:rPr>
  </w:style>
  <w:style w:type="paragraph" w:customStyle="1" w:styleId="347">
    <w:name w:val="Normal"/>
    <w:autoRedefine/>
    <w:qFormat/>
    <w:uiPriority w:val="0"/>
    <w:rPr>
      <w:rFonts w:ascii="Times New Roman" w:hAnsi="Times New Roman" w:eastAsia="Times New Roman" w:cs="Times New Roman"/>
      <w:sz w:val="24"/>
      <w:szCs w:val="24"/>
      <w:lang w:bidi="ar-SA"/>
    </w:rPr>
  </w:style>
  <w:style w:type="paragraph" w:customStyle="1" w:styleId="348">
    <w:name w:val="表格"/>
    <w:basedOn w:val="1"/>
    <w:autoRedefine/>
    <w:qFormat/>
    <w:uiPriority w:val="0"/>
    <w:pPr>
      <w:snapToGrid w:val="0"/>
      <w:ind w:firstLine="21" w:firstLineChars="21"/>
    </w:pPr>
    <w:rPr>
      <w:rFonts w:ascii="宋体" w:hAnsi="Times New Roman" w:eastAsia="宋体" w:cs="Times New Roman"/>
      <w:szCs w:val="20"/>
    </w:rPr>
  </w:style>
  <w:style w:type="paragraph" w:customStyle="1" w:styleId="349">
    <w:name w:val="正文_1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50">
    <w:name w:val="正文_6"/>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51">
    <w:name w:val="正文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52">
    <w:name w:val="Bullet"/>
    <w:basedOn w:val="1"/>
    <w:autoRedefine/>
    <w:qFormat/>
    <w:uiPriority w:val="0"/>
    <w:pPr>
      <w:widowControl/>
      <w:tabs>
        <w:tab w:val="left" w:pos="360"/>
        <w:tab w:val="left" w:pos="720"/>
      </w:tabs>
      <w:spacing w:before="120" w:after="60" w:line="387" w:lineRule="atLeast"/>
      <w:ind w:left="720" w:right="360" w:hanging="360"/>
    </w:pPr>
    <w:rPr>
      <w:rFonts w:ascii="Book Antiqua" w:hAnsi="Book Antiqua" w:eastAsia="宋体" w:cs="Times New Roman"/>
      <w:kern w:val="0"/>
      <w:sz w:val="24"/>
      <w:szCs w:val="20"/>
    </w:rPr>
  </w:style>
  <w:style w:type="paragraph" w:customStyle="1" w:styleId="353">
    <w:name w:val="正文_9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54">
    <w:name w:val="封面标准名称"/>
    <w:autoRedefine/>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355">
    <w:name w:val="正文_8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56">
    <w:name w:val="样式 标题 2 + Times New Roman 四号 非加粗 段前: 5 磅 段后: 0 磅 行距: 固定值 20..."/>
    <w:basedOn w:val="4"/>
    <w:autoRedefine/>
    <w:qFormat/>
    <w:uiPriority w:val="0"/>
    <w:pPr>
      <w:spacing w:before="100" w:after="0" w:line="400" w:lineRule="exact"/>
    </w:pPr>
    <w:rPr>
      <w:rFonts w:ascii="Times New Roman" w:hAnsi="Times New Roman" w:eastAsia="宋体" w:cs="宋体"/>
      <w:b w:val="0"/>
      <w:sz w:val="28"/>
      <w:szCs w:val="20"/>
    </w:rPr>
  </w:style>
  <w:style w:type="paragraph" w:customStyle="1" w:styleId="357">
    <w:name w:val="特点"/>
    <w:basedOn w:val="1"/>
    <w:next w:val="1"/>
    <w:autoRedefine/>
    <w:qFormat/>
    <w:uiPriority w:val="0"/>
    <w:pPr>
      <w:spacing w:line="360" w:lineRule="auto"/>
      <w:jc w:val="center"/>
    </w:pPr>
    <w:rPr>
      <w:rFonts w:ascii="Arial" w:hAnsi="Arial" w:eastAsia="宋体" w:cs="Times New Roman"/>
      <w:sz w:val="24"/>
      <w:szCs w:val="20"/>
    </w:rPr>
  </w:style>
  <w:style w:type="paragraph" w:customStyle="1" w:styleId="358">
    <w:name w:val="tabletext"/>
    <w:basedOn w:val="1"/>
    <w:autoRedefine/>
    <w:qFormat/>
    <w:uiPriority w:val="0"/>
    <w:pPr>
      <w:widowControl/>
      <w:spacing w:before="100" w:beforeAutospacing="1" w:after="100" w:afterAutospacing="1"/>
      <w:jc w:val="left"/>
    </w:pPr>
    <w:rPr>
      <w:rFonts w:ascii="宋体" w:hAnsi="Times New Roman" w:eastAsia="宋体" w:cs="Times New Roman"/>
      <w:kern w:val="0"/>
      <w:sz w:val="24"/>
      <w:szCs w:val="22"/>
    </w:rPr>
  </w:style>
  <w:style w:type="paragraph" w:customStyle="1" w:styleId="359">
    <w:name w:val="表内容"/>
    <w:basedOn w:val="227"/>
    <w:autoRedefine/>
    <w:qFormat/>
    <w:uiPriority w:val="0"/>
    <w:pPr>
      <w:spacing w:line="320" w:lineRule="exact"/>
      <w:ind w:left="0" w:firstLine="0"/>
    </w:pPr>
    <w:rPr>
      <w:rFonts w:ascii="Times New Roman" w:hAnsi="Times New Roman" w:eastAsia="宋体" w:cs="Times New Roman"/>
      <w:sz w:val="20"/>
    </w:rPr>
  </w:style>
  <w:style w:type="paragraph" w:customStyle="1" w:styleId="360">
    <w:name w:val="Char1"/>
    <w:basedOn w:val="1"/>
    <w:autoRedefine/>
    <w:qFormat/>
    <w:uiPriority w:val="0"/>
    <w:rPr>
      <w:rFonts w:ascii="Times New Roman" w:hAnsi="Times New Roman" w:eastAsia="宋体" w:cs="Times New Roman"/>
    </w:rPr>
  </w:style>
  <w:style w:type="paragraph" w:customStyle="1" w:styleId="361">
    <w:name w:val="编号1"/>
    <w:next w:val="211"/>
    <w:autoRedefine/>
    <w:qFormat/>
    <w:uiPriority w:val="0"/>
    <w:pPr>
      <w:tabs>
        <w:tab w:val="left" w:pos="420"/>
      </w:tabs>
      <w:spacing w:before="120" w:after="120" w:line="360" w:lineRule="auto"/>
      <w:ind w:left="720" w:hanging="360"/>
    </w:pPr>
    <w:rPr>
      <w:rFonts w:ascii="Times New Roman" w:hAnsi="Times New Roman" w:eastAsia="宋体" w:cs="Times New Roman"/>
      <w:kern w:val="2"/>
      <w:sz w:val="24"/>
      <w:szCs w:val="24"/>
      <w:lang w:val="en-US" w:eastAsia="zh-CN" w:bidi="ar-SA"/>
    </w:rPr>
  </w:style>
  <w:style w:type="paragraph" w:customStyle="1" w:styleId="362">
    <w:name w:val="首页单位日期"/>
    <w:basedOn w:val="1"/>
    <w:autoRedefine/>
    <w:qFormat/>
    <w:uiPriority w:val="0"/>
    <w:pPr>
      <w:widowControl/>
      <w:adjustRightInd w:val="0"/>
      <w:snapToGrid w:val="0"/>
      <w:jc w:val="center"/>
    </w:pPr>
    <w:rPr>
      <w:rFonts w:ascii="宋体" w:hAnsi="Times New Roman" w:eastAsia="宋体" w:cs="宋体"/>
      <w:bCs/>
      <w:kern w:val="0"/>
      <w:sz w:val="28"/>
      <w:szCs w:val="20"/>
      <w:lang w:bidi="ar-SA"/>
    </w:rPr>
  </w:style>
  <w:style w:type="paragraph" w:customStyle="1" w:styleId="363">
    <w:name w:val="Normal Paragraph"/>
    <w:basedOn w:val="1"/>
    <w:autoRedefine/>
    <w:qFormat/>
    <w:uiPriority w:val="0"/>
    <w:pPr>
      <w:widowControl/>
      <w:spacing w:before="120" w:line="360" w:lineRule="auto"/>
      <w:ind w:firstLine="425"/>
    </w:pPr>
    <w:rPr>
      <w:rFonts w:ascii="Calibri" w:hAnsi="Calibri" w:eastAsia="宋体" w:cs="Times New Roman"/>
      <w:kern w:val="0"/>
      <w:sz w:val="24"/>
      <w:szCs w:val="20"/>
    </w:rPr>
  </w:style>
  <w:style w:type="paragraph" w:customStyle="1" w:styleId="364">
    <w:name w:val="一级缩进"/>
    <w:autoRedefine/>
    <w:qFormat/>
    <w:uiPriority w:val="0"/>
    <w:pPr>
      <w:tabs>
        <w:tab w:val="left" w:pos="0"/>
        <w:tab w:val="left" w:pos="568"/>
      </w:tabs>
      <w:adjustRightInd w:val="0"/>
      <w:snapToGrid w:val="0"/>
      <w:spacing w:before="120" w:after="120" w:line="360" w:lineRule="auto"/>
      <w:jc w:val="both"/>
    </w:pPr>
    <w:rPr>
      <w:rFonts w:ascii="Times New Roman" w:hAnsi="Times New Roman" w:eastAsia="仿宋_GB2312" w:cs="Times New Roman"/>
      <w:kern w:val="2"/>
      <w:sz w:val="24"/>
      <w:szCs w:val="24"/>
      <w:lang w:val="en-US" w:eastAsia="zh-CN" w:bidi="ar-SA"/>
    </w:rPr>
  </w:style>
  <w:style w:type="paragraph" w:customStyle="1" w:styleId="365">
    <w:name w:val=" Char Char Char Char Char Char Char"/>
    <w:basedOn w:val="1"/>
    <w:autoRedefine/>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366">
    <w:name w:val="Char12"/>
    <w:basedOn w:val="1"/>
    <w:autoRedefine/>
    <w:qFormat/>
    <w:uiPriority w:val="0"/>
    <w:pPr>
      <w:tabs>
        <w:tab w:val="left" w:pos="360"/>
      </w:tabs>
      <w:spacing w:line="480" w:lineRule="auto"/>
      <w:ind w:left="360" w:right="202" w:firstLine="360"/>
    </w:pPr>
    <w:rPr>
      <w:rFonts w:ascii="Times New Roman" w:hAnsi="Times New Roman" w:eastAsia="宋体" w:cs="Times New Roman"/>
      <w:sz w:val="24"/>
    </w:rPr>
  </w:style>
  <w:style w:type="paragraph" w:customStyle="1" w:styleId="367">
    <w:name w:val="xl36"/>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宋体" w:cs="Times New Roman"/>
      <w:kern w:val="0"/>
      <w:sz w:val="20"/>
      <w:szCs w:val="20"/>
    </w:rPr>
  </w:style>
  <w:style w:type="paragraph" w:customStyle="1" w:styleId="368">
    <w:name w:val="È±Ê¡ÎÄ±¾"/>
    <w:basedOn w:val="1"/>
    <w:autoRedefine/>
    <w:qFormat/>
    <w:uiPriority w:val="0"/>
    <w:pPr>
      <w:widowControl/>
      <w:overflowPunct w:val="0"/>
      <w:autoSpaceDE w:val="0"/>
      <w:autoSpaceDN w:val="0"/>
      <w:adjustRightInd w:val="0"/>
      <w:spacing w:line="360" w:lineRule="auto"/>
      <w:jc w:val="left"/>
      <w:textAlignment w:val="baseline"/>
    </w:pPr>
    <w:rPr>
      <w:rFonts w:ascii="Times New Roman" w:hAnsi="Times New Roman" w:eastAsia="宋体" w:cs="Times New Roman"/>
      <w:kern w:val="0"/>
      <w:sz w:val="24"/>
      <w:szCs w:val="20"/>
    </w:rPr>
  </w:style>
  <w:style w:type="paragraph" w:customStyle="1" w:styleId="369">
    <w:name w:val="Char Char Char Char Char Char Char Char Char Char"/>
    <w:basedOn w:val="1"/>
    <w:autoRedefine/>
    <w:qFormat/>
    <w:uiPriority w:val="0"/>
    <w:rPr>
      <w:rFonts w:ascii="Tahoma" w:hAnsi="Tahoma" w:eastAsia="宋体" w:cs="Times New Roman"/>
      <w:sz w:val="24"/>
      <w:szCs w:val="20"/>
    </w:rPr>
  </w:style>
  <w:style w:type="paragraph" w:customStyle="1" w:styleId="370">
    <w:name w:val="a1"/>
    <w:basedOn w:val="1"/>
    <w:autoRedefine/>
    <w:qFormat/>
    <w:uiPriority w:val="0"/>
    <w:pPr>
      <w:widowControl/>
      <w:spacing w:before="100" w:beforeAutospacing="1" w:after="100" w:afterAutospacing="1"/>
      <w:jc w:val="left"/>
    </w:pPr>
    <w:rPr>
      <w:rFonts w:ascii="宋体" w:hAnsi="Times New Roman" w:eastAsia="宋体" w:cs="Times New Roman"/>
      <w:kern w:val="0"/>
      <w:sz w:val="24"/>
      <w:szCs w:val="22"/>
    </w:rPr>
  </w:style>
  <w:style w:type="paragraph" w:customStyle="1" w:styleId="371">
    <w:name w:val="保密事宜内容"/>
    <w:basedOn w:val="1"/>
    <w:autoRedefine/>
    <w:qFormat/>
    <w:uiPriority w:val="0"/>
    <w:pPr>
      <w:pBdr>
        <w:top w:val="single" w:color="auto" w:sz="4" w:space="1"/>
        <w:left w:val="single" w:color="auto" w:sz="4" w:space="4"/>
        <w:bottom w:val="single" w:color="auto" w:sz="4" w:space="1"/>
        <w:right w:val="single" w:color="auto" w:sz="4" w:space="4"/>
      </w:pBdr>
      <w:adjustRightInd w:val="0"/>
      <w:snapToGrid w:val="0"/>
      <w:spacing w:line="360" w:lineRule="auto"/>
      <w:ind w:firstLine="200" w:firstLineChars="200"/>
    </w:pPr>
    <w:rPr>
      <w:rFonts w:ascii="Tahoma" w:hAnsi="Tahoma" w:eastAsia="楷体_GB2312" w:cs="宋体"/>
      <w:bCs/>
      <w:kern w:val="0"/>
      <w:sz w:val="24"/>
      <w:szCs w:val="20"/>
      <w:lang w:bidi="ar-SA"/>
    </w:rPr>
  </w:style>
  <w:style w:type="paragraph" w:customStyle="1" w:styleId="372">
    <w:name w:val="正文_11_0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3">
    <w:name w:val="项目"/>
    <w:basedOn w:val="1"/>
    <w:autoRedefine/>
    <w:qFormat/>
    <w:uiPriority w:val="0"/>
    <w:pPr>
      <w:tabs>
        <w:tab w:val="left" w:pos="840"/>
      </w:tabs>
      <w:adjustRightInd w:val="0"/>
      <w:spacing w:before="60" w:after="60" w:line="360" w:lineRule="auto"/>
      <w:ind w:left="840" w:hanging="420"/>
      <w:textAlignment w:val="baseline"/>
    </w:pPr>
    <w:rPr>
      <w:rFonts w:ascii="宋体" w:hAnsi="Times New Roman" w:eastAsia="宋体" w:cs="Times New Roman"/>
      <w:kern w:val="0"/>
      <w:szCs w:val="20"/>
    </w:rPr>
  </w:style>
  <w:style w:type="paragraph" w:customStyle="1" w:styleId="374">
    <w:name w:val="Char Char Char Char Char Char Char1 Char"/>
    <w:basedOn w:val="1"/>
    <w:autoRedefine/>
    <w:qFormat/>
    <w:uiPriority w:val="0"/>
    <w:rPr>
      <w:rFonts w:ascii="Tahoma" w:hAnsi="Tahoma" w:eastAsia="宋体" w:cs="Times New Roman"/>
      <w:sz w:val="24"/>
      <w:szCs w:val="20"/>
    </w:rPr>
  </w:style>
  <w:style w:type="paragraph" w:customStyle="1" w:styleId="375">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宋体" w:cs="Times New Roman"/>
      <w:kern w:val="0"/>
      <w:sz w:val="20"/>
      <w:szCs w:val="20"/>
    </w:rPr>
  </w:style>
  <w:style w:type="paragraph" w:customStyle="1" w:styleId="376">
    <w:name w:val="Normal_16_0"/>
    <w:autoRedefine/>
    <w:qFormat/>
    <w:uiPriority w:val="0"/>
    <w:rPr>
      <w:rFonts w:ascii="黑体" w:hAnsi="黑体" w:eastAsia="黑体" w:cs="Times New Roman"/>
      <w:b/>
      <w:sz w:val="32"/>
      <w:szCs w:val="24"/>
      <w:lang w:bidi="ar-SA"/>
    </w:rPr>
  </w:style>
  <w:style w:type="paragraph" w:customStyle="1" w:styleId="377">
    <w:name w:val="Normal_17"/>
    <w:autoRedefine/>
    <w:qFormat/>
    <w:uiPriority w:val="0"/>
    <w:rPr>
      <w:rFonts w:ascii="黑体" w:hAnsi="黑体" w:eastAsia="黑体" w:cs="Times New Roman"/>
      <w:b/>
      <w:sz w:val="32"/>
      <w:szCs w:val="24"/>
      <w:lang w:bidi="ar-SA"/>
    </w:rPr>
  </w:style>
  <w:style w:type="paragraph" w:customStyle="1" w:styleId="378">
    <w:name w:val="正文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79">
    <w:name w:val="Normal Paragraph Char"/>
    <w:basedOn w:val="1"/>
    <w:autoRedefine/>
    <w:qFormat/>
    <w:uiPriority w:val="0"/>
    <w:pPr>
      <w:widowControl/>
      <w:spacing w:before="120" w:line="360" w:lineRule="auto"/>
      <w:ind w:firstLine="425"/>
    </w:pPr>
    <w:rPr>
      <w:rFonts w:ascii="Calibri" w:hAnsi="Calibri" w:eastAsia="宋体" w:cs="Times New Roman"/>
      <w:kern w:val="0"/>
      <w:sz w:val="24"/>
      <w:szCs w:val="22"/>
    </w:rPr>
  </w:style>
  <w:style w:type="paragraph" w:customStyle="1" w:styleId="380">
    <w:name w:val="列出段落[858D7CFB-ED40-4347-BF05-701D383B685F][858D7CFB-ED40-4347-BF05-701D383B685F]"/>
    <w:basedOn w:val="1"/>
    <w:autoRedefine/>
    <w:qFormat/>
    <w:uiPriority w:val="0"/>
    <w:pPr>
      <w:ind w:firstLine="200" w:firstLineChars="200"/>
    </w:pPr>
    <w:rPr>
      <w:rFonts w:ascii="Calibri" w:hAnsi="Calibri" w:eastAsia="宋体" w:cs="Times New Roman"/>
      <w:szCs w:val="22"/>
    </w:rPr>
  </w:style>
  <w:style w:type="paragraph" w:customStyle="1" w:styleId="381">
    <w:name w:val="Normal_13"/>
    <w:autoRedefine/>
    <w:qFormat/>
    <w:uiPriority w:val="0"/>
    <w:rPr>
      <w:rFonts w:ascii="黑体" w:hAnsi="黑体" w:eastAsia="黑体" w:cs="Times New Roman"/>
      <w:b/>
      <w:sz w:val="32"/>
      <w:szCs w:val="24"/>
      <w:lang w:bidi="ar-SA"/>
    </w:rPr>
  </w:style>
  <w:style w:type="paragraph" w:customStyle="1" w:styleId="382">
    <w:name w:val="style42"/>
    <w:basedOn w:val="1"/>
    <w:autoRedefine/>
    <w:qFormat/>
    <w:uiPriority w:val="0"/>
    <w:pPr>
      <w:widowControl/>
      <w:spacing w:before="100" w:beforeAutospacing="1" w:after="100" w:afterAutospacing="1"/>
      <w:jc w:val="left"/>
    </w:pPr>
    <w:rPr>
      <w:rFonts w:ascii="宋体" w:hAnsi="Times New Roman" w:eastAsia="宋体" w:cs="宋体"/>
      <w:color w:val="000000"/>
      <w:kern w:val="0"/>
      <w:sz w:val="15"/>
      <w:szCs w:val="15"/>
      <w:lang w:bidi="ar-SA"/>
    </w:rPr>
  </w:style>
  <w:style w:type="paragraph" w:customStyle="1" w:styleId="383">
    <w:name w:val="SFClearBullets"/>
    <w:autoRedefine/>
    <w:qFormat/>
    <w:uiPriority w:val="0"/>
    <w:pPr>
      <w:tabs>
        <w:tab w:val="left" w:pos="1440"/>
      </w:tabs>
      <w:ind w:left="1440" w:hanging="360"/>
    </w:pPr>
    <w:rPr>
      <w:rFonts w:ascii="Helvetica" w:hAnsi="Helvetica" w:eastAsia="宋体" w:cs="Times New Roman"/>
      <w:szCs w:val="24"/>
      <w:lang w:val="en-US" w:eastAsia="en-US" w:bidi="ar-SA"/>
    </w:rPr>
  </w:style>
  <w:style w:type="paragraph" w:customStyle="1" w:styleId="384">
    <w:name w:val="我的样式"/>
    <w:basedOn w:val="1"/>
    <w:autoRedefine/>
    <w:qFormat/>
    <w:uiPriority w:val="0"/>
    <w:pPr>
      <w:widowControl/>
      <w:spacing w:after="120"/>
      <w:ind w:firstLine="420"/>
      <w:jc w:val="left"/>
    </w:pPr>
    <w:rPr>
      <w:rFonts w:ascii="宋体" w:hAnsi="Times New Roman" w:eastAsia="宋体" w:cs="Times New Roman"/>
      <w:color w:val="000000"/>
      <w:kern w:val="0"/>
      <w:sz w:val="24"/>
      <w:szCs w:val="16"/>
    </w:rPr>
  </w:style>
  <w:style w:type="paragraph" w:customStyle="1" w:styleId="385">
    <w:name w:val="FA正文+标号"/>
    <w:basedOn w:val="1"/>
    <w:autoRedefine/>
    <w:qFormat/>
    <w:uiPriority w:val="0"/>
    <w:pPr>
      <w:tabs>
        <w:tab w:val="left" w:pos="907"/>
        <w:tab w:val="left" w:pos="3375"/>
      </w:tabs>
      <w:spacing w:line="400" w:lineRule="exact"/>
      <w:ind w:left="900" w:hanging="420"/>
    </w:pPr>
    <w:rPr>
      <w:rFonts w:ascii="仿宋_GB2312" w:hAnsi="Times New Roman" w:eastAsia="仿宋_GB2312" w:cs="Times New Roman"/>
      <w:sz w:val="24"/>
      <w:szCs w:val="20"/>
    </w:rPr>
  </w:style>
  <w:style w:type="paragraph" w:customStyle="1" w:styleId="386">
    <w:name w:val="附图居中"/>
    <w:basedOn w:val="1"/>
    <w:next w:val="298"/>
    <w:autoRedefine/>
    <w:qFormat/>
    <w:uiPriority w:val="0"/>
    <w:pPr>
      <w:keepNext/>
      <w:tabs>
        <w:tab w:val="left" w:pos="0"/>
      </w:tabs>
      <w:spacing w:line="360" w:lineRule="auto"/>
      <w:ind w:left="1271" w:hanging="420"/>
      <w:jc w:val="center"/>
    </w:pPr>
    <w:rPr>
      <w:rFonts w:ascii="Times New Roman" w:hAnsi="Times New Roman" w:eastAsia="宋体" w:cs="Times New Roman"/>
      <w:caps/>
      <w:sz w:val="24"/>
    </w:rPr>
  </w:style>
  <w:style w:type="paragraph" w:customStyle="1" w:styleId="387">
    <w:name w:val="正文 + 宋体"/>
    <w:basedOn w:val="1"/>
    <w:autoRedefine/>
    <w:qFormat/>
    <w:uiPriority w:val="0"/>
    <w:pPr>
      <w:ind w:firstLine="250" w:firstLineChars="250"/>
    </w:pPr>
    <w:rPr>
      <w:rFonts w:ascii="宋体" w:hAnsi="Times New Roman" w:eastAsia="宋体" w:cs="Times New Roman"/>
      <w:szCs w:val="21"/>
    </w:rPr>
  </w:style>
  <w:style w:type="paragraph" w:customStyle="1" w:styleId="388">
    <w:name w:val="Char Char Char Char Char Char Char Char Char Char1"/>
    <w:basedOn w:val="1"/>
    <w:autoRedefine/>
    <w:qFormat/>
    <w:uiPriority w:val="0"/>
    <w:rPr>
      <w:rFonts w:ascii="Tahoma" w:hAnsi="Tahoma" w:eastAsia="宋体" w:cs="Tahoma"/>
      <w:sz w:val="24"/>
      <w:lang w:bidi="ar-SA"/>
    </w:rPr>
  </w:style>
  <w:style w:type="paragraph" w:customStyle="1" w:styleId="389">
    <w:name w:val="Normal_5"/>
    <w:autoRedefine/>
    <w:qFormat/>
    <w:uiPriority w:val="0"/>
    <w:rPr>
      <w:rFonts w:ascii="黑体" w:hAnsi="黑体" w:eastAsia="黑体" w:cs="Times New Roman"/>
      <w:b/>
      <w:sz w:val="32"/>
      <w:szCs w:val="24"/>
      <w:lang w:bidi="ar-SA"/>
    </w:rPr>
  </w:style>
  <w:style w:type="paragraph" w:customStyle="1" w:styleId="390">
    <w:name w:val="Normal_14"/>
    <w:autoRedefine/>
    <w:qFormat/>
    <w:uiPriority w:val="0"/>
    <w:rPr>
      <w:rFonts w:ascii="黑体" w:hAnsi="黑体" w:eastAsia="黑体" w:cs="Times New Roman"/>
      <w:b/>
      <w:sz w:val="32"/>
      <w:szCs w:val="24"/>
      <w:lang w:bidi="ar-SA"/>
    </w:rPr>
  </w:style>
  <w:style w:type="paragraph" w:customStyle="1" w:styleId="391">
    <w:name w:val="正文_1_0_0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92">
    <w:name w:val="Normal_11"/>
    <w:autoRedefine/>
    <w:qFormat/>
    <w:uiPriority w:val="0"/>
    <w:rPr>
      <w:rFonts w:ascii="黑体" w:hAnsi="黑体" w:eastAsia="黑体" w:cs="Times New Roman"/>
      <w:b/>
      <w:sz w:val="32"/>
      <w:szCs w:val="24"/>
      <w:lang w:bidi="ar-SA"/>
    </w:rPr>
  </w:style>
  <w:style w:type="paragraph" w:customStyle="1" w:styleId="393">
    <w:name w:val="正文_7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4">
    <w:name w:val="Char Char Char Char Char Char Char Char Char Char2"/>
    <w:basedOn w:val="1"/>
    <w:autoRedefine/>
    <w:qFormat/>
    <w:uiPriority w:val="0"/>
    <w:rPr>
      <w:rFonts w:ascii="Tahoma" w:hAnsi="Tahoma" w:eastAsia="宋体" w:cs="Times New Roman"/>
      <w:sz w:val="24"/>
      <w:szCs w:val="20"/>
    </w:rPr>
  </w:style>
  <w:style w:type="paragraph" w:customStyle="1" w:styleId="395">
    <w:name w:val="正文小四"/>
    <w:basedOn w:val="1"/>
    <w:autoRedefine/>
    <w:qFormat/>
    <w:uiPriority w:val="0"/>
    <w:pPr>
      <w:spacing w:line="312" w:lineRule="auto"/>
    </w:pPr>
    <w:rPr>
      <w:rFonts w:ascii="Calibri" w:hAnsi="Calibri" w:eastAsia="宋体" w:cs="Times New Roman"/>
      <w:sz w:val="24"/>
      <w:szCs w:val="22"/>
    </w:rPr>
  </w:style>
  <w:style w:type="paragraph" w:customStyle="1" w:styleId="396">
    <w:name w:val="正文_11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7">
    <w:name w:val="正文段"/>
    <w:basedOn w:val="1"/>
    <w:autoRedefine/>
    <w:qFormat/>
    <w:uiPriority w:val="0"/>
    <w:pPr>
      <w:widowControl/>
      <w:snapToGrid w:val="0"/>
      <w:spacing w:after="240" w:line="240" w:lineRule="atLeast"/>
      <w:ind w:firstLine="425"/>
    </w:pPr>
    <w:rPr>
      <w:rFonts w:ascii="Times New Roman" w:hAnsi="Times New Roman" w:eastAsia="宋体" w:cs="Times New Roman"/>
      <w:kern w:val="0"/>
      <w:sz w:val="24"/>
      <w:szCs w:val="20"/>
    </w:rPr>
  </w:style>
  <w:style w:type="paragraph" w:customStyle="1" w:styleId="398">
    <w:name w:val="默认段落字体 Para Char"/>
    <w:basedOn w:val="1"/>
    <w:autoRedefine/>
    <w:qFormat/>
    <w:uiPriority w:val="0"/>
    <w:rPr>
      <w:rFonts w:ascii="宋体" w:hAnsi="Times New Roman" w:eastAsia="宋体" w:cs="Times New Roman"/>
      <w:b/>
      <w:sz w:val="28"/>
      <w:szCs w:val="28"/>
    </w:rPr>
  </w:style>
  <w:style w:type="paragraph" w:customStyle="1" w:styleId="399">
    <w:name w:val="xl39"/>
    <w:basedOn w:val="1"/>
    <w:autoRedefine/>
    <w:qFormat/>
    <w:uiPriority w:val="0"/>
    <w:pPr>
      <w:widowControl/>
      <w:pBdr>
        <w:top w:val="single" w:color="auto" w:sz="4" w:space="0"/>
        <w:right w:val="single" w:color="auto" w:sz="4" w:space="0"/>
      </w:pBdr>
      <w:spacing w:before="100" w:beforeAutospacing="1" w:after="100" w:afterAutospacing="1"/>
      <w:jc w:val="left"/>
      <w:textAlignment w:val="center"/>
    </w:pPr>
    <w:rPr>
      <w:rFonts w:ascii="Arial Unicode MS" w:hAnsi="Arial Unicode MS" w:eastAsia="宋体" w:cs="Times New Roman"/>
      <w:kern w:val="0"/>
      <w:sz w:val="20"/>
      <w:szCs w:val="20"/>
    </w:rPr>
  </w:style>
  <w:style w:type="paragraph" w:customStyle="1" w:styleId="400">
    <w:name w:val="保密事宜格式"/>
    <w:basedOn w:val="17"/>
    <w:autoRedefine/>
    <w:qFormat/>
    <w:uiPriority w:val="0"/>
    <w:pPr>
      <w:numPr>
        <w:ilvl w:val="0"/>
        <w:numId w:val="0"/>
      </w:numPr>
      <w:pBdr>
        <w:top w:val="single" w:color="auto" w:sz="4" w:space="1"/>
        <w:left w:val="single" w:color="auto" w:sz="4" w:space="4"/>
        <w:bottom w:val="single" w:color="auto" w:sz="4" w:space="1"/>
        <w:right w:val="single" w:color="auto" w:sz="4" w:space="4"/>
      </w:pBdr>
      <w:shd w:val="clear" w:color="auto" w:fill="E6E6E6"/>
      <w:spacing w:before="152" w:after="160"/>
    </w:pPr>
    <w:rPr>
      <w:rFonts w:ascii="Tahoma" w:hAnsi="Tahoma" w:eastAsia="楷体_GB2312" w:cs="宋体"/>
      <w:b/>
      <w:kern w:val="0"/>
      <w:sz w:val="32"/>
      <w:lang w:bidi="ar-SA"/>
    </w:rPr>
  </w:style>
  <w:style w:type="paragraph" w:customStyle="1" w:styleId="401">
    <w:name w:val="规范正文"/>
    <w:basedOn w:val="1"/>
    <w:autoRedefine/>
    <w:qFormat/>
    <w:uiPriority w:val="0"/>
    <w:pPr>
      <w:adjustRightInd w:val="0"/>
      <w:spacing w:line="360" w:lineRule="auto"/>
      <w:ind w:left="480"/>
      <w:textAlignment w:val="baseline"/>
    </w:pPr>
    <w:rPr>
      <w:rFonts w:ascii="Times New Roman" w:hAnsi="Times New Roman" w:eastAsia="宋体" w:cs="Times New Roman"/>
      <w:kern w:val="0"/>
      <w:sz w:val="24"/>
      <w:szCs w:val="20"/>
    </w:rPr>
  </w:style>
  <w:style w:type="paragraph" w:customStyle="1" w:styleId="402">
    <w:name w:val="xl3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center"/>
    </w:pPr>
    <w:rPr>
      <w:rFonts w:ascii="Arial Unicode MS" w:hAnsi="Arial Unicode MS" w:eastAsia="宋体" w:cs="Times New Roman"/>
      <w:kern w:val="0"/>
      <w:sz w:val="20"/>
      <w:szCs w:val="20"/>
    </w:rPr>
  </w:style>
  <w:style w:type="paragraph" w:customStyle="1" w:styleId="403">
    <w:name w:val="正文_10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4">
    <w:name w:val="Char Char Char"/>
    <w:basedOn w:val="1"/>
    <w:autoRedefine/>
    <w:qFormat/>
    <w:uiPriority w:val="0"/>
    <w:rPr>
      <w:rFonts w:ascii="Tahoma" w:hAnsi="Tahoma" w:eastAsia="宋体" w:cs="Times New Roman"/>
      <w:sz w:val="24"/>
      <w:szCs w:val="20"/>
    </w:rPr>
  </w:style>
  <w:style w:type="paragraph" w:customStyle="1" w:styleId="405">
    <w:name w:val="缺省文本"/>
    <w:basedOn w:val="1"/>
    <w:autoRedefine/>
    <w:qFormat/>
    <w:uiPriority w:val="0"/>
    <w:pPr>
      <w:autoSpaceDE w:val="0"/>
      <w:autoSpaceDN w:val="0"/>
      <w:adjustRightInd w:val="0"/>
      <w:jc w:val="left"/>
    </w:pPr>
    <w:rPr>
      <w:rFonts w:ascii="Times New Roman" w:hAnsi="Times New Roman" w:eastAsia="宋体" w:cs="Times New Roman"/>
      <w:kern w:val="0"/>
      <w:sz w:val="24"/>
      <w:szCs w:val="20"/>
    </w:rPr>
  </w:style>
  <w:style w:type="paragraph" w:customStyle="1" w:styleId="406">
    <w:name w:val="xl42"/>
    <w:basedOn w:val="1"/>
    <w:autoRedefine/>
    <w:qFormat/>
    <w:uiPriority w:val="0"/>
    <w:pPr>
      <w:widowControl/>
      <w:pBdr>
        <w:top w:val="single" w:color="auto" w:sz="4" w:space="0"/>
        <w:right w:val="single" w:color="auto" w:sz="4" w:space="0"/>
      </w:pBdr>
      <w:spacing w:before="100" w:beforeAutospacing="1" w:after="100" w:afterAutospacing="1"/>
      <w:jc w:val="left"/>
      <w:textAlignment w:val="center"/>
    </w:pPr>
    <w:rPr>
      <w:rFonts w:ascii="Arial Unicode MS" w:hAnsi="Arial Unicode MS" w:eastAsia="宋体" w:cs="Times New Roman"/>
      <w:kern w:val="0"/>
      <w:sz w:val="24"/>
    </w:rPr>
  </w:style>
  <w:style w:type="paragraph" w:customStyle="1" w:styleId="407">
    <w:name w:val="样式 正文缩进 + (中文) 仿宋_GB2312 小四 Char"/>
    <w:basedOn w:val="16"/>
    <w:autoRedefine/>
    <w:qFormat/>
    <w:uiPriority w:val="0"/>
    <w:pPr>
      <w:autoSpaceDE/>
      <w:autoSpaceDN/>
      <w:adjustRightInd/>
      <w:snapToGrid/>
      <w:spacing w:line="360" w:lineRule="auto"/>
      <w:ind w:firstLine="200" w:firstLineChars="200"/>
    </w:pPr>
    <w:rPr>
      <w:rFonts w:ascii="宋体" w:hAnsi="Times New Roman" w:eastAsia="宋体" w:cs="Times New Roman"/>
      <w:color w:val="auto"/>
      <w:szCs w:val="24"/>
    </w:rPr>
  </w:style>
  <w:style w:type="paragraph" w:customStyle="1" w:styleId="408">
    <w:name w:val="Normal_15"/>
    <w:autoRedefine/>
    <w:qFormat/>
    <w:uiPriority w:val="0"/>
    <w:rPr>
      <w:rFonts w:ascii="黑体" w:hAnsi="黑体" w:eastAsia="黑体" w:cs="Times New Roman"/>
      <w:b/>
      <w:sz w:val="32"/>
      <w:szCs w:val="24"/>
      <w:lang w:bidi="ar-SA"/>
    </w:rPr>
  </w:style>
  <w:style w:type="paragraph" w:customStyle="1" w:styleId="409">
    <w:name w:val="表格正文"/>
    <w:basedOn w:val="1"/>
    <w:autoRedefine/>
    <w:qFormat/>
    <w:uiPriority w:val="0"/>
    <w:pPr>
      <w:tabs>
        <w:tab w:val="left" w:pos="420"/>
      </w:tabs>
      <w:snapToGrid w:val="0"/>
      <w:spacing w:line="300" w:lineRule="auto"/>
    </w:pPr>
    <w:rPr>
      <w:rFonts w:ascii="Times New Roman" w:hAnsi="Times New Roman" w:eastAsia="宋体" w:cs="Times New Roman"/>
    </w:rPr>
  </w:style>
  <w:style w:type="paragraph" w:customStyle="1" w:styleId="410">
    <w:name w:val="xl40"/>
    <w:basedOn w:val="1"/>
    <w:autoRedefine/>
    <w:qFormat/>
    <w:uiPriority w:val="0"/>
    <w:pPr>
      <w:widowControl/>
      <w:pBdr>
        <w:right w:val="single" w:color="auto" w:sz="4" w:space="0"/>
      </w:pBdr>
      <w:spacing w:before="100" w:beforeAutospacing="1" w:after="100" w:afterAutospacing="1"/>
      <w:jc w:val="left"/>
      <w:textAlignment w:val="center"/>
    </w:pPr>
    <w:rPr>
      <w:rFonts w:ascii="Arial Unicode MS" w:hAnsi="Arial Unicode MS" w:eastAsia="宋体" w:cs="Times New Roman"/>
      <w:kern w:val="0"/>
      <w:sz w:val="24"/>
    </w:rPr>
  </w:style>
  <w:style w:type="paragraph" w:customStyle="1" w:styleId="411">
    <w:name w:val="font5"/>
    <w:basedOn w:val="1"/>
    <w:autoRedefine/>
    <w:qFormat/>
    <w:uiPriority w:val="0"/>
    <w:pPr>
      <w:widowControl/>
      <w:spacing w:before="100" w:beforeAutospacing="1" w:after="100" w:afterAutospacing="1"/>
      <w:jc w:val="left"/>
    </w:pPr>
    <w:rPr>
      <w:rFonts w:ascii="宋体" w:hAnsi="Times New Roman" w:eastAsia="宋体" w:cs="Times New Roman"/>
      <w:kern w:val="0"/>
      <w:sz w:val="18"/>
      <w:szCs w:val="18"/>
    </w:rPr>
  </w:style>
  <w:style w:type="paragraph" w:customStyle="1" w:styleId="412">
    <w:name w:val="样式 序号----------- + 仿宋_GB2312"/>
    <w:basedOn w:val="230"/>
    <w:autoRedefine/>
    <w:qFormat/>
    <w:uiPriority w:val="0"/>
    <w:pPr>
      <w:spacing w:line="360" w:lineRule="auto"/>
      <w:ind w:firstLine="200" w:firstLineChars="200"/>
    </w:pPr>
    <w:rPr>
      <w:rFonts w:ascii="仿宋_GB2312" w:hAnsi="Times New Roman" w:eastAsia="仿宋_GB2312" w:cs="Times New Roman"/>
      <w:bCs w:val="0"/>
    </w:rPr>
  </w:style>
  <w:style w:type="paragraph" w:customStyle="1" w:styleId="413">
    <w:name w:val="样式3"/>
    <w:basedOn w:val="5"/>
    <w:autoRedefine/>
    <w:qFormat/>
    <w:uiPriority w:val="0"/>
    <w:pPr>
      <w:autoSpaceDE/>
      <w:autoSpaceDN/>
      <w:adjustRightInd/>
      <w:snapToGrid/>
      <w:spacing w:line="415" w:lineRule="auto"/>
    </w:pPr>
    <w:rPr>
      <w:rFonts w:ascii="Calibri" w:hAnsi="Calibri" w:eastAsia="宋体" w:cs="Times New Roman"/>
      <w:bCs/>
      <w:color w:val="auto"/>
      <w:sz w:val="28"/>
      <w:szCs w:val="28"/>
    </w:rPr>
  </w:style>
  <w:style w:type="paragraph" w:customStyle="1" w:styleId="414">
    <w:name w:val="Normal_8"/>
    <w:autoRedefine/>
    <w:qFormat/>
    <w:uiPriority w:val="0"/>
    <w:rPr>
      <w:rFonts w:ascii="Times New Roman" w:hAnsi="Times New Roman" w:eastAsia="Times New Roman" w:cs="Times New Roman"/>
      <w:sz w:val="24"/>
      <w:szCs w:val="24"/>
      <w:lang w:bidi="ar-SA"/>
    </w:rPr>
  </w:style>
  <w:style w:type="paragraph" w:customStyle="1" w:styleId="415">
    <w:name w:val="样式2"/>
    <w:basedOn w:val="5"/>
    <w:autoRedefine/>
    <w:qFormat/>
    <w:uiPriority w:val="0"/>
    <w:pPr>
      <w:autoSpaceDE/>
      <w:autoSpaceDN/>
      <w:adjustRightInd/>
      <w:snapToGrid/>
      <w:spacing w:line="415" w:lineRule="auto"/>
    </w:pPr>
    <w:rPr>
      <w:rFonts w:ascii="Calibri" w:hAnsi="Calibri" w:eastAsia="宋体" w:cs="Times New Roman"/>
      <w:bCs/>
      <w:color w:val="auto"/>
      <w:sz w:val="28"/>
      <w:szCs w:val="28"/>
    </w:rPr>
  </w:style>
  <w:style w:type="paragraph" w:customStyle="1" w:styleId="416">
    <w:name w:val="表格样式居左"/>
    <w:autoRedefine/>
    <w:qFormat/>
    <w:uiPriority w:val="0"/>
    <w:pPr>
      <w:adjustRightInd w:val="0"/>
      <w:snapToGrid w:val="0"/>
      <w:spacing w:before="120" w:after="120" w:line="400" w:lineRule="exact"/>
      <w:jc w:val="both"/>
    </w:pPr>
    <w:rPr>
      <w:rFonts w:ascii="Times New Roman" w:hAnsi="Times New Roman" w:eastAsia="仿宋_GB2312" w:cs="Times New Roman"/>
      <w:bCs/>
      <w:sz w:val="21"/>
      <w:szCs w:val="21"/>
      <w:lang w:val="en-US" w:eastAsia="zh-CN" w:bidi="ar-SA"/>
    </w:rPr>
  </w:style>
  <w:style w:type="paragraph" w:customStyle="1" w:styleId="417">
    <w:name w:val="pa-4"/>
    <w:basedOn w:val="1"/>
    <w:autoRedefine/>
    <w:qFormat/>
    <w:uiPriority w:val="0"/>
    <w:pPr>
      <w:widowControl/>
      <w:spacing w:line="280" w:lineRule="atLeast"/>
      <w:jc w:val="center"/>
    </w:pPr>
    <w:rPr>
      <w:rFonts w:ascii="宋体" w:hAnsi="Times New Roman" w:eastAsia="宋体" w:cs="宋体"/>
      <w:kern w:val="0"/>
      <w:sz w:val="24"/>
      <w:lang w:bidi="ar-SA"/>
    </w:rPr>
  </w:style>
  <w:style w:type="paragraph" w:customStyle="1" w:styleId="418">
    <w:name w:val="图号"/>
    <w:basedOn w:val="1"/>
    <w:autoRedefine/>
    <w:qFormat/>
    <w:uiPriority w:val="0"/>
    <w:pPr>
      <w:keepNext/>
      <w:tabs>
        <w:tab w:val="left" w:pos="0"/>
        <w:tab w:val="left" w:pos="3360"/>
      </w:tabs>
      <w:autoSpaceDE w:val="0"/>
      <w:autoSpaceDN w:val="0"/>
      <w:adjustRightInd w:val="0"/>
      <w:spacing w:before="105" w:line="360" w:lineRule="auto"/>
      <w:jc w:val="center"/>
    </w:pPr>
    <w:rPr>
      <w:rFonts w:ascii="Arial" w:hAnsi="Arial" w:eastAsia="宋体" w:cs="Times New Roman"/>
      <w:kern w:val="0"/>
      <w:sz w:val="18"/>
      <w:szCs w:val="18"/>
    </w:rPr>
  </w:style>
  <w:style w:type="paragraph" w:customStyle="1" w:styleId="419">
    <w:name w:val="xl41"/>
    <w:basedOn w:val="1"/>
    <w:autoRedefine/>
    <w:qFormat/>
    <w:uiPriority w:val="0"/>
    <w:pPr>
      <w:widowControl/>
      <w:pBdr>
        <w:bottom w:val="single" w:color="auto" w:sz="4" w:space="0"/>
        <w:right w:val="single" w:color="auto" w:sz="4" w:space="0"/>
      </w:pBdr>
      <w:spacing w:before="100" w:beforeAutospacing="1" w:after="100" w:afterAutospacing="1"/>
      <w:jc w:val="left"/>
      <w:textAlignment w:val="center"/>
    </w:pPr>
    <w:rPr>
      <w:rFonts w:ascii="Arial Unicode MS" w:hAnsi="Arial Unicode MS" w:eastAsia="宋体" w:cs="Times New Roman"/>
      <w:kern w:val="0"/>
      <w:sz w:val="24"/>
    </w:rPr>
  </w:style>
  <w:style w:type="paragraph" w:customStyle="1" w:styleId="420">
    <w:name w:val="Sourcetext bullet"/>
    <w:basedOn w:val="1"/>
    <w:autoRedefine/>
    <w:qFormat/>
    <w:uiPriority w:val="0"/>
    <w:pPr>
      <w:widowControl/>
      <w:tabs>
        <w:tab w:val="left" w:pos="360"/>
      </w:tabs>
      <w:spacing w:after="120"/>
      <w:ind w:left="2160" w:hanging="360"/>
      <w:jc w:val="left"/>
    </w:pPr>
    <w:rPr>
      <w:rFonts w:ascii="Book Antiqua" w:hAnsi="Book Antiqua" w:eastAsia="宋体" w:cs="Times New Roman"/>
      <w:kern w:val="0"/>
      <w:sz w:val="20"/>
      <w:szCs w:val="20"/>
      <w:lang w:eastAsia="en-US"/>
    </w:rPr>
  </w:style>
  <w:style w:type="paragraph" w:customStyle="1" w:styleId="421">
    <w:name w:val="Default"/>
    <w:autoRedefine/>
    <w:qFormat/>
    <w:uiPriority w:val="0"/>
    <w:pPr>
      <w:widowControl w:val="0"/>
      <w:autoSpaceDE w:val="0"/>
      <w:autoSpaceDN w:val="0"/>
      <w:adjustRightInd w:val="0"/>
    </w:pPr>
    <w:rPr>
      <w:rFonts w:ascii="宋体" w:hAnsi="Times New Roman" w:eastAsia="宋体" w:cs="宋体"/>
      <w:color w:val="000000"/>
      <w:kern w:val="2"/>
      <w:sz w:val="24"/>
      <w:szCs w:val="24"/>
      <w:lang w:val="en-US" w:eastAsia="zh-CN" w:bidi="ar-SA"/>
    </w:rPr>
  </w:style>
  <w:style w:type="paragraph" w:customStyle="1" w:styleId="422">
    <w:name w:val="Char Char Char Char Char Char Char Char Char Char Char Char Char"/>
    <w:basedOn w:val="1"/>
    <w:autoRedefine/>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423">
    <w:name w:val="xl38"/>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宋体" w:cs="Times New Roman"/>
      <w:kern w:val="0"/>
      <w:sz w:val="20"/>
      <w:szCs w:val="20"/>
    </w:rPr>
  </w:style>
  <w:style w:type="paragraph" w:customStyle="1" w:styleId="424">
    <w:name w:val="表格文字"/>
    <w:basedOn w:val="1"/>
    <w:autoRedefine/>
    <w:qFormat/>
    <w:uiPriority w:val="0"/>
    <w:pPr>
      <w:jc w:val="left"/>
    </w:pPr>
    <w:rPr>
      <w:rFonts w:ascii="Times New Roman" w:hAnsi="Times New Roman" w:eastAsia="宋体" w:cs="Times New Roman"/>
      <w:sz w:val="18"/>
    </w:rPr>
  </w:style>
  <w:style w:type="paragraph" w:customStyle="1" w:styleId="425">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宋体" w:cs="Times New Roman"/>
      <w:kern w:val="0"/>
      <w:sz w:val="20"/>
      <w:szCs w:val="20"/>
    </w:rPr>
  </w:style>
  <w:style w:type="paragraph" w:customStyle="1" w:styleId="426">
    <w:name w:val="大汉方案正文 Char"/>
    <w:basedOn w:val="1"/>
    <w:autoRedefine/>
    <w:qFormat/>
    <w:uiPriority w:val="0"/>
    <w:pPr>
      <w:spacing w:line="360" w:lineRule="auto"/>
      <w:ind w:firstLine="200" w:firstLineChars="200"/>
    </w:pPr>
    <w:rPr>
      <w:rFonts w:ascii="Arial" w:hAnsi="Arial" w:eastAsia="宋体" w:cs="Times New Roman"/>
      <w:sz w:val="24"/>
      <w:szCs w:val="22"/>
    </w:rPr>
  </w:style>
  <w:style w:type="paragraph" w:customStyle="1" w:styleId="427">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宋体" w:cs="Times New Roman"/>
      <w:kern w:val="0"/>
      <w:sz w:val="20"/>
      <w:szCs w:val="20"/>
    </w:rPr>
  </w:style>
  <w:style w:type="paragraph" w:customStyle="1" w:styleId="428">
    <w:name w:val=" Char"/>
    <w:basedOn w:val="1"/>
    <w:autoRedefine/>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429">
    <w:name w:val="默认段落字体 Para Char Char Char Char Char Char Char Char Char Char Char Char Char Char"/>
    <w:basedOn w:val="20"/>
    <w:autoRedefine/>
    <w:qFormat/>
    <w:uiPriority w:val="0"/>
    <w:rPr>
      <w:rFonts w:ascii="Tahoma" w:hAnsi="Tahoma" w:eastAsia="宋体" w:cs="Times New Roman"/>
      <w:sz w:val="24"/>
    </w:rPr>
  </w:style>
  <w:style w:type="paragraph" w:customStyle="1" w:styleId="430">
    <w:name w:val="a0"/>
    <w:basedOn w:val="1"/>
    <w:autoRedefine/>
    <w:qFormat/>
    <w:uiPriority w:val="0"/>
    <w:pPr>
      <w:widowControl/>
      <w:spacing w:before="100" w:beforeAutospacing="1" w:after="100" w:afterAutospacing="1"/>
      <w:jc w:val="left"/>
    </w:pPr>
    <w:rPr>
      <w:rFonts w:ascii="宋体" w:hAnsi="Times New Roman" w:eastAsia="宋体" w:cs="Times New Roman"/>
      <w:kern w:val="0"/>
      <w:sz w:val="24"/>
      <w:szCs w:val="22"/>
    </w:rPr>
  </w:style>
  <w:style w:type="paragraph" w:customStyle="1" w:styleId="431">
    <w:name w:val="参考资料清单+倾斜+蓝色"/>
    <w:basedOn w:val="1"/>
    <w:autoRedefine/>
    <w:qFormat/>
    <w:uiPriority w:val="0"/>
    <w:pPr>
      <w:autoSpaceDE w:val="0"/>
      <w:autoSpaceDN w:val="0"/>
      <w:adjustRightInd w:val="0"/>
      <w:spacing w:line="360" w:lineRule="auto"/>
    </w:pPr>
    <w:rPr>
      <w:rFonts w:ascii="Arial" w:hAnsi="Arial" w:eastAsia="宋体" w:cs="Times New Roman"/>
      <w:i/>
      <w:iCs/>
      <w:color w:val="0000FF"/>
      <w:kern w:val="0"/>
      <w:szCs w:val="21"/>
    </w:rPr>
  </w:style>
  <w:style w:type="table" w:customStyle="1" w:styleId="432">
    <w:name w:val="网格型1"/>
    <w:basedOn w:val="63"/>
    <w:autoRedefine/>
    <w:qFormat/>
    <w:uiPriority w:val="0"/>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33">
    <w:name w:val="论文正文"/>
    <w:basedOn w:val="1"/>
    <w:autoRedefine/>
    <w:qFormat/>
    <w:uiPriority w:val="0"/>
    <w:pPr>
      <w:widowControl w:val="0"/>
      <w:ind w:firstLine="200" w:firstLineChars="200"/>
      <w:jc w:val="both"/>
    </w:pPr>
    <w:rPr>
      <w:rFonts w:ascii="Times New Roman" w:hAnsi="Times New Roman" w:eastAsia="宋体" w:cs="Times New Roman"/>
      <w:kern w:val="2"/>
      <w:sz w:val="21"/>
    </w:rPr>
  </w:style>
  <w:style w:type="character" w:customStyle="1" w:styleId="434">
    <w:name w:val="NormalCharacter"/>
    <w:autoRedefine/>
    <w:semiHidden/>
    <w:qFormat/>
    <w:uiPriority w:val="0"/>
  </w:style>
  <w:style w:type="paragraph" w:customStyle="1" w:styleId="435">
    <w:name w:val="TOC 标题1"/>
    <w:next w:val="1"/>
    <w:autoRedefine/>
    <w:unhideWhenUsed/>
    <w:qFormat/>
    <w:uiPriority w:val="39"/>
    <w:pPr>
      <w:keepLines/>
      <w:widowControl w:val="0"/>
      <w:numPr>
        <w:ilvl w:val="0"/>
        <w:numId w:val="4"/>
      </w:numPr>
      <w:spacing w:before="220" w:after="210"/>
      <w:jc w:val="center"/>
      <w:outlineLvl w:val="0"/>
    </w:pPr>
    <w:rPr>
      <w:rFonts w:ascii="Times New Roman" w:hAnsi="Times New Roman" w:eastAsia="宋体" w:cs="Times New Roman"/>
      <w:b/>
      <w:bCs/>
      <w:kern w:val="44"/>
      <w:sz w:val="36"/>
      <w:szCs w:val="44"/>
      <w:lang w:val="en-US" w:eastAsia="zh-CN" w:bidi="ar-SA"/>
    </w:rPr>
  </w:style>
  <w:style w:type="paragraph" w:customStyle="1" w:styleId="436">
    <w:name w:val="TOC 标题2"/>
    <w:basedOn w:val="3"/>
    <w:next w:val="1"/>
    <w:autoRedefine/>
    <w:unhideWhenUsed/>
    <w:qFormat/>
    <w:uiPriority w:val="39"/>
    <w:pPr>
      <w:keepLines/>
      <w:widowControl w:val="0"/>
      <w:numPr>
        <w:ilvl w:val="0"/>
        <w:numId w:val="0"/>
      </w:numPr>
      <w:tabs>
        <w:tab w:val="left" w:pos="0"/>
        <w:tab w:val="left" w:pos="360"/>
        <w:tab w:val="left" w:pos="420"/>
      </w:tabs>
      <w:spacing w:beforeLines="100" w:afterLines="100" w:line="240" w:lineRule="auto"/>
      <w:jc w:val="left"/>
      <w:outlineLvl w:val="1"/>
    </w:pPr>
    <w:rPr>
      <w:rFonts w:ascii="Calibri Light" w:hAnsi="Calibri Light" w:eastAsia="宋体"/>
      <w:kern w:val="0"/>
      <w:sz w:val="44"/>
      <w:szCs w:val="20"/>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 (Beijing) Limited</Company>
  <Pages>60</Pages>
  <Words>3944</Words>
  <Characters>22485</Characters>
  <Lines>187</Lines>
  <Paragraphs>52</Paragraphs>
  <TotalTime>1</TotalTime>
  <ScaleCrop>false</ScaleCrop>
  <LinksUpToDate>false</LinksUpToDate>
  <CharactersWithSpaces>26377</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2023-08-01T06:39:00Z</dcterms:created>
  <dc:creator>毛毛</dc:creator>
  <cp:lastModifiedBy>方头大狮子</cp:lastModifiedBy>
  <cp:lastPrinted>2021-03-08T08:06:00Z</cp:lastPrinted>
  <dcterms:modified xsi:type="dcterms:W3CDTF">2024-02-07T15:24:02Z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158A03E65F0D486895CBCF172BB5DCFE_13</vt:lpwstr>
  </property>
</Properties>
</file>