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5FFF8">
      <w:pPr>
        <w:spacing w:line="360" w:lineRule="auto"/>
        <w:rPr>
          <w:rFonts w:hint="eastAsia" w:ascii="宋体" w:hAnsi="宋体" w:eastAsia="宋体" w:cs="宋体"/>
          <w:b/>
          <w:bCs/>
          <w:color w:val="auto"/>
          <w:sz w:val="24"/>
          <w:szCs w:val="36"/>
          <w:highlight w:val="none"/>
        </w:rPr>
      </w:pPr>
    </w:p>
    <w:p w14:paraId="19DD8339">
      <w:pPr>
        <w:rPr>
          <w:rFonts w:hint="eastAsia" w:ascii="宋体" w:hAnsi="宋体" w:eastAsia="宋体" w:cs="宋体"/>
          <w:color w:val="auto"/>
          <w:highlight w:val="none"/>
        </w:rPr>
      </w:pPr>
    </w:p>
    <w:p w14:paraId="17DDEC8D">
      <w:pPr>
        <w:spacing w:line="360" w:lineRule="auto"/>
        <w:jc w:val="center"/>
        <w:rPr>
          <w:rFonts w:hint="eastAsia" w:ascii="宋体" w:hAnsi="宋体" w:eastAsia="宋体" w:cs="宋体"/>
          <w:b/>
          <w:bCs/>
          <w:color w:val="auto"/>
          <w:sz w:val="44"/>
          <w:szCs w:val="44"/>
          <w:highlight w:val="none"/>
        </w:rPr>
      </w:pPr>
    </w:p>
    <w:p w14:paraId="7EB06297">
      <w:pPr>
        <w:spacing w:line="360" w:lineRule="auto"/>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弥勒市疾病预防控制中心鼠疫实验室改造项目（二次</w:t>
      </w:r>
      <w:bookmarkStart w:id="1119" w:name="_GoBack"/>
      <w:bookmarkEnd w:id="1119"/>
      <w:r>
        <w:rPr>
          <w:rFonts w:hint="eastAsia" w:ascii="宋体" w:hAnsi="宋体" w:eastAsia="宋体" w:cs="宋体"/>
          <w:b/>
          <w:bCs/>
          <w:color w:val="auto"/>
          <w:sz w:val="44"/>
          <w:szCs w:val="44"/>
          <w:highlight w:val="none"/>
          <w:lang w:eastAsia="zh-CN"/>
        </w:rPr>
        <w:t>）</w:t>
      </w:r>
    </w:p>
    <w:p w14:paraId="4A2130FF">
      <w:pPr>
        <w:pStyle w:val="23"/>
        <w:spacing w:line="360" w:lineRule="auto"/>
        <w:jc w:val="center"/>
        <w:rPr>
          <w:rFonts w:hint="eastAsia" w:ascii="宋体" w:hAnsi="宋体" w:eastAsia="宋体" w:cs="宋体"/>
          <w:b/>
          <w:bCs/>
          <w:color w:val="auto"/>
          <w:w w:val="95"/>
          <w:sz w:val="30"/>
          <w:szCs w:val="30"/>
          <w:highlight w:val="none"/>
        </w:rPr>
      </w:pPr>
      <w:r>
        <w:rPr>
          <w:rFonts w:hint="eastAsia" w:ascii="宋体" w:hAnsi="宋体" w:eastAsia="宋体" w:cs="宋体"/>
          <w:b/>
          <w:bCs/>
          <w:color w:val="auto"/>
          <w:w w:val="95"/>
          <w:sz w:val="34"/>
          <w:szCs w:val="34"/>
          <w:highlight w:val="none"/>
        </w:rPr>
        <w:t>（项目编号：</w:t>
      </w:r>
      <w:r>
        <w:rPr>
          <w:rFonts w:hint="eastAsia" w:ascii="宋体" w:hAnsi="宋体" w:eastAsia="宋体" w:cs="宋体"/>
          <w:b/>
          <w:bCs/>
          <w:color w:val="auto"/>
          <w:w w:val="95"/>
          <w:sz w:val="34"/>
          <w:szCs w:val="34"/>
          <w:highlight w:val="none"/>
          <w:lang w:eastAsia="zh-CN"/>
        </w:rPr>
        <w:t>HHZC2025-C2-02715-XXGC-0006</w:t>
      </w:r>
      <w:r>
        <w:rPr>
          <w:rFonts w:hint="eastAsia" w:ascii="宋体" w:hAnsi="宋体" w:eastAsia="宋体" w:cs="宋体"/>
          <w:b/>
          <w:bCs/>
          <w:color w:val="auto"/>
          <w:w w:val="95"/>
          <w:sz w:val="34"/>
          <w:szCs w:val="34"/>
          <w:highlight w:val="none"/>
        </w:rPr>
        <w:t>）</w:t>
      </w:r>
    </w:p>
    <w:p w14:paraId="139F4039">
      <w:pPr>
        <w:spacing w:line="276" w:lineRule="auto"/>
        <w:rPr>
          <w:rFonts w:hint="eastAsia" w:ascii="宋体" w:hAnsi="宋体" w:eastAsia="宋体" w:cs="宋体"/>
          <w:color w:val="auto"/>
          <w:sz w:val="32"/>
          <w:szCs w:val="30"/>
          <w:highlight w:val="none"/>
        </w:rPr>
      </w:pPr>
    </w:p>
    <w:p w14:paraId="3E0B0F97">
      <w:pPr>
        <w:pStyle w:val="23"/>
        <w:spacing w:line="360" w:lineRule="auto"/>
        <w:jc w:val="center"/>
        <w:rPr>
          <w:rFonts w:hint="eastAsia" w:ascii="宋体" w:hAnsi="宋体" w:eastAsia="宋体" w:cs="宋体"/>
          <w:b/>
          <w:bCs/>
          <w:color w:val="auto"/>
          <w:sz w:val="96"/>
          <w:szCs w:val="20"/>
          <w:highlight w:val="none"/>
        </w:rPr>
      </w:pPr>
    </w:p>
    <w:p w14:paraId="415CA291">
      <w:pPr>
        <w:pStyle w:val="23"/>
        <w:spacing w:line="360" w:lineRule="auto"/>
        <w:jc w:val="center"/>
        <w:rPr>
          <w:rFonts w:hint="eastAsia" w:ascii="宋体" w:hAnsi="宋体" w:eastAsia="宋体" w:cs="宋体"/>
          <w:b/>
          <w:bCs/>
          <w:color w:val="auto"/>
          <w:sz w:val="96"/>
          <w:szCs w:val="20"/>
          <w:highlight w:val="none"/>
        </w:rPr>
      </w:pPr>
      <w:r>
        <w:rPr>
          <w:rFonts w:hint="eastAsia" w:ascii="宋体" w:hAnsi="宋体" w:eastAsia="宋体" w:cs="宋体"/>
          <w:b/>
          <w:bCs/>
          <w:color w:val="auto"/>
          <w:sz w:val="96"/>
          <w:szCs w:val="20"/>
          <w:highlight w:val="none"/>
        </w:rPr>
        <w:t>竞争性磋商文件</w:t>
      </w:r>
    </w:p>
    <w:p w14:paraId="7C47B398">
      <w:pPr>
        <w:pStyle w:val="23"/>
        <w:spacing w:line="360" w:lineRule="auto"/>
        <w:rPr>
          <w:rFonts w:hint="eastAsia" w:ascii="宋体" w:hAnsi="宋体" w:eastAsia="宋体" w:cs="宋体"/>
          <w:b/>
          <w:bCs/>
          <w:color w:val="auto"/>
          <w:w w:val="95"/>
          <w:sz w:val="32"/>
          <w:szCs w:val="30"/>
          <w:highlight w:val="none"/>
        </w:rPr>
      </w:pPr>
    </w:p>
    <w:p w14:paraId="58D1D881">
      <w:pPr>
        <w:spacing w:line="360" w:lineRule="auto"/>
        <w:rPr>
          <w:rFonts w:hint="eastAsia" w:ascii="宋体" w:hAnsi="宋体" w:eastAsia="宋体" w:cs="宋体"/>
          <w:color w:val="auto"/>
          <w:sz w:val="32"/>
          <w:szCs w:val="30"/>
          <w:highlight w:val="none"/>
        </w:rPr>
      </w:pPr>
    </w:p>
    <w:p w14:paraId="1F39495C">
      <w:pPr>
        <w:spacing w:line="360" w:lineRule="auto"/>
        <w:rPr>
          <w:rFonts w:hint="eastAsia" w:ascii="宋体" w:hAnsi="宋体" w:eastAsia="宋体" w:cs="宋体"/>
          <w:color w:val="auto"/>
          <w:sz w:val="32"/>
          <w:szCs w:val="30"/>
          <w:highlight w:val="none"/>
        </w:rPr>
      </w:pPr>
    </w:p>
    <w:p w14:paraId="4754D44E">
      <w:pPr>
        <w:spacing w:line="360" w:lineRule="auto"/>
        <w:rPr>
          <w:rFonts w:hint="eastAsia" w:ascii="宋体" w:hAnsi="宋体" w:eastAsia="宋体" w:cs="宋体"/>
          <w:color w:val="auto"/>
          <w:highlight w:val="none"/>
        </w:rPr>
      </w:pPr>
    </w:p>
    <w:p w14:paraId="0F661773">
      <w:pPr>
        <w:spacing w:line="360" w:lineRule="auto"/>
        <w:rPr>
          <w:rFonts w:hint="eastAsia" w:ascii="宋体" w:hAnsi="宋体" w:eastAsia="宋体" w:cs="宋体"/>
          <w:color w:val="auto"/>
          <w:sz w:val="32"/>
          <w:szCs w:val="30"/>
          <w:highlight w:val="none"/>
        </w:rPr>
      </w:pPr>
    </w:p>
    <w:p w14:paraId="2F9A4064">
      <w:pPr>
        <w:pStyle w:val="23"/>
        <w:spacing w:line="360" w:lineRule="auto"/>
        <w:jc w:val="center"/>
        <w:rPr>
          <w:rFonts w:hint="eastAsia" w:ascii="宋体" w:hAnsi="宋体" w:eastAsia="宋体" w:cs="宋体"/>
          <w:b/>
          <w:bCs/>
          <w:color w:val="auto"/>
          <w:w w:val="95"/>
          <w:sz w:val="32"/>
          <w:highlight w:val="none"/>
          <w:lang w:eastAsia="zh-CN"/>
        </w:rPr>
      </w:pPr>
      <w:r>
        <w:rPr>
          <w:rFonts w:hint="eastAsia" w:ascii="宋体" w:hAnsi="宋体" w:eastAsia="宋体" w:cs="宋体"/>
          <w:b/>
          <w:bCs/>
          <w:color w:val="auto"/>
          <w:w w:val="95"/>
          <w:sz w:val="32"/>
          <w:highlight w:val="none"/>
        </w:rPr>
        <w:t>采购人：</w:t>
      </w:r>
      <w:r>
        <w:rPr>
          <w:rFonts w:hint="eastAsia" w:ascii="宋体" w:hAnsi="宋体" w:eastAsia="宋体" w:cs="宋体"/>
          <w:b/>
          <w:bCs/>
          <w:color w:val="auto"/>
          <w:w w:val="95"/>
          <w:sz w:val="32"/>
          <w:highlight w:val="none"/>
          <w:lang w:eastAsia="zh-CN"/>
        </w:rPr>
        <w:t>弥勒市疾病预防控制中心</w:t>
      </w:r>
    </w:p>
    <w:p w14:paraId="5165CD23">
      <w:pPr>
        <w:pStyle w:val="23"/>
        <w:spacing w:line="360" w:lineRule="auto"/>
        <w:jc w:val="center"/>
        <w:rPr>
          <w:rFonts w:hint="eastAsia" w:ascii="宋体" w:hAnsi="宋体" w:eastAsia="宋体" w:cs="宋体"/>
          <w:b/>
          <w:bCs/>
          <w:color w:val="auto"/>
          <w:w w:val="95"/>
          <w:sz w:val="32"/>
          <w:highlight w:val="none"/>
          <w:lang w:eastAsia="zh-CN"/>
        </w:rPr>
      </w:pPr>
      <w:r>
        <w:rPr>
          <w:rFonts w:hint="eastAsia" w:ascii="宋体" w:hAnsi="宋体" w:eastAsia="宋体" w:cs="宋体"/>
          <w:b/>
          <w:bCs/>
          <w:color w:val="auto"/>
          <w:w w:val="95"/>
          <w:sz w:val="32"/>
          <w:highlight w:val="none"/>
        </w:rPr>
        <w:t>采购代理机构：</w:t>
      </w:r>
      <w:r>
        <w:rPr>
          <w:rFonts w:hint="eastAsia" w:ascii="宋体" w:hAnsi="宋体" w:eastAsia="宋体" w:cs="宋体"/>
          <w:b/>
          <w:bCs/>
          <w:color w:val="auto"/>
          <w:spacing w:val="20"/>
          <w:w w:val="95"/>
          <w:sz w:val="32"/>
          <w:highlight w:val="none"/>
          <w:lang w:eastAsia="zh-CN"/>
        </w:rPr>
        <w:t>云南鑫迅工程咨询有限公司</w:t>
      </w:r>
    </w:p>
    <w:p w14:paraId="644A355C">
      <w:pPr>
        <w:pStyle w:val="23"/>
        <w:spacing w:line="360" w:lineRule="auto"/>
        <w:jc w:val="center"/>
        <w:rPr>
          <w:rFonts w:hint="eastAsia" w:ascii="宋体" w:hAnsi="宋体" w:eastAsia="宋体" w:cs="宋体"/>
          <w:b/>
          <w:bCs/>
          <w:color w:val="auto"/>
          <w:w w:val="95"/>
          <w:sz w:val="32"/>
          <w:highlight w:val="none"/>
          <w:lang w:eastAsia="zh-CN"/>
        </w:rPr>
      </w:pPr>
      <w:r>
        <w:rPr>
          <w:rFonts w:hint="eastAsia" w:ascii="宋体" w:hAnsi="宋体" w:eastAsia="宋体" w:cs="宋体"/>
          <w:b/>
          <w:bCs/>
          <w:color w:val="auto"/>
          <w:w w:val="95"/>
          <w:sz w:val="32"/>
          <w:highlight w:val="none"/>
        </w:rPr>
        <w:t>日期：</w:t>
      </w:r>
      <w:r>
        <w:rPr>
          <w:rFonts w:hint="eastAsia" w:ascii="宋体" w:hAnsi="宋体" w:eastAsia="宋体" w:cs="宋体"/>
          <w:b/>
          <w:bCs/>
          <w:color w:val="auto"/>
          <w:w w:val="95"/>
          <w:sz w:val="32"/>
          <w:highlight w:val="none"/>
          <w:lang w:eastAsia="zh-CN"/>
        </w:rPr>
        <w:t>二〇二五年十一月</w:t>
      </w:r>
    </w:p>
    <w:p w14:paraId="112C88DF">
      <w:pPr>
        <w:rPr>
          <w:rFonts w:hint="eastAsia" w:ascii="宋体" w:hAnsi="宋体" w:eastAsia="宋体" w:cs="宋体"/>
          <w:b/>
          <w:bCs/>
          <w:color w:val="auto"/>
          <w:w w:val="95"/>
          <w:sz w:val="32"/>
          <w:highlight w:val="none"/>
        </w:rPr>
      </w:pPr>
      <w:r>
        <w:rPr>
          <w:rFonts w:hint="eastAsia" w:ascii="宋体" w:hAnsi="宋体" w:eastAsia="宋体" w:cs="宋体"/>
          <w:b/>
          <w:bCs/>
          <w:color w:val="auto"/>
          <w:w w:val="95"/>
          <w:sz w:val="32"/>
          <w:highlight w:val="none"/>
        </w:rPr>
        <w:br w:type="page"/>
      </w:r>
    </w:p>
    <w:p w14:paraId="6A13C36B">
      <w:pPr>
        <w:pStyle w:val="57"/>
        <w:rPr>
          <w:rFonts w:hint="eastAsia" w:ascii="宋体" w:hAnsi="宋体" w:eastAsia="宋体" w:cs="宋体"/>
          <w:color w:val="auto"/>
          <w:highlight w:val="none"/>
        </w:rPr>
        <w:sectPr>
          <w:footerReference r:id="rId6" w:type="first"/>
          <w:headerReference r:id="rId3" w:type="default"/>
          <w:footerReference r:id="rId4" w:type="default"/>
          <w:footerReference r:id="rId5" w:type="even"/>
          <w:pgSz w:w="11906" w:h="16838"/>
          <w:pgMar w:top="1418" w:right="1418" w:bottom="1418" w:left="1418" w:header="851" w:footer="1134" w:gutter="0"/>
          <w:pgBorders>
            <w:top w:val="none" w:sz="0" w:space="0"/>
            <w:left w:val="none" w:sz="0" w:space="0"/>
            <w:bottom w:val="none" w:sz="0" w:space="0"/>
            <w:right w:val="none" w:sz="0" w:space="0"/>
          </w:pgBorders>
          <w:pgNumType w:start="1"/>
          <w:cols w:space="720" w:num="1"/>
          <w:titlePg/>
          <w:docGrid w:linePitch="312" w:charSpace="0"/>
        </w:sectPr>
      </w:pPr>
    </w:p>
    <w:p w14:paraId="133F2E87">
      <w:pPr>
        <w:pStyle w:val="23"/>
        <w:spacing w:line="360" w:lineRule="auto"/>
        <w:jc w:val="center"/>
        <w:rPr>
          <w:rFonts w:hint="eastAsia" w:ascii="宋体" w:hAnsi="宋体" w:eastAsia="宋体" w:cs="宋体"/>
          <w:b/>
          <w:i w:val="0"/>
          <w:iCs w:val="0"/>
          <w:color w:val="auto"/>
          <w:sz w:val="44"/>
          <w:szCs w:val="20"/>
          <w:highlight w:val="none"/>
        </w:rPr>
      </w:pPr>
      <w:r>
        <w:rPr>
          <w:rFonts w:hint="eastAsia" w:ascii="宋体" w:hAnsi="宋体" w:eastAsia="宋体" w:cs="宋体"/>
          <w:b/>
          <w:i w:val="0"/>
          <w:iCs w:val="0"/>
          <w:color w:val="auto"/>
          <w:kern w:val="44"/>
          <w:sz w:val="36"/>
          <w:szCs w:val="20"/>
          <w:highlight w:val="none"/>
        </w:rPr>
        <w:t>目     录</w:t>
      </w:r>
    </w:p>
    <w:p w14:paraId="40193D01">
      <w:pPr>
        <w:pStyle w:val="31"/>
        <w:tabs>
          <w:tab w:val="right" w:leader="dot" w:pos="9214"/>
        </w:tabs>
        <w:rPr>
          <w:rFonts w:hint="eastAsia" w:ascii="宋体" w:hAnsi="宋体" w:eastAsia="宋体" w:cs="宋体"/>
          <w:i w:val="0"/>
          <w:iCs w:val="0"/>
          <w:color w:val="auto"/>
          <w:highlight w:val="none"/>
        </w:rPr>
      </w:pPr>
      <w:bookmarkStart w:id="0" w:name="_Toc470096296"/>
      <w:r>
        <w:rPr>
          <w:rFonts w:hint="eastAsia" w:ascii="宋体" w:hAnsi="宋体" w:eastAsia="宋体" w:cs="宋体"/>
          <w:b w:val="0"/>
          <w:bCs w:val="0"/>
          <w:i w:val="0"/>
          <w:iCs w:val="0"/>
          <w:color w:val="auto"/>
          <w:sz w:val="21"/>
          <w:szCs w:val="21"/>
          <w:highlight w:val="none"/>
          <w:u w:val="single"/>
        </w:rPr>
        <w:fldChar w:fldCharType="begin"/>
      </w:r>
      <w:r>
        <w:rPr>
          <w:rFonts w:hint="eastAsia" w:ascii="宋体" w:hAnsi="宋体" w:eastAsia="宋体" w:cs="宋体"/>
          <w:b w:val="0"/>
          <w:bCs w:val="0"/>
          <w:i w:val="0"/>
          <w:iCs w:val="0"/>
          <w:color w:val="auto"/>
          <w:sz w:val="21"/>
          <w:szCs w:val="21"/>
          <w:highlight w:val="none"/>
          <w:u w:val="single"/>
        </w:rPr>
        <w:instrText xml:space="preserve"> TOC \o "1-3" \h \z \u </w:instrText>
      </w:r>
      <w:r>
        <w:rPr>
          <w:rFonts w:hint="eastAsia" w:ascii="宋体" w:hAnsi="宋体" w:eastAsia="宋体" w:cs="宋体"/>
          <w:b w:val="0"/>
          <w:bCs w:val="0"/>
          <w:i w:val="0"/>
          <w:iCs w:val="0"/>
          <w:color w:val="auto"/>
          <w:sz w:val="21"/>
          <w:szCs w:val="21"/>
          <w:highlight w:val="none"/>
          <w:u w:val="single"/>
        </w:rPr>
        <w:fldChar w:fldCharType="separate"/>
      </w:r>
      <w:r>
        <w:rPr>
          <w:rFonts w:hint="eastAsia" w:ascii="宋体" w:hAnsi="宋体" w:eastAsia="宋体" w:cs="宋体"/>
          <w:bCs w:val="0"/>
          <w:i w:val="0"/>
          <w:iCs w:val="0"/>
          <w:color w:val="auto"/>
          <w:szCs w:val="21"/>
          <w:highlight w:val="none"/>
          <w:u w:val="single"/>
        </w:rPr>
        <w:fldChar w:fldCharType="begin"/>
      </w:r>
      <w:r>
        <w:rPr>
          <w:rFonts w:hint="eastAsia" w:ascii="宋体" w:hAnsi="宋体" w:eastAsia="宋体" w:cs="宋体"/>
          <w:bCs w:val="0"/>
          <w:i w:val="0"/>
          <w:iCs w:val="0"/>
          <w:color w:val="auto"/>
          <w:szCs w:val="21"/>
          <w:highlight w:val="none"/>
        </w:rPr>
        <w:instrText xml:space="preserve"> HYPERLINK \l _Toc1536664851 </w:instrText>
      </w:r>
      <w:r>
        <w:rPr>
          <w:rFonts w:hint="eastAsia" w:ascii="宋体" w:hAnsi="宋体" w:eastAsia="宋体" w:cs="宋体"/>
          <w:bCs w:val="0"/>
          <w:i w:val="0"/>
          <w:iCs w:val="0"/>
          <w:color w:val="auto"/>
          <w:szCs w:val="21"/>
          <w:highlight w:val="none"/>
        </w:rPr>
        <w:fldChar w:fldCharType="separate"/>
      </w:r>
      <w:r>
        <w:rPr>
          <w:rFonts w:hint="eastAsia" w:ascii="宋体" w:hAnsi="宋体" w:eastAsia="宋体" w:cs="宋体"/>
          <w:i w:val="0"/>
          <w:iCs w:val="0"/>
          <w:color w:val="auto"/>
          <w:kern w:val="44"/>
          <w:szCs w:val="20"/>
          <w:highlight w:val="none"/>
        </w:rPr>
        <w:t>第一章  竞争性磋商公告</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_Toc1536664851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w:t>
      </w:r>
      <w:r>
        <w:rPr>
          <w:rFonts w:hint="eastAsia" w:ascii="宋体" w:hAnsi="宋体" w:eastAsia="宋体" w:cs="宋体"/>
          <w:i w:val="0"/>
          <w:iCs w:val="0"/>
          <w:color w:val="auto"/>
          <w:highlight w:val="none"/>
        </w:rPr>
        <w:fldChar w:fldCharType="end"/>
      </w:r>
      <w:r>
        <w:rPr>
          <w:rFonts w:hint="eastAsia" w:ascii="宋体" w:hAnsi="宋体" w:eastAsia="宋体" w:cs="宋体"/>
          <w:bCs w:val="0"/>
          <w:i w:val="0"/>
          <w:iCs w:val="0"/>
          <w:color w:val="auto"/>
          <w:szCs w:val="21"/>
          <w:highlight w:val="none"/>
          <w:u w:val="single"/>
        </w:rPr>
        <w:fldChar w:fldCharType="end"/>
      </w:r>
    </w:p>
    <w:p w14:paraId="66498E1A">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_Toc1087811935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一、项目基本概况</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_Toc1087811935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6782E85">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_Toc1326904634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二、申请人的资格要求</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_Toc1326904634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2B0DF95">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_Toc1815993190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三、获取采购文件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_Toc1815993190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D92AC25">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_Toc1359953166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四、提交响应文件截止时间、</w:t>
      </w:r>
      <w:r>
        <w:rPr>
          <w:rFonts w:hint="eastAsia" w:ascii="宋体" w:hAnsi="宋体" w:eastAsia="宋体" w:cs="宋体"/>
          <w:i w:val="0"/>
          <w:iCs w:val="0"/>
          <w:color w:val="auto"/>
          <w:highlight w:val="none"/>
          <w:lang w:val="en-US" w:eastAsia="zh-CN"/>
        </w:rPr>
        <w:t>开启时间</w:t>
      </w:r>
      <w:r>
        <w:rPr>
          <w:rFonts w:hint="eastAsia" w:ascii="宋体" w:hAnsi="宋体" w:eastAsia="宋体" w:cs="宋体"/>
          <w:i w:val="0"/>
          <w:iCs w:val="0"/>
          <w:color w:val="auto"/>
          <w:highlight w:val="none"/>
        </w:rPr>
        <w:t>和地点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_Toc1359953166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0346B88">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_Toc1064405941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五、公告期限</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_Toc1064405941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6D94B30">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_Toc931870877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六、其它补充事宜</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_Toc931870877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FE135A6">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_Toc355592168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七、凡对本次采购提出询问，请按以下方式联系</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_Toc355592168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0426EAB">
      <w:pPr>
        <w:pStyle w:val="31"/>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_Toc2138061622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val="0"/>
          <w:i w:val="0"/>
          <w:iCs w:val="0"/>
          <w:color w:val="auto"/>
          <w:kern w:val="44"/>
          <w:highlight w:val="none"/>
        </w:rPr>
        <w:t>第二章  供应商须知</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_Toc2138061622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1085387">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_Toc557815703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供应商须知前附表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_Toc557815703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4BCE4CB">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_Toc1442401166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snapToGrid w:val="0"/>
          <w:color w:val="auto"/>
          <w:kern w:val="21"/>
          <w:szCs w:val="21"/>
          <w:highlight w:val="none"/>
          <w:lang w:val="en-US" w:eastAsia="zh-CN" w:bidi="ar-SA"/>
        </w:rPr>
        <w:t>3.为保障项目合同备案顺利进行，供应商在办理政采云账号的时候，应尽量办理正式账号。</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_Toc1442401166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5560610">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_Toc1640989626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供应商须知正文</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_Toc1640989626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9A9FF3A">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_Toc2127649408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一、总  则</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_Toc2127649408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FB928F0">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_Toc1653394059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1.项目概况</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_Toc1653394059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9DB7E9B">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_Toc155557433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2.资金来源及预算情况</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_Toc155557433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CD9DF9A">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_Toc966178032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3.采购范围、计划工期、项目地点及质量要求</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_Toc966178032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59CE35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_Toc1430328857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4.合格的供应商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_Toc1430328857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B9E82F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_Toc605155081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5.磋商费用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_Toc605155081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46BB1B9">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_Toc358894175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二、竞争性磋商文件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_Toc358894175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5B143E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_Toc1800318449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6.竞争性磋商文件的组成</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_Toc1800318449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051FE12">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_Toc2055069760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7.竞争性磋商文件的澄清、修改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_Toc2055069760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1DC5B37">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_Toc1577961619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三、响应文件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_Toc1577961619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3FDDD1D">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_Toc1525373730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8.响应文件编写注意事项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_Toc1525373730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2486CE2">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_Toc296502224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9.响应文件构成</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_Toc296502224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FAABEF3">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_Toc1150817728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10.报价和报价货币</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_Toc1150817728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62B97C4">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_Toc1555829614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11.响应文件有效期</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_Toc1555829614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A12D25D">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_Toc1067436626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12.响应文件的编制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_Toc1067436626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65431A4">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_Toc328986144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13.磋商保证金</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_Toc328986144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8B10F97">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_Toc1647214830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四、响应文件的提交</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_Toc1647214830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51B37D3">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_Toc1527954333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14.响应文件的密封与标记</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_Toc1527954333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BC8261C">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_Toc719023905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15.递交响应文件的截止时间和地点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_Toc719023905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6BB0866">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_Toc744289666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五、磋商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_Toc744289666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03928B5">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_Toc184172687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16.磋商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_Toc184172687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89067E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_Toc866415082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17.磋商过程的保密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_Toc866415082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77590C6C">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_Toc1899156514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18.关于重新开展采购活动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_Toc1899156514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C503553">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_Toc1074085437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六、成交结果</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_Toc1074085437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4F8A664">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_Toc406402977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19.成交人的确定</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_Toc406402977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80DC45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_Toc1416836979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20.成交通知书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_Toc1416836979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957A91B">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_Toc1480428117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21.签订合同</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_Toc1480428117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A22C2CA">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_Toc809828277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22.履约保证金</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_Toc809828277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E274C66">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_Toc32496853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七、其他事项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_Toc32496853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6C7D5CA">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_Toc713762033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23.质疑和投诉</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_Toc713762033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EF4CF34">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_Toc354836489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24.采购代理服务费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_Toc354836489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761EF675">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_Toc174782904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25.磋商文件编制依据</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_Toc174782904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36D475F">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_Toc1966122079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4"/>
          <w:highlight w:val="none"/>
        </w:rPr>
        <w:t>26.需要补充的其他内容</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_Toc1966122079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339D1E8">
      <w:pPr>
        <w:pStyle w:val="31"/>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_Toc1282905364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44"/>
          <w:szCs w:val="20"/>
          <w:highlight w:val="none"/>
        </w:rPr>
        <w:t>第三章  合同书样式及主要条款</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_Toc1282905364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4FD836C">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_Toc1054636868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1"/>
          <w:highlight w:val="none"/>
        </w:rPr>
        <w:t>第一部分 合同协议书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_Toc1054636868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68F12BC">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_Toc2099301785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1"/>
          <w:highlight w:val="none"/>
        </w:rPr>
        <w:t>第二部分 通用合同条款</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_Toc2099301785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D5A01CA">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_Toc1956263932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1"/>
          <w:highlight w:val="none"/>
        </w:rPr>
        <w:t>第三部分 专用合同条款</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_Toc1956263932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20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EA580D2">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_Toc953269554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1"/>
          <w:highlight w:val="none"/>
        </w:rPr>
        <w:t>6.1安全文明施工</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_Toc953269554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25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2423669">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_Toc1373387458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1"/>
          <w:highlight w:val="none"/>
        </w:rPr>
        <w:t>第四部分 工程质量保修书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_Toc1373387458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39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7CFB8DE">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_Toc1368768650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1"/>
          <w:highlight w:val="none"/>
        </w:rPr>
        <w:t>第五部分 安全生产合同</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_Toc1368768650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8883733">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_Toc1049873886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1"/>
          <w:highlight w:val="none"/>
        </w:rPr>
        <w:t>第六部分 工程廉政合同</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_Toc1049873886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583DECE">
      <w:pPr>
        <w:pStyle w:val="31"/>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_Toc1504758250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44"/>
          <w:szCs w:val="20"/>
          <w:highlight w:val="none"/>
        </w:rPr>
        <w:t>第四章  响应文件格式</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_Toc1504758250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73F91238">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_Toc1704480678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一、 资格证明文件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_Toc1704480678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5A49C3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_Toc1922387813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★营业执照等资格证明材料</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_Toc1922387813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B85C2EF">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_Toc680503976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2"/>
          <w:szCs w:val="28"/>
          <w:highlight w:val="none"/>
        </w:rPr>
        <w:t>★承诺书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_Toc680503976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04E5431">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_Toc1879904357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i w:val="0"/>
          <w:iCs w:val="0"/>
          <w:color w:val="auto"/>
          <w:szCs w:val="28"/>
          <w:highlight w:val="none"/>
        </w:rPr>
        <w:t>★</w:t>
      </w:r>
      <w:r>
        <w:rPr>
          <w:rFonts w:hint="eastAsia" w:ascii="宋体" w:hAnsi="宋体" w:eastAsia="宋体" w:cs="宋体"/>
          <w:i w:val="0"/>
          <w:iCs w:val="0"/>
          <w:color w:val="auto"/>
          <w:szCs w:val="28"/>
          <w:highlight w:val="none"/>
        </w:rPr>
        <w:t>供应商关联企业情况声明</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_Toc1879904357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49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4BE540A">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_Toc1773113435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8"/>
          <w:highlight w:val="none"/>
        </w:rPr>
        <w:t>联合体协议</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_Toc1773113435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50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02E0056">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_Toc86932626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bCs w:val="0"/>
          <w:i w:val="0"/>
          <w:iCs w:val="0"/>
          <w:color w:val="auto"/>
          <w:szCs w:val="28"/>
          <w:highlight w:val="none"/>
        </w:rPr>
        <w:t>二、报价文件部分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_Toc86932626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51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305D9A6">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_Toc787765222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8"/>
          <w:highlight w:val="none"/>
        </w:rPr>
        <w:t>★磋商报价一览表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_Toc787765222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51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7D23764A">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_Toc733402399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lang w:val="en-US" w:eastAsia="zh-CN"/>
        </w:rPr>
        <w:t>三</w:t>
      </w:r>
      <w:r>
        <w:rPr>
          <w:rFonts w:hint="eastAsia" w:ascii="宋体" w:hAnsi="宋体" w:eastAsia="宋体" w:cs="宋体"/>
          <w:i w:val="0"/>
          <w:iCs w:val="0"/>
          <w:color w:val="auto"/>
          <w:highlight w:val="none"/>
        </w:rPr>
        <w:t>、商务文件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_Toc733402399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751BFFF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_Toc1885469860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法定代表人身份证明书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_Toc1885469860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E208A52">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_Toc823241888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法定代表人授权委托书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_Toc823241888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63</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4E3246C">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_Toc2136757642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磋商申请函</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_Toc2136757642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64</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C238046">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_Toc116660313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商务条款偏离表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_Toc116660313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39E269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_Toc57310880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中小企业声明函（工程）</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_Toc57310880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60B6526">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_Toc1151286304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监狱企业声明函</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_Toc1151286304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67</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88EA2EE">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_Toc841251858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残疾人福利性单位声明函</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_Toc841251858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CDB7AB4">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_Toc2035129205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其它商务资料</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_Toc2035129205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69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3C8037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_Toc1444502666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施工项目管理机构配置情况</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_Toc1444502666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EC25489">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_Toc453678127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lang w:val="en-US" w:eastAsia="zh-CN"/>
        </w:rPr>
        <w:t>四</w:t>
      </w:r>
      <w:r>
        <w:rPr>
          <w:rFonts w:hint="eastAsia" w:ascii="宋体" w:hAnsi="宋体" w:eastAsia="宋体" w:cs="宋体"/>
          <w:i w:val="0"/>
          <w:iCs w:val="0"/>
          <w:color w:val="auto"/>
          <w:highlight w:val="none"/>
        </w:rPr>
        <w:t>、技术文件</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_Toc453678127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BDB059E">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_Toc1401333639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施工组织设计</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_Toc1401333639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72</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367671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_Toc761314024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节能产品信息表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_Toc761314024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77</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E4018EC">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_Toc697232542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环境标志产品信息表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_Toc697232542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EFBE1D2">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_Toc1716555362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其它技术资料</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_Toc1716555362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79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3835DA3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_Toc850655336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lang w:eastAsia="zh-CN"/>
        </w:rPr>
        <w:t>竞争性磋商最终报价表及承诺书</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_Toc850655336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90B6B5A">
      <w:pPr>
        <w:pStyle w:val="31"/>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_Toc1165594073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44"/>
          <w:szCs w:val="20"/>
          <w:highlight w:val="none"/>
        </w:rPr>
        <w:t>第五章 采购需求</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_Toc1165594073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81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9BAE598">
      <w:pPr>
        <w:pStyle w:val="31"/>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_Toc793756977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44"/>
          <w:szCs w:val="20"/>
          <w:highlight w:val="none"/>
        </w:rPr>
        <w:t>第六章 磋商程序和方法</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_Toc793756977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987536E">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_Toc505097275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磋商方法前附表</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_Toc505097275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91</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E2A463E">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_Toc167044334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一、磋商方法</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_Toc167044334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8CA0B69">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_Toc752994909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二、评审标准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_Toc752994909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51ACBC4">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_Toc464303792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1.初步评审标准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_Toc464303792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95</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7E3C00AD">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_Toc1745742593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2.分值构成与评分标准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_Toc1745742593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CECB686">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_Toc1774175237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三、磋商程序</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_Toc1774175237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E29F91A">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_Toc752769664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1.初步评审</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_Toc752769664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6B871FF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_Toc973578371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2.磋商及最后报价</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_Toc973578371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96</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61128BF">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_Toc1253774904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3.评分</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_Toc1253774904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97</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25C8DF3B">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_Toc1085267164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4.磋商结果</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_Toc1085267164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97</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01DBD59">
      <w:pPr>
        <w:pStyle w:val="37"/>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_Toc1506611377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highlight w:val="none"/>
        </w:rPr>
        <w:t>四、其它</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_Toc1506611377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154A23CD">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_Toc637731462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1.关于中小企业</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_Toc637731462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98</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C9E6D6A">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_Toc261799657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2.关于监狱企业</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_Toc261799657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00970CE8">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_Toc2020326143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3.关于残疾人福利性单位</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_Toc2020326143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59D7CFCC">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_Toc1757542684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4.政府采购节能产品、环境标志产品政策</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_Toc1757542684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99</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BDE2789">
      <w:pPr>
        <w:pStyle w:val="22"/>
        <w:tabs>
          <w:tab w:val="right" w:leader="dot" w:pos="9214"/>
        </w:tabs>
        <w:rPr>
          <w:rFonts w:hint="eastAsia" w:ascii="宋体" w:hAnsi="宋体" w:eastAsia="宋体" w:cs="宋体"/>
          <w:i w:val="0"/>
          <w:iCs w:val="0"/>
          <w:color w:val="auto"/>
          <w:highlight w:val="none"/>
        </w:rPr>
      </w:pPr>
      <w:r>
        <w:rPr>
          <w:rFonts w:hint="eastAsia" w:ascii="宋体" w:hAnsi="宋体" w:eastAsia="宋体" w:cs="宋体"/>
          <w:i w:val="0"/>
          <w:iCs w:val="0"/>
          <w:color w:val="auto"/>
          <w:szCs w:val="21"/>
          <w:highlight w:val="none"/>
          <w:u w:val="single"/>
        </w:rPr>
        <w:fldChar w:fldCharType="begin"/>
      </w:r>
      <w:r>
        <w:rPr>
          <w:rFonts w:hint="eastAsia" w:ascii="宋体" w:hAnsi="宋体" w:eastAsia="宋体" w:cs="宋体"/>
          <w:i w:val="0"/>
          <w:iCs w:val="0"/>
          <w:color w:val="auto"/>
          <w:szCs w:val="21"/>
          <w:highlight w:val="none"/>
        </w:rPr>
        <w:instrText xml:space="preserve"> HYPERLINK \l _Toc382325503 </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kern w:val="0"/>
          <w:highlight w:val="none"/>
        </w:rPr>
        <w:t>5.其他</w:t>
      </w:r>
      <w:r>
        <w:rPr>
          <w:rFonts w:hint="eastAsia" w:ascii="宋体" w:hAnsi="宋体" w:eastAsia="宋体" w:cs="宋体"/>
          <w:i w:val="0"/>
          <w:iCs w:val="0"/>
          <w:color w:val="auto"/>
          <w:highlight w:val="none"/>
        </w:rPr>
        <w:tab/>
      </w:r>
      <w:r>
        <w:rPr>
          <w:rFonts w:hint="eastAsia" w:ascii="宋体" w:hAnsi="宋体" w:eastAsia="宋体" w:cs="宋体"/>
          <w:i w:val="0"/>
          <w:iCs w:val="0"/>
          <w:color w:val="auto"/>
          <w:highlight w:val="none"/>
        </w:rPr>
        <w:fldChar w:fldCharType="begin"/>
      </w:r>
      <w:r>
        <w:rPr>
          <w:rFonts w:hint="eastAsia" w:ascii="宋体" w:hAnsi="宋体" w:eastAsia="宋体" w:cs="宋体"/>
          <w:i w:val="0"/>
          <w:iCs w:val="0"/>
          <w:color w:val="auto"/>
          <w:highlight w:val="none"/>
        </w:rPr>
        <w:instrText xml:space="preserve"> PAGEREF _Toc382325503 \h </w:instrText>
      </w:r>
      <w:r>
        <w:rPr>
          <w:rFonts w:hint="eastAsia" w:ascii="宋体" w:hAnsi="宋体" w:eastAsia="宋体" w:cs="宋体"/>
          <w:i w:val="0"/>
          <w:iCs w:val="0"/>
          <w:color w:val="auto"/>
          <w:highlight w:val="none"/>
        </w:rPr>
        <w:fldChar w:fldCharType="separate"/>
      </w:r>
      <w:r>
        <w:rPr>
          <w:rFonts w:hint="eastAsia" w:ascii="宋体" w:hAnsi="宋体" w:eastAsia="宋体" w:cs="宋体"/>
          <w:i w:val="0"/>
          <w:iCs w:val="0"/>
          <w:color w:val="auto"/>
          <w:highlight w:val="none"/>
        </w:rPr>
        <w:t>100</w:t>
      </w:r>
      <w:r>
        <w:rPr>
          <w:rFonts w:hint="eastAsia" w:ascii="宋体" w:hAnsi="宋体" w:eastAsia="宋体" w:cs="宋体"/>
          <w:i w:val="0"/>
          <w:iCs w:val="0"/>
          <w:color w:val="auto"/>
          <w:highlight w:val="none"/>
        </w:rPr>
        <w:fldChar w:fldCharType="end"/>
      </w:r>
      <w:r>
        <w:rPr>
          <w:rFonts w:hint="eastAsia" w:ascii="宋体" w:hAnsi="宋体" w:eastAsia="宋体" w:cs="宋体"/>
          <w:i w:val="0"/>
          <w:iCs w:val="0"/>
          <w:color w:val="auto"/>
          <w:szCs w:val="21"/>
          <w:highlight w:val="none"/>
          <w:u w:val="single"/>
        </w:rPr>
        <w:fldChar w:fldCharType="end"/>
      </w:r>
    </w:p>
    <w:p w14:paraId="4A696214">
      <w:pPr>
        <w:tabs>
          <w:tab w:val="left" w:pos="5148"/>
        </w:tabs>
        <w:spacing w:line="360" w:lineRule="auto"/>
        <w:rPr>
          <w:rFonts w:hint="eastAsia" w:ascii="宋体" w:hAnsi="宋体" w:eastAsia="宋体" w:cs="宋体"/>
          <w:i w:val="0"/>
          <w:iCs w:val="0"/>
          <w:color w:val="auto"/>
          <w:szCs w:val="21"/>
          <w:highlight w:val="none"/>
          <w:lang w:val="zh-CN"/>
        </w:rPr>
        <w:sectPr>
          <w:headerReference r:id="rId7" w:type="first"/>
          <w:pgSz w:w="11906" w:h="16838"/>
          <w:pgMar w:top="1418" w:right="1274" w:bottom="1418" w:left="1418" w:header="851" w:footer="884" w:gutter="0"/>
          <w:pgBorders>
            <w:top w:val="none" w:sz="0" w:space="0"/>
            <w:left w:val="none" w:sz="0" w:space="0"/>
            <w:bottom w:val="none" w:sz="0" w:space="0"/>
            <w:right w:val="none" w:sz="0" w:space="0"/>
          </w:pgBorders>
          <w:pgNumType w:fmt="upperRoman" w:start="1"/>
          <w:cols w:space="720" w:num="1"/>
          <w:docGrid w:linePitch="312" w:charSpace="0"/>
        </w:sectPr>
      </w:pPr>
      <w:r>
        <w:rPr>
          <w:rFonts w:hint="eastAsia" w:ascii="宋体" w:hAnsi="宋体" w:eastAsia="宋体" w:cs="宋体"/>
          <w:i w:val="0"/>
          <w:iCs w:val="0"/>
          <w:color w:val="auto"/>
          <w:szCs w:val="21"/>
          <w:highlight w:val="none"/>
          <w:u w:val="single"/>
        </w:rPr>
        <w:fldChar w:fldCharType="end"/>
      </w:r>
    </w:p>
    <w:p w14:paraId="2B8EB13B">
      <w:pPr>
        <w:tabs>
          <w:tab w:val="right" w:leader="dot" w:pos="9070"/>
          <w:tab w:val="right" w:leader="dot" w:pos="9498"/>
        </w:tabs>
        <w:spacing w:line="360" w:lineRule="auto"/>
        <w:ind w:right="80" w:rightChars="38"/>
        <w:jc w:val="center"/>
        <w:outlineLvl w:val="0"/>
        <w:rPr>
          <w:rFonts w:hint="eastAsia" w:ascii="宋体" w:hAnsi="宋体" w:eastAsia="宋体" w:cs="宋体"/>
          <w:b/>
          <w:color w:val="auto"/>
          <w:kern w:val="44"/>
          <w:sz w:val="36"/>
          <w:szCs w:val="20"/>
          <w:highlight w:val="none"/>
        </w:rPr>
      </w:pPr>
      <w:bookmarkStart w:id="1" w:name="_Toc1536664851"/>
      <w:bookmarkStart w:id="2" w:name="_Toc80867890"/>
      <w:bookmarkStart w:id="3" w:name="_Toc34335266"/>
      <w:r>
        <w:rPr>
          <w:rFonts w:hint="eastAsia" w:ascii="宋体" w:hAnsi="宋体" w:eastAsia="宋体" w:cs="宋体"/>
          <w:b/>
          <w:color w:val="auto"/>
          <w:kern w:val="44"/>
          <w:sz w:val="36"/>
          <w:szCs w:val="20"/>
          <w:highlight w:val="none"/>
        </w:rPr>
        <w:t>第一章  竞争性磋商公告</w:t>
      </w:r>
      <w:bookmarkEnd w:id="0"/>
      <w:bookmarkEnd w:id="1"/>
      <w:bookmarkEnd w:id="2"/>
      <w:bookmarkEnd w:id="3"/>
    </w:p>
    <w:p w14:paraId="7FBFE22B">
      <w:pPr>
        <w:rPr>
          <w:rFonts w:hint="eastAsia" w:ascii="宋体" w:hAnsi="宋体" w:eastAsia="宋体" w:cs="宋体"/>
          <w:color w:val="auto"/>
          <w:highlight w:val="none"/>
        </w:rPr>
      </w:pPr>
      <w:bookmarkStart w:id="4" w:name="_Toc432106468"/>
      <w:bookmarkStart w:id="5" w:name="_Toc86124033"/>
      <w:bookmarkStart w:id="6" w:name="_Toc432194819"/>
      <w:bookmarkStart w:id="7" w:name="OLE_LINK1"/>
    </w:p>
    <w:p w14:paraId="2EC30DEA">
      <w:pPr>
        <w:pBdr>
          <w:top w:val="single" w:color="auto" w:sz="4" w:space="1"/>
          <w:left w:val="single" w:color="auto" w:sz="4" w:space="4"/>
          <w:bottom w:val="single" w:color="auto" w:sz="4" w:space="0"/>
          <w:right w:val="single" w:color="auto" w:sz="4" w:space="4"/>
        </w:pBd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项目概况</w:t>
      </w:r>
    </w:p>
    <w:p w14:paraId="6EA55938">
      <w:pPr>
        <w:pBdr>
          <w:top w:val="single" w:color="auto" w:sz="4" w:space="1"/>
          <w:left w:val="single" w:color="auto" w:sz="4" w:space="4"/>
          <w:bottom w:val="single" w:color="auto" w:sz="4" w:space="0"/>
          <w:right w:val="single" w:color="auto" w:sz="4" w:space="4"/>
        </w:pBd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lang w:eastAsia="zh-CN"/>
        </w:rPr>
        <w:t>弥勒市疾病预防控制中心鼠疫实验室改造项目（二次）</w:t>
      </w:r>
      <w:r>
        <w:rPr>
          <w:rFonts w:hint="eastAsia" w:ascii="宋体" w:hAnsi="宋体" w:eastAsia="宋体" w:cs="宋体"/>
          <w:color w:val="auto"/>
          <w:szCs w:val="21"/>
          <w:highlight w:val="none"/>
        </w:rPr>
        <w:t>的潜在供应商应在政采云平台（https://www.zcygov.cn/）获取</w:t>
      </w:r>
      <w:r>
        <w:rPr>
          <w:rFonts w:hint="eastAsia" w:ascii="宋体" w:hAnsi="宋体" w:eastAsia="宋体" w:cs="宋体"/>
          <w:color w:val="auto"/>
          <w:szCs w:val="21"/>
          <w:highlight w:val="none"/>
          <w:lang w:eastAsia="zh-CN"/>
        </w:rPr>
        <w:t>竞争性磋商文件</w:t>
      </w:r>
      <w:r>
        <w:rPr>
          <w:rFonts w:hint="eastAsia" w:ascii="宋体" w:hAnsi="宋体" w:eastAsia="宋体" w:cs="宋体"/>
          <w:color w:val="auto"/>
          <w:szCs w:val="21"/>
          <w:highlight w:val="none"/>
        </w:rPr>
        <w:t>，并于</w:t>
      </w:r>
      <w:r>
        <w:rPr>
          <w:rFonts w:hint="eastAsia" w:ascii="宋体" w:hAnsi="宋体" w:eastAsia="宋体" w:cs="宋体"/>
          <w:b/>
          <w:color w:val="auto"/>
          <w:szCs w:val="21"/>
          <w:highlight w:val="none"/>
          <w:u w:val="single"/>
          <w:lang w:eastAsia="zh-CN"/>
        </w:rPr>
        <w:t>2025年12月02日14点30分</w:t>
      </w:r>
      <w:r>
        <w:rPr>
          <w:rFonts w:hint="eastAsia" w:ascii="宋体" w:hAnsi="宋体" w:eastAsia="宋体" w:cs="宋体"/>
          <w:bCs/>
          <w:color w:val="auto"/>
          <w:szCs w:val="21"/>
          <w:highlight w:val="none"/>
        </w:rPr>
        <w:t>（北京时间）前提交响应文件</w:t>
      </w:r>
      <w:r>
        <w:rPr>
          <w:rFonts w:hint="eastAsia" w:ascii="宋体" w:hAnsi="宋体" w:eastAsia="宋体" w:cs="宋体"/>
          <w:color w:val="auto"/>
          <w:szCs w:val="21"/>
          <w:highlight w:val="none"/>
        </w:rPr>
        <w:t>。</w:t>
      </w:r>
    </w:p>
    <w:bookmarkEnd w:id="4"/>
    <w:bookmarkEnd w:id="5"/>
    <w:bookmarkEnd w:id="6"/>
    <w:p w14:paraId="22E392DB">
      <w:pPr>
        <w:pStyle w:val="3"/>
        <w:jc w:val="left"/>
        <w:rPr>
          <w:rFonts w:hint="eastAsia" w:ascii="宋体" w:hAnsi="宋体" w:eastAsia="宋体" w:cs="宋体"/>
          <w:color w:val="auto"/>
          <w:highlight w:val="none"/>
        </w:rPr>
      </w:pPr>
      <w:bookmarkStart w:id="8" w:name="_Toc1087811935"/>
      <w:bookmarkStart w:id="9" w:name="_Toc80867891"/>
      <w:bookmarkStart w:id="10" w:name="_Toc470096298"/>
      <w:bookmarkStart w:id="11" w:name="_Toc34335268"/>
      <w:bookmarkStart w:id="12" w:name="_Toc432106469"/>
      <w:bookmarkStart w:id="13" w:name="_Toc432194820"/>
      <w:r>
        <w:rPr>
          <w:rFonts w:hint="eastAsia" w:ascii="宋体" w:hAnsi="宋体" w:eastAsia="宋体" w:cs="宋体"/>
          <w:color w:val="auto"/>
          <w:highlight w:val="none"/>
        </w:rPr>
        <w:t>一、项目基本概况</w:t>
      </w:r>
      <w:bookmarkEnd w:id="8"/>
      <w:bookmarkEnd w:id="9"/>
      <w:bookmarkEnd w:id="10"/>
      <w:bookmarkEnd w:id="11"/>
      <w:bookmarkEnd w:id="12"/>
      <w:bookmarkEnd w:id="13"/>
    </w:p>
    <w:p w14:paraId="072DC6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1.项目编号：</w:t>
      </w:r>
      <w:r>
        <w:rPr>
          <w:rFonts w:hint="eastAsia" w:ascii="宋体" w:hAnsi="宋体" w:eastAsia="宋体" w:cs="宋体"/>
          <w:color w:val="auto"/>
          <w:szCs w:val="21"/>
          <w:highlight w:val="none"/>
          <w:lang w:eastAsia="zh-CN"/>
        </w:rPr>
        <w:t>HHZC2025-C2-02715-XXGC-0006</w:t>
      </w:r>
      <w:r>
        <w:rPr>
          <w:rFonts w:hint="eastAsia" w:ascii="宋体" w:hAnsi="宋体" w:eastAsia="宋体" w:cs="宋体"/>
          <w:color w:val="auto"/>
          <w:szCs w:val="21"/>
          <w:highlight w:val="none"/>
        </w:rPr>
        <w:t>；</w:t>
      </w:r>
    </w:p>
    <w:p w14:paraId="59894B7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2.项目名称：</w:t>
      </w:r>
      <w:r>
        <w:rPr>
          <w:rFonts w:hint="eastAsia" w:ascii="宋体" w:hAnsi="宋体" w:eastAsia="宋体" w:cs="宋体"/>
          <w:color w:val="auto"/>
          <w:szCs w:val="21"/>
          <w:highlight w:val="none"/>
          <w:lang w:eastAsia="zh-CN"/>
        </w:rPr>
        <w:t>弥勒市疾病预防控制中心鼠疫实验室改造项目（二次）</w:t>
      </w:r>
      <w:r>
        <w:rPr>
          <w:rFonts w:hint="eastAsia" w:ascii="宋体" w:hAnsi="宋体" w:eastAsia="宋体" w:cs="宋体"/>
          <w:color w:val="auto"/>
          <w:szCs w:val="21"/>
          <w:highlight w:val="none"/>
        </w:rPr>
        <w:t>；</w:t>
      </w:r>
    </w:p>
    <w:p w14:paraId="77B9C1F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3.采购方式：</w:t>
      </w:r>
      <w:r>
        <w:rPr>
          <w:rFonts w:hint="eastAsia" w:ascii="宋体" w:hAnsi="宋体" w:eastAsia="宋体" w:cs="宋体"/>
          <w:color w:val="auto"/>
          <w:szCs w:val="21"/>
          <w:highlight w:val="none"/>
        </w:rPr>
        <w:t xml:space="preserve">竞争性磋商； </w:t>
      </w:r>
    </w:p>
    <w:p w14:paraId="2221194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4.预算金额：</w:t>
      </w:r>
      <w:r>
        <w:rPr>
          <w:rFonts w:hint="eastAsia" w:ascii="宋体" w:hAnsi="宋体" w:eastAsia="宋体" w:cs="宋体"/>
          <w:b/>
          <w:bCs/>
          <w:color w:val="auto"/>
          <w:sz w:val="21"/>
          <w:szCs w:val="21"/>
          <w:highlight w:val="none"/>
          <w:lang w:eastAsia="zh-CN"/>
        </w:rPr>
        <w:t>70万元</w:t>
      </w:r>
      <w:r>
        <w:rPr>
          <w:rFonts w:hint="eastAsia" w:ascii="宋体" w:hAnsi="宋体" w:eastAsia="宋体" w:cs="宋体"/>
          <w:color w:val="auto"/>
          <w:szCs w:val="21"/>
          <w:highlight w:val="none"/>
        </w:rPr>
        <w:t>；</w:t>
      </w:r>
    </w:p>
    <w:p w14:paraId="66254EE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5.最高限价：</w:t>
      </w:r>
      <w:r>
        <w:rPr>
          <w:rFonts w:hint="eastAsia" w:ascii="宋体" w:hAnsi="宋体" w:eastAsia="宋体" w:cs="宋体"/>
          <w:b/>
          <w:bCs/>
          <w:color w:val="auto"/>
          <w:szCs w:val="21"/>
          <w:highlight w:val="none"/>
          <w:lang w:eastAsia="zh-CN"/>
        </w:rPr>
        <w:t>70万元</w:t>
      </w:r>
      <w:r>
        <w:rPr>
          <w:rFonts w:hint="eastAsia" w:ascii="宋体" w:hAnsi="宋体" w:eastAsia="宋体" w:cs="宋体"/>
          <w:color w:val="auto"/>
          <w:szCs w:val="21"/>
          <w:highlight w:val="none"/>
        </w:rPr>
        <w:t>；</w:t>
      </w:r>
    </w:p>
    <w:p w14:paraId="1392BFA6">
      <w:pPr>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rPr>
        <w:t>6.采购需求：</w:t>
      </w:r>
      <w:r>
        <w:rPr>
          <w:rFonts w:hint="eastAsia" w:ascii="宋体" w:hAnsi="宋体" w:eastAsia="宋体" w:cs="宋体"/>
          <w:b w:val="0"/>
          <w:bCs w:val="0"/>
          <w:color w:val="auto"/>
          <w:szCs w:val="21"/>
          <w:highlight w:val="none"/>
        </w:rPr>
        <w:t>为达到鼠疫生物安全实验室生物安全要求，须进行全面改造，改造后将新增独立试剂间、核酸提取间、PCR扩增间以及独立人流和物流通道，人流物流满足生物安全流程，空间布局满足试剂配置、鼠种鉴定、蚤类鉴定、鼠体解剖、细菌学检测、血清学检测、鼠疫耶尔森氏杆菌PCR检测以及其他实验室监测需求。</w:t>
      </w:r>
    </w:p>
    <w:p w14:paraId="3F83881C">
      <w:pPr>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7.工程范围与内容：</w:t>
      </w:r>
    </w:p>
    <w:p w14:paraId="13ACCA3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完成本项目招标范围施工图设计包含的所有工作内容的工程施工，组织各阶段的验收及竣工验收工作，完成竣工图的编制、资料归档及缺陷责任期内的缺陷修复和保修期内的保修工作等。具体工作内容及要求以采购人实际委托的为准。</w:t>
      </w:r>
    </w:p>
    <w:p w14:paraId="0746908A">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
          <w:bCs/>
          <w:color w:val="auto"/>
          <w:szCs w:val="21"/>
          <w:highlight w:val="none"/>
        </w:rPr>
        <w:t>8.项目实施地点：</w:t>
      </w:r>
      <w:r>
        <w:rPr>
          <w:rFonts w:hint="eastAsia" w:ascii="宋体" w:hAnsi="宋体" w:eastAsia="宋体" w:cs="宋体"/>
          <w:b w:val="0"/>
          <w:bCs w:val="0"/>
          <w:color w:val="auto"/>
          <w:sz w:val="21"/>
          <w:szCs w:val="21"/>
          <w:highlight w:val="none"/>
          <w:lang w:eastAsia="zh-CN"/>
        </w:rPr>
        <w:t>弥勒市疾病预防控制中心</w:t>
      </w:r>
      <w:r>
        <w:rPr>
          <w:rFonts w:hint="eastAsia" w:ascii="宋体" w:hAnsi="宋体" w:eastAsia="宋体" w:cs="宋体"/>
          <w:b w:val="0"/>
          <w:bCs w:val="0"/>
          <w:color w:val="auto"/>
          <w:sz w:val="21"/>
          <w:szCs w:val="21"/>
          <w:highlight w:val="none"/>
          <w:lang w:val="en-US" w:eastAsia="zh-CN"/>
        </w:rPr>
        <w:t>（建设方指定位置）</w:t>
      </w:r>
      <w:r>
        <w:rPr>
          <w:rFonts w:hint="eastAsia" w:ascii="宋体" w:hAnsi="宋体" w:eastAsia="宋体" w:cs="宋体"/>
          <w:color w:val="auto"/>
          <w:sz w:val="21"/>
          <w:szCs w:val="21"/>
          <w:highlight w:val="none"/>
          <w:lang w:eastAsia="zh-CN"/>
        </w:rPr>
        <w:t>。</w:t>
      </w:r>
    </w:p>
    <w:p w14:paraId="4BDBA196">
      <w:pPr>
        <w:spacing w:line="360" w:lineRule="auto"/>
        <w:ind w:firstLine="420" w:firstLineChars="200"/>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lang w:val="en-US"/>
        </w:rPr>
        <w:t>施工工期：</w:t>
      </w:r>
      <w:r>
        <w:rPr>
          <w:rFonts w:hint="eastAsia" w:ascii="宋体" w:hAnsi="宋体" w:eastAsia="宋体" w:cs="宋体"/>
          <w:b w:val="0"/>
          <w:bCs w:val="0"/>
          <w:color w:val="auto"/>
          <w:sz w:val="21"/>
          <w:szCs w:val="21"/>
          <w:highlight w:val="none"/>
          <w:lang w:val="en-US"/>
        </w:rPr>
        <w:t>接到施工通知之日起</w:t>
      </w:r>
      <w:r>
        <w:rPr>
          <w:rFonts w:hint="eastAsia" w:ascii="宋体" w:hAnsi="宋体" w:eastAsia="宋体" w:cs="宋体"/>
          <w:b w:val="0"/>
          <w:bCs w:val="0"/>
          <w:color w:val="auto"/>
          <w:sz w:val="21"/>
          <w:szCs w:val="21"/>
          <w:highlight w:val="none"/>
          <w:lang w:val="en-US" w:eastAsia="zh-CN"/>
        </w:rPr>
        <w:t>60日</w:t>
      </w:r>
      <w:r>
        <w:rPr>
          <w:rFonts w:hint="eastAsia" w:ascii="宋体" w:hAnsi="宋体" w:eastAsia="宋体" w:cs="宋体"/>
          <w:b w:val="0"/>
          <w:bCs w:val="0"/>
          <w:color w:val="auto"/>
          <w:sz w:val="21"/>
          <w:szCs w:val="21"/>
          <w:highlight w:val="none"/>
          <w:lang w:val="en-US"/>
        </w:rPr>
        <w:t>历天（施工工期）；全过程协助业主方完成</w:t>
      </w:r>
      <w:r>
        <w:rPr>
          <w:rFonts w:hint="eastAsia" w:ascii="宋体" w:hAnsi="宋体" w:eastAsia="宋体" w:cs="宋体"/>
          <w:b w:val="0"/>
          <w:bCs w:val="0"/>
          <w:color w:val="auto"/>
          <w:sz w:val="21"/>
          <w:szCs w:val="21"/>
          <w:highlight w:val="none"/>
          <w:lang w:val="en-US" w:eastAsia="zh-CN"/>
        </w:rPr>
        <w:t>弥勒市疾病预防控制中心鼠疫实验室改造项目（二次）</w:t>
      </w:r>
      <w:r>
        <w:rPr>
          <w:rFonts w:hint="eastAsia" w:ascii="宋体" w:hAnsi="宋体" w:eastAsia="宋体" w:cs="宋体"/>
          <w:b w:val="0"/>
          <w:bCs w:val="0"/>
          <w:color w:val="auto"/>
          <w:sz w:val="21"/>
          <w:szCs w:val="21"/>
          <w:highlight w:val="none"/>
          <w:lang w:val="en-US"/>
        </w:rPr>
        <w:t>施工相关手续</w:t>
      </w:r>
      <w:r>
        <w:rPr>
          <w:rFonts w:hint="eastAsia" w:ascii="宋体" w:hAnsi="宋体" w:eastAsia="宋体" w:cs="宋体"/>
          <w:b w:val="0"/>
          <w:bCs w:val="0"/>
          <w:color w:val="auto"/>
          <w:sz w:val="21"/>
          <w:szCs w:val="21"/>
          <w:highlight w:val="none"/>
          <w:lang w:val="en-US" w:eastAsia="zh-CN"/>
        </w:rPr>
        <w:t>办理</w:t>
      </w:r>
      <w:r>
        <w:rPr>
          <w:rFonts w:hint="eastAsia" w:ascii="宋体" w:hAnsi="宋体" w:eastAsia="宋体" w:cs="宋体"/>
          <w:b w:val="0"/>
          <w:bCs w:val="0"/>
          <w:color w:val="auto"/>
          <w:sz w:val="21"/>
          <w:szCs w:val="21"/>
          <w:highlight w:val="none"/>
          <w:lang w:val="en-US"/>
        </w:rPr>
        <w:t>，并与业主方、造价、监理共同完成工程的各项竣工验收及办理工程竣工结算审计工作；</w:t>
      </w:r>
    </w:p>
    <w:p w14:paraId="16B30187">
      <w:pPr>
        <w:spacing w:line="360" w:lineRule="auto"/>
        <w:ind w:firstLine="420" w:firstLineChars="200"/>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质保期：</w:t>
      </w:r>
      <w:r>
        <w:rPr>
          <w:rFonts w:hint="eastAsia" w:ascii="宋体" w:hAnsi="宋体" w:eastAsia="宋体" w:cs="宋体"/>
          <w:b w:val="0"/>
          <w:bCs w:val="0"/>
          <w:color w:val="auto"/>
          <w:sz w:val="21"/>
          <w:szCs w:val="21"/>
          <w:highlight w:val="none"/>
        </w:rPr>
        <w:t>根据《房屋建筑工程质量保修办法》</w:t>
      </w:r>
      <w:r>
        <w:rPr>
          <w:rFonts w:hint="eastAsia" w:ascii="宋体" w:hAnsi="宋体" w:eastAsia="宋体" w:cs="宋体"/>
          <w:b w:val="0"/>
          <w:bCs w:val="0"/>
          <w:color w:val="auto"/>
          <w:sz w:val="21"/>
          <w:szCs w:val="21"/>
          <w:highlight w:val="none"/>
          <w:lang w:val="en-US" w:eastAsia="zh-CN"/>
        </w:rPr>
        <w:t>执行，自验收合格之日起算。</w:t>
      </w:r>
    </w:p>
    <w:p w14:paraId="1CD50B03">
      <w:pPr>
        <w:snapToGrid w:val="0"/>
        <w:spacing w:line="360" w:lineRule="auto"/>
        <w:ind w:firstLine="420" w:firstLineChars="200"/>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lang w:val="en-US" w:eastAsia="zh-CN"/>
        </w:rPr>
        <w:t>11</w:t>
      </w:r>
      <w:r>
        <w:rPr>
          <w:rFonts w:hint="eastAsia" w:ascii="宋体" w:hAnsi="宋体" w:eastAsia="宋体" w:cs="宋体"/>
          <w:b/>
          <w:bCs/>
          <w:color w:val="auto"/>
          <w:szCs w:val="21"/>
          <w:highlight w:val="none"/>
        </w:rPr>
        <w:t>.合同履行期限：</w:t>
      </w:r>
      <w:r>
        <w:rPr>
          <w:rFonts w:hint="eastAsia" w:ascii="宋体" w:hAnsi="宋体" w:eastAsia="宋体" w:cs="宋体"/>
          <w:b w:val="0"/>
          <w:bCs w:val="0"/>
          <w:color w:val="auto"/>
          <w:szCs w:val="21"/>
          <w:highlight w:val="none"/>
          <w:lang w:val="en-US" w:eastAsia="zh-CN"/>
        </w:rPr>
        <w:t>自合同签订之日起至质保期结束</w:t>
      </w:r>
      <w:r>
        <w:rPr>
          <w:rFonts w:hint="eastAsia" w:ascii="宋体" w:hAnsi="宋体" w:eastAsia="宋体" w:cs="宋体"/>
          <w:b w:val="0"/>
          <w:bCs w:val="0"/>
          <w:color w:val="auto"/>
          <w:szCs w:val="21"/>
          <w:highlight w:val="none"/>
          <w:lang w:eastAsia="zh-CN"/>
        </w:rPr>
        <w:t>。</w:t>
      </w:r>
    </w:p>
    <w:p w14:paraId="56C8A0D8">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技术标准：</w:t>
      </w:r>
      <w:r>
        <w:rPr>
          <w:rFonts w:hint="eastAsia" w:ascii="宋体" w:hAnsi="宋体" w:eastAsia="宋体" w:cs="宋体"/>
          <w:b w:val="0"/>
          <w:bCs w:val="0"/>
          <w:color w:val="auto"/>
          <w:sz w:val="21"/>
          <w:szCs w:val="21"/>
          <w:highlight w:val="none"/>
        </w:rPr>
        <w:t>按照施工图设计要求完成</w:t>
      </w:r>
      <w:r>
        <w:rPr>
          <w:rFonts w:hint="eastAsia" w:ascii="宋体" w:hAnsi="宋体" w:eastAsia="宋体" w:cs="宋体"/>
          <w:b w:val="0"/>
          <w:bCs w:val="0"/>
          <w:color w:val="auto"/>
          <w:sz w:val="21"/>
          <w:szCs w:val="21"/>
          <w:highlight w:val="none"/>
          <w:lang w:eastAsia="zh-CN"/>
        </w:rPr>
        <w:t>弥勒市疾病预防控制中心鼠疫实验室改造项目（二次）</w:t>
      </w:r>
      <w:r>
        <w:rPr>
          <w:rFonts w:hint="eastAsia" w:ascii="宋体" w:hAnsi="宋体" w:eastAsia="宋体" w:cs="宋体"/>
          <w:b w:val="0"/>
          <w:bCs w:val="0"/>
          <w:color w:val="auto"/>
          <w:sz w:val="21"/>
          <w:szCs w:val="21"/>
          <w:highlight w:val="none"/>
        </w:rPr>
        <w:t>；确保满足项目使用需求及功能满足；达到本工程项目中列明的技术质量要求。</w:t>
      </w:r>
    </w:p>
    <w:p w14:paraId="4DF66527">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13.</w:t>
      </w:r>
      <w:r>
        <w:rPr>
          <w:rFonts w:hint="eastAsia" w:ascii="宋体" w:hAnsi="宋体" w:eastAsia="宋体" w:cs="宋体"/>
          <w:b/>
          <w:bCs/>
          <w:color w:val="auto"/>
          <w:sz w:val="21"/>
          <w:szCs w:val="21"/>
          <w:highlight w:val="none"/>
        </w:rPr>
        <w:t>质量要求：</w:t>
      </w:r>
      <w:r>
        <w:rPr>
          <w:rFonts w:hint="eastAsia" w:ascii="宋体" w:hAnsi="宋体" w:eastAsia="宋体" w:cs="宋体"/>
          <w:b w:val="0"/>
          <w:bCs w:val="0"/>
          <w:color w:val="auto"/>
          <w:sz w:val="21"/>
          <w:szCs w:val="21"/>
          <w:highlight w:val="none"/>
        </w:rPr>
        <w:t>施工部分符合《建筑工程施工质量验收统一标准》（GB50300-2013）、《云南省建筑工程施工质量验收统一规程》（DBJ53/T-23-2014）等国家、地方及行业现行标准、规范和规程的要求，确保工程一次性验收合格。</w:t>
      </w:r>
    </w:p>
    <w:p w14:paraId="36C35E35">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rPr>
        <w:t>验收标准：</w:t>
      </w:r>
      <w:r>
        <w:rPr>
          <w:rFonts w:hint="eastAsia" w:ascii="宋体" w:hAnsi="宋体" w:eastAsia="宋体" w:cs="宋体"/>
          <w:b w:val="0"/>
          <w:bCs w:val="0"/>
          <w:color w:val="auto"/>
          <w:sz w:val="21"/>
          <w:szCs w:val="21"/>
          <w:highlight w:val="none"/>
          <w:lang w:eastAsia="zh-CN"/>
        </w:rPr>
        <w:t>施工符合国家、行业及地方现行标准、规范和规程的要求，确保工程一次性验收合格</w:t>
      </w:r>
      <w:r>
        <w:rPr>
          <w:rFonts w:hint="eastAsia" w:ascii="宋体" w:hAnsi="宋体" w:eastAsia="宋体" w:cs="宋体"/>
          <w:b w:val="0"/>
          <w:bCs w:val="0"/>
          <w:color w:val="auto"/>
          <w:sz w:val="21"/>
          <w:szCs w:val="21"/>
          <w:highlight w:val="none"/>
        </w:rPr>
        <w:t>。</w:t>
      </w:r>
    </w:p>
    <w:p w14:paraId="1EFC538C">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15</w:t>
      </w:r>
      <w:r>
        <w:rPr>
          <w:rFonts w:hint="eastAsia" w:ascii="宋体" w:hAnsi="宋体" w:eastAsia="宋体" w:cs="宋体"/>
          <w:b/>
          <w:bCs/>
          <w:color w:val="auto"/>
          <w:highlight w:val="none"/>
        </w:rPr>
        <w:t>.</w:t>
      </w:r>
      <w:r>
        <w:rPr>
          <w:rFonts w:hint="eastAsia" w:ascii="宋体" w:hAnsi="宋体" w:eastAsia="宋体" w:cs="宋体"/>
          <w:color w:val="auto"/>
          <w:highlight w:val="none"/>
        </w:rPr>
        <w:t>本项目</w:t>
      </w:r>
      <w:r>
        <w:rPr>
          <w:rFonts w:hint="eastAsia" w:ascii="宋体" w:hAnsi="宋体" w:eastAsia="宋体" w:cs="宋体"/>
          <w:b/>
          <w:bCs/>
          <w:color w:val="auto"/>
          <w:highlight w:val="none"/>
          <w:u w:val="single"/>
        </w:rPr>
        <w:t>不接受</w:t>
      </w:r>
      <w:r>
        <w:rPr>
          <w:rFonts w:hint="eastAsia" w:ascii="宋体" w:hAnsi="宋体" w:eastAsia="宋体" w:cs="宋体"/>
          <w:color w:val="auto"/>
          <w:highlight w:val="none"/>
        </w:rPr>
        <w:t>联合体参与磋商。</w:t>
      </w:r>
    </w:p>
    <w:p w14:paraId="46D7F8C4">
      <w:pPr>
        <w:pStyle w:val="3"/>
        <w:jc w:val="left"/>
        <w:rPr>
          <w:rFonts w:hint="eastAsia" w:ascii="宋体" w:hAnsi="宋体" w:eastAsia="宋体" w:cs="宋体"/>
          <w:color w:val="auto"/>
          <w:highlight w:val="none"/>
        </w:rPr>
      </w:pPr>
      <w:bookmarkStart w:id="14" w:name="_Toc34335269"/>
      <w:bookmarkStart w:id="15" w:name="_Toc432106470"/>
      <w:bookmarkStart w:id="16" w:name="_Toc1326904634"/>
      <w:bookmarkStart w:id="17" w:name="_Toc470096299"/>
      <w:bookmarkStart w:id="18" w:name="_Toc80867892"/>
      <w:bookmarkStart w:id="19" w:name="_Toc86124035"/>
      <w:bookmarkStart w:id="20" w:name="_Toc432194821"/>
      <w:r>
        <w:rPr>
          <w:rFonts w:hint="eastAsia" w:ascii="宋体" w:hAnsi="宋体" w:eastAsia="宋体" w:cs="宋体"/>
          <w:color w:val="auto"/>
          <w:highlight w:val="none"/>
        </w:rPr>
        <w:t>二、申请人的资格要求</w:t>
      </w:r>
      <w:bookmarkEnd w:id="14"/>
      <w:bookmarkEnd w:id="15"/>
      <w:bookmarkEnd w:id="16"/>
      <w:bookmarkEnd w:id="17"/>
      <w:bookmarkEnd w:id="18"/>
      <w:bookmarkEnd w:id="19"/>
      <w:bookmarkEnd w:id="20"/>
    </w:p>
    <w:p w14:paraId="22989873">
      <w:pPr>
        <w:tabs>
          <w:tab w:val="left" w:pos="720"/>
          <w:tab w:val="left" w:pos="8295"/>
        </w:tabs>
        <w:spacing w:line="360" w:lineRule="auto"/>
        <w:ind w:firstLine="420" w:firstLineChars="200"/>
        <w:jc w:val="left"/>
        <w:rPr>
          <w:rFonts w:hint="eastAsia" w:ascii="宋体" w:hAnsi="宋体" w:eastAsia="宋体" w:cs="宋体"/>
          <w:b/>
          <w:bCs/>
          <w:color w:val="auto"/>
          <w:szCs w:val="21"/>
          <w:highlight w:val="none"/>
          <w:lang w:eastAsia="zh-CN"/>
        </w:rPr>
      </w:pPr>
      <w:bookmarkStart w:id="21" w:name="_Toc223860499"/>
      <w:r>
        <w:rPr>
          <w:rFonts w:hint="eastAsia" w:ascii="宋体" w:hAnsi="宋体" w:eastAsia="宋体" w:cs="宋体"/>
          <w:b/>
          <w:bCs/>
          <w:color w:val="auto"/>
          <w:szCs w:val="21"/>
          <w:highlight w:val="none"/>
        </w:rPr>
        <w:t>1.满足《中华人民共和国政府采购法》第二十二条规定</w:t>
      </w:r>
      <w:r>
        <w:rPr>
          <w:rFonts w:hint="eastAsia" w:ascii="宋体" w:hAnsi="宋体" w:eastAsia="宋体" w:cs="宋体"/>
          <w:b/>
          <w:bCs/>
          <w:color w:val="auto"/>
          <w:szCs w:val="21"/>
          <w:highlight w:val="none"/>
          <w:lang w:eastAsia="zh-CN"/>
        </w:rPr>
        <w:t>：</w:t>
      </w:r>
    </w:p>
    <w:p w14:paraId="3ADD3C3E">
      <w:pPr>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b/>
          <w:bCs/>
          <w:color w:val="auto"/>
          <w:kern w:val="0"/>
          <w:szCs w:val="21"/>
          <w:highlight w:val="none"/>
        </w:rPr>
        <w:t>具有独立承担民事责任的能力：</w:t>
      </w:r>
      <w:r>
        <w:rPr>
          <w:rFonts w:hint="eastAsia" w:ascii="宋体" w:hAnsi="宋体" w:eastAsia="宋体" w:cs="宋体"/>
          <w:color w:val="auto"/>
          <w:kern w:val="0"/>
          <w:szCs w:val="21"/>
          <w:highlight w:val="none"/>
        </w:rPr>
        <w:t>供应商须是具有独立承担民事责任能力的</w:t>
      </w:r>
      <w:r>
        <w:rPr>
          <w:rFonts w:hint="eastAsia" w:ascii="宋体" w:hAnsi="宋体" w:eastAsia="宋体" w:cs="宋体"/>
          <w:color w:val="auto"/>
          <w:szCs w:val="21"/>
          <w:highlight w:val="none"/>
        </w:rPr>
        <w:t>法人、其他组织；（①若供应商是企业，提供有效的“营业执照”；②若供应商是事业单位，提供有效的“事业单位法人证书”；③若供应商是非企业专业服务机构的，提供有效的法定证明文件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1AE0B8C5">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1.2具有良好的商业信誉和健全的财务会计制度</w:t>
      </w:r>
    </w:p>
    <w:p w14:paraId="0DE40C61">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具有良好的商业信誉：</w:t>
      </w:r>
      <w:r>
        <w:rPr>
          <w:rFonts w:hint="eastAsia" w:ascii="宋体" w:hAnsi="宋体" w:eastAsia="宋体" w:cs="宋体"/>
          <w:color w:val="auto"/>
          <w:szCs w:val="21"/>
          <w:highlight w:val="none"/>
        </w:rPr>
        <w:t>①查询渠道：“信用中国”网站（www.creditchina.gov.cn）和“中国政府采购”网站（www.ccgp.gov.cn）；</w:t>
      </w:r>
      <w:r>
        <w:rPr>
          <w:rFonts w:hint="eastAsia" w:ascii="宋体" w:hAnsi="宋体" w:eastAsia="宋体" w:cs="宋体"/>
          <w:color w:val="auto"/>
          <w:kern w:val="0"/>
          <w:szCs w:val="21"/>
          <w:highlight w:val="none"/>
        </w:rPr>
        <w:t>②</w:t>
      </w:r>
      <w:r>
        <w:rPr>
          <w:rFonts w:hint="eastAsia" w:ascii="宋体" w:hAnsi="宋体" w:eastAsia="宋体" w:cs="宋体"/>
          <w:color w:val="auto"/>
          <w:szCs w:val="21"/>
          <w:highlight w:val="none"/>
        </w:rPr>
        <w:t>截止时点：</w:t>
      </w:r>
      <w:r>
        <w:rPr>
          <w:rFonts w:hint="eastAsia" w:ascii="宋体" w:hAnsi="宋体" w:eastAsia="宋体" w:cs="宋体"/>
          <w:color w:val="auto"/>
          <w:szCs w:val="21"/>
          <w:highlight w:val="none"/>
          <w:lang w:eastAsia="zh-CN"/>
        </w:rPr>
        <w:t>采购人或采购代理机构的实际查询时间</w:t>
      </w:r>
      <w:r>
        <w:rPr>
          <w:rFonts w:hint="eastAsia" w:ascii="宋体" w:hAnsi="宋体" w:eastAsia="宋体" w:cs="宋体"/>
          <w:color w:val="auto"/>
          <w:szCs w:val="21"/>
          <w:highlight w:val="none"/>
          <w:lang w:val="en-US" w:eastAsia="zh-CN"/>
        </w:rPr>
        <w:t>为本公告发布之日起至提交响应文件截止时间止</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③</w:t>
      </w:r>
      <w:r>
        <w:rPr>
          <w:rFonts w:hint="eastAsia" w:ascii="宋体" w:hAnsi="宋体" w:eastAsia="宋体" w:cs="宋体"/>
          <w:color w:val="auto"/>
          <w:szCs w:val="21"/>
          <w:highlight w:val="none"/>
        </w:rPr>
        <w:t>信用信息查询记录和证据留存具体方式：查询结果网页打印页作为查询记录和证据，与</w:t>
      </w:r>
      <w:r>
        <w:rPr>
          <w:rFonts w:hint="eastAsia" w:ascii="宋体" w:hAnsi="宋体" w:eastAsia="宋体" w:cs="宋体"/>
          <w:color w:val="auto"/>
          <w:szCs w:val="21"/>
          <w:highlight w:val="none"/>
          <w:lang w:val="en-US" w:eastAsia="zh-CN"/>
        </w:rPr>
        <w:t>项目备案资料</w:t>
      </w:r>
      <w:r>
        <w:rPr>
          <w:rFonts w:hint="eastAsia" w:ascii="宋体" w:hAnsi="宋体" w:eastAsia="宋体" w:cs="宋体"/>
          <w:color w:val="auto"/>
          <w:szCs w:val="21"/>
          <w:highlight w:val="none"/>
        </w:rPr>
        <w:t>一并保存；④信用信息的使用原则：经认定被列入“信用中国”网站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失信被执行人、重大税收违法</w:t>
      </w:r>
      <w:r>
        <w:rPr>
          <w:rFonts w:hint="eastAsia" w:ascii="宋体" w:hAnsi="宋体" w:eastAsia="宋体" w:cs="宋体"/>
          <w:color w:val="auto"/>
          <w:szCs w:val="21"/>
          <w:highlight w:val="none"/>
          <w:lang w:val="en-US" w:eastAsia="zh-CN"/>
        </w:rPr>
        <w:t>失信主体</w:t>
      </w:r>
      <w:r>
        <w:rPr>
          <w:rFonts w:hint="eastAsia" w:ascii="宋体" w:hAnsi="宋体" w:eastAsia="宋体" w:cs="宋体"/>
          <w:color w:val="auto"/>
          <w:szCs w:val="21"/>
          <w:highlight w:val="none"/>
        </w:rPr>
        <w:t>、政府采购严重违法失信行为记录名单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和</w:t>
      </w:r>
      <w:r>
        <w:rPr>
          <w:rFonts w:hint="eastAsia" w:ascii="宋体" w:hAnsi="宋体" w:eastAsia="宋体" w:cs="宋体"/>
          <w:color w:val="auto"/>
          <w:szCs w:val="21"/>
          <w:highlight w:val="none"/>
        </w:rPr>
        <w:t>“中国政府采购”网站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政府采购严重违法失信行为记录名单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的供应商，其响应无效</w:t>
      </w:r>
      <w:r>
        <w:rPr>
          <w:rFonts w:hint="eastAsia" w:ascii="宋体" w:hAnsi="宋体" w:eastAsia="宋体" w:cs="宋体"/>
          <w:color w:val="auto"/>
          <w:kern w:val="0"/>
          <w:szCs w:val="21"/>
          <w:highlight w:val="none"/>
        </w:rPr>
        <w:t>。</w:t>
      </w:r>
      <w:r>
        <w:rPr>
          <w:rFonts w:hint="eastAsia" w:ascii="宋体" w:hAnsi="宋体" w:eastAsia="宋体" w:cs="宋体"/>
          <w:b/>
          <w:color w:val="auto"/>
          <w:highlight w:val="none"/>
        </w:rPr>
        <w:t>（此部分不需要供应商提供证明材料）</w:t>
      </w:r>
    </w:p>
    <w:p w14:paraId="4EF7AC1A">
      <w:pPr>
        <w:spacing w:line="360" w:lineRule="auto"/>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kern w:val="0"/>
          <w:szCs w:val="21"/>
          <w:highlight w:val="none"/>
        </w:rPr>
        <w:t>具有健全的财务会计制度</w:t>
      </w:r>
    </w:p>
    <w:p w14:paraId="74749FCA">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color w:val="auto"/>
          <w:szCs w:val="21"/>
          <w:highlight w:val="none"/>
        </w:rPr>
        <w:t>供应商须</w:t>
      </w:r>
      <w:r>
        <w:rPr>
          <w:rFonts w:hint="eastAsia" w:ascii="宋体" w:hAnsi="宋体" w:eastAsia="宋体" w:cs="宋体"/>
          <w:color w:val="auto"/>
          <w:kern w:val="0"/>
          <w:szCs w:val="21"/>
          <w:highlight w:val="none"/>
        </w:rPr>
        <w:t>提供</w:t>
      </w:r>
      <w:r>
        <w:rPr>
          <w:rFonts w:hint="eastAsia" w:ascii="宋体" w:hAnsi="宋体" w:eastAsia="宋体" w:cs="宋体"/>
          <w:color w:val="auto"/>
          <w:szCs w:val="21"/>
          <w:highlight w:val="none"/>
          <w:lang w:bidi="ar"/>
        </w:rPr>
        <w:t>202</w:t>
      </w:r>
      <w:r>
        <w:rPr>
          <w:rFonts w:hint="eastAsia" w:ascii="宋体" w:hAnsi="宋体" w:eastAsia="宋体" w:cs="宋体"/>
          <w:color w:val="auto"/>
          <w:szCs w:val="21"/>
          <w:highlight w:val="none"/>
          <w:lang w:val="en-US" w:eastAsia="zh-CN" w:bidi="ar"/>
        </w:rPr>
        <w:t>3</w:t>
      </w:r>
      <w:r>
        <w:rPr>
          <w:rFonts w:hint="eastAsia" w:ascii="宋体" w:hAnsi="宋体" w:eastAsia="宋体" w:cs="宋体"/>
          <w:color w:val="auto"/>
          <w:szCs w:val="21"/>
          <w:highlight w:val="none"/>
          <w:lang w:bidi="ar"/>
        </w:rPr>
        <w:t>年或202</w:t>
      </w:r>
      <w:r>
        <w:rPr>
          <w:rFonts w:hint="eastAsia" w:ascii="宋体" w:hAnsi="宋体" w:eastAsia="宋体" w:cs="宋体"/>
          <w:color w:val="auto"/>
          <w:szCs w:val="21"/>
          <w:highlight w:val="none"/>
          <w:lang w:val="en-US" w:eastAsia="zh-CN" w:bidi="ar"/>
        </w:rPr>
        <w:t>4</w:t>
      </w:r>
      <w:r>
        <w:rPr>
          <w:rFonts w:hint="eastAsia" w:ascii="宋体" w:hAnsi="宋体" w:eastAsia="宋体" w:cs="宋体"/>
          <w:color w:val="auto"/>
          <w:szCs w:val="21"/>
          <w:highlight w:val="none"/>
          <w:lang w:bidi="ar"/>
        </w:rPr>
        <w:t>年</w:t>
      </w:r>
      <w:bookmarkStart w:id="22" w:name="OLE_LINK44"/>
      <w:r>
        <w:rPr>
          <w:rFonts w:hint="eastAsia" w:ascii="宋体" w:hAnsi="宋体" w:eastAsia="宋体" w:cs="宋体"/>
          <w:color w:val="auto"/>
          <w:szCs w:val="21"/>
          <w:highlight w:val="none"/>
          <w:lang w:bidi="ar"/>
        </w:rPr>
        <w:t>任</w:t>
      </w:r>
      <w:bookmarkEnd w:id="22"/>
      <w:r>
        <w:rPr>
          <w:rFonts w:hint="eastAsia" w:ascii="宋体" w:hAnsi="宋体" w:eastAsia="宋体" w:cs="宋体"/>
          <w:color w:val="auto"/>
          <w:szCs w:val="21"/>
          <w:highlight w:val="none"/>
          <w:lang w:bidi="ar"/>
        </w:rPr>
        <w:t>意一年度</w:t>
      </w:r>
      <w:r>
        <w:rPr>
          <w:rFonts w:hint="eastAsia" w:ascii="宋体" w:hAnsi="宋体" w:eastAsia="宋体" w:cs="宋体"/>
          <w:color w:val="auto"/>
          <w:kern w:val="0"/>
          <w:szCs w:val="21"/>
          <w:highlight w:val="none"/>
        </w:rPr>
        <w:t xml:space="preserve">经审计的财务会计报告及报表资料（至少包括：财务审计报告、资产负债表、利润表、现金流量表）；事业单位可提供内部财务报表；新成立企业，若成立时间至本项目提交响应文件截止时间不满1年的可提供成立至今的财务报表。 </w:t>
      </w:r>
    </w:p>
    <w:p w14:paraId="06BC034D">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w:t>
      </w:r>
      <w:r>
        <w:rPr>
          <w:rFonts w:hint="eastAsia" w:ascii="宋体" w:hAnsi="宋体" w:eastAsia="宋体" w:cs="宋体"/>
          <w:color w:val="auto"/>
          <w:szCs w:val="21"/>
          <w:highlight w:val="none"/>
        </w:rPr>
        <w:t>供应商须</w:t>
      </w:r>
      <w:r>
        <w:rPr>
          <w:rFonts w:hint="eastAsia" w:ascii="宋体" w:hAnsi="宋体" w:eastAsia="宋体" w:cs="宋体"/>
          <w:color w:val="auto"/>
          <w:kern w:val="0"/>
          <w:szCs w:val="21"/>
          <w:highlight w:val="none"/>
        </w:rPr>
        <w:t>提供在提交响应文件截止时间前三个月内银行开具的资信证明；（银行出具的资信证明无需针对本项目或本项目采购人）。</w:t>
      </w:r>
    </w:p>
    <w:p w14:paraId="0ED2163C">
      <w:pPr>
        <w:spacing w:line="360" w:lineRule="auto"/>
        <w:ind w:firstLine="422"/>
        <w:rPr>
          <w:rFonts w:hint="eastAsia" w:ascii="宋体" w:hAnsi="宋体" w:eastAsia="宋体" w:cs="宋体"/>
          <w:color w:val="auto"/>
          <w:highlight w:val="none"/>
        </w:rPr>
      </w:pPr>
      <w:r>
        <w:rPr>
          <w:rFonts w:hint="eastAsia" w:ascii="宋体" w:hAnsi="宋体" w:eastAsia="宋体" w:cs="宋体"/>
          <w:b/>
          <w:bCs/>
          <w:color w:val="auto"/>
          <w:kern w:val="0"/>
          <w:szCs w:val="21"/>
          <w:highlight w:val="none"/>
        </w:rPr>
        <w:t>备注：以上①-②项证明材料具有同等效力，供应商可根据自身情况提供上述任意一种证明材料</w:t>
      </w:r>
      <w:r>
        <w:rPr>
          <w:rFonts w:hint="eastAsia" w:ascii="宋体" w:hAnsi="宋体" w:eastAsia="宋体" w:cs="宋体"/>
          <w:b/>
          <w:bCs/>
          <w:color w:val="auto"/>
          <w:szCs w:val="21"/>
          <w:highlight w:val="none"/>
        </w:rPr>
        <w:t>。</w:t>
      </w:r>
    </w:p>
    <w:p w14:paraId="4C64D6B9">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1.3有依法缴纳税收和社会保障资金的良好记录</w:t>
      </w:r>
    </w:p>
    <w:p w14:paraId="740A88AA">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依法缴纳税收：供应商须提供缴税所属时间在202</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年1月1日起至提交响应文件截止之日内任意1个月的税务局税收通用缴款书或银行电子缴税（费）凭证或税务局出具纳税情况的相关证明；依法免税的，应提供依法免税的相关证明文件；新成立企业，若成立时间至本项目提交响应文件截止时间不足6个月的，提供相关内容情况说明或纳税证明材料。</w:t>
      </w:r>
    </w:p>
    <w:p w14:paraId="6423D443">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依法缴纳社会保障资金：供应商须提供缴费所属时间在202</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年1月1日起至提交响应文件截止之日内任意</w:t>
      </w:r>
      <w:bookmarkStart w:id="23" w:name="OLE_LINK72"/>
      <w:r>
        <w:rPr>
          <w:rFonts w:hint="eastAsia" w:ascii="宋体" w:hAnsi="宋体" w:eastAsia="宋体" w:cs="宋体"/>
          <w:color w:val="auto"/>
          <w:kern w:val="0"/>
          <w:szCs w:val="21"/>
          <w:highlight w:val="none"/>
        </w:rPr>
        <w:t>1</w:t>
      </w:r>
      <w:bookmarkEnd w:id="23"/>
      <w:r>
        <w:rPr>
          <w:rFonts w:hint="eastAsia" w:ascii="宋体" w:hAnsi="宋体" w:eastAsia="宋体" w:cs="宋体"/>
          <w:color w:val="auto"/>
          <w:kern w:val="0"/>
          <w:szCs w:val="21"/>
          <w:highlight w:val="none"/>
        </w:rPr>
        <w:t>个月的社会保险费缴款书或银行电子缴税（费）凭证或社保管理部门出具的有效的缴款证明；依法不需要缴纳社会保障资金的，应提供依法免缴的相关证明文件；新成立企业，若成立时间至本项目提交响应文件截止时间不足6个月的，提供相关内容情况说明或缴纳社保证明材料</w:t>
      </w:r>
      <w:bookmarkStart w:id="24" w:name="OLE_LINK84"/>
      <w:r>
        <w:rPr>
          <w:rFonts w:hint="eastAsia" w:ascii="宋体" w:hAnsi="宋体" w:eastAsia="宋体" w:cs="宋体"/>
          <w:color w:val="auto"/>
          <w:kern w:val="0"/>
          <w:szCs w:val="21"/>
          <w:highlight w:val="none"/>
        </w:rPr>
        <w:t>。</w:t>
      </w:r>
      <w:bookmarkEnd w:id="24"/>
    </w:p>
    <w:p w14:paraId="6DF2DB2E">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1.4具有履行合同所必需的设备和专业技术能力：</w:t>
      </w:r>
      <w:r>
        <w:rPr>
          <w:rFonts w:hint="eastAsia" w:ascii="宋体" w:hAnsi="宋体" w:eastAsia="宋体" w:cs="宋体"/>
          <w:color w:val="auto"/>
          <w:szCs w:val="21"/>
          <w:highlight w:val="none"/>
        </w:rPr>
        <w:t>供应商须具有履行合同所必需的设备和专业技术能力（</w:t>
      </w:r>
      <w:r>
        <w:rPr>
          <w:rFonts w:hint="eastAsia" w:ascii="宋体" w:hAnsi="宋体" w:eastAsia="宋体" w:cs="宋体"/>
          <w:b w:val="0"/>
          <w:bCs w:val="0"/>
          <w:color w:val="auto"/>
          <w:szCs w:val="21"/>
          <w:highlight w:val="none"/>
          <w:lang w:val="en-US" w:eastAsia="zh-CN"/>
        </w:rPr>
        <w:t>提供</w:t>
      </w:r>
      <w:r>
        <w:rPr>
          <w:rFonts w:hint="eastAsia" w:ascii="宋体" w:hAnsi="宋体" w:eastAsia="宋体" w:cs="宋体"/>
          <w:color w:val="auto"/>
          <w:szCs w:val="21"/>
          <w:highlight w:val="none"/>
        </w:rPr>
        <w:t>承</w:t>
      </w:r>
      <w:r>
        <w:rPr>
          <w:rFonts w:hint="eastAsia" w:ascii="宋体" w:hAnsi="宋体" w:eastAsia="宋体" w:cs="宋体"/>
          <w:b w:val="0"/>
          <w:bCs w:val="0"/>
          <w:color w:val="auto"/>
          <w:szCs w:val="21"/>
          <w:highlight w:val="none"/>
        </w:rPr>
        <w:t>诺</w:t>
      </w:r>
      <w:r>
        <w:rPr>
          <w:rFonts w:hint="eastAsia" w:ascii="宋体" w:hAnsi="宋体" w:eastAsia="宋体" w:cs="宋体"/>
          <w:b w:val="0"/>
          <w:bCs w:val="0"/>
          <w:color w:val="auto"/>
          <w:szCs w:val="21"/>
          <w:highlight w:val="none"/>
          <w:lang w:val="en-US" w:eastAsia="zh-CN"/>
        </w:rPr>
        <w:t>书</w:t>
      </w:r>
      <w:r>
        <w:rPr>
          <w:rFonts w:hint="eastAsia" w:ascii="宋体" w:hAnsi="宋体" w:eastAsia="宋体" w:cs="宋体"/>
          <w:color w:val="auto"/>
          <w:szCs w:val="21"/>
          <w:highlight w:val="none"/>
        </w:rPr>
        <w:t>）。</w:t>
      </w:r>
    </w:p>
    <w:p w14:paraId="4B810A24">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1.5参加政府采购活动前三年内，在经营活动中没有重大违法记录</w:t>
      </w:r>
      <w:r>
        <w:rPr>
          <w:rFonts w:hint="eastAsia" w:ascii="宋体" w:hAnsi="宋体" w:eastAsia="宋体" w:cs="宋体"/>
          <w:color w:val="auto"/>
          <w:szCs w:val="21"/>
          <w:highlight w:val="none"/>
        </w:rPr>
        <w:t>：供应商参加政府采购活动前三年内，在经营活动中没有重大违法记录（重大违法记录，是指供应商因违法经营受到刑事处罚或者责令停产停业、吊销许可证或者执照、较大数额罚款等行政处罚）（提供承诺书）。</w:t>
      </w:r>
    </w:p>
    <w:p w14:paraId="51D66D09">
      <w:pPr>
        <w:spacing w:line="360" w:lineRule="auto"/>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1.6</w:t>
      </w:r>
      <w:r>
        <w:rPr>
          <w:rFonts w:hint="eastAsia" w:ascii="宋体" w:hAnsi="宋体" w:eastAsia="宋体" w:cs="宋体"/>
          <w:b/>
          <w:bCs/>
          <w:color w:val="auto"/>
          <w:szCs w:val="21"/>
          <w:highlight w:val="none"/>
          <w:lang w:val="en-US" w:eastAsia="zh-CN"/>
        </w:rPr>
        <w:t>其他资格要求：</w:t>
      </w:r>
    </w:p>
    <w:p w14:paraId="2856D1F1">
      <w:pPr>
        <w:spacing w:line="360" w:lineRule="auto"/>
        <w:ind w:firstLine="422"/>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单位负责人为同一人或者存在直接控股、管理关系的不同供应商，不得参加同一合同项下的政府采购活动（提供供应商关联企业情况声明）。</w:t>
      </w:r>
    </w:p>
    <w:p w14:paraId="3940A234">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eastAsia="zh-CN"/>
        </w:rPr>
        <w:t>）</w:t>
      </w:r>
      <w:r>
        <w:rPr>
          <w:rFonts w:hint="eastAsia" w:ascii="宋体" w:hAnsi="宋体" w:eastAsia="宋体" w:cs="宋体"/>
          <w:color w:val="auto"/>
          <w:szCs w:val="21"/>
          <w:highlight w:val="none"/>
        </w:rPr>
        <w:t>为采购项目提供整体设计、规范编制或者项目管理、 监理、检测等服务的供应商，不得再参加该采购项目的其他采购活动（</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承诺</w:t>
      </w:r>
      <w:r>
        <w:rPr>
          <w:rFonts w:hint="eastAsia" w:ascii="宋体" w:hAnsi="宋体" w:eastAsia="宋体" w:cs="宋体"/>
          <w:color w:val="auto"/>
          <w:szCs w:val="21"/>
          <w:highlight w:val="none"/>
          <w:lang w:val="en-US" w:eastAsia="zh-CN"/>
        </w:rPr>
        <w:t>书</w:t>
      </w:r>
      <w:r>
        <w:rPr>
          <w:rFonts w:hint="eastAsia" w:ascii="宋体" w:hAnsi="宋体" w:eastAsia="宋体" w:cs="宋体"/>
          <w:color w:val="auto"/>
          <w:szCs w:val="21"/>
          <w:highlight w:val="none"/>
        </w:rPr>
        <w:t>）。</w:t>
      </w:r>
    </w:p>
    <w:p w14:paraId="7E54AA4A">
      <w:pPr>
        <w:spacing w:line="360" w:lineRule="auto"/>
        <w:ind w:firstLine="422"/>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分公司可以参与投标，但必须获得总公司的授权，并使用总公司的资质。同时，分公司还需要满足</w:t>
      </w:r>
      <w:r>
        <w:rPr>
          <w:rFonts w:hint="eastAsia" w:ascii="宋体" w:hAnsi="宋体" w:eastAsia="宋体" w:cs="宋体"/>
          <w:color w:val="auto"/>
          <w:szCs w:val="21"/>
          <w:highlight w:val="none"/>
          <w:lang w:eastAsia="zh-CN"/>
        </w:rPr>
        <w:t>竞争性磋商文件</w:t>
      </w:r>
      <w:r>
        <w:rPr>
          <w:rFonts w:hint="eastAsia" w:ascii="宋体" w:hAnsi="宋体" w:eastAsia="宋体" w:cs="宋体"/>
          <w:color w:val="auto"/>
          <w:szCs w:val="21"/>
          <w:highlight w:val="none"/>
        </w:rPr>
        <w:t>和法律规定的其他条件。</w:t>
      </w:r>
    </w:p>
    <w:p w14:paraId="0C56371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2.落实政府采购政策需满足的资格要求：</w:t>
      </w:r>
      <w:r>
        <w:rPr>
          <w:rFonts w:hint="eastAsia" w:ascii="宋体" w:hAnsi="宋体" w:eastAsia="宋体" w:cs="宋体"/>
          <w:color w:val="auto"/>
          <w:szCs w:val="21"/>
          <w:highlight w:val="none"/>
        </w:rPr>
        <w:t>本项目非专门面向中小企业采购的项目；</w:t>
      </w:r>
    </w:p>
    <w:p w14:paraId="4F5A3C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w:t>
      </w:r>
      <w:bookmarkEnd w:id="21"/>
      <w:r>
        <w:rPr>
          <w:rFonts w:hint="eastAsia" w:ascii="宋体" w:hAnsi="宋体" w:eastAsia="宋体" w:cs="宋体"/>
          <w:b/>
          <w:bCs/>
          <w:color w:val="auto"/>
          <w:szCs w:val="21"/>
          <w:highlight w:val="none"/>
        </w:rPr>
        <w:t>本项目的特定资格要求：</w:t>
      </w:r>
    </w:p>
    <w:p w14:paraId="408893CC">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3.1供应商须同时具备以下资质：</w:t>
      </w:r>
    </w:p>
    <w:p w14:paraId="2574336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①建设行政主管部门核发的建筑装修装饰工程专业承包二级及以上资质；②有效期内的安全生产许可证。</w:t>
      </w:r>
    </w:p>
    <w:p w14:paraId="3F091D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3.2项目经理：</w:t>
      </w:r>
      <w:r>
        <w:rPr>
          <w:rFonts w:hint="eastAsia" w:ascii="宋体" w:hAnsi="宋体" w:eastAsia="宋体" w:cs="宋体"/>
          <w:color w:val="auto"/>
          <w:szCs w:val="21"/>
          <w:highlight w:val="none"/>
          <w:lang w:eastAsia="zh-CN"/>
        </w:rPr>
        <w:t>须具备建筑工程专业二级及以上或机电工程专业二级及以上注册建造师注册资格证书</w:t>
      </w:r>
      <w:r>
        <w:rPr>
          <w:rFonts w:hint="eastAsia" w:ascii="宋体" w:hAnsi="宋体" w:eastAsia="宋体" w:cs="宋体"/>
          <w:color w:val="auto"/>
          <w:szCs w:val="21"/>
          <w:highlight w:val="none"/>
        </w:rPr>
        <w:t>，具备有效的安全生产考核合格证（B证），且未担任其他正在建设工程项目的项目经理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经理的</w:t>
      </w:r>
      <w:r>
        <w:rPr>
          <w:rFonts w:hint="eastAsia" w:ascii="宋体" w:hAnsi="宋体" w:eastAsia="宋体" w:cs="宋体"/>
          <w:color w:val="auto"/>
          <w:szCs w:val="21"/>
          <w:highlight w:val="none"/>
          <w:lang w:val="en-US" w:eastAsia="zh-CN"/>
        </w:rPr>
        <w:t>上述</w:t>
      </w:r>
      <w:r>
        <w:rPr>
          <w:rFonts w:hint="eastAsia" w:ascii="宋体" w:hAnsi="宋体" w:eastAsia="宋体" w:cs="宋体"/>
          <w:color w:val="auto"/>
          <w:szCs w:val="21"/>
          <w:highlight w:val="none"/>
        </w:rPr>
        <w:t>资格证书及安全生产考核合格证（B证）注册单位须与供应商名称一致</w:t>
      </w:r>
      <w:r>
        <w:rPr>
          <w:rFonts w:hint="eastAsia" w:ascii="宋体" w:hAnsi="宋体" w:eastAsia="宋体" w:cs="宋体"/>
          <w:color w:val="auto"/>
          <w:szCs w:val="21"/>
          <w:highlight w:val="none"/>
          <w:lang w:eastAsia="zh-CN"/>
        </w:rPr>
        <w:t>。</w:t>
      </w:r>
      <w:bookmarkStart w:id="25" w:name="_Toc470096300"/>
      <w:bookmarkStart w:id="26" w:name="_Toc34335270"/>
      <w:bookmarkStart w:id="27" w:name="_Toc413083369"/>
      <w:bookmarkStart w:id="28" w:name="_Toc80867893"/>
    </w:p>
    <w:p w14:paraId="5C7161D4">
      <w:pPr>
        <w:pStyle w:val="3"/>
        <w:jc w:val="left"/>
        <w:rPr>
          <w:rFonts w:hint="eastAsia" w:ascii="宋体" w:hAnsi="宋体" w:eastAsia="宋体" w:cs="宋体"/>
          <w:color w:val="auto"/>
          <w:highlight w:val="none"/>
        </w:rPr>
      </w:pPr>
      <w:bookmarkStart w:id="29" w:name="_Toc1815993190"/>
      <w:r>
        <w:rPr>
          <w:rFonts w:hint="eastAsia" w:ascii="宋体" w:hAnsi="宋体" w:eastAsia="宋体" w:cs="宋体"/>
          <w:color w:val="auto"/>
          <w:highlight w:val="none"/>
        </w:rPr>
        <w:t>三、</w:t>
      </w:r>
      <w:bookmarkEnd w:id="25"/>
      <w:bookmarkEnd w:id="26"/>
      <w:bookmarkEnd w:id="27"/>
      <w:bookmarkEnd w:id="28"/>
      <w:r>
        <w:rPr>
          <w:rFonts w:hint="eastAsia" w:ascii="宋体" w:hAnsi="宋体" w:eastAsia="宋体" w:cs="宋体"/>
          <w:color w:val="auto"/>
          <w:highlight w:val="none"/>
        </w:rPr>
        <w:t>获取采购文件</w:t>
      </w:r>
      <w:bookmarkEnd w:id="29"/>
    </w:p>
    <w:p w14:paraId="4815DF74">
      <w:pPr>
        <w:spacing w:line="360" w:lineRule="auto"/>
        <w:ind w:firstLine="422"/>
        <w:rPr>
          <w:rFonts w:hint="eastAsia" w:ascii="宋体" w:hAnsi="宋体" w:eastAsia="宋体" w:cs="宋体"/>
          <w:color w:val="auto"/>
          <w:szCs w:val="21"/>
          <w:highlight w:val="none"/>
        </w:rPr>
      </w:pPr>
      <w:bookmarkStart w:id="30" w:name="_Hlk498267661"/>
      <w:r>
        <w:rPr>
          <w:rFonts w:hint="eastAsia" w:ascii="宋体" w:hAnsi="宋体" w:eastAsia="宋体" w:cs="宋体"/>
          <w:b/>
          <w:bCs/>
          <w:color w:val="auto"/>
          <w:sz w:val="21"/>
          <w:szCs w:val="21"/>
          <w:highlight w:val="none"/>
        </w:rPr>
        <w:t>1.时间：</w:t>
      </w:r>
      <w:r>
        <w:rPr>
          <w:rFonts w:hint="eastAsia" w:ascii="宋体" w:hAnsi="宋体" w:eastAsia="宋体" w:cs="宋体"/>
          <w:b/>
          <w:bCs/>
          <w:color w:val="auto"/>
          <w:sz w:val="21"/>
          <w:szCs w:val="21"/>
          <w:highlight w:val="none"/>
          <w:lang w:eastAsia="zh-CN"/>
        </w:rPr>
        <w:t>2025年11月</w:t>
      </w: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lang w:eastAsia="zh-CN"/>
        </w:rPr>
        <w:t>日至2025年11月</w:t>
      </w:r>
      <w:r>
        <w:rPr>
          <w:rFonts w:hint="eastAsia" w:ascii="宋体" w:hAnsi="宋体" w:eastAsia="宋体" w:cs="宋体"/>
          <w:b/>
          <w:bCs/>
          <w:color w:val="auto"/>
          <w:sz w:val="21"/>
          <w:szCs w:val="21"/>
          <w:highlight w:val="none"/>
          <w:lang w:val="en-US" w:eastAsia="zh-CN"/>
        </w:rPr>
        <w:t>26</w:t>
      </w:r>
      <w:r>
        <w:rPr>
          <w:rFonts w:hint="eastAsia" w:ascii="宋体" w:hAnsi="宋体" w:eastAsia="宋体" w:cs="宋体"/>
          <w:b/>
          <w:bCs/>
          <w:color w:val="auto"/>
          <w:sz w:val="21"/>
          <w:szCs w:val="21"/>
          <w:highlight w:val="none"/>
          <w:lang w:eastAsia="zh-CN"/>
        </w:rPr>
        <w:t>日</w:t>
      </w:r>
      <w:r>
        <w:rPr>
          <w:rFonts w:hint="eastAsia" w:ascii="宋体" w:hAnsi="宋体" w:eastAsia="宋体" w:cs="宋体"/>
          <w:color w:val="auto"/>
          <w:sz w:val="21"/>
          <w:szCs w:val="21"/>
          <w:highlight w:val="none"/>
        </w:rPr>
        <w:t>，</w:t>
      </w:r>
      <w:r>
        <w:rPr>
          <w:rFonts w:hint="eastAsia" w:ascii="宋体" w:hAnsi="宋体" w:eastAsia="宋体" w:cs="宋体"/>
          <w:color w:val="auto"/>
          <w:szCs w:val="21"/>
          <w:highlight w:val="none"/>
        </w:rPr>
        <w:t>每天上午0</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:00至12:00，下午12:00至</w:t>
      </w:r>
      <w:r>
        <w:rPr>
          <w:rFonts w:hint="eastAsia" w:ascii="宋体" w:hAnsi="宋体" w:eastAsia="宋体" w:cs="宋体"/>
          <w:color w:val="auto"/>
          <w:szCs w:val="21"/>
          <w:highlight w:val="none"/>
          <w:lang w:val="en-US" w:eastAsia="zh-CN"/>
        </w:rPr>
        <w:t>23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59</w:t>
      </w:r>
      <w:r>
        <w:rPr>
          <w:rFonts w:hint="eastAsia" w:ascii="宋体" w:hAnsi="宋体" w:eastAsia="宋体" w:cs="宋体"/>
          <w:color w:val="auto"/>
          <w:szCs w:val="21"/>
          <w:highlight w:val="none"/>
        </w:rPr>
        <w:t>（北京时间）；</w:t>
      </w:r>
    </w:p>
    <w:p w14:paraId="6BDEDC77">
      <w:pPr>
        <w:spacing w:line="360" w:lineRule="auto"/>
        <w:ind w:firstLine="422"/>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2.地点：</w:t>
      </w:r>
      <w:r>
        <w:rPr>
          <w:rFonts w:hint="eastAsia" w:ascii="宋体" w:hAnsi="宋体" w:eastAsia="宋体" w:cs="宋体"/>
          <w:color w:val="auto"/>
          <w:szCs w:val="21"/>
          <w:highlight w:val="none"/>
        </w:rPr>
        <w:t>“政采云”平台（http：//www.zcygov.cn）（操作路径：登录“政采云”平台-项目采购-获取采购文件-找到本项目-点击“申请获取采购文件”）；</w:t>
      </w:r>
    </w:p>
    <w:p w14:paraId="4AA72F79">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3.方式：</w:t>
      </w:r>
      <w:r>
        <w:rPr>
          <w:rFonts w:hint="eastAsia" w:ascii="宋体" w:hAnsi="宋体" w:eastAsia="宋体" w:cs="宋体"/>
          <w:color w:val="auto"/>
          <w:szCs w:val="21"/>
          <w:highlight w:val="none"/>
        </w:rPr>
        <w:t>1）凡有意参加投标者，须在政采云平台办理数字证书（CA），CA申领链接：https://middle.zcygov.cn/ca/apply/list?_app_=zcy.sys，并在政采云绑定数字证书（CA）后在网上获取采购文件及其它采购资料，数字证书（CA）详见其办理流程。注：云南本地</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在政采云平台办理的其他CA可直接使用，无需重复办理。</w:t>
      </w:r>
    </w:p>
    <w:p w14:paraId="04A1CF99">
      <w:pPr>
        <w:spacing w:line="360" w:lineRule="auto"/>
        <w:ind w:firstLine="422"/>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2）未在公告规定的时间、地点获取</w:t>
      </w:r>
      <w:r>
        <w:rPr>
          <w:rFonts w:hint="eastAsia" w:ascii="宋体" w:hAnsi="宋体" w:eastAsia="宋体" w:cs="宋体"/>
          <w:color w:val="auto"/>
          <w:szCs w:val="21"/>
          <w:highlight w:val="none"/>
          <w:lang w:eastAsia="zh-CN"/>
        </w:rPr>
        <w:t>竞争性磋商文件</w:t>
      </w:r>
      <w:r>
        <w:rPr>
          <w:rFonts w:hint="eastAsia" w:ascii="宋体" w:hAnsi="宋体" w:eastAsia="宋体" w:cs="宋体"/>
          <w:color w:val="auto"/>
          <w:szCs w:val="21"/>
          <w:highlight w:val="none"/>
        </w:rPr>
        <w:t>的潜在</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不得参与本项目。</w:t>
      </w:r>
    </w:p>
    <w:bookmarkEnd w:id="30"/>
    <w:p w14:paraId="65448362">
      <w:pPr>
        <w:pStyle w:val="3"/>
        <w:jc w:val="left"/>
        <w:rPr>
          <w:rFonts w:hint="eastAsia" w:ascii="宋体" w:hAnsi="宋体" w:eastAsia="宋体" w:cs="宋体"/>
          <w:color w:val="auto"/>
          <w:highlight w:val="none"/>
        </w:rPr>
      </w:pPr>
      <w:bookmarkStart w:id="31" w:name="_Toc80867894"/>
      <w:bookmarkStart w:id="32" w:name="_Toc34335271"/>
      <w:bookmarkStart w:id="33" w:name="_Toc86124037"/>
      <w:bookmarkStart w:id="34" w:name="_Toc1359953166"/>
      <w:r>
        <w:rPr>
          <w:rFonts w:hint="eastAsia" w:ascii="宋体" w:hAnsi="宋体" w:eastAsia="宋体" w:cs="宋体"/>
          <w:color w:val="auto"/>
          <w:highlight w:val="none"/>
        </w:rPr>
        <w:t>四、</w:t>
      </w:r>
      <w:bookmarkEnd w:id="31"/>
      <w:bookmarkEnd w:id="32"/>
      <w:bookmarkEnd w:id="33"/>
      <w:r>
        <w:rPr>
          <w:rFonts w:hint="eastAsia" w:ascii="宋体" w:hAnsi="宋体" w:eastAsia="宋体" w:cs="宋体"/>
          <w:color w:val="auto"/>
          <w:highlight w:val="none"/>
        </w:rPr>
        <w:t>提交响应文件截止时间、</w:t>
      </w:r>
      <w:r>
        <w:rPr>
          <w:rFonts w:hint="eastAsia" w:ascii="宋体" w:hAnsi="宋体" w:eastAsia="宋体" w:cs="宋体"/>
          <w:color w:val="auto"/>
          <w:highlight w:val="none"/>
          <w:lang w:val="en-US" w:eastAsia="zh-CN"/>
        </w:rPr>
        <w:t>开启时间</w:t>
      </w:r>
      <w:r>
        <w:rPr>
          <w:rFonts w:hint="eastAsia" w:ascii="宋体" w:hAnsi="宋体" w:eastAsia="宋体" w:cs="宋体"/>
          <w:color w:val="auto"/>
          <w:highlight w:val="none"/>
        </w:rPr>
        <w:t>和地点</w:t>
      </w:r>
      <w:bookmarkEnd w:id="34"/>
    </w:p>
    <w:p w14:paraId="75836A9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1.截止时间：</w:t>
      </w:r>
      <w:r>
        <w:rPr>
          <w:rFonts w:hint="eastAsia" w:ascii="宋体" w:hAnsi="宋体" w:eastAsia="宋体" w:cs="宋体"/>
          <w:b/>
          <w:color w:val="auto"/>
          <w:szCs w:val="21"/>
          <w:highlight w:val="none"/>
          <w:u w:val="single"/>
          <w:lang w:eastAsia="zh-CN"/>
        </w:rPr>
        <w:t>2025年12月02日14点30分</w:t>
      </w:r>
      <w:r>
        <w:rPr>
          <w:rFonts w:hint="eastAsia" w:ascii="宋体" w:hAnsi="宋体" w:eastAsia="宋体" w:cs="宋体"/>
          <w:b/>
          <w:bCs/>
          <w:color w:val="auto"/>
          <w:szCs w:val="21"/>
          <w:highlight w:val="none"/>
          <w:u w:val="none"/>
        </w:rPr>
        <w:t>（北京时间）。</w:t>
      </w:r>
    </w:p>
    <w:p w14:paraId="2B2FA23F">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2.地点：</w:t>
      </w:r>
    </w:p>
    <w:p w14:paraId="1537C3B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提交</w:t>
      </w:r>
      <w:r>
        <w:rPr>
          <w:rFonts w:hint="eastAsia" w:ascii="宋体" w:hAnsi="宋体" w:eastAsia="宋体" w:cs="宋体"/>
          <w:b/>
          <w:bCs/>
          <w:color w:val="auto"/>
          <w:szCs w:val="21"/>
          <w:highlight w:val="none"/>
          <w:lang w:eastAsia="zh-CN"/>
        </w:rPr>
        <w:t>响应文件</w:t>
      </w:r>
      <w:r>
        <w:rPr>
          <w:rFonts w:hint="eastAsia" w:ascii="宋体" w:hAnsi="宋体" w:eastAsia="宋体" w:cs="宋体"/>
          <w:b/>
          <w:bCs/>
          <w:color w:val="auto"/>
          <w:szCs w:val="21"/>
          <w:highlight w:val="none"/>
        </w:rPr>
        <w:t>地点：</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应按照本项目采购文件和"政采云"平台的要求编制、加密</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后在</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提交截止时间前上传至"政采云"平台，</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须在投标截止时间前完成所有电子</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的上传，投标截止时间前未完成</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传输的，视为撤回</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在"政采云"平台提交电子版</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时，请填写参加远程采购活动经办人联系方式。</w:t>
      </w:r>
    </w:p>
    <w:p w14:paraId="1B894A7D">
      <w:pPr>
        <w:spacing w:line="500" w:lineRule="exact"/>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
          <w:bCs/>
          <w:color w:val="auto"/>
          <w:szCs w:val="21"/>
          <w:highlight w:val="none"/>
          <w:lang w:eastAsia="zh-CN"/>
        </w:rPr>
        <w:t>开启</w:t>
      </w:r>
      <w:r>
        <w:rPr>
          <w:rFonts w:hint="eastAsia" w:ascii="宋体" w:hAnsi="宋体" w:eastAsia="宋体" w:cs="宋体"/>
          <w:b/>
          <w:bCs/>
          <w:color w:val="auto"/>
          <w:szCs w:val="21"/>
          <w:highlight w:val="none"/>
        </w:rPr>
        <w:t>地点：</w:t>
      </w:r>
      <w:r>
        <w:rPr>
          <w:rFonts w:hint="eastAsia" w:ascii="宋体" w:hAnsi="宋体" w:eastAsia="宋体" w:cs="宋体"/>
          <w:color w:val="auto"/>
          <w:kern w:val="0"/>
          <w:szCs w:val="21"/>
          <w:highlight w:val="none"/>
          <w:lang w:eastAsia="zh-CN"/>
        </w:rPr>
        <w:t>云南鑫迅工程咨询有限公司（昆明市五华区万彩荟14栋3306）</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供应商</w:t>
      </w:r>
      <w:r>
        <w:rPr>
          <w:rFonts w:hint="eastAsia" w:ascii="宋体" w:hAnsi="宋体" w:eastAsia="宋体" w:cs="宋体"/>
          <w:color w:val="auto"/>
          <w:kern w:val="0"/>
          <w:szCs w:val="21"/>
          <w:highlight w:val="none"/>
        </w:rPr>
        <w:t>无需到达</w:t>
      </w:r>
      <w:r>
        <w:rPr>
          <w:rFonts w:hint="eastAsia" w:ascii="宋体" w:hAnsi="宋体" w:eastAsia="宋体" w:cs="宋体"/>
          <w:color w:val="auto"/>
          <w:szCs w:val="21"/>
          <w:highlight w:val="none"/>
          <w:lang w:eastAsia="zh-CN"/>
        </w:rPr>
        <w:t>开启</w:t>
      </w:r>
      <w:r>
        <w:rPr>
          <w:rFonts w:hint="eastAsia" w:ascii="宋体" w:hAnsi="宋体" w:eastAsia="宋体" w:cs="宋体"/>
          <w:color w:val="auto"/>
          <w:szCs w:val="21"/>
          <w:highlight w:val="none"/>
        </w:rPr>
        <w:t>地点</w:t>
      </w:r>
      <w:r>
        <w:rPr>
          <w:rFonts w:hint="eastAsia" w:ascii="宋体" w:hAnsi="宋体" w:eastAsia="宋体" w:cs="宋体"/>
          <w:color w:val="auto"/>
          <w:kern w:val="0"/>
          <w:szCs w:val="21"/>
          <w:highlight w:val="none"/>
        </w:rPr>
        <w:t>，须在"政采云"平台进行</w:t>
      </w:r>
      <w:r>
        <w:rPr>
          <w:rFonts w:hint="eastAsia" w:ascii="宋体" w:hAnsi="宋体" w:eastAsia="宋体" w:cs="宋体"/>
          <w:b/>
          <w:bCs/>
          <w:color w:val="auto"/>
          <w:kern w:val="0"/>
          <w:szCs w:val="21"/>
          <w:highlight w:val="none"/>
        </w:rPr>
        <w:t>远程解密</w:t>
      </w:r>
      <w:r>
        <w:rPr>
          <w:rFonts w:hint="eastAsia" w:ascii="宋体" w:hAnsi="宋体" w:eastAsia="宋体" w:cs="宋体"/>
          <w:color w:val="auto"/>
          <w:kern w:val="0"/>
          <w:szCs w:val="21"/>
          <w:highlight w:val="none"/>
        </w:rPr>
        <w:t>电子版</w:t>
      </w:r>
      <w:r>
        <w:rPr>
          <w:rFonts w:hint="eastAsia" w:ascii="宋体" w:hAnsi="宋体" w:eastAsia="宋体" w:cs="宋体"/>
          <w:color w:val="auto"/>
          <w:kern w:val="0"/>
          <w:szCs w:val="21"/>
          <w:highlight w:val="none"/>
          <w:lang w:eastAsia="zh-CN"/>
        </w:rPr>
        <w:t>响应文件</w:t>
      </w:r>
      <w:r>
        <w:rPr>
          <w:rFonts w:hint="eastAsia" w:ascii="宋体" w:hAnsi="宋体" w:eastAsia="宋体" w:cs="宋体"/>
          <w:color w:val="auto"/>
          <w:szCs w:val="21"/>
          <w:highlight w:val="none"/>
        </w:rPr>
        <w:t>。</w:t>
      </w:r>
    </w:p>
    <w:p w14:paraId="6AD199C2">
      <w:pPr>
        <w:pStyle w:val="3"/>
        <w:jc w:val="left"/>
        <w:rPr>
          <w:rFonts w:hint="eastAsia" w:ascii="宋体" w:hAnsi="宋体" w:eastAsia="宋体" w:cs="宋体"/>
          <w:color w:val="auto"/>
          <w:highlight w:val="none"/>
        </w:rPr>
      </w:pPr>
      <w:bookmarkStart w:id="35" w:name="_Toc470096301"/>
      <w:bookmarkStart w:id="36" w:name="_Toc432106471"/>
      <w:bookmarkStart w:id="37" w:name="_Toc347133579"/>
      <w:bookmarkStart w:id="38" w:name="_Toc432194822"/>
      <w:bookmarkStart w:id="39" w:name="_Toc34335272"/>
      <w:bookmarkStart w:id="40" w:name="_Toc80867896"/>
      <w:bookmarkStart w:id="41" w:name="_Toc1064405941"/>
      <w:bookmarkStart w:id="42" w:name="_Toc304998754"/>
      <w:r>
        <w:rPr>
          <w:rFonts w:hint="eastAsia" w:ascii="宋体" w:hAnsi="宋体" w:eastAsia="宋体" w:cs="宋体"/>
          <w:color w:val="auto"/>
          <w:highlight w:val="none"/>
        </w:rPr>
        <w:t>五、</w:t>
      </w:r>
      <w:bookmarkEnd w:id="35"/>
      <w:bookmarkEnd w:id="36"/>
      <w:bookmarkEnd w:id="37"/>
      <w:bookmarkEnd w:id="38"/>
      <w:bookmarkEnd w:id="39"/>
      <w:r>
        <w:rPr>
          <w:rFonts w:hint="eastAsia" w:ascii="宋体" w:hAnsi="宋体" w:eastAsia="宋体" w:cs="宋体"/>
          <w:color w:val="auto"/>
          <w:highlight w:val="none"/>
        </w:rPr>
        <w:t>公告期限</w:t>
      </w:r>
      <w:bookmarkEnd w:id="40"/>
      <w:bookmarkEnd w:id="41"/>
    </w:p>
    <w:bookmarkEnd w:id="42"/>
    <w:p w14:paraId="5F28F5C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自本公告发布之日起</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个工作日。</w:t>
      </w:r>
    </w:p>
    <w:p w14:paraId="17BA1C0E">
      <w:pPr>
        <w:pStyle w:val="3"/>
        <w:jc w:val="left"/>
        <w:rPr>
          <w:rFonts w:hint="eastAsia" w:ascii="宋体" w:hAnsi="宋体" w:eastAsia="宋体" w:cs="宋体"/>
          <w:color w:val="auto"/>
          <w:highlight w:val="none"/>
        </w:rPr>
      </w:pPr>
      <w:bookmarkStart w:id="43" w:name="_Toc34335273"/>
      <w:bookmarkStart w:id="44" w:name="_Toc931870877"/>
      <w:bookmarkStart w:id="45" w:name="_Toc80867897"/>
      <w:r>
        <w:rPr>
          <w:rFonts w:hint="eastAsia" w:ascii="宋体" w:hAnsi="宋体" w:eastAsia="宋体" w:cs="宋体"/>
          <w:color w:val="auto"/>
          <w:highlight w:val="none"/>
        </w:rPr>
        <w:t>六、</w:t>
      </w:r>
      <w:bookmarkEnd w:id="43"/>
      <w:r>
        <w:rPr>
          <w:rFonts w:hint="eastAsia" w:ascii="宋体" w:hAnsi="宋体" w:eastAsia="宋体" w:cs="宋体"/>
          <w:color w:val="auto"/>
          <w:highlight w:val="none"/>
        </w:rPr>
        <w:t>其它补充事宜</w:t>
      </w:r>
      <w:bookmarkEnd w:id="44"/>
      <w:bookmarkEnd w:id="45"/>
    </w:p>
    <w:p w14:paraId="29FA9636">
      <w:pPr>
        <w:pStyle w:val="138"/>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1.发布公告的媒介：</w:t>
      </w:r>
      <w:r>
        <w:rPr>
          <w:rFonts w:hint="eastAsia" w:ascii="宋体" w:hAnsi="宋体" w:eastAsia="宋体" w:cs="宋体"/>
          <w:color w:val="auto"/>
          <w:szCs w:val="21"/>
          <w:highlight w:val="none"/>
        </w:rPr>
        <w:t>本次竞争性磋商公告在《云南省政府采购网》上发布，</w:t>
      </w:r>
      <w:r>
        <w:rPr>
          <w:rFonts w:hint="eastAsia" w:ascii="宋体" w:hAnsi="宋体" w:eastAsia="宋体" w:cs="宋体"/>
          <w:bCs/>
          <w:color w:val="auto"/>
          <w:szCs w:val="21"/>
          <w:highlight w:val="none"/>
        </w:rPr>
        <w:t>采购人及采购代理机构对其他网站发布或转载的公告内容不承担任何责任</w:t>
      </w:r>
      <w:r>
        <w:rPr>
          <w:rFonts w:hint="eastAsia" w:ascii="宋体" w:hAnsi="宋体" w:eastAsia="宋体" w:cs="宋体"/>
          <w:color w:val="auto"/>
          <w:szCs w:val="21"/>
          <w:highlight w:val="none"/>
        </w:rPr>
        <w:t>。</w:t>
      </w:r>
    </w:p>
    <w:p w14:paraId="5E4AD6FA">
      <w:pPr>
        <w:spacing w:line="360" w:lineRule="auto"/>
        <w:ind w:firstLine="416" w:firstLineChars="198"/>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2.本项目需要落实的政府采购政策：</w:t>
      </w:r>
      <w:r>
        <w:rPr>
          <w:rFonts w:hint="eastAsia" w:ascii="宋体" w:hAnsi="宋体" w:eastAsia="宋体" w:cs="宋体"/>
          <w:color w:val="auto"/>
          <w:szCs w:val="21"/>
          <w:highlight w:val="none"/>
        </w:rPr>
        <w:t>政府采购节能产品、环境标志产品政策，政府采购促进中小企业发展政策，政府采购支持监狱企业发展政策，政府采购促进残疾人就业等。</w:t>
      </w:r>
    </w:p>
    <w:p w14:paraId="0BD0317D">
      <w:pPr>
        <w:pStyle w:val="3"/>
        <w:jc w:val="left"/>
        <w:rPr>
          <w:rFonts w:hint="eastAsia" w:ascii="宋体" w:hAnsi="宋体" w:eastAsia="宋体" w:cs="宋体"/>
          <w:color w:val="auto"/>
          <w:highlight w:val="none"/>
        </w:rPr>
      </w:pPr>
      <w:bookmarkStart w:id="46" w:name="_Toc34335274"/>
      <w:bookmarkStart w:id="47" w:name="_Toc355592168"/>
      <w:bookmarkStart w:id="48" w:name="_Toc80867898"/>
      <w:r>
        <w:rPr>
          <w:rFonts w:hint="eastAsia" w:ascii="宋体" w:hAnsi="宋体" w:eastAsia="宋体" w:cs="宋体"/>
          <w:color w:val="auto"/>
          <w:highlight w:val="none"/>
        </w:rPr>
        <w:t>七、</w:t>
      </w:r>
      <w:bookmarkEnd w:id="46"/>
      <w:r>
        <w:rPr>
          <w:rFonts w:hint="eastAsia" w:ascii="宋体" w:hAnsi="宋体" w:eastAsia="宋体" w:cs="宋体"/>
          <w:color w:val="auto"/>
          <w:highlight w:val="none"/>
        </w:rPr>
        <w:t>凡对本次采购提出询问，请按以下方式联系</w:t>
      </w:r>
      <w:bookmarkEnd w:id="47"/>
      <w:bookmarkEnd w:id="48"/>
    </w:p>
    <w:p w14:paraId="3E4123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596EE8FA">
      <w:pPr>
        <w:spacing w:line="360" w:lineRule="auto"/>
        <w:ind w:firstLine="420" w:firstLineChars="200"/>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弥勒市疾病预防控制中心</w:t>
      </w:r>
    </w:p>
    <w:p w14:paraId="415BC91F">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    址：</w:t>
      </w:r>
      <w:r>
        <w:rPr>
          <w:rFonts w:hint="eastAsia" w:ascii="宋体" w:hAnsi="宋体" w:eastAsia="宋体" w:cs="宋体"/>
          <w:color w:val="auto"/>
          <w:highlight w:val="none"/>
        </w:rPr>
        <w:t>云南省弥勒市弥阳街道民康路</w:t>
      </w:r>
    </w:p>
    <w:p w14:paraId="7569C895">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w:t>
      </w:r>
      <w:r>
        <w:rPr>
          <w:rFonts w:hint="eastAsia" w:ascii="宋体" w:hAnsi="宋体" w:eastAsia="宋体" w:cs="宋体"/>
          <w:bCs/>
          <w:color w:val="auto"/>
          <w:szCs w:val="21"/>
          <w:highlight w:val="none"/>
          <w:lang w:val="en-US" w:eastAsia="zh-CN"/>
        </w:rPr>
        <w:t>人</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陈</w:t>
      </w:r>
      <w:r>
        <w:rPr>
          <w:rFonts w:hint="eastAsia" w:ascii="宋体" w:hAnsi="宋体" w:eastAsia="宋体" w:cs="宋体"/>
          <w:bCs/>
          <w:color w:val="auto"/>
          <w:szCs w:val="21"/>
          <w:highlight w:val="none"/>
        </w:rPr>
        <w:t>老师</w:t>
      </w:r>
    </w:p>
    <w:p w14:paraId="7CF038BE">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联系电话：13466297764</w:t>
      </w:r>
    </w:p>
    <w:p w14:paraId="18DBC71E">
      <w:pPr>
        <w:spacing w:line="360" w:lineRule="auto"/>
        <w:ind w:firstLine="420" w:firstLineChars="200"/>
        <w:rPr>
          <w:rFonts w:hint="eastAsia" w:ascii="宋体" w:hAnsi="宋体" w:eastAsia="宋体" w:cs="宋体"/>
          <w:color w:val="auto"/>
          <w:szCs w:val="21"/>
          <w:highlight w:val="none"/>
        </w:rPr>
      </w:pPr>
    </w:p>
    <w:p w14:paraId="4CEB3AB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2.采购代理机构信息</w:t>
      </w:r>
    </w:p>
    <w:p w14:paraId="6803AE8E">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云南鑫迅工程咨询有限公司</w:t>
      </w:r>
    </w:p>
    <w:p w14:paraId="77F0DDF1">
      <w:pPr>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地  址：昆明市五华区万彩荟14栋3306</w:t>
      </w:r>
    </w:p>
    <w:p w14:paraId="4A7D5EE1">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w:t>
      </w:r>
      <w:r>
        <w:rPr>
          <w:rFonts w:hint="eastAsia" w:ascii="宋体" w:hAnsi="宋体" w:eastAsia="宋体" w:cs="宋体"/>
          <w:color w:val="auto"/>
          <w:szCs w:val="21"/>
          <w:highlight w:val="none"/>
          <w:lang w:val="en-US" w:eastAsia="zh-CN"/>
        </w:rPr>
        <w:t>人</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倪伟、郑旭、雷蕾、匡玉娟</w:t>
      </w:r>
    </w:p>
    <w:p w14:paraId="40DDD0AD">
      <w:pPr>
        <w:pStyle w:val="12"/>
        <w:spacing w:beforeLines="0"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联系</w:t>
      </w:r>
      <w:r>
        <w:rPr>
          <w:rFonts w:hint="eastAsia" w:ascii="宋体" w:hAnsi="宋体" w:eastAsia="宋体" w:cs="宋体"/>
          <w:color w:val="auto"/>
          <w:szCs w:val="21"/>
          <w:highlight w:val="none"/>
          <w:lang w:val="en-US" w:eastAsia="zh-CN"/>
        </w:rPr>
        <w:t>电话：0871-63354123</w:t>
      </w:r>
    </w:p>
    <w:p w14:paraId="072613F0">
      <w:pPr>
        <w:pStyle w:val="2"/>
        <w:keepLines/>
        <w:autoSpaceDE/>
        <w:autoSpaceDN/>
        <w:spacing w:before="120" w:line="360" w:lineRule="auto"/>
        <w:jc w:val="center"/>
        <w:textAlignment w:val="baseline"/>
        <w:rPr>
          <w:rFonts w:hint="eastAsia" w:ascii="宋体" w:hAnsi="宋体" w:eastAsia="宋体" w:cs="宋体"/>
          <w:color w:val="auto"/>
          <w:szCs w:val="36"/>
          <w:highlight w:val="none"/>
        </w:rPr>
      </w:pPr>
      <w:r>
        <w:rPr>
          <w:rFonts w:hint="eastAsia" w:ascii="宋体" w:hAnsi="宋体" w:eastAsia="宋体" w:cs="宋体"/>
          <w:color w:val="auto"/>
          <w:sz w:val="32"/>
          <w:highlight w:val="none"/>
        </w:rPr>
        <w:br w:type="page"/>
      </w:r>
      <w:bookmarkEnd w:id="7"/>
      <w:bookmarkStart w:id="49" w:name="_Toc2138061622"/>
      <w:bookmarkStart w:id="50" w:name="_Toc470096302"/>
      <w:bookmarkStart w:id="51" w:name="_Toc80867899"/>
      <w:bookmarkStart w:id="52" w:name="_Toc34335275"/>
      <w:r>
        <w:rPr>
          <w:rFonts w:hint="eastAsia" w:ascii="宋体" w:hAnsi="宋体" w:eastAsia="宋体" w:cs="宋体"/>
          <w:bCs w:val="0"/>
          <w:color w:val="auto"/>
          <w:kern w:val="44"/>
          <w:highlight w:val="none"/>
        </w:rPr>
        <w:t>第二章  供应商须知</w:t>
      </w:r>
      <w:bookmarkEnd w:id="49"/>
      <w:bookmarkEnd w:id="50"/>
      <w:bookmarkEnd w:id="51"/>
      <w:bookmarkEnd w:id="52"/>
    </w:p>
    <w:p w14:paraId="1A972114">
      <w:pPr>
        <w:pStyle w:val="3"/>
        <w:rPr>
          <w:rFonts w:hint="eastAsia" w:ascii="宋体" w:hAnsi="宋体" w:eastAsia="宋体" w:cs="宋体"/>
          <w:color w:val="auto"/>
          <w:highlight w:val="none"/>
        </w:rPr>
      </w:pPr>
      <w:bookmarkStart w:id="53" w:name="_Toc34335276"/>
      <w:bookmarkStart w:id="54" w:name="_Toc86124039"/>
      <w:bookmarkStart w:id="55" w:name="_Toc470096303"/>
      <w:bookmarkStart w:id="56" w:name="_Toc557815703"/>
      <w:bookmarkStart w:id="57" w:name="_Toc80867900"/>
      <w:r>
        <w:rPr>
          <w:rFonts w:hint="eastAsia" w:ascii="宋体" w:hAnsi="宋体" w:eastAsia="宋体" w:cs="宋体"/>
          <w:color w:val="auto"/>
          <w:highlight w:val="none"/>
        </w:rPr>
        <w:t>供应商须知前附表</w:t>
      </w:r>
      <w:bookmarkEnd w:id="53"/>
      <w:bookmarkEnd w:id="54"/>
      <w:bookmarkEnd w:id="55"/>
      <w:bookmarkEnd w:id="56"/>
      <w:bookmarkEnd w:id="57"/>
    </w:p>
    <w:tbl>
      <w:tblPr>
        <w:tblStyle w:val="47"/>
        <w:tblW w:w="9264"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851"/>
        <w:gridCol w:w="2409"/>
        <w:gridCol w:w="6004"/>
      </w:tblGrid>
      <w:tr w14:paraId="194A6769">
        <w:trPr>
          <w:trHeight w:val="510" w:hRule="atLeast"/>
          <w:tblHeader/>
          <w:jc w:val="center"/>
        </w:trPr>
        <w:tc>
          <w:tcPr>
            <w:tcW w:w="851" w:type="dxa"/>
            <w:vAlign w:val="center"/>
          </w:tcPr>
          <w:p w14:paraId="15D3811E">
            <w:pPr>
              <w:pStyle w:val="23"/>
              <w:spacing w:line="360" w:lineRule="auto"/>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条款号</w:t>
            </w:r>
          </w:p>
        </w:tc>
        <w:tc>
          <w:tcPr>
            <w:tcW w:w="2409" w:type="dxa"/>
            <w:vAlign w:val="center"/>
          </w:tcPr>
          <w:p w14:paraId="1E8FF2BA">
            <w:pPr>
              <w:pStyle w:val="23"/>
              <w:spacing w:line="360" w:lineRule="auto"/>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条 款 名 称</w:t>
            </w:r>
          </w:p>
        </w:tc>
        <w:tc>
          <w:tcPr>
            <w:tcW w:w="6004" w:type="dxa"/>
            <w:vAlign w:val="center"/>
          </w:tcPr>
          <w:p w14:paraId="27DCEE74">
            <w:pPr>
              <w:pStyle w:val="23"/>
              <w:spacing w:line="360" w:lineRule="auto"/>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编 列 内 容</w:t>
            </w:r>
          </w:p>
        </w:tc>
      </w:tr>
      <w:tr w14:paraId="5D231B79">
        <w:trPr>
          <w:trHeight w:val="510" w:hRule="atLeast"/>
          <w:jc w:val="center"/>
        </w:trPr>
        <w:tc>
          <w:tcPr>
            <w:tcW w:w="851" w:type="dxa"/>
            <w:vMerge w:val="restart"/>
            <w:vAlign w:val="center"/>
          </w:tcPr>
          <w:p w14:paraId="580D6D2D">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1.2</w:t>
            </w:r>
          </w:p>
        </w:tc>
        <w:tc>
          <w:tcPr>
            <w:tcW w:w="2409" w:type="dxa"/>
            <w:vAlign w:val="center"/>
          </w:tcPr>
          <w:p w14:paraId="5BABC494">
            <w:pPr>
              <w:pStyle w:val="23"/>
              <w:jc w:val="center"/>
              <w:rPr>
                <w:rFonts w:hint="eastAsia" w:ascii="宋体" w:hAnsi="宋体" w:eastAsia="宋体" w:cs="宋体"/>
                <w:color w:val="auto"/>
                <w:kern w:val="0"/>
                <w:highlight w:val="none"/>
                <w:u w:val="single"/>
              </w:rPr>
            </w:pPr>
            <w:r>
              <w:rPr>
                <w:rFonts w:hint="eastAsia" w:ascii="宋体" w:hAnsi="宋体" w:eastAsia="宋体" w:cs="宋体"/>
                <w:bCs/>
                <w:color w:val="auto"/>
                <w:kern w:val="0"/>
                <w:highlight w:val="none"/>
              </w:rPr>
              <w:t>采购人</w:t>
            </w:r>
          </w:p>
        </w:tc>
        <w:tc>
          <w:tcPr>
            <w:tcW w:w="6004" w:type="dxa"/>
            <w:vAlign w:val="center"/>
          </w:tcPr>
          <w:p w14:paraId="19B36AFD">
            <w:pPr>
              <w:pStyle w:val="23"/>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弥勒市疾病预防控制中心</w:t>
            </w:r>
          </w:p>
        </w:tc>
      </w:tr>
      <w:tr w14:paraId="0F942FF5">
        <w:trPr>
          <w:trHeight w:val="510" w:hRule="atLeast"/>
          <w:jc w:val="center"/>
        </w:trPr>
        <w:tc>
          <w:tcPr>
            <w:tcW w:w="851" w:type="dxa"/>
            <w:vMerge w:val="continue"/>
            <w:vAlign w:val="center"/>
          </w:tcPr>
          <w:p w14:paraId="389C40F4">
            <w:pPr>
              <w:spacing w:line="360" w:lineRule="auto"/>
              <w:rPr>
                <w:rFonts w:hint="eastAsia" w:ascii="宋体" w:hAnsi="宋体" w:eastAsia="宋体" w:cs="宋体"/>
                <w:color w:val="auto"/>
                <w:szCs w:val="21"/>
                <w:highlight w:val="none"/>
              </w:rPr>
            </w:pPr>
          </w:p>
        </w:tc>
        <w:tc>
          <w:tcPr>
            <w:tcW w:w="2409" w:type="dxa"/>
            <w:vAlign w:val="center"/>
          </w:tcPr>
          <w:p w14:paraId="4F735EB3">
            <w:pPr>
              <w:pStyle w:val="23"/>
              <w:jc w:val="center"/>
              <w:rPr>
                <w:rFonts w:hint="eastAsia" w:ascii="宋体" w:hAnsi="宋体" w:eastAsia="宋体" w:cs="宋体"/>
                <w:bCs/>
                <w:color w:val="auto"/>
                <w:kern w:val="0"/>
                <w:highlight w:val="none"/>
              </w:rPr>
            </w:pPr>
            <w:r>
              <w:rPr>
                <w:rFonts w:hint="eastAsia" w:ascii="宋体" w:hAnsi="宋体" w:eastAsia="宋体" w:cs="宋体"/>
                <w:bCs/>
                <w:color w:val="auto"/>
                <w:kern w:val="0"/>
                <w:highlight w:val="none"/>
              </w:rPr>
              <w:t>采购代理机构</w:t>
            </w:r>
          </w:p>
        </w:tc>
        <w:tc>
          <w:tcPr>
            <w:tcW w:w="6004" w:type="dxa"/>
            <w:vAlign w:val="center"/>
          </w:tcPr>
          <w:p w14:paraId="0D766F66">
            <w:pPr>
              <w:pStyle w:val="23"/>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云南鑫迅工程咨询有限公司</w:t>
            </w:r>
          </w:p>
        </w:tc>
      </w:tr>
      <w:tr w14:paraId="60965355">
        <w:trPr>
          <w:trHeight w:val="510" w:hRule="atLeast"/>
          <w:jc w:val="center"/>
        </w:trPr>
        <w:tc>
          <w:tcPr>
            <w:tcW w:w="851" w:type="dxa"/>
            <w:vMerge w:val="continue"/>
            <w:vAlign w:val="center"/>
          </w:tcPr>
          <w:p w14:paraId="6A60C0D2">
            <w:pPr>
              <w:spacing w:line="360" w:lineRule="auto"/>
              <w:rPr>
                <w:rFonts w:hint="eastAsia" w:ascii="宋体" w:hAnsi="宋体" w:eastAsia="宋体" w:cs="宋体"/>
                <w:color w:val="auto"/>
                <w:szCs w:val="21"/>
                <w:highlight w:val="none"/>
              </w:rPr>
            </w:pPr>
          </w:p>
        </w:tc>
        <w:tc>
          <w:tcPr>
            <w:tcW w:w="2409" w:type="dxa"/>
            <w:vAlign w:val="center"/>
          </w:tcPr>
          <w:p w14:paraId="6AC01281">
            <w:pPr>
              <w:pStyle w:val="23"/>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项目名称</w:t>
            </w:r>
          </w:p>
        </w:tc>
        <w:tc>
          <w:tcPr>
            <w:tcW w:w="6004" w:type="dxa"/>
            <w:vAlign w:val="center"/>
          </w:tcPr>
          <w:p w14:paraId="133AC941">
            <w:pPr>
              <w:pStyle w:val="23"/>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弥勒市疾病预防控制中心鼠疫实验室改造项目（二次）</w:t>
            </w:r>
          </w:p>
        </w:tc>
      </w:tr>
      <w:tr w14:paraId="35AC2211">
        <w:trPr>
          <w:trHeight w:val="510" w:hRule="atLeast"/>
          <w:jc w:val="center"/>
        </w:trPr>
        <w:tc>
          <w:tcPr>
            <w:tcW w:w="851" w:type="dxa"/>
            <w:vMerge w:val="continue"/>
            <w:vAlign w:val="center"/>
          </w:tcPr>
          <w:p w14:paraId="3EB6FF00">
            <w:pPr>
              <w:spacing w:line="360" w:lineRule="auto"/>
              <w:rPr>
                <w:rFonts w:hint="eastAsia" w:ascii="宋体" w:hAnsi="宋体" w:eastAsia="宋体" w:cs="宋体"/>
                <w:color w:val="auto"/>
                <w:szCs w:val="21"/>
                <w:highlight w:val="none"/>
              </w:rPr>
            </w:pPr>
          </w:p>
        </w:tc>
        <w:tc>
          <w:tcPr>
            <w:tcW w:w="2409" w:type="dxa"/>
            <w:vAlign w:val="center"/>
          </w:tcPr>
          <w:p w14:paraId="03789E53">
            <w:pPr>
              <w:pStyle w:val="23"/>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项目编号</w:t>
            </w:r>
          </w:p>
        </w:tc>
        <w:tc>
          <w:tcPr>
            <w:tcW w:w="6004" w:type="dxa"/>
            <w:vAlign w:val="center"/>
          </w:tcPr>
          <w:p w14:paraId="66A29FE1">
            <w:pPr>
              <w:pStyle w:val="23"/>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HHZC2025-C2-02715-XXGC-0006</w:t>
            </w:r>
          </w:p>
        </w:tc>
      </w:tr>
      <w:tr w14:paraId="38281A50">
        <w:trPr>
          <w:trHeight w:val="510" w:hRule="atLeast"/>
          <w:jc w:val="center"/>
        </w:trPr>
        <w:tc>
          <w:tcPr>
            <w:tcW w:w="851" w:type="dxa"/>
            <w:vAlign w:val="center"/>
          </w:tcPr>
          <w:p w14:paraId="644F682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2409" w:type="dxa"/>
            <w:vAlign w:val="center"/>
          </w:tcPr>
          <w:p w14:paraId="04F5DE26">
            <w:pPr>
              <w:pStyle w:val="23"/>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资金来源及预算情况</w:t>
            </w:r>
          </w:p>
        </w:tc>
        <w:tc>
          <w:tcPr>
            <w:tcW w:w="6004" w:type="dxa"/>
            <w:vAlign w:val="center"/>
          </w:tcPr>
          <w:p w14:paraId="568B55E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资金来源：</w:t>
            </w:r>
            <w:r>
              <w:rPr>
                <w:rFonts w:hint="eastAsia" w:ascii="宋体" w:hAnsi="宋体" w:eastAsia="宋体" w:cs="宋体"/>
                <w:color w:val="auto"/>
                <w:szCs w:val="21"/>
                <w:highlight w:val="none"/>
                <w:lang w:val="en-US" w:eastAsia="zh-CN"/>
              </w:rPr>
              <w:t>财政</w:t>
            </w:r>
            <w:r>
              <w:rPr>
                <w:rFonts w:hint="eastAsia" w:ascii="宋体" w:hAnsi="宋体" w:eastAsia="宋体" w:cs="宋体"/>
                <w:color w:val="auto"/>
                <w:szCs w:val="21"/>
                <w:highlight w:val="none"/>
              </w:rPr>
              <w:t>资金</w:t>
            </w:r>
          </w:p>
          <w:p w14:paraId="17CBE51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预算金额：详见竞争性磋商文件第一章《竞争性磋商公告》</w:t>
            </w:r>
          </w:p>
        </w:tc>
      </w:tr>
      <w:tr w14:paraId="031EE439">
        <w:trPr>
          <w:trHeight w:val="510" w:hRule="atLeast"/>
          <w:jc w:val="center"/>
        </w:trPr>
        <w:tc>
          <w:tcPr>
            <w:tcW w:w="851" w:type="dxa"/>
            <w:vAlign w:val="center"/>
          </w:tcPr>
          <w:p w14:paraId="5A45F50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2409" w:type="dxa"/>
            <w:vAlign w:val="center"/>
          </w:tcPr>
          <w:p w14:paraId="5683C516">
            <w:pPr>
              <w:pStyle w:val="23"/>
              <w:jc w:val="center"/>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6004" w:type="dxa"/>
            <w:vAlign w:val="center"/>
          </w:tcPr>
          <w:p w14:paraId="17837BA3">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已落实</w:t>
            </w:r>
          </w:p>
        </w:tc>
      </w:tr>
      <w:tr w14:paraId="32D4C116">
        <w:trPr>
          <w:trHeight w:val="591" w:hRule="atLeast"/>
          <w:jc w:val="center"/>
        </w:trPr>
        <w:tc>
          <w:tcPr>
            <w:tcW w:w="851" w:type="dxa"/>
            <w:vAlign w:val="center"/>
          </w:tcPr>
          <w:p w14:paraId="6EDF94D3">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3.1</w:t>
            </w:r>
          </w:p>
        </w:tc>
        <w:tc>
          <w:tcPr>
            <w:tcW w:w="2409" w:type="dxa"/>
            <w:vAlign w:val="center"/>
          </w:tcPr>
          <w:p w14:paraId="50199EDA">
            <w:pPr>
              <w:pStyle w:val="23"/>
              <w:jc w:val="center"/>
              <w:rPr>
                <w:rFonts w:hint="eastAsia" w:ascii="宋体" w:hAnsi="宋体" w:eastAsia="宋体" w:cs="宋体"/>
                <w:color w:val="auto"/>
                <w:kern w:val="0"/>
                <w:highlight w:val="none"/>
              </w:rPr>
            </w:pPr>
            <w:r>
              <w:rPr>
                <w:rFonts w:hint="eastAsia" w:ascii="宋体" w:hAnsi="宋体" w:eastAsia="宋体" w:cs="宋体"/>
                <w:color w:val="auto"/>
                <w:highlight w:val="none"/>
              </w:rPr>
              <w:t>采购范围</w:t>
            </w:r>
          </w:p>
        </w:tc>
        <w:tc>
          <w:tcPr>
            <w:tcW w:w="6004" w:type="dxa"/>
            <w:vAlign w:val="center"/>
          </w:tcPr>
          <w:p w14:paraId="39128C0D">
            <w:pPr>
              <w:pStyle w:val="23"/>
              <w:rPr>
                <w:rFonts w:hint="eastAsia" w:ascii="宋体" w:hAnsi="宋体" w:eastAsia="宋体" w:cs="宋体"/>
                <w:color w:val="auto"/>
                <w:kern w:val="0"/>
                <w:highlight w:val="none"/>
              </w:rPr>
            </w:pPr>
            <w:r>
              <w:rPr>
                <w:rFonts w:hint="eastAsia" w:ascii="宋体" w:hAnsi="宋体" w:eastAsia="宋体" w:cs="宋体"/>
                <w:color w:val="auto"/>
                <w:highlight w:val="none"/>
              </w:rPr>
              <w:t>具体详见竞争性磋商文件第五章“采购需求”</w:t>
            </w:r>
          </w:p>
        </w:tc>
      </w:tr>
      <w:tr w14:paraId="196C3646">
        <w:trPr>
          <w:trHeight w:val="510" w:hRule="atLeast"/>
          <w:jc w:val="center"/>
        </w:trPr>
        <w:tc>
          <w:tcPr>
            <w:tcW w:w="851" w:type="dxa"/>
            <w:vAlign w:val="center"/>
          </w:tcPr>
          <w:p w14:paraId="2ED0A07D">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3.2</w:t>
            </w:r>
          </w:p>
        </w:tc>
        <w:tc>
          <w:tcPr>
            <w:tcW w:w="2409" w:type="dxa"/>
            <w:vAlign w:val="center"/>
          </w:tcPr>
          <w:p w14:paraId="7795ADA9">
            <w:pPr>
              <w:pStyle w:val="23"/>
              <w:jc w:val="center"/>
              <w:rPr>
                <w:rFonts w:hint="eastAsia" w:ascii="宋体" w:hAnsi="宋体" w:eastAsia="宋体" w:cs="宋体"/>
                <w:color w:val="auto"/>
                <w:kern w:val="0"/>
                <w:highlight w:val="none"/>
              </w:rPr>
            </w:pPr>
            <w:r>
              <w:rPr>
                <w:rFonts w:hint="eastAsia" w:ascii="宋体" w:hAnsi="宋体" w:eastAsia="宋体" w:cs="宋体"/>
                <w:color w:val="auto"/>
                <w:highlight w:val="none"/>
              </w:rPr>
              <w:t>计划工期</w:t>
            </w:r>
          </w:p>
        </w:tc>
        <w:tc>
          <w:tcPr>
            <w:tcW w:w="6004" w:type="dxa"/>
            <w:vAlign w:val="center"/>
          </w:tcPr>
          <w:p w14:paraId="18A2AD33">
            <w:pPr>
              <w:pStyle w:val="23"/>
              <w:rPr>
                <w:rFonts w:hint="eastAsia" w:ascii="宋体" w:hAnsi="宋体" w:eastAsia="宋体" w:cs="宋体"/>
                <w:color w:val="auto"/>
                <w:kern w:val="0"/>
                <w:highlight w:val="none"/>
              </w:rPr>
            </w:pPr>
            <w:r>
              <w:rPr>
                <w:rFonts w:hint="eastAsia" w:ascii="宋体" w:hAnsi="宋体" w:eastAsia="宋体" w:cs="宋体"/>
                <w:color w:val="auto"/>
                <w:highlight w:val="none"/>
              </w:rPr>
              <w:t>详见竞争性磋商文件第一章《竞争性磋商公告》</w:t>
            </w:r>
          </w:p>
        </w:tc>
      </w:tr>
      <w:tr w14:paraId="0417636A">
        <w:trPr>
          <w:trHeight w:val="510" w:hRule="atLeast"/>
          <w:jc w:val="center"/>
        </w:trPr>
        <w:tc>
          <w:tcPr>
            <w:tcW w:w="851" w:type="dxa"/>
            <w:vAlign w:val="center"/>
          </w:tcPr>
          <w:p w14:paraId="4B08EB1E">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3.3</w:t>
            </w:r>
          </w:p>
        </w:tc>
        <w:tc>
          <w:tcPr>
            <w:tcW w:w="2409" w:type="dxa"/>
            <w:vAlign w:val="center"/>
          </w:tcPr>
          <w:p w14:paraId="05C0F441">
            <w:pPr>
              <w:pStyle w:val="23"/>
              <w:jc w:val="center"/>
              <w:rPr>
                <w:rFonts w:hint="eastAsia" w:ascii="宋体" w:hAnsi="宋体" w:eastAsia="宋体" w:cs="宋体"/>
                <w:bCs/>
                <w:color w:val="auto"/>
                <w:highlight w:val="none"/>
              </w:rPr>
            </w:pPr>
            <w:r>
              <w:rPr>
                <w:rFonts w:hint="eastAsia" w:ascii="宋体" w:hAnsi="宋体" w:eastAsia="宋体" w:cs="宋体"/>
                <w:bCs/>
                <w:color w:val="auto"/>
                <w:highlight w:val="none"/>
              </w:rPr>
              <w:t>项目地点</w:t>
            </w:r>
          </w:p>
        </w:tc>
        <w:tc>
          <w:tcPr>
            <w:tcW w:w="6004" w:type="dxa"/>
            <w:vAlign w:val="center"/>
          </w:tcPr>
          <w:p w14:paraId="43FE3530">
            <w:pPr>
              <w:pStyle w:val="23"/>
              <w:rPr>
                <w:rFonts w:hint="eastAsia" w:ascii="宋体" w:hAnsi="宋体" w:eastAsia="宋体" w:cs="宋体"/>
                <w:color w:val="auto"/>
                <w:highlight w:val="none"/>
              </w:rPr>
            </w:pPr>
            <w:r>
              <w:rPr>
                <w:rFonts w:hint="eastAsia" w:ascii="宋体" w:hAnsi="宋体" w:eastAsia="宋体" w:cs="宋体"/>
                <w:color w:val="auto"/>
                <w:highlight w:val="none"/>
              </w:rPr>
              <w:t>详见竞争性磋商文件第一章《竞争性磋商公告》</w:t>
            </w:r>
          </w:p>
        </w:tc>
      </w:tr>
      <w:tr w14:paraId="16BC2ABB">
        <w:trPr>
          <w:trHeight w:val="510" w:hRule="atLeast"/>
          <w:jc w:val="center"/>
        </w:trPr>
        <w:tc>
          <w:tcPr>
            <w:tcW w:w="851" w:type="dxa"/>
            <w:vAlign w:val="center"/>
          </w:tcPr>
          <w:p w14:paraId="14A0D9BD">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3.4</w:t>
            </w:r>
          </w:p>
        </w:tc>
        <w:tc>
          <w:tcPr>
            <w:tcW w:w="2409" w:type="dxa"/>
            <w:vAlign w:val="center"/>
          </w:tcPr>
          <w:p w14:paraId="723DC4FF">
            <w:pPr>
              <w:pStyle w:val="23"/>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rPr>
              <w:t>质量要求</w:t>
            </w:r>
          </w:p>
        </w:tc>
        <w:tc>
          <w:tcPr>
            <w:tcW w:w="6004" w:type="dxa"/>
            <w:vAlign w:val="center"/>
          </w:tcPr>
          <w:p w14:paraId="0436ECDF">
            <w:pPr>
              <w:pStyle w:val="2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highlight w:val="none"/>
                <w:lang w:eastAsia="zh-CN"/>
              </w:rPr>
              <w:t>施工部分符合《建筑工程施工质量验收统一标准》（GB50300-2013）、《云南省建筑工程施工质量验收统一规程》（DBJ53/T-23-2014）等国家、地方及行业现行标准、规范和规程的要求，确保工程一次性验收合格</w:t>
            </w:r>
            <w:r>
              <w:rPr>
                <w:rFonts w:hint="eastAsia" w:ascii="宋体" w:hAnsi="宋体" w:eastAsia="宋体" w:cs="宋体"/>
                <w:color w:val="auto"/>
                <w:highlight w:val="none"/>
              </w:rPr>
              <w:t>。</w:t>
            </w:r>
          </w:p>
        </w:tc>
      </w:tr>
      <w:tr w14:paraId="40ED7151">
        <w:trPr>
          <w:trHeight w:val="510" w:hRule="atLeast"/>
          <w:jc w:val="center"/>
        </w:trPr>
        <w:tc>
          <w:tcPr>
            <w:tcW w:w="851" w:type="dxa"/>
            <w:vAlign w:val="center"/>
          </w:tcPr>
          <w:p w14:paraId="020534C1">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4.2</w:t>
            </w:r>
          </w:p>
        </w:tc>
        <w:tc>
          <w:tcPr>
            <w:tcW w:w="2409" w:type="dxa"/>
            <w:vAlign w:val="center"/>
          </w:tcPr>
          <w:p w14:paraId="6558A255">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供应商资格要求</w:t>
            </w:r>
          </w:p>
        </w:tc>
        <w:tc>
          <w:tcPr>
            <w:tcW w:w="6004" w:type="dxa"/>
            <w:vAlign w:val="center"/>
          </w:tcPr>
          <w:p w14:paraId="360197A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详见竞争性磋商文件第一章《竞争性磋商公告》</w:t>
            </w:r>
          </w:p>
          <w:p w14:paraId="5E3B700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说明：需提供的证明材料以本项目竞争性磋商文件“响应文件格式”章节部分要求为准。</w:t>
            </w:r>
          </w:p>
        </w:tc>
      </w:tr>
      <w:tr w14:paraId="1936A99E">
        <w:trPr>
          <w:trHeight w:val="510" w:hRule="atLeast"/>
          <w:jc w:val="center"/>
        </w:trPr>
        <w:tc>
          <w:tcPr>
            <w:tcW w:w="851" w:type="dxa"/>
            <w:vAlign w:val="center"/>
          </w:tcPr>
          <w:p w14:paraId="1233701F">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4.4</w:t>
            </w:r>
          </w:p>
        </w:tc>
        <w:tc>
          <w:tcPr>
            <w:tcW w:w="2409" w:type="dxa"/>
            <w:vAlign w:val="center"/>
          </w:tcPr>
          <w:p w14:paraId="3963B659">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highlight w:val="none"/>
              </w:rPr>
              <w:t>为采购项目提供整体设计、规范编制和项目管理、监理、检测等服务的供应商</w:t>
            </w:r>
          </w:p>
        </w:tc>
        <w:tc>
          <w:tcPr>
            <w:tcW w:w="6004" w:type="dxa"/>
            <w:vAlign w:val="center"/>
          </w:tcPr>
          <w:p w14:paraId="37AECF0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设计单位 </w:t>
            </w:r>
          </w:p>
          <w:p w14:paraId="64FEFD62">
            <w:pPr>
              <w:pStyle w:val="57"/>
              <w:spacing w:before="0" w:after="0" w:line="360" w:lineRule="auto"/>
              <w:rPr>
                <w:rFonts w:hint="eastAsia" w:ascii="宋体" w:hAnsi="宋体" w:eastAsia="宋体" w:cs="宋体"/>
                <w:color w:val="auto"/>
                <w:highlight w:val="none"/>
              </w:rPr>
            </w:pPr>
            <w:r>
              <w:rPr>
                <w:rFonts w:hint="eastAsia" w:ascii="宋体" w:hAnsi="宋体" w:eastAsia="宋体" w:cs="宋体"/>
                <w:b w:val="0"/>
                <w:color w:val="auto"/>
                <w:kern w:val="2"/>
                <w:szCs w:val="21"/>
                <w:highlight w:val="none"/>
              </w:rPr>
              <w:t xml:space="preserve">监理单位 </w:t>
            </w:r>
          </w:p>
        </w:tc>
      </w:tr>
      <w:tr w14:paraId="046AFD6C">
        <w:trPr>
          <w:trHeight w:val="510" w:hRule="atLeast"/>
          <w:jc w:val="center"/>
        </w:trPr>
        <w:tc>
          <w:tcPr>
            <w:tcW w:w="851" w:type="dxa"/>
            <w:vAlign w:val="center"/>
          </w:tcPr>
          <w:p w14:paraId="1F6F5BD3">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4.5</w:t>
            </w:r>
          </w:p>
        </w:tc>
        <w:tc>
          <w:tcPr>
            <w:tcW w:w="2409" w:type="dxa"/>
            <w:vAlign w:val="center"/>
          </w:tcPr>
          <w:p w14:paraId="4178F438">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是否</w:t>
            </w:r>
            <w:r>
              <w:rPr>
                <w:rFonts w:hint="eastAsia" w:ascii="宋体" w:hAnsi="宋体" w:eastAsia="宋体" w:cs="宋体"/>
                <w:color w:val="auto"/>
                <w:highlight w:val="none"/>
              </w:rPr>
              <w:t>接受联合体参与磋商</w:t>
            </w:r>
          </w:p>
        </w:tc>
        <w:tc>
          <w:tcPr>
            <w:tcW w:w="6004" w:type="dxa"/>
            <w:vAlign w:val="center"/>
          </w:tcPr>
          <w:p w14:paraId="0ABD5AA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p w14:paraId="0379AFE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w:t>
            </w:r>
          </w:p>
          <w:p w14:paraId="0610950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联合体资质应符合法律法规及本项目资格要求的规定，并按照联合体协议约定的分工进行认定。</w:t>
            </w:r>
          </w:p>
        </w:tc>
      </w:tr>
      <w:tr w14:paraId="5605745F">
        <w:trPr>
          <w:trHeight w:val="510" w:hRule="atLeast"/>
          <w:jc w:val="center"/>
        </w:trPr>
        <w:tc>
          <w:tcPr>
            <w:tcW w:w="851" w:type="dxa"/>
            <w:vAlign w:val="center"/>
          </w:tcPr>
          <w:p w14:paraId="2D799B4B">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7.1</w:t>
            </w:r>
          </w:p>
        </w:tc>
        <w:tc>
          <w:tcPr>
            <w:tcW w:w="2409" w:type="dxa"/>
            <w:vAlign w:val="center"/>
          </w:tcPr>
          <w:p w14:paraId="266F5849">
            <w:pPr>
              <w:autoSpaceDE w:val="0"/>
              <w:autoSpaceDN w:val="0"/>
              <w:snapToGrid w:val="0"/>
              <w:spacing w:line="360" w:lineRule="auto"/>
              <w:jc w:val="center"/>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竞争性磋商文件的澄清、修改时间</w:t>
            </w:r>
          </w:p>
        </w:tc>
        <w:tc>
          <w:tcPr>
            <w:tcW w:w="6004" w:type="dxa"/>
            <w:vAlign w:val="center"/>
          </w:tcPr>
          <w:p w14:paraId="5CFA451C">
            <w:pPr>
              <w:autoSpaceDE w:val="0"/>
              <w:autoSpaceDN w:val="0"/>
              <w:snapToGrid w:val="0"/>
              <w:spacing w:line="360" w:lineRule="auto"/>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tc>
      </w:tr>
      <w:tr w14:paraId="1BFDC908">
        <w:trPr>
          <w:trHeight w:val="985" w:hRule="atLeast"/>
          <w:jc w:val="center"/>
        </w:trPr>
        <w:tc>
          <w:tcPr>
            <w:tcW w:w="851" w:type="dxa"/>
            <w:vAlign w:val="center"/>
          </w:tcPr>
          <w:p w14:paraId="763F55C2">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7.5</w:t>
            </w:r>
          </w:p>
        </w:tc>
        <w:tc>
          <w:tcPr>
            <w:tcW w:w="2409" w:type="dxa"/>
            <w:vAlign w:val="center"/>
          </w:tcPr>
          <w:p w14:paraId="2DB2005D">
            <w:pPr>
              <w:autoSpaceDE w:val="0"/>
              <w:autoSpaceDN w:val="0"/>
              <w:snapToGrid w:val="0"/>
              <w:spacing w:line="360" w:lineRule="auto"/>
              <w:jc w:val="center"/>
              <w:textAlignment w:val="bottom"/>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本项目磋商小组根据与供应商磋商情况可能变动的内容</w:t>
            </w:r>
          </w:p>
        </w:tc>
        <w:tc>
          <w:tcPr>
            <w:tcW w:w="6004" w:type="dxa"/>
            <w:vAlign w:val="center"/>
          </w:tcPr>
          <w:p w14:paraId="51352538">
            <w:pPr>
              <w:autoSpaceDE w:val="0"/>
              <w:autoSpaceDN w:val="0"/>
              <w:snapToGrid w:val="0"/>
              <w:spacing w:line="360" w:lineRule="auto"/>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磋商过程中，磋商小组可以根据竞争性磋商文件和磋商情况实质性变动采购需求中的技术、服务要求以及合同草案条款，但不得变动竞争性磋商文件中的其他内容（资格条件、评审标准）。实质性变动的内容，须经采购人代表确认。</w:t>
            </w:r>
          </w:p>
        </w:tc>
      </w:tr>
      <w:tr w14:paraId="05B17402">
        <w:trPr>
          <w:trHeight w:val="510" w:hRule="atLeast"/>
          <w:jc w:val="center"/>
        </w:trPr>
        <w:tc>
          <w:tcPr>
            <w:tcW w:w="851" w:type="dxa"/>
            <w:vAlign w:val="center"/>
          </w:tcPr>
          <w:p w14:paraId="435E6EB4">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highlight w:val="none"/>
              </w:rPr>
              <w:t>★</w:t>
            </w:r>
            <w:r>
              <w:rPr>
                <w:rFonts w:hint="eastAsia" w:ascii="宋体" w:hAnsi="宋体" w:eastAsia="宋体" w:cs="宋体"/>
                <w:color w:val="auto"/>
                <w:kern w:val="0"/>
                <w:highlight w:val="none"/>
              </w:rPr>
              <w:t>10.2</w:t>
            </w:r>
          </w:p>
        </w:tc>
        <w:tc>
          <w:tcPr>
            <w:tcW w:w="2409" w:type="dxa"/>
            <w:vAlign w:val="center"/>
          </w:tcPr>
          <w:p w14:paraId="31856A63">
            <w:pPr>
              <w:autoSpaceDE w:val="0"/>
              <w:autoSpaceDN w:val="0"/>
              <w:snapToGrid w:val="0"/>
              <w:spacing w:line="360" w:lineRule="auto"/>
              <w:jc w:val="center"/>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报价要求</w:t>
            </w:r>
          </w:p>
        </w:tc>
        <w:tc>
          <w:tcPr>
            <w:tcW w:w="6004" w:type="dxa"/>
            <w:vAlign w:val="center"/>
          </w:tcPr>
          <w:p w14:paraId="19024F53">
            <w:pPr>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1、报价方式：以总价报价的方式进行。</w:t>
            </w:r>
          </w:p>
          <w:p w14:paraId="17DACB11">
            <w:pPr>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设有最高限价（700000.00元），报价超过最高限价的，按否决响应文件处理。供应商应结合自身情况和项目实际情况，充分考虑建设期间内可能发生的各种风险因素自主报价，报价均包括完成招标范围内工程量清单所列项目的全部费用，包括分部分项工程费、税金等所有费用。</w:t>
            </w:r>
          </w:p>
          <w:p w14:paraId="7A3CE93F">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注：本项目后期若有变更，变更范围仅限于本次招标的范围内，具体变更金额以变更内容为准，据实结算。</w:t>
            </w:r>
          </w:p>
        </w:tc>
      </w:tr>
      <w:tr w14:paraId="6331C634">
        <w:trPr>
          <w:trHeight w:val="510" w:hRule="atLeast"/>
          <w:jc w:val="center"/>
        </w:trPr>
        <w:tc>
          <w:tcPr>
            <w:tcW w:w="851" w:type="dxa"/>
            <w:vAlign w:val="center"/>
          </w:tcPr>
          <w:p w14:paraId="3695F943">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11.1</w:t>
            </w:r>
          </w:p>
        </w:tc>
        <w:tc>
          <w:tcPr>
            <w:tcW w:w="2409" w:type="dxa"/>
            <w:vAlign w:val="center"/>
          </w:tcPr>
          <w:p w14:paraId="32E8CE68">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响应文件有效期</w:t>
            </w:r>
          </w:p>
        </w:tc>
        <w:tc>
          <w:tcPr>
            <w:tcW w:w="6004" w:type="dxa"/>
            <w:vAlign w:val="center"/>
          </w:tcPr>
          <w:p w14:paraId="50F2421E">
            <w:pPr>
              <w:pStyle w:val="23"/>
              <w:spacing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递交响应文件的截止之日起</w:t>
            </w:r>
            <w:r>
              <w:rPr>
                <w:rFonts w:hint="eastAsia" w:ascii="宋体" w:hAnsi="宋体" w:eastAsia="宋体" w:cs="宋体"/>
                <w:color w:val="auto"/>
                <w:kern w:val="0"/>
                <w:highlight w:val="none"/>
                <w:u w:val="single"/>
              </w:rPr>
              <w:t>90</w:t>
            </w:r>
            <w:r>
              <w:rPr>
                <w:rFonts w:hint="eastAsia" w:ascii="宋体" w:hAnsi="宋体" w:eastAsia="宋体" w:cs="宋体"/>
                <w:color w:val="auto"/>
                <w:kern w:val="0"/>
                <w:highlight w:val="none"/>
              </w:rPr>
              <w:t>天</w:t>
            </w:r>
          </w:p>
        </w:tc>
      </w:tr>
      <w:tr w14:paraId="459642DA">
        <w:trPr>
          <w:trHeight w:val="510" w:hRule="atLeast"/>
          <w:jc w:val="center"/>
        </w:trPr>
        <w:tc>
          <w:tcPr>
            <w:tcW w:w="851" w:type="dxa"/>
            <w:vAlign w:val="center"/>
          </w:tcPr>
          <w:p w14:paraId="7E694F54">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12.4</w:t>
            </w:r>
          </w:p>
        </w:tc>
        <w:tc>
          <w:tcPr>
            <w:tcW w:w="2409" w:type="dxa"/>
            <w:vAlign w:val="center"/>
          </w:tcPr>
          <w:p w14:paraId="30788177">
            <w:pPr>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份数</w:t>
            </w:r>
          </w:p>
        </w:tc>
        <w:tc>
          <w:tcPr>
            <w:tcW w:w="6004" w:type="dxa"/>
            <w:vAlign w:val="center"/>
          </w:tcPr>
          <w:p w14:paraId="63E56E66">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按“政采云”要求，上传电子响应文件壹份。供应商应安装“政采云”投标客户端，根据采购文件格式编制响应文件，生成加密标书后进行上传。</w:t>
            </w:r>
          </w:p>
        </w:tc>
      </w:tr>
      <w:tr w14:paraId="716D8E3F">
        <w:trPr>
          <w:trHeight w:val="510" w:hRule="atLeast"/>
          <w:jc w:val="center"/>
        </w:trPr>
        <w:tc>
          <w:tcPr>
            <w:tcW w:w="851" w:type="dxa"/>
            <w:vAlign w:val="center"/>
          </w:tcPr>
          <w:p w14:paraId="192C7C4D">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13.1</w:t>
            </w:r>
          </w:p>
        </w:tc>
        <w:tc>
          <w:tcPr>
            <w:tcW w:w="2409" w:type="dxa"/>
            <w:vAlign w:val="center"/>
          </w:tcPr>
          <w:p w14:paraId="538A967C">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磋商保证金</w:t>
            </w:r>
          </w:p>
        </w:tc>
        <w:tc>
          <w:tcPr>
            <w:tcW w:w="6004" w:type="dxa"/>
            <w:vAlign w:val="center"/>
          </w:tcPr>
          <w:p w14:paraId="4B14C22B">
            <w:pPr>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b w:val="0"/>
                <w:bCs w:val="0"/>
                <w:snapToGrid w:val="0"/>
                <w:color w:val="auto"/>
                <w:sz w:val="21"/>
                <w:szCs w:val="21"/>
                <w:highlight w:val="none"/>
                <w:lang w:val="zh-CN"/>
              </w:rPr>
            </w:pPr>
            <w:r>
              <w:rPr>
                <w:rFonts w:hint="eastAsia" w:ascii="宋体" w:hAnsi="宋体" w:eastAsia="宋体" w:cs="宋体"/>
                <w:b w:val="0"/>
                <w:bCs w:val="0"/>
                <w:color w:val="auto"/>
                <w:sz w:val="21"/>
                <w:szCs w:val="21"/>
                <w:highlight w:val="none"/>
              </w:rPr>
              <w:sym w:font="Wingdings 2" w:char="0052"/>
            </w:r>
            <w:r>
              <w:rPr>
                <w:rFonts w:hint="eastAsia" w:ascii="宋体" w:hAnsi="宋体" w:eastAsia="宋体" w:cs="宋体"/>
                <w:b w:val="0"/>
                <w:bCs w:val="0"/>
                <w:color w:val="auto"/>
                <w:sz w:val="21"/>
                <w:szCs w:val="21"/>
                <w:highlight w:val="none"/>
              </w:rPr>
              <w:t>不要求提供</w:t>
            </w:r>
          </w:p>
          <w:p w14:paraId="1D2B9C10">
            <w:pPr>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rPr>
              <w:sym w:font="Wingdings 2" w:char="00A3"/>
            </w:r>
            <w:r>
              <w:rPr>
                <w:rFonts w:hint="eastAsia" w:ascii="宋体" w:hAnsi="宋体" w:eastAsia="宋体" w:cs="宋体"/>
                <w:b w:val="0"/>
                <w:bCs w:val="0"/>
                <w:color w:val="auto"/>
                <w:sz w:val="21"/>
                <w:szCs w:val="21"/>
                <w:highlight w:val="none"/>
              </w:rPr>
              <w:t>要求提供：</w:t>
            </w:r>
          </w:p>
        </w:tc>
      </w:tr>
      <w:tr w14:paraId="39136852">
        <w:trPr>
          <w:trHeight w:val="510" w:hRule="atLeast"/>
          <w:jc w:val="center"/>
        </w:trPr>
        <w:tc>
          <w:tcPr>
            <w:tcW w:w="851" w:type="dxa"/>
            <w:vAlign w:val="center"/>
          </w:tcPr>
          <w:p w14:paraId="19235415">
            <w:pPr>
              <w:pStyle w:val="39"/>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15.1</w:t>
            </w:r>
          </w:p>
        </w:tc>
        <w:tc>
          <w:tcPr>
            <w:tcW w:w="2409" w:type="dxa"/>
            <w:vAlign w:val="center"/>
          </w:tcPr>
          <w:p w14:paraId="2F96C7AE">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递交响应文件的截止时间</w:t>
            </w:r>
          </w:p>
        </w:tc>
        <w:tc>
          <w:tcPr>
            <w:tcW w:w="6004" w:type="dxa"/>
            <w:vAlign w:val="center"/>
          </w:tcPr>
          <w:p w14:paraId="787FCE57">
            <w:pPr>
              <w:pStyle w:val="23"/>
              <w:spacing w:line="360" w:lineRule="auto"/>
              <w:rPr>
                <w:rFonts w:hint="eastAsia" w:ascii="宋体" w:hAnsi="宋体" w:eastAsia="宋体" w:cs="宋体"/>
                <w:color w:val="auto"/>
                <w:kern w:val="0"/>
                <w:highlight w:val="none"/>
              </w:rPr>
            </w:pPr>
            <w:r>
              <w:rPr>
                <w:rFonts w:hint="eastAsia" w:ascii="宋体" w:hAnsi="宋体" w:eastAsia="宋体" w:cs="宋体"/>
                <w:color w:val="auto"/>
                <w:highlight w:val="none"/>
              </w:rPr>
              <w:t>详见竞争性磋商文件第一章《竞争性磋商公告》</w:t>
            </w:r>
          </w:p>
        </w:tc>
      </w:tr>
      <w:tr w14:paraId="7C159F8D">
        <w:trPr>
          <w:trHeight w:val="510" w:hRule="atLeast"/>
          <w:jc w:val="center"/>
        </w:trPr>
        <w:tc>
          <w:tcPr>
            <w:tcW w:w="851" w:type="dxa"/>
            <w:vAlign w:val="center"/>
          </w:tcPr>
          <w:p w14:paraId="315D6129">
            <w:pPr>
              <w:pStyle w:val="39"/>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15.2</w:t>
            </w:r>
          </w:p>
        </w:tc>
        <w:tc>
          <w:tcPr>
            <w:tcW w:w="2409" w:type="dxa"/>
            <w:vAlign w:val="center"/>
          </w:tcPr>
          <w:p w14:paraId="397A0B53">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递交响应文件地点</w:t>
            </w:r>
          </w:p>
        </w:tc>
        <w:tc>
          <w:tcPr>
            <w:tcW w:w="6004" w:type="dxa"/>
            <w:vAlign w:val="center"/>
          </w:tcPr>
          <w:p w14:paraId="69BE5AD9">
            <w:pPr>
              <w:pStyle w:val="23"/>
              <w:spacing w:line="360" w:lineRule="auto"/>
              <w:ind w:left="29" w:hanging="29" w:hangingChars="14"/>
              <w:jc w:val="both"/>
              <w:rPr>
                <w:rFonts w:hint="eastAsia" w:ascii="宋体" w:hAnsi="宋体" w:eastAsia="宋体" w:cs="宋体"/>
                <w:color w:val="auto"/>
                <w:kern w:val="0"/>
                <w:highlight w:val="none"/>
              </w:rPr>
            </w:pPr>
            <w:r>
              <w:rPr>
                <w:rFonts w:hint="eastAsia" w:ascii="宋体" w:hAnsi="宋体" w:eastAsia="宋体" w:cs="宋体"/>
                <w:color w:val="auto"/>
                <w:highlight w:val="none"/>
              </w:rPr>
              <w:t>详见竞争性磋商文件第一章《竞争性磋商公告》</w:t>
            </w:r>
          </w:p>
        </w:tc>
      </w:tr>
      <w:tr w14:paraId="336DE00C">
        <w:trPr>
          <w:trHeight w:val="597" w:hRule="atLeast"/>
          <w:jc w:val="center"/>
        </w:trPr>
        <w:tc>
          <w:tcPr>
            <w:tcW w:w="851" w:type="dxa"/>
            <w:vAlign w:val="center"/>
          </w:tcPr>
          <w:p w14:paraId="39AC5D4F">
            <w:pPr>
              <w:pStyle w:val="39"/>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15.3</w:t>
            </w:r>
          </w:p>
        </w:tc>
        <w:tc>
          <w:tcPr>
            <w:tcW w:w="2409" w:type="dxa"/>
            <w:vAlign w:val="center"/>
          </w:tcPr>
          <w:p w14:paraId="1BBF5556">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是否退还响应文件</w:t>
            </w:r>
          </w:p>
        </w:tc>
        <w:tc>
          <w:tcPr>
            <w:tcW w:w="6004" w:type="dxa"/>
            <w:vAlign w:val="center"/>
          </w:tcPr>
          <w:p w14:paraId="7C945C3C">
            <w:pPr>
              <w:pStyle w:val="23"/>
              <w:spacing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否</w:t>
            </w:r>
          </w:p>
        </w:tc>
      </w:tr>
      <w:tr w14:paraId="42F58A96">
        <w:trPr>
          <w:trHeight w:val="510" w:hRule="atLeast"/>
          <w:jc w:val="center"/>
        </w:trPr>
        <w:tc>
          <w:tcPr>
            <w:tcW w:w="851" w:type="dxa"/>
            <w:vAlign w:val="center"/>
          </w:tcPr>
          <w:p w14:paraId="4C00B74C">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16.1</w:t>
            </w:r>
          </w:p>
        </w:tc>
        <w:tc>
          <w:tcPr>
            <w:tcW w:w="2409" w:type="dxa"/>
            <w:vAlign w:val="center"/>
          </w:tcPr>
          <w:p w14:paraId="44D86F50">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磋商时间和地点</w:t>
            </w:r>
          </w:p>
        </w:tc>
        <w:tc>
          <w:tcPr>
            <w:tcW w:w="6004" w:type="dxa"/>
            <w:vAlign w:val="center"/>
          </w:tcPr>
          <w:p w14:paraId="190F693E">
            <w:pPr>
              <w:pStyle w:val="23"/>
              <w:spacing w:line="360" w:lineRule="auto"/>
              <w:jc w:val="both"/>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磋商时间：同递交响应文件的截止时间</w:t>
            </w:r>
          </w:p>
          <w:p w14:paraId="10661193">
            <w:pPr>
              <w:pStyle w:val="23"/>
              <w:spacing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磋商地点：同递交响应文件地点</w:t>
            </w:r>
          </w:p>
        </w:tc>
      </w:tr>
      <w:tr w14:paraId="2D2D5564">
        <w:trPr>
          <w:trHeight w:val="510" w:hRule="atLeast"/>
          <w:jc w:val="center"/>
        </w:trPr>
        <w:tc>
          <w:tcPr>
            <w:tcW w:w="851" w:type="dxa"/>
            <w:vAlign w:val="center"/>
          </w:tcPr>
          <w:p w14:paraId="376BAFB9">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16.4</w:t>
            </w:r>
          </w:p>
        </w:tc>
        <w:tc>
          <w:tcPr>
            <w:tcW w:w="2409" w:type="dxa"/>
            <w:vAlign w:val="center"/>
          </w:tcPr>
          <w:p w14:paraId="6B73686E">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磋商程序和方法</w:t>
            </w:r>
          </w:p>
        </w:tc>
        <w:tc>
          <w:tcPr>
            <w:tcW w:w="6004" w:type="dxa"/>
            <w:vAlign w:val="center"/>
          </w:tcPr>
          <w:p w14:paraId="68FA7310">
            <w:pPr>
              <w:pStyle w:val="23"/>
              <w:spacing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详见</w:t>
            </w:r>
            <w:r>
              <w:rPr>
                <w:rFonts w:hint="eastAsia" w:ascii="宋体" w:hAnsi="宋体" w:eastAsia="宋体" w:cs="宋体"/>
                <w:color w:val="auto"/>
                <w:highlight w:val="none"/>
              </w:rPr>
              <w:t>竞争性磋商文件</w:t>
            </w:r>
            <w:r>
              <w:rPr>
                <w:rFonts w:hint="eastAsia" w:ascii="宋体" w:hAnsi="宋体" w:eastAsia="宋体" w:cs="宋体"/>
                <w:color w:val="auto"/>
                <w:kern w:val="0"/>
                <w:highlight w:val="none"/>
              </w:rPr>
              <w:t>第六章 磋商程序和方法</w:t>
            </w:r>
          </w:p>
        </w:tc>
      </w:tr>
      <w:tr w14:paraId="25A6C5E1">
        <w:trPr>
          <w:trHeight w:val="510" w:hRule="atLeast"/>
          <w:jc w:val="center"/>
        </w:trPr>
        <w:tc>
          <w:tcPr>
            <w:tcW w:w="851" w:type="dxa"/>
            <w:vAlign w:val="center"/>
          </w:tcPr>
          <w:p w14:paraId="0C94FE2A">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22.1</w:t>
            </w:r>
          </w:p>
        </w:tc>
        <w:tc>
          <w:tcPr>
            <w:tcW w:w="2409" w:type="dxa"/>
            <w:vAlign w:val="center"/>
          </w:tcPr>
          <w:p w14:paraId="3F9053FE">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履约保证金</w:t>
            </w:r>
          </w:p>
        </w:tc>
        <w:tc>
          <w:tcPr>
            <w:tcW w:w="6004" w:type="dxa"/>
            <w:vAlign w:val="center"/>
          </w:tcPr>
          <w:p w14:paraId="678EAB71">
            <w:pPr>
              <w:pStyle w:val="2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□不收取</w:t>
            </w:r>
          </w:p>
          <w:p w14:paraId="48730A27">
            <w:pPr>
              <w:pStyle w:val="2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☑收取</w:t>
            </w:r>
          </w:p>
          <w:p w14:paraId="30CAE33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缴纳金额：合同款项的5%；</w:t>
            </w:r>
          </w:p>
          <w:p w14:paraId="7A1C0D3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缴纳时间：</w:t>
            </w:r>
            <w:r>
              <w:rPr>
                <w:rFonts w:hint="eastAsia" w:ascii="宋体" w:hAnsi="宋体" w:eastAsia="宋体" w:cs="宋体"/>
                <w:color w:val="auto"/>
                <w:highlight w:val="none"/>
                <w:lang w:val="en-US" w:eastAsia="zh-CN"/>
              </w:rPr>
              <w:t>合同签订前5日</w:t>
            </w:r>
            <w:r>
              <w:rPr>
                <w:rFonts w:hint="eastAsia" w:ascii="宋体" w:hAnsi="宋体" w:eastAsia="宋体" w:cs="宋体"/>
                <w:color w:val="auto"/>
                <w:highlight w:val="none"/>
              </w:rPr>
              <w:t>；</w:t>
            </w:r>
          </w:p>
          <w:p w14:paraId="4D5ADC6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缴纳方式：公对公转账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银行保函</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支票、汇票、本票</w:t>
            </w:r>
            <w:r>
              <w:rPr>
                <w:rFonts w:hint="eastAsia" w:ascii="宋体" w:hAnsi="宋体" w:eastAsia="宋体" w:cs="宋体"/>
                <w:color w:val="auto"/>
                <w:highlight w:val="none"/>
              </w:rPr>
              <w:t>；</w:t>
            </w:r>
          </w:p>
          <w:p w14:paraId="147E1BD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退还时间：终验通过后无息退还。</w:t>
            </w:r>
          </w:p>
        </w:tc>
      </w:tr>
      <w:tr w14:paraId="7C555A8E">
        <w:trPr>
          <w:trHeight w:val="510" w:hRule="atLeast"/>
          <w:jc w:val="center"/>
        </w:trPr>
        <w:tc>
          <w:tcPr>
            <w:tcW w:w="851" w:type="dxa"/>
            <w:vAlign w:val="center"/>
          </w:tcPr>
          <w:p w14:paraId="3A4B0B38">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23.1.9</w:t>
            </w:r>
          </w:p>
        </w:tc>
        <w:tc>
          <w:tcPr>
            <w:tcW w:w="2409" w:type="dxa"/>
            <w:vAlign w:val="center"/>
          </w:tcPr>
          <w:p w14:paraId="3D08A822">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highlight w:val="none"/>
              </w:rPr>
              <w:t>接收质疑</w:t>
            </w:r>
          </w:p>
        </w:tc>
        <w:tc>
          <w:tcPr>
            <w:tcW w:w="6004" w:type="dxa"/>
            <w:vAlign w:val="center"/>
          </w:tcPr>
          <w:p w14:paraId="66FD220D">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接收质疑函的方式：书面方式；接收质疑函的部门：</w:t>
            </w:r>
            <w:r>
              <w:rPr>
                <w:rFonts w:hint="eastAsia" w:ascii="宋体" w:hAnsi="宋体" w:eastAsia="宋体" w:cs="宋体"/>
                <w:color w:val="auto"/>
                <w:szCs w:val="21"/>
                <w:highlight w:val="none"/>
                <w:lang w:eastAsia="zh-CN"/>
              </w:rPr>
              <w:t>云南鑫迅工程咨询有限公司招标</w:t>
            </w:r>
            <w:r>
              <w:rPr>
                <w:rFonts w:hint="eastAsia" w:ascii="宋体" w:hAnsi="宋体" w:eastAsia="宋体" w:cs="宋体"/>
                <w:color w:val="auto"/>
                <w:szCs w:val="21"/>
                <w:highlight w:val="none"/>
              </w:rPr>
              <w:t>；联系人、联系电话：</w:t>
            </w:r>
            <w:r>
              <w:rPr>
                <w:rFonts w:hint="eastAsia" w:ascii="宋体" w:hAnsi="宋体" w:eastAsia="宋体" w:cs="宋体"/>
                <w:color w:val="auto"/>
                <w:szCs w:val="21"/>
                <w:highlight w:val="none"/>
                <w:lang w:val="en-US" w:eastAsia="zh-CN"/>
              </w:rPr>
              <w:t>郑旭0871-63354123</w:t>
            </w:r>
            <w:r>
              <w:rPr>
                <w:rFonts w:hint="eastAsia" w:ascii="宋体" w:hAnsi="宋体" w:eastAsia="宋体" w:cs="宋体"/>
                <w:color w:val="auto"/>
                <w:szCs w:val="21"/>
                <w:highlight w:val="none"/>
              </w:rPr>
              <w:t>；通讯地址：</w:t>
            </w:r>
            <w:r>
              <w:rPr>
                <w:rFonts w:hint="eastAsia" w:ascii="宋体" w:hAnsi="宋体" w:eastAsia="宋体" w:cs="宋体"/>
                <w:color w:val="auto"/>
                <w:kern w:val="0"/>
                <w:szCs w:val="21"/>
                <w:highlight w:val="none"/>
                <w:lang w:val="zh-CN"/>
              </w:rPr>
              <w:t>昆明市五华区万彩荟14栋3306</w:t>
            </w:r>
            <w:r>
              <w:rPr>
                <w:rFonts w:hint="eastAsia" w:ascii="宋体" w:hAnsi="宋体" w:eastAsia="宋体" w:cs="宋体"/>
                <w:color w:val="auto"/>
                <w:szCs w:val="21"/>
                <w:highlight w:val="none"/>
              </w:rPr>
              <w:t>。</w:t>
            </w:r>
          </w:p>
        </w:tc>
      </w:tr>
      <w:tr w14:paraId="1B51F77A">
        <w:trPr>
          <w:trHeight w:val="328" w:hRule="atLeast"/>
          <w:jc w:val="center"/>
        </w:trPr>
        <w:tc>
          <w:tcPr>
            <w:tcW w:w="851" w:type="dxa"/>
            <w:vAlign w:val="center"/>
          </w:tcPr>
          <w:p w14:paraId="4DAACEC6">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24.1</w:t>
            </w:r>
          </w:p>
        </w:tc>
        <w:tc>
          <w:tcPr>
            <w:tcW w:w="2409" w:type="dxa"/>
            <w:vAlign w:val="center"/>
          </w:tcPr>
          <w:p w14:paraId="3C1210DE">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本项目采购代理服务费收费标准</w:t>
            </w:r>
          </w:p>
        </w:tc>
        <w:tc>
          <w:tcPr>
            <w:tcW w:w="6004" w:type="dxa"/>
            <w:vAlign w:val="center"/>
          </w:tcPr>
          <w:p w14:paraId="49D3F746">
            <w:pPr>
              <w:pStyle w:val="23"/>
              <w:spacing w:line="360" w:lineRule="auto"/>
              <w:rPr>
                <w:rFonts w:hint="eastAsia" w:ascii="宋体" w:hAnsi="宋体" w:eastAsia="宋体" w:cs="宋体"/>
                <w:color w:val="auto"/>
                <w:kern w:val="0"/>
                <w:highlight w:val="none"/>
              </w:rPr>
            </w:pPr>
            <w:r>
              <w:rPr>
                <w:rFonts w:hint="eastAsia" w:ascii="宋体" w:hAnsi="宋体" w:eastAsia="宋体" w:cs="宋体"/>
                <w:color w:val="auto"/>
                <w:szCs w:val="24"/>
                <w:highlight w:val="none"/>
              </w:rPr>
              <w:t>参照国家计委[2002]1980号文件规定的收费标准及国家发展和改革委员会发改办价格[2003]857号文规定的工程标准向成交人收取</w:t>
            </w:r>
            <w:r>
              <w:rPr>
                <w:rFonts w:hint="eastAsia" w:ascii="宋体" w:hAnsi="宋体" w:eastAsia="宋体" w:cs="宋体"/>
                <w:color w:val="auto"/>
                <w:kern w:val="0"/>
                <w:highlight w:val="none"/>
              </w:rPr>
              <w:t>。请各供应商在进行报价时充分考虑此部分费用，该项费用综合包含在总报价中但不单独列报</w:t>
            </w:r>
            <w:r>
              <w:rPr>
                <w:rFonts w:hint="eastAsia" w:ascii="宋体" w:hAnsi="宋体" w:eastAsia="宋体" w:cs="宋体"/>
                <w:color w:val="auto"/>
                <w:highlight w:val="none"/>
              </w:rPr>
              <w:t>。</w:t>
            </w:r>
          </w:p>
        </w:tc>
      </w:tr>
      <w:tr w14:paraId="0AB26A35">
        <w:trPr>
          <w:trHeight w:val="510" w:hRule="atLeast"/>
          <w:jc w:val="center"/>
        </w:trPr>
        <w:tc>
          <w:tcPr>
            <w:tcW w:w="851" w:type="dxa"/>
            <w:vAlign w:val="center"/>
          </w:tcPr>
          <w:p w14:paraId="3C960A7F">
            <w:pPr>
              <w:pStyle w:val="23"/>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26.1</w:t>
            </w:r>
          </w:p>
        </w:tc>
        <w:tc>
          <w:tcPr>
            <w:tcW w:w="8413" w:type="dxa"/>
            <w:gridSpan w:val="2"/>
            <w:vAlign w:val="center"/>
          </w:tcPr>
          <w:p w14:paraId="0AC4F8F8">
            <w:pPr>
              <w:pStyle w:val="23"/>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需要补充的其他内容</w:t>
            </w:r>
          </w:p>
        </w:tc>
      </w:tr>
      <w:tr w14:paraId="2CC73317">
        <w:trPr>
          <w:trHeight w:val="510" w:hRule="atLeast"/>
          <w:jc w:val="center"/>
        </w:trPr>
        <w:tc>
          <w:tcPr>
            <w:tcW w:w="851" w:type="dxa"/>
            <w:vAlign w:val="center"/>
          </w:tcPr>
          <w:p w14:paraId="4C54E097">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tc>
        <w:tc>
          <w:tcPr>
            <w:tcW w:w="2409" w:type="dxa"/>
            <w:vAlign w:val="center"/>
          </w:tcPr>
          <w:p w14:paraId="5A2D2AD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踏勘现场</w:t>
            </w:r>
          </w:p>
        </w:tc>
        <w:tc>
          <w:tcPr>
            <w:tcW w:w="6004" w:type="dxa"/>
            <w:vAlign w:val="center"/>
          </w:tcPr>
          <w:p w14:paraId="301116FA">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 w:val="18"/>
                <w:szCs w:val="18"/>
                <w:highlight w:val="none"/>
              </w:rPr>
              <w:t>☑</w:t>
            </w:r>
            <w:r>
              <w:rPr>
                <w:rFonts w:hint="eastAsia" w:ascii="宋体" w:hAnsi="宋体" w:eastAsia="宋体" w:cs="宋体"/>
                <w:color w:val="auto"/>
                <w:szCs w:val="21"/>
                <w:highlight w:val="none"/>
              </w:rPr>
              <w:t>不组织：经采购人允许供应商可自行前往工程所在地踏勘，发生的费用、风险由供应商自行承担。</w:t>
            </w:r>
          </w:p>
          <w:p w14:paraId="71B8E6C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□集中组织，</w:t>
            </w:r>
          </w:p>
          <w:p w14:paraId="4AF5D42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踏勘时间：  </w:t>
            </w:r>
            <w:r>
              <w:rPr>
                <w:rFonts w:hint="eastAsia" w:ascii="宋体" w:hAnsi="宋体" w:eastAsia="宋体" w:cs="宋体"/>
                <w:b/>
                <w:color w:val="auto"/>
                <w:szCs w:val="21"/>
                <w:highlight w:val="none"/>
              </w:rPr>
              <w:t>年  月  日   （北京时间）。</w:t>
            </w:r>
          </w:p>
          <w:p w14:paraId="563A3257">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踏勘集中地点：</w:t>
            </w:r>
          </w:p>
          <w:p w14:paraId="0C40D828">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踏勘联系人：   联系电话：</w:t>
            </w:r>
          </w:p>
        </w:tc>
      </w:tr>
      <w:tr w14:paraId="19FAE3A0">
        <w:trPr>
          <w:trHeight w:val="510" w:hRule="atLeast"/>
          <w:jc w:val="center"/>
        </w:trPr>
        <w:tc>
          <w:tcPr>
            <w:tcW w:w="851" w:type="dxa"/>
            <w:vAlign w:val="center"/>
          </w:tcPr>
          <w:p w14:paraId="289FC6C9">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tc>
        <w:tc>
          <w:tcPr>
            <w:tcW w:w="2409" w:type="dxa"/>
            <w:vAlign w:val="center"/>
          </w:tcPr>
          <w:p w14:paraId="2C5ACE4B">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highlight w:val="none"/>
              </w:rPr>
              <w:t>是否允许分包</w:t>
            </w:r>
          </w:p>
        </w:tc>
        <w:tc>
          <w:tcPr>
            <w:tcW w:w="6004" w:type="dxa"/>
            <w:vAlign w:val="center"/>
          </w:tcPr>
          <w:p w14:paraId="005BE657">
            <w:pPr>
              <w:spacing w:line="360" w:lineRule="auto"/>
              <w:ind w:left="-2" w:leftChars="-1" w:firstLine="2"/>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w:t>
            </w:r>
          </w:p>
          <w:p w14:paraId="05246B07">
            <w:pPr>
              <w:spacing w:line="360" w:lineRule="auto"/>
              <w:ind w:left="-2" w:leftChars="-1" w:firstLine="2"/>
              <w:rPr>
                <w:rFonts w:hint="eastAsia" w:ascii="宋体" w:hAnsi="宋体" w:eastAsia="宋体" w:cs="宋体"/>
                <w:color w:val="auto"/>
                <w:szCs w:val="21"/>
                <w:highlight w:val="none"/>
              </w:rPr>
            </w:pPr>
            <w:r>
              <w:rPr>
                <w:rFonts w:hint="eastAsia" w:ascii="宋体" w:hAnsi="宋体" w:eastAsia="宋体" w:cs="宋体"/>
                <w:b/>
                <w:color w:val="auto"/>
                <w:highlight w:val="none"/>
              </w:rPr>
              <w:t>□</w:t>
            </w:r>
            <w:r>
              <w:rPr>
                <w:rFonts w:hint="eastAsia" w:ascii="宋体" w:hAnsi="宋体" w:eastAsia="宋体" w:cs="宋体"/>
                <w:color w:val="auto"/>
                <w:szCs w:val="21"/>
                <w:highlight w:val="none"/>
              </w:rPr>
              <w:t>是，允许分包的内容：</w:t>
            </w:r>
          </w:p>
        </w:tc>
      </w:tr>
      <w:tr w14:paraId="6B7D1513">
        <w:trPr>
          <w:trHeight w:val="510" w:hRule="atLeast"/>
          <w:jc w:val="center"/>
        </w:trPr>
        <w:tc>
          <w:tcPr>
            <w:tcW w:w="851" w:type="dxa"/>
            <w:vAlign w:val="center"/>
          </w:tcPr>
          <w:p w14:paraId="27EE6DAD">
            <w:pPr>
              <w:pStyle w:val="23"/>
              <w:spacing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p>
        </w:tc>
        <w:tc>
          <w:tcPr>
            <w:tcW w:w="2409" w:type="dxa"/>
            <w:vAlign w:val="center"/>
          </w:tcPr>
          <w:p w14:paraId="4342E572">
            <w:pPr>
              <w:pStyle w:val="41"/>
              <w:spacing w:before="40" w:after="40" w:line="360" w:lineRule="exact"/>
              <w:ind w:left="120" w:leftChars="57"/>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其他注意事项</w:t>
            </w:r>
          </w:p>
        </w:tc>
        <w:tc>
          <w:tcPr>
            <w:tcW w:w="6004" w:type="dxa"/>
            <w:vAlign w:val="center"/>
          </w:tcPr>
          <w:p w14:paraId="745CAFA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1.供应商在关联标书环节时须将整本响应文件电子版（含封面）的标书关联至“商务技术部分”，并签字盖章。</w:t>
            </w:r>
          </w:p>
          <w:p w14:paraId="79FF6BF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2.以下情况视为供应商同意撤回已上传系统的响应文件或其响应文件无效： </w:t>
            </w:r>
          </w:p>
          <w:p w14:paraId="1FD8C26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（1）政采云电子平台显示供应商未上传响应文件； </w:t>
            </w:r>
          </w:p>
          <w:p w14:paraId="38B5616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（2）因供应商原因上传的响应文件在开启文件时无法解密。</w:t>
            </w:r>
          </w:p>
          <w:p w14:paraId="4ECC578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（3）因供应商自身原因导致未在规定时间内完成响应文件解密。</w:t>
            </w:r>
          </w:p>
          <w:p w14:paraId="2802A15E">
            <w:pPr>
              <w:pStyle w:val="4"/>
              <w:spacing w:line="360" w:lineRule="auto"/>
              <w:ind w:left="0" w:leftChars="0" w:firstLine="0" w:firstLineChars="0"/>
              <w:jc w:val="left"/>
              <w:rPr>
                <w:rFonts w:hint="eastAsia" w:ascii="宋体" w:hAnsi="宋体" w:eastAsia="宋体" w:cs="宋体"/>
                <w:b/>
                <w:color w:val="auto"/>
                <w:szCs w:val="21"/>
                <w:highlight w:val="none"/>
              </w:rPr>
            </w:pPr>
            <w:bookmarkStart w:id="58" w:name="_Toc1442401166"/>
            <w:r>
              <w:rPr>
                <w:rFonts w:hint="eastAsia" w:ascii="宋体" w:hAnsi="宋体" w:eastAsia="宋体" w:cs="宋体"/>
                <w:b/>
                <w:bCs/>
                <w:snapToGrid w:val="0"/>
                <w:color w:val="auto"/>
                <w:kern w:val="21"/>
                <w:sz w:val="21"/>
                <w:szCs w:val="21"/>
                <w:highlight w:val="none"/>
                <w:lang w:val="en-US" w:eastAsia="zh-CN" w:bidi="ar-SA"/>
              </w:rPr>
              <w:t>3.为保障项目合同备案顺利进行，供应商在办理政采云账号的时候，应尽量办理正式账号。</w:t>
            </w:r>
            <w:bookmarkEnd w:id="58"/>
          </w:p>
        </w:tc>
      </w:tr>
    </w:tbl>
    <w:p w14:paraId="0EBC035E">
      <w:pPr>
        <w:spacing w:line="360" w:lineRule="auto"/>
        <w:rPr>
          <w:rFonts w:hint="eastAsia" w:ascii="宋体" w:hAnsi="宋体" w:eastAsia="宋体" w:cs="宋体"/>
          <w:color w:val="auto"/>
          <w:highlight w:val="none"/>
        </w:rPr>
      </w:pPr>
      <w:bookmarkStart w:id="59" w:name="_Toc86124040"/>
      <w:r>
        <w:rPr>
          <w:rFonts w:hint="eastAsia" w:ascii="宋体" w:hAnsi="宋体" w:eastAsia="宋体" w:cs="宋体"/>
          <w:color w:val="auto"/>
          <w:highlight w:val="none"/>
        </w:rPr>
        <w:br w:type="page"/>
      </w:r>
    </w:p>
    <w:p w14:paraId="7CEEA64E">
      <w:pPr>
        <w:pStyle w:val="3"/>
        <w:rPr>
          <w:rFonts w:hint="eastAsia" w:ascii="宋体" w:hAnsi="宋体" w:eastAsia="宋体" w:cs="宋体"/>
          <w:color w:val="auto"/>
          <w:highlight w:val="none"/>
        </w:rPr>
      </w:pPr>
      <w:bookmarkStart w:id="60" w:name="_Toc1640989626"/>
      <w:bookmarkStart w:id="61" w:name="_Toc470096304"/>
      <w:bookmarkStart w:id="62" w:name="_Toc34335277"/>
      <w:bookmarkStart w:id="63" w:name="_Toc80867901"/>
      <w:r>
        <w:rPr>
          <w:rFonts w:hint="eastAsia" w:ascii="宋体" w:hAnsi="宋体" w:eastAsia="宋体" w:cs="宋体"/>
          <w:color w:val="auto"/>
          <w:highlight w:val="none"/>
        </w:rPr>
        <w:t>供应商须知正文</w:t>
      </w:r>
      <w:bookmarkEnd w:id="60"/>
    </w:p>
    <w:p w14:paraId="1D04381B">
      <w:pPr>
        <w:pStyle w:val="3"/>
        <w:rPr>
          <w:rFonts w:hint="eastAsia" w:ascii="宋体" w:hAnsi="宋体" w:eastAsia="宋体" w:cs="宋体"/>
          <w:color w:val="auto"/>
          <w:highlight w:val="none"/>
        </w:rPr>
      </w:pPr>
      <w:bookmarkStart w:id="64" w:name="_Toc2127649408"/>
      <w:r>
        <w:rPr>
          <w:rFonts w:hint="eastAsia" w:ascii="宋体" w:hAnsi="宋体" w:eastAsia="宋体" w:cs="宋体"/>
          <w:color w:val="auto"/>
          <w:highlight w:val="none"/>
        </w:rPr>
        <w:t>一、总  则</w:t>
      </w:r>
      <w:bookmarkEnd w:id="59"/>
      <w:bookmarkEnd w:id="61"/>
      <w:bookmarkEnd w:id="62"/>
      <w:bookmarkEnd w:id="63"/>
      <w:bookmarkEnd w:id="64"/>
    </w:p>
    <w:p w14:paraId="6C902950">
      <w:pPr>
        <w:pStyle w:val="4"/>
        <w:jc w:val="left"/>
        <w:rPr>
          <w:rFonts w:hint="eastAsia" w:ascii="宋体" w:hAnsi="宋体" w:eastAsia="宋体" w:cs="宋体"/>
          <w:color w:val="auto"/>
          <w:sz w:val="24"/>
          <w:szCs w:val="24"/>
          <w:highlight w:val="none"/>
        </w:rPr>
      </w:pPr>
      <w:bookmarkStart w:id="65" w:name="_Toc432194826"/>
      <w:bookmarkStart w:id="66" w:name="_Toc34335278"/>
      <w:bookmarkStart w:id="67" w:name="_Toc383175276"/>
      <w:bookmarkStart w:id="68" w:name="_Toc432106475"/>
      <w:bookmarkStart w:id="69" w:name="_Toc80867902"/>
      <w:bookmarkStart w:id="70" w:name="_Toc329810186"/>
      <w:bookmarkStart w:id="71" w:name="_Toc470096305"/>
      <w:bookmarkStart w:id="72" w:name="_Toc383175052"/>
      <w:bookmarkStart w:id="73" w:name="_Toc438396728"/>
      <w:bookmarkStart w:id="74" w:name="_Toc1653394059"/>
      <w:bookmarkStart w:id="75" w:name="_Toc383175474"/>
      <w:r>
        <w:rPr>
          <w:rFonts w:hint="eastAsia" w:ascii="宋体" w:hAnsi="宋体" w:eastAsia="宋体" w:cs="宋体"/>
          <w:color w:val="auto"/>
          <w:sz w:val="24"/>
          <w:szCs w:val="24"/>
          <w:highlight w:val="none"/>
        </w:rPr>
        <w:t>1.项目概况</w:t>
      </w:r>
      <w:bookmarkEnd w:id="65"/>
      <w:bookmarkEnd w:id="66"/>
      <w:bookmarkEnd w:id="67"/>
      <w:bookmarkEnd w:id="68"/>
      <w:bookmarkEnd w:id="69"/>
      <w:bookmarkEnd w:id="70"/>
      <w:bookmarkEnd w:id="71"/>
      <w:bookmarkEnd w:id="72"/>
      <w:bookmarkEnd w:id="73"/>
      <w:bookmarkEnd w:id="74"/>
      <w:bookmarkEnd w:id="75"/>
    </w:p>
    <w:p w14:paraId="7AE5E80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根据《中华人民共和国政府采购法》、《中华人民共和国政府采购法实施条例》、《政府采购竞争性磋商采购方式管理暂行办法》等有关法律、法规和规章的规定，本项目已获批准，现对本项目进行竞争性磋商采购。</w:t>
      </w:r>
    </w:p>
    <w:p w14:paraId="186F67D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本项目采购人、采购代理机构、项目名称及项目编号：见“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3C71840F">
      <w:pPr>
        <w:pStyle w:val="4"/>
        <w:jc w:val="left"/>
        <w:rPr>
          <w:rFonts w:hint="eastAsia" w:ascii="宋体" w:hAnsi="宋体" w:eastAsia="宋体" w:cs="宋体"/>
          <w:color w:val="auto"/>
          <w:sz w:val="24"/>
          <w:szCs w:val="24"/>
          <w:highlight w:val="none"/>
        </w:rPr>
      </w:pPr>
      <w:bookmarkStart w:id="76" w:name="_Toc80867903"/>
      <w:bookmarkStart w:id="77" w:name="_Toc34335279"/>
      <w:bookmarkStart w:id="78" w:name="_Toc155557433"/>
      <w:r>
        <w:rPr>
          <w:rFonts w:hint="eastAsia" w:ascii="宋体" w:hAnsi="宋体" w:eastAsia="宋体" w:cs="宋体"/>
          <w:color w:val="auto"/>
          <w:sz w:val="24"/>
          <w:szCs w:val="24"/>
          <w:highlight w:val="none"/>
        </w:rPr>
        <w:t>2.资金来源及预算情况</w:t>
      </w:r>
      <w:bookmarkEnd w:id="76"/>
      <w:bookmarkEnd w:id="77"/>
      <w:bookmarkEnd w:id="78"/>
    </w:p>
    <w:p w14:paraId="0AC3449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本项目的资金来源及预算情况：</w:t>
      </w:r>
      <w:r>
        <w:rPr>
          <w:rFonts w:hint="eastAsia" w:ascii="宋体" w:hAnsi="宋体" w:eastAsia="宋体" w:cs="宋体"/>
          <w:color w:val="auto"/>
          <w:szCs w:val="20"/>
          <w:highlight w:val="none"/>
        </w:rPr>
        <w:t>见</w:t>
      </w:r>
      <w:r>
        <w:rPr>
          <w:rFonts w:hint="eastAsia" w:ascii="宋体" w:hAnsi="宋体" w:eastAsia="宋体" w:cs="宋体"/>
          <w:color w:val="auto"/>
          <w:highlight w:val="none"/>
        </w:rPr>
        <w:t>“</w:t>
      </w:r>
      <w:r>
        <w:rPr>
          <w:rFonts w:hint="eastAsia" w:ascii="宋体" w:hAnsi="宋体" w:eastAsia="宋体" w:cs="宋体"/>
          <w:b/>
          <w:bCs/>
          <w:color w:val="auto"/>
          <w:szCs w:val="21"/>
          <w:highlight w:val="none"/>
        </w:rPr>
        <w:t>供应商</w:t>
      </w:r>
      <w:r>
        <w:rPr>
          <w:rFonts w:hint="eastAsia" w:ascii="宋体" w:hAnsi="宋体" w:eastAsia="宋体" w:cs="宋体"/>
          <w:b/>
          <w:color w:val="auto"/>
          <w:szCs w:val="20"/>
          <w:highlight w:val="none"/>
        </w:rPr>
        <w:t>须知前附表</w:t>
      </w:r>
      <w:r>
        <w:rPr>
          <w:rFonts w:hint="eastAsia" w:ascii="宋体" w:hAnsi="宋体" w:eastAsia="宋体" w:cs="宋体"/>
          <w:color w:val="auto"/>
          <w:highlight w:val="none"/>
        </w:rPr>
        <w:t>”</w:t>
      </w:r>
      <w:r>
        <w:rPr>
          <w:rFonts w:hint="eastAsia" w:ascii="宋体" w:hAnsi="宋体" w:eastAsia="宋体" w:cs="宋体"/>
          <w:color w:val="auto"/>
          <w:szCs w:val="21"/>
          <w:highlight w:val="none"/>
        </w:rPr>
        <w:t>。</w:t>
      </w:r>
    </w:p>
    <w:p w14:paraId="282B2078">
      <w:pPr>
        <w:pStyle w:val="4"/>
        <w:jc w:val="left"/>
        <w:rPr>
          <w:rFonts w:hint="eastAsia" w:ascii="宋体" w:hAnsi="宋体" w:eastAsia="宋体" w:cs="宋体"/>
          <w:color w:val="auto"/>
          <w:sz w:val="24"/>
          <w:szCs w:val="24"/>
          <w:highlight w:val="none"/>
        </w:rPr>
      </w:pPr>
      <w:bookmarkStart w:id="79" w:name="_Toc80867904"/>
      <w:bookmarkStart w:id="80" w:name="_Toc438396730"/>
      <w:bookmarkStart w:id="81" w:name="_Toc432194828"/>
      <w:bookmarkStart w:id="82" w:name="_Toc34335280"/>
      <w:bookmarkStart w:id="83" w:name="_Toc470096307"/>
      <w:bookmarkStart w:id="84" w:name="_Toc432106477"/>
      <w:bookmarkStart w:id="85" w:name="_Toc966178032"/>
      <w:r>
        <w:rPr>
          <w:rFonts w:hint="eastAsia" w:ascii="宋体" w:hAnsi="宋体" w:eastAsia="宋体" w:cs="宋体"/>
          <w:color w:val="auto"/>
          <w:sz w:val="24"/>
          <w:szCs w:val="24"/>
          <w:highlight w:val="none"/>
        </w:rPr>
        <w:t>3.采购范围</w:t>
      </w:r>
      <w:bookmarkEnd w:id="79"/>
      <w:bookmarkEnd w:id="80"/>
      <w:bookmarkEnd w:id="81"/>
      <w:bookmarkEnd w:id="82"/>
      <w:bookmarkEnd w:id="83"/>
      <w:bookmarkEnd w:id="84"/>
      <w:r>
        <w:rPr>
          <w:rFonts w:hint="eastAsia" w:ascii="宋体" w:hAnsi="宋体" w:eastAsia="宋体" w:cs="宋体"/>
          <w:color w:val="auto"/>
          <w:sz w:val="24"/>
          <w:szCs w:val="24"/>
          <w:highlight w:val="none"/>
        </w:rPr>
        <w:t>、计划工期、项目地点及质量要求</w:t>
      </w:r>
      <w:bookmarkEnd w:id="85"/>
    </w:p>
    <w:p w14:paraId="59925D2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本项目采购</w:t>
      </w:r>
      <w:r>
        <w:rPr>
          <w:rFonts w:hint="eastAsia" w:ascii="宋体" w:hAnsi="宋体" w:eastAsia="宋体" w:cs="宋体"/>
          <w:color w:val="auto"/>
          <w:szCs w:val="21"/>
          <w:highlight w:val="none"/>
          <w:lang w:val="en-US" w:eastAsia="zh-CN"/>
        </w:rPr>
        <w:t>需求</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4CA47C1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本项目</w:t>
      </w:r>
      <w:r>
        <w:rPr>
          <w:rFonts w:hint="eastAsia" w:ascii="宋体" w:hAnsi="宋体" w:eastAsia="宋体" w:cs="宋体"/>
          <w:color w:val="auto"/>
          <w:szCs w:val="21"/>
          <w:highlight w:val="none"/>
          <w:lang w:val="en-US" w:eastAsia="zh-CN"/>
        </w:rPr>
        <w:t>工程范围与内容</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1C609EC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3.3本项目实施地点：见“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1D8F2B2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rPr>
        <w:t>3.4</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val="en-US" w:eastAsia="zh-CN"/>
        </w:rPr>
        <w:t>施工工期</w:t>
      </w:r>
      <w:r>
        <w:rPr>
          <w:rFonts w:hint="eastAsia" w:ascii="宋体" w:hAnsi="宋体" w:eastAsia="宋体" w:cs="宋体"/>
          <w:bCs/>
          <w:color w:val="auto"/>
          <w:highlight w:val="none"/>
        </w:rPr>
        <w:t>：</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51B141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3.5</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val="en-US" w:eastAsia="zh-CN"/>
        </w:rPr>
        <w:t>质保期</w:t>
      </w:r>
      <w:r>
        <w:rPr>
          <w:rFonts w:hint="eastAsia" w:ascii="宋体" w:hAnsi="宋体" w:eastAsia="宋体" w:cs="宋体"/>
          <w:bCs/>
          <w:color w:val="auto"/>
          <w:highlight w:val="none"/>
        </w:rPr>
        <w:t>：</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434F36A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3.6</w:t>
      </w:r>
      <w:r>
        <w:rPr>
          <w:rFonts w:hint="eastAsia" w:ascii="宋体" w:hAnsi="宋体" w:eastAsia="宋体" w:cs="宋体"/>
          <w:color w:val="auto"/>
          <w:szCs w:val="21"/>
          <w:highlight w:val="none"/>
        </w:rPr>
        <w:t>本项目合同履行期限</w:t>
      </w:r>
      <w:r>
        <w:rPr>
          <w:rFonts w:hint="eastAsia" w:ascii="宋体" w:hAnsi="宋体" w:eastAsia="宋体" w:cs="宋体"/>
          <w:bCs/>
          <w:color w:val="auto"/>
          <w:highlight w:val="none"/>
        </w:rPr>
        <w:t>：</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329713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3.7</w:t>
      </w:r>
      <w:r>
        <w:rPr>
          <w:rFonts w:hint="eastAsia" w:ascii="宋体" w:hAnsi="宋体" w:eastAsia="宋体" w:cs="宋体"/>
          <w:color w:val="auto"/>
          <w:szCs w:val="21"/>
          <w:highlight w:val="none"/>
        </w:rPr>
        <w:t>本项目技术标准</w:t>
      </w:r>
      <w:r>
        <w:rPr>
          <w:rFonts w:hint="eastAsia" w:ascii="宋体" w:hAnsi="宋体" w:eastAsia="宋体" w:cs="宋体"/>
          <w:bCs/>
          <w:color w:val="auto"/>
          <w:highlight w:val="none"/>
        </w:rPr>
        <w:t>：</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18A2409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3.8</w:t>
      </w:r>
      <w:r>
        <w:rPr>
          <w:rFonts w:hint="eastAsia" w:ascii="宋体" w:hAnsi="宋体" w:eastAsia="宋体" w:cs="宋体"/>
          <w:color w:val="auto"/>
          <w:szCs w:val="21"/>
          <w:highlight w:val="none"/>
        </w:rPr>
        <w:t>本项目质量要求</w:t>
      </w:r>
      <w:r>
        <w:rPr>
          <w:rFonts w:hint="eastAsia" w:ascii="宋体" w:hAnsi="宋体" w:eastAsia="宋体" w:cs="宋体"/>
          <w:bCs/>
          <w:color w:val="auto"/>
          <w:highlight w:val="none"/>
        </w:rPr>
        <w:t>：</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0CA3E482">
      <w:pPr>
        <w:pStyle w:val="4"/>
        <w:jc w:val="left"/>
        <w:rPr>
          <w:rFonts w:hint="eastAsia" w:ascii="宋体" w:hAnsi="宋体" w:eastAsia="宋体" w:cs="宋体"/>
          <w:color w:val="auto"/>
          <w:sz w:val="24"/>
          <w:szCs w:val="24"/>
          <w:highlight w:val="none"/>
        </w:rPr>
      </w:pPr>
      <w:bookmarkStart w:id="86" w:name="_Toc80867905"/>
      <w:bookmarkStart w:id="87" w:name="_Toc432106478"/>
      <w:bookmarkStart w:id="88" w:name="_Toc1430328857"/>
      <w:bookmarkStart w:id="89" w:name="_Toc470096308"/>
      <w:bookmarkStart w:id="90" w:name="_Toc329810189"/>
      <w:bookmarkStart w:id="91" w:name="_Toc383175055"/>
      <w:bookmarkStart w:id="92" w:name="_Toc432194829"/>
      <w:bookmarkStart w:id="93" w:name="_Toc34335281"/>
      <w:bookmarkStart w:id="94" w:name="_Toc383175477"/>
      <w:bookmarkStart w:id="95" w:name="_Toc383175279"/>
      <w:bookmarkStart w:id="96" w:name="_Toc438396731"/>
      <w:r>
        <w:rPr>
          <w:rFonts w:hint="eastAsia" w:ascii="宋体" w:hAnsi="宋体" w:eastAsia="宋体" w:cs="宋体"/>
          <w:color w:val="auto"/>
          <w:sz w:val="24"/>
          <w:szCs w:val="24"/>
          <w:highlight w:val="none"/>
        </w:rPr>
        <w:t>4.合格的供应商</w:t>
      </w:r>
      <w:bookmarkEnd w:id="86"/>
      <w:bookmarkEnd w:id="87"/>
      <w:bookmarkEnd w:id="88"/>
      <w:bookmarkEnd w:id="89"/>
      <w:bookmarkEnd w:id="90"/>
      <w:bookmarkEnd w:id="91"/>
      <w:bookmarkEnd w:id="92"/>
      <w:bookmarkEnd w:id="93"/>
      <w:bookmarkEnd w:id="94"/>
      <w:bookmarkEnd w:id="95"/>
      <w:bookmarkEnd w:id="96"/>
    </w:p>
    <w:p w14:paraId="394D6EDE">
      <w:pPr>
        <w:spacing w:line="360" w:lineRule="auto"/>
        <w:ind w:firstLine="420" w:firstLineChars="200"/>
        <w:rPr>
          <w:rFonts w:hint="eastAsia" w:ascii="宋体" w:hAnsi="宋体" w:eastAsia="宋体" w:cs="宋体"/>
          <w:color w:val="auto"/>
          <w:highlight w:val="none"/>
        </w:rPr>
      </w:pPr>
      <w:bookmarkStart w:id="97" w:name="_Toc329810190"/>
      <w:bookmarkStart w:id="98" w:name="_Toc383175478"/>
      <w:bookmarkStart w:id="99" w:name="_Toc383175280"/>
      <w:bookmarkStart w:id="100" w:name="_Toc383175056"/>
      <w:r>
        <w:rPr>
          <w:rFonts w:hint="eastAsia" w:ascii="宋体" w:hAnsi="宋体" w:eastAsia="宋体" w:cs="宋体"/>
          <w:color w:val="auto"/>
          <w:highlight w:val="none"/>
        </w:rPr>
        <w:t>4.1 供应商应符合申请人的资格要求，申请人</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资格要求：详见《供应商须知前附表》。</w:t>
      </w:r>
    </w:p>
    <w:p w14:paraId="2701590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 单位负责人为同一人或者存在直接控股、管理关系的不同供应商，不得参加同一合同项下的政府采购活动。</w:t>
      </w:r>
    </w:p>
    <w:p w14:paraId="116DEC4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 与采购人存在利害关系可能影响采购公正性的法人、其他组织或者个人，不得参加磋商。</w:t>
      </w:r>
    </w:p>
    <w:p w14:paraId="5063D7D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4.4 为采购项目提供整体设计、规范编制和项目管理、监理、检测等服务的供应商：详见《供应商须知前附表》；为本采购项目提供整体设计、规范编制和项目管理、监理、检测等服务的供应商，不得再参加本采购项目的其他采购活动。</w:t>
      </w:r>
    </w:p>
    <w:p w14:paraId="67AEF989">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4.5 《供应商须知前附表》规定接受联合体参与磋商的，除应符合本章第4.1～4.4项和《供应商须知前附表》的要求外，还应遵守以下规定：</w:t>
      </w:r>
    </w:p>
    <w:p w14:paraId="61C5BAA8">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(1)采购人根据采购项目的特殊要求规定供应商特定条件的，联合体各方中至少应有一方符合采购人规定的特定条件；</w:t>
      </w:r>
    </w:p>
    <w:p w14:paraId="02EF892D">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(2)联合体各方之间应当签订</w:t>
      </w:r>
      <w:r>
        <w:rPr>
          <w:rFonts w:hint="eastAsia" w:ascii="宋体" w:hAnsi="宋体" w:eastAsia="宋体" w:cs="宋体"/>
          <w:color w:val="auto"/>
          <w:szCs w:val="21"/>
          <w:highlight w:val="none"/>
        </w:rPr>
        <w:t>共同参与联合体协议，明确约定联合体各方承担的工作和相应的责任，</w:t>
      </w:r>
      <w:r>
        <w:rPr>
          <w:rFonts w:hint="eastAsia" w:ascii="宋体" w:hAnsi="宋体" w:eastAsia="宋体" w:cs="宋体"/>
          <w:b/>
          <w:color w:val="auto"/>
          <w:szCs w:val="21"/>
          <w:highlight w:val="none"/>
        </w:rPr>
        <w:t>并将共同参与联合体协议连同响应文件一并提交</w:t>
      </w:r>
      <w:r>
        <w:rPr>
          <w:rFonts w:hint="eastAsia" w:ascii="宋体" w:hAnsi="宋体" w:eastAsia="宋体" w:cs="宋体"/>
          <w:color w:val="auto"/>
          <w:szCs w:val="21"/>
          <w:highlight w:val="none"/>
        </w:rPr>
        <w:t>；</w:t>
      </w:r>
    </w:p>
    <w:p w14:paraId="472F64C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(3)联合体各方不得再以自己名义单独或参加其他联合体在同一项目中参与磋商。</w:t>
      </w:r>
    </w:p>
    <w:p w14:paraId="64723D8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4.6 如供应商为满足供应商资格要求提供虚假材料，一经查实，视为未实质性响应竞争性磋商文件，供应商响应文件将按无效处理。</w:t>
      </w:r>
    </w:p>
    <w:p w14:paraId="0528A673">
      <w:pPr>
        <w:pStyle w:val="4"/>
        <w:jc w:val="left"/>
        <w:rPr>
          <w:rFonts w:hint="eastAsia" w:ascii="宋体" w:hAnsi="宋体" w:eastAsia="宋体" w:cs="宋体"/>
          <w:color w:val="auto"/>
          <w:sz w:val="24"/>
          <w:szCs w:val="24"/>
          <w:highlight w:val="none"/>
        </w:rPr>
      </w:pPr>
      <w:bookmarkStart w:id="101" w:name="_Toc432106479"/>
      <w:bookmarkStart w:id="102" w:name="_Toc80867906"/>
      <w:bookmarkStart w:id="103" w:name="_Toc432194830"/>
      <w:bookmarkStart w:id="104" w:name="_Toc605155081"/>
      <w:bookmarkStart w:id="105" w:name="_Toc34335282"/>
      <w:bookmarkStart w:id="106" w:name="_Toc470096309"/>
      <w:bookmarkStart w:id="107" w:name="_Toc438396732"/>
      <w:r>
        <w:rPr>
          <w:rFonts w:hint="eastAsia" w:ascii="宋体" w:hAnsi="宋体" w:eastAsia="宋体" w:cs="宋体"/>
          <w:color w:val="auto"/>
          <w:sz w:val="24"/>
          <w:szCs w:val="24"/>
          <w:highlight w:val="none"/>
        </w:rPr>
        <w:t>5.磋商费用</w:t>
      </w:r>
      <w:bookmarkEnd w:id="97"/>
      <w:bookmarkEnd w:id="98"/>
      <w:bookmarkEnd w:id="99"/>
      <w:bookmarkEnd w:id="100"/>
      <w:bookmarkEnd w:id="101"/>
      <w:bookmarkEnd w:id="102"/>
      <w:bookmarkEnd w:id="103"/>
      <w:bookmarkEnd w:id="104"/>
      <w:bookmarkEnd w:id="105"/>
      <w:bookmarkEnd w:id="106"/>
      <w:bookmarkEnd w:id="107"/>
    </w:p>
    <w:p w14:paraId="07BC369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无论是否成交，供应商自行承担所有与参加本次竞争性磋商采购活动所产生的全部费用。</w:t>
      </w:r>
    </w:p>
    <w:p w14:paraId="3AA2B3A3">
      <w:pPr>
        <w:pStyle w:val="3"/>
        <w:rPr>
          <w:rFonts w:hint="eastAsia" w:ascii="宋体" w:hAnsi="宋体" w:eastAsia="宋体" w:cs="宋体"/>
          <w:color w:val="auto"/>
          <w:highlight w:val="none"/>
        </w:rPr>
      </w:pPr>
      <w:bookmarkStart w:id="108" w:name="_Toc34335283"/>
      <w:bookmarkStart w:id="109" w:name="_Toc470096310"/>
      <w:bookmarkStart w:id="110" w:name="_Toc86124047"/>
      <w:bookmarkStart w:id="111" w:name="_Toc80867907"/>
      <w:bookmarkStart w:id="112" w:name="_Toc358894175"/>
      <w:r>
        <w:rPr>
          <w:rFonts w:hint="eastAsia" w:ascii="宋体" w:hAnsi="宋体" w:eastAsia="宋体" w:cs="宋体"/>
          <w:color w:val="auto"/>
          <w:highlight w:val="none"/>
        </w:rPr>
        <w:t>二、</w:t>
      </w:r>
      <w:bookmarkEnd w:id="108"/>
      <w:bookmarkEnd w:id="109"/>
      <w:bookmarkEnd w:id="110"/>
      <w:bookmarkEnd w:id="111"/>
      <w:r>
        <w:rPr>
          <w:rFonts w:hint="eastAsia" w:ascii="宋体" w:hAnsi="宋体" w:eastAsia="宋体" w:cs="宋体"/>
          <w:color w:val="auto"/>
          <w:highlight w:val="none"/>
        </w:rPr>
        <w:t>竞争性磋商文件</w:t>
      </w:r>
      <w:bookmarkEnd w:id="112"/>
    </w:p>
    <w:p w14:paraId="2AD6F51A">
      <w:pPr>
        <w:pStyle w:val="4"/>
        <w:jc w:val="left"/>
        <w:rPr>
          <w:rFonts w:hint="eastAsia" w:ascii="宋体" w:hAnsi="宋体" w:eastAsia="宋体" w:cs="宋体"/>
          <w:color w:val="auto"/>
          <w:sz w:val="24"/>
          <w:szCs w:val="24"/>
          <w:highlight w:val="none"/>
        </w:rPr>
      </w:pPr>
      <w:bookmarkStart w:id="113" w:name="_Toc470096311"/>
      <w:bookmarkStart w:id="114" w:name="_Toc438396734"/>
      <w:bookmarkStart w:id="115" w:name="_Toc80867908"/>
      <w:bookmarkStart w:id="116" w:name="_Toc432106481"/>
      <w:bookmarkStart w:id="117" w:name="_Toc34335284"/>
      <w:bookmarkStart w:id="118" w:name="_Toc383175480"/>
      <w:bookmarkStart w:id="119" w:name="_Toc329810192"/>
      <w:bookmarkStart w:id="120" w:name="_Toc1800318449"/>
      <w:bookmarkStart w:id="121" w:name="_Toc383175282"/>
      <w:bookmarkStart w:id="122" w:name="_Toc383175058"/>
      <w:bookmarkStart w:id="123" w:name="_Toc432194832"/>
      <w:r>
        <w:rPr>
          <w:rFonts w:hint="eastAsia" w:ascii="宋体" w:hAnsi="宋体" w:eastAsia="宋体" w:cs="宋体"/>
          <w:color w:val="auto"/>
          <w:sz w:val="24"/>
          <w:szCs w:val="24"/>
          <w:highlight w:val="none"/>
        </w:rPr>
        <w:t>6.竞争性磋商文件的组成</w:t>
      </w:r>
      <w:bookmarkEnd w:id="113"/>
      <w:bookmarkEnd w:id="114"/>
      <w:bookmarkEnd w:id="115"/>
      <w:bookmarkEnd w:id="116"/>
      <w:bookmarkEnd w:id="117"/>
      <w:bookmarkEnd w:id="118"/>
      <w:bookmarkEnd w:id="119"/>
      <w:bookmarkEnd w:id="120"/>
      <w:bookmarkEnd w:id="121"/>
      <w:bookmarkEnd w:id="122"/>
      <w:bookmarkEnd w:id="123"/>
    </w:p>
    <w:p w14:paraId="63E80E7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6.1本项目竞争性磋商文件由目录所列内容组成，竞争性磋商文件共六章，各章的内容如下：</w:t>
      </w:r>
    </w:p>
    <w:p w14:paraId="2BC75425">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竞争性磋商公告</w:t>
      </w:r>
    </w:p>
    <w:p w14:paraId="4ABD4881">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供应商须知</w:t>
      </w:r>
    </w:p>
    <w:p w14:paraId="3DB50733">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合同书样式及主要条款</w:t>
      </w:r>
    </w:p>
    <w:p w14:paraId="43108F4E">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响应文件格式</w:t>
      </w:r>
    </w:p>
    <w:p w14:paraId="49CF44AE">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采购需求</w:t>
      </w:r>
    </w:p>
    <w:p w14:paraId="6C94651F">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磋商程序及方法</w:t>
      </w:r>
    </w:p>
    <w:p w14:paraId="2FFC1A99">
      <w:pPr>
        <w:spacing w:line="360" w:lineRule="auto"/>
        <w:ind w:left="502"/>
        <w:rPr>
          <w:rFonts w:hint="eastAsia" w:ascii="宋体" w:hAnsi="宋体" w:eastAsia="宋体" w:cs="宋体"/>
          <w:color w:val="auto"/>
          <w:szCs w:val="21"/>
          <w:highlight w:val="none"/>
        </w:rPr>
      </w:pPr>
      <w:r>
        <w:rPr>
          <w:rFonts w:hint="eastAsia" w:ascii="宋体" w:hAnsi="宋体" w:eastAsia="宋体" w:cs="宋体"/>
          <w:color w:val="auto"/>
          <w:szCs w:val="21"/>
          <w:highlight w:val="none"/>
        </w:rPr>
        <w:t>6.2根据本章第7.1款对竞争性磋商文件所作的澄清、修改，构成竞争性磋商文件的组成部分。</w:t>
      </w:r>
    </w:p>
    <w:p w14:paraId="5231EF10">
      <w:pPr>
        <w:pStyle w:val="4"/>
        <w:jc w:val="left"/>
        <w:rPr>
          <w:rFonts w:hint="eastAsia" w:ascii="宋体" w:hAnsi="宋体" w:eastAsia="宋体" w:cs="宋体"/>
          <w:color w:val="auto"/>
          <w:sz w:val="24"/>
          <w:szCs w:val="24"/>
          <w:highlight w:val="none"/>
        </w:rPr>
      </w:pPr>
      <w:bookmarkStart w:id="124" w:name="_Toc86124049"/>
      <w:bookmarkStart w:id="125" w:name="_Toc34335285"/>
      <w:bookmarkStart w:id="126" w:name="_Toc432106482"/>
      <w:bookmarkStart w:id="127" w:name="_Toc329810193"/>
      <w:bookmarkStart w:id="128" w:name="_Toc2055069760"/>
      <w:bookmarkStart w:id="129" w:name="_Toc383175283"/>
      <w:bookmarkStart w:id="130" w:name="_Toc383175481"/>
      <w:bookmarkStart w:id="131" w:name="_Toc383175059"/>
      <w:bookmarkStart w:id="132" w:name="_Toc438396735"/>
      <w:bookmarkStart w:id="133" w:name="_Toc432194833"/>
      <w:bookmarkStart w:id="134" w:name="_Toc470096312"/>
      <w:bookmarkStart w:id="135" w:name="_Toc80867909"/>
      <w:r>
        <w:rPr>
          <w:rFonts w:hint="eastAsia" w:ascii="宋体" w:hAnsi="宋体" w:eastAsia="宋体" w:cs="宋体"/>
          <w:color w:val="auto"/>
          <w:sz w:val="24"/>
          <w:szCs w:val="24"/>
          <w:highlight w:val="none"/>
        </w:rPr>
        <w:t>7.竞争性磋商文件的澄清</w:t>
      </w:r>
      <w:bookmarkEnd w:id="124"/>
      <w:r>
        <w:rPr>
          <w:rFonts w:hint="eastAsia" w:ascii="宋体" w:hAnsi="宋体" w:eastAsia="宋体" w:cs="宋体"/>
          <w:color w:val="auto"/>
          <w:sz w:val="24"/>
          <w:szCs w:val="24"/>
          <w:highlight w:val="none"/>
        </w:rPr>
        <w:t>、修改</w:t>
      </w:r>
      <w:bookmarkEnd w:id="125"/>
      <w:bookmarkEnd w:id="126"/>
      <w:bookmarkEnd w:id="127"/>
      <w:bookmarkEnd w:id="128"/>
      <w:bookmarkEnd w:id="129"/>
      <w:bookmarkEnd w:id="130"/>
      <w:bookmarkEnd w:id="131"/>
      <w:bookmarkEnd w:id="132"/>
      <w:bookmarkEnd w:id="133"/>
      <w:bookmarkEnd w:id="134"/>
      <w:bookmarkEnd w:id="135"/>
    </w:p>
    <w:p w14:paraId="35D832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参加供应商应认真审核竞争性磋商文件，如发现缺页或附件不全，应及时向采购代理机构提出，以便补齐。如有疑问的，供应商可以向采购人或采购代理机构提出询问，采购人或者采购代理机构在接到询问后应当及时作出答复，但答复的内容不涉及商业秘密。</w:t>
      </w:r>
    </w:p>
    <w:p w14:paraId="535B3E6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采购人、采购代理机构对已发出的竞争性磋商文件进行必要的澄清或者修改的，澄清或者修改的内容作为磋商文件的组成部分。澄清或者修改的内容可能影响响应文件编制的，采购人、采购代理机构将在提交首次响应文件截止之日5日前，以书面形式通知所有接收竞争性磋商文件的供应商，不足5日的，将顺延提交首次响应文件截止之日。</w:t>
      </w:r>
    </w:p>
    <w:p w14:paraId="2653694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7.3采购代理机构和采购人可以视采购具体情况，推迟递交响应文件截止时间，并将变更时间书面通知所有购买竞争性磋商文件的供应商。</w:t>
      </w:r>
    </w:p>
    <w:p w14:paraId="085545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1134CDCA">
      <w:pPr>
        <w:pStyle w:val="3"/>
        <w:rPr>
          <w:rFonts w:hint="eastAsia" w:ascii="宋体" w:hAnsi="宋体" w:eastAsia="宋体" w:cs="宋体"/>
          <w:color w:val="auto"/>
          <w:highlight w:val="none"/>
        </w:rPr>
      </w:pPr>
      <w:bookmarkStart w:id="136" w:name="_Toc470096313"/>
      <w:bookmarkStart w:id="137" w:name="_Toc34335286"/>
      <w:bookmarkStart w:id="138" w:name="_Toc86124051"/>
      <w:bookmarkStart w:id="139" w:name="_Toc1577961619"/>
      <w:bookmarkStart w:id="140" w:name="_Toc80867910"/>
      <w:r>
        <w:rPr>
          <w:rFonts w:hint="eastAsia" w:ascii="宋体" w:hAnsi="宋体" w:eastAsia="宋体" w:cs="宋体"/>
          <w:color w:val="auto"/>
          <w:highlight w:val="none"/>
        </w:rPr>
        <w:t>三、响应文件</w:t>
      </w:r>
      <w:bookmarkEnd w:id="136"/>
      <w:bookmarkEnd w:id="137"/>
      <w:bookmarkEnd w:id="138"/>
      <w:bookmarkEnd w:id="139"/>
      <w:bookmarkEnd w:id="140"/>
    </w:p>
    <w:p w14:paraId="1AF55780">
      <w:pPr>
        <w:pStyle w:val="4"/>
        <w:jc w:val="left"/>
        <w:rPr>
          <w:rFonts w:hint="eastAsia" w:ascii="宋体" w:hAnsi="宋体" w:eastAsia="宋体" w:cs="宋体"/>
          <w:color w:val="auto"/>
          <w:sz w:val="24"/>
          <w:szCs w:val="24"/>
          <w:highlight w:val="none"/>
        </w:rPr>
      </w:pPr>
      <w:bookmarkStart w:id="141" w:name="_Toc329810195"/>
      <w:bookmarkStart w:id="142" w:name="_Toc432106484"/>
      <w:bookmarkStart w:id="143" w:name="_Toc80867911"/>
      <w:bookmarkStart w:id="144" w:name="_Toc1525373730"/>
      <w:bookmarkStart w:id="145" w:name="_Toc432194835"/>
      <w:bookmarkStart w:id="146" w:name="_Toc383175483"/>
      <w:bookmarkStart w:id="147" w:name="_Toc86124052"/>
      <w:bookmarkStart w:id="148" w:name="_Toc438396737"/>
      <w:bookmarkStart w:id="149" w:name="_Toc470096314"/>
      <w:bookmarkStart w:id="150" w:name="_Toc383175285"/>
      <w:bookmarkStart w:id="151" w:name="_Toc383175061"/>
      <w:bookmarkStart w:id="152" w:name="_Toc34335287"/>
      <w:r>
        <w:rPr>
          <w:rFonts w:hint="eastAsia" w:ascii="宋体" w:hAnsi="宋体" w:eastAsia="宋体" w:cs="宋体"/>
          <w:color w:val="auto"/>
          <w:sz w:val="24"/>
          <w:szCs w:val="24"/>
          <w:highlight w:val="none"/>
        </w:rPr>
        <w:t>8.响应文件编写注意事项</w:t>
      </w:r>
      <w:bookmarkEnd w:id="141"/>
      <w:bookmarkEnd w:id="142"/>
      <w:bookmarkEnd w:id="143"/>
      <w:bookmarkEnd w:id="144"/>
      <w:bookmarkEnd w:id="145"/>
      <w:bookmarkEnd w:id="146"/>
      <w:bookmarkEnd w:id="147"/>
      <w:bookmarkEnd w:id="148"/>
      <w:bookmarkEnd w:id="149"/>
      <w:bookmarkEnd w:id="150"/>
      <w:bookmarkEnd w:id="151"/>
      <w:bookmarkEnd w:id="152"/>
    </w:p>
    <w:p w14:paraId="7456E1C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供应商应仔细阅读竞争性磋商文件，在完全了解采购的内容、技术要求和商务条件后，编写响应文件。</w:t>
      </w:r>
    </w:p>
    <w:p w14:paraId="69B736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对竞争性磋商文件提出的实质性要求和条件作出响应是指供应商必须对竞争性磋商文件中规定的成交实质性要求和条件作出满足或者优于原要求和条件的承诺，并提供相应的证明材料。</w:t>
      </w:r>
    </w:p>
    <w:p w14:paraId="0F758757">
      <w:pPr>
        <w:pStyle w:val="4"/>
        <w:jc w:val="left"/>
        <w:rPr>
          <w:rFonts w:hint="eastAsia" w:ascii="宋体" w:hAnsi="宋体" w:eastAsia="宋体" w:cs="宋体"/>
          <w:color w:val="auto"/>
          <w:sz w:val="24"/>
          <w:szCs w:val="24"/>
          <w:highlight w:val="none"/>
        </w:rPr>
      </w:pPr>
      <w:bookmarkStart w:id="153" w:name="_Toc383175286"/>
      <w:bookmarkStart w:id="154" w:name="_Toc432194836"/>
      <w:bookmarkStart w:id="155" w:name="_Toc432106485"/>
      <w:bookmarkStart w:id="156" w:name="_Toc383175062"/>
      <w:bookmarkStart w:id="157" w:name="_Toc80867912"/>
      <w:bookmarkStart w:id="158" w:name="_Toc86124054"/>
      <w:bookmarkStart w:id="159" w:name="_Toc329810196"/>
      <w:bookmarkStart w:id="160" w:name="_Toc383175484"/>
      <w:bookmarkStart w:id="161" w:name="_Toc438396738"/>
      <w:bookmarkStart w:id="162" w:name="_Toc34335288"/>
      <w:bookmarkStart w:id="163" w:name="_Toc470096315"/>
      <w:bookmarkStart w:id="164" w:name="_Toc296502224"/>
      <w:r>
        <w:rPr>
          <w:rFonts w:hint="eastAsia" w:ascii="宋体" w:hAnsi="宋体" w:eastAsia="宋体" w:cs="宋体"/>
          <w:color w:val="auto"/>
          <w:sz w:val="24"/>
          <w:szCs w:val="24"/>
          <w:highlight w:val="none"/>
        </w:rPr>
        <w:t>9.响应文件构成</w:t>
      </w:r>
      <w:bookmarkEnd w:id="153"/>
      <w:bookmarkEnd w:id="154"/>
      <w:bookmarkEnd w:id="155"/>
      <w:bookmarkEnd w:id="156"/>
      <w:bookmarkEnd w:id="157"/>
      <w:bookmarkEnd w:id="158"/>
      <w:bookmarkEnd w:id="159"/>
      <w:bookmarkEnd w:id="160"/>
      <w:bookmarkEnd w:id="161"/>
      <w:bookmarkEnd w:id="162"/>
      <w:bookmarkEnd w:id="163"/>
      <w:bookmarkEnd w:id="164"/>
    </w:p>
    <w:p w14:paraId="5DB717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9.1供应商编写的响应文件应按第四章“响应文件格式”要求填写。有关文件的提交如未特别注明需提供原件的，可提供</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w:t>
      </w:r>
    </w:p>
    <w:p w14:paraId="69FF71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9.2本项目若分包（标段）时，供应商同时参与多个包（标段）采购的，响应文件应按包（标段）分别编制，单独成册。</w:t>
      </w:r>
    </w:p>
    <w:p w14:paraId="1941B6DB">
      <w:pPr>
        <w:pStyle w:val="4"/>
        <w:jc w:val="left"/>
        <w:rPr>
          <w:rFonts w:hint="eastAsia" w:ascii="宋体" w:hAnsi="宋体" w:eastAsia="宋体" w:cs="宋体"/>
          <w:color w:val="auto"/>
          <w:sz w:val="24"/>
          <w:szCs w:val="24"/>
          <w:highlight w:val="none"/>
        </w:rPr>
      </w:pPr>
      <w:bookmarkStart w:id="165" w:name="_Toc86124056"/>
      <w:bookmarkStart w:id="166" w:name="_Toc80867913"/>
      <w:bookmarkStart w:id="167" w:name="_Toc1150817728"/>
      <w:bookmarkStart w:id="168" w:name="_Toc383175063"/>
      <w:bookmarkStart w:id="169" w:name="_Toc34335289"/>
      <w:bookmarkStart w:id="170" w:name="_Toc432194837"/>
      <w:bookmarkStart w:id="171" w:name="_Toc432106486"/>
      <w:bookmarkStart w:id="172" w:name="_Toc329810197"/>
      <w:bookmarkStart w:id="173" w:name="_Toc470096316"/>
      <w:bookmarkStart w:id="174" w:name="_Toc383175485"/>
      <w:bookmarkStart w:id="175" w:name="_Toc383175287"/>
      <w:bookmarkStart w:id="176" w:name="_Toc438396739"/>
      <w:r>
        <w:rPr>
          <w:rFonts w:hint="eastAsia" w:ascii="宋体" w:hAnsi="宋体" w:eastAsia="宋体" w:cs="宋体"/>
          <w:color w:val="auto"/>
          <w:sz w:val="24"/>
          <w:szCs w:val="24"/>
          <w:highlight w:val="none"/>
        </w:rPr>
        <w:t>10.报价</w:t>
      </w:r>
      <w:bookmarkEnd w:id="165"/>
      <w:r>
        <w:rPr>
          <w:rFonts w:hint="eastAsia" w:ascii="宋体" w:hAnsi="宋体" w:eastAsia="宋体" w:cs="宋体"/>
          <w:color w:val="auto"/>
          <w:sz w:val="24"/>
          <w:szCs w:val="24"/>
          <w:highlight w:val="none"/>
        </w:rPr>
        <w:t>和报价货币</w:t>
      </w:r>
      <w:bookmarkEnd w:id="166"/>
      <w:bookmarkEnd w:id="167"/>
      <w:bookmarkEnd w:id="168"/>
      <w:bookmarkEnd w:id="169"/>
      <w:bookmarkEnd w:id="170"/>
      <w:bookmarkEnd w:id="171"/>
      <w:bookmarkEnd w:id="172"/>
      <w:bookmarkEnd w:id="173"/>
      <w:bookmarkEnd w:id="174"/>
      <w:bookmarkEnd w:id="175"/>
      <w:bookmarkEnd w:id="176"/>
    </w:p>
    <w:p w14:paraId="648C5A5E">
      <w:pPr>
        <w:spacing w:line="360" w:lineRule="auto"/>
        <w:ind w:firstLine="424" w:firstLineChars="202"/>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10.1本项目报价采用的币种为人民币。</w:t>
      </w:r>
    </w:p>
    <w:p w14:paraId="14CF2F6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w:t>
      </w:r>
      <w:bookmarkStart w:id="177" w:name="_Toc383175288"/>
      <w:bookmarkStart w:id="178" w:name="_Toc329810198"/>
      <w:bookmarkStart w:id="179" w:name="_Toc432194838"/>
      <w:bookmarkStart w:id="180" w:name="_Toc86124058"/>
      <w:bookmarkStart w:id="181" w:name="_Toc470096317"/>
      <w:bookmarkStart w:id="182" w:name="_Toc383175486"/>
      <w:bookmarkStart w:id="183" w:name="_Toc432106487"/>
      <w:bookmarkStart w:id="184" w:name="_Toc34335290"/>
      <w:bookmarkStart w:id="185" w:name="_Toc383175064"/>
      <w:bookmarkStart w:id="186" w:name="_Toc438396740"/>
      <w:r>
        <w:rPr>
          <w:rFonts w:hint="eastAsia" w:ascii="宋体" w:hAnsi="宋体" w:eastAsia="宋体" w:cs="宋体"/>
          <w:color w:val="auto"/>
          <w:highlight w:val="none"/>
        </w:rPr>
        <w:t>报价要求：</w:t>
      </w:r>
      <w:r>
        <w:rPr>
          <w:rFonts w:hint="eastAsia" w:ascii="宋体" w:hAnsi="宋体" w:eastAsia="宋体" w:cs="宋体"/>
          <w:color w:val="auto"/>
          <w:szCs w:val="21"/>
          <w:highlight w:val="none"/>
        </w:rPr>
        <w:t>见“</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544F671C">
      <w:pPr>
        <w:pStyle w:val="4"/>
        <w:jc w:val="left"/>
        <w:rPr>
          <w:rFonts w:hint="eastAsia" w:ascii="宋体" w:hAnsi="宋体" w:eastAsia="宋体" w:cs="宋体"/>
          <w:color w:val="auto"/>
          <w:sz w:val="24"/>
          <w:szCs w:val="24"/>
          <w:highlight w:val="none"/>
        </w:rPr>
      </w:pPr>
      <w:bookmarkStart w:id="187" w:name="_Toc1555829614"/>
      <w:bookmarkStart w:id="188" w:name="_Toc80867914"/>
      <w:r>
        <w:rPr>
          <w:rFonts w:hint="eastAsia" w:ascii="宋体" w:hAnsi="宋体" w:eastAsia="宋体" w:cs="宋体"/>
          <w:color w:val="auto"/>
          <w:sz w:val="24"/>
          <w:szCs w:val="24"/>
          <w:highlight w:val="none"/>
        </w:rPr>
        <w:t>11.响应文件有效期</w:t>
      </w:r>
      <w:bookmarkEnd w:id="177"/>
      <w:bookmarkEnd w:id="178"/>
      <w:bookmarkEnd w:id="179"/>
      <w:bookmarkEnd w:id="180"/>
      <w:bookmarkEnd w:id="181"/>
      <w:bookmarkEnd w:id="182"/>
      <w:bookmarkEnd w:id="183"/>
      <w:bookmarkEnd w:id="184"/>
      <w:bookmarkEnd w:id="185"/>
      <w:bookmarkEnd w:id="186"/>
      <w:bookmarkEnd w:id="187"/>
      <w:bookmarkEnd w:id="188"/>
    </w:p>
    <w:p w14:paraId="2DA17F1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在“</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”规定的响应文件有效期内，供应商不得要求撤销或修改其响应文件。</w:t>
      </w:r>
    </w:p>
    <w:p w14:paraId="5E7D15A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5F38D55C">
      <w:pPr>
        <w:pStyle w:val="4"/>
        <w:jc w:val="left"/>
        <w:rPr>
          <w:rFonts w:hint="eastAsia" w:ascii="宋体" w:hAnsi="宋体" w:eastAsia="宋体" w:cs="宋体"/>
          <w:color w:val="auto"/>
          <w:sz w:val="24"/>
          <w:szCs w:val="24"/>
          <w:highlight w:val="none"/>
        </w:rPr>
      </w:pPr>
      <w:bookmarkStart w:id="189" w:name="_Toc86124059"/>
      <w:bookmarkStart w:id="190" w:name="_Toc329810199"/>
      <w:bookmarkStart w:id="191" w:name="_Toc1067436626"/>
      <w:bookmarkStart w:id="192" w:name="_Toc438396741"/>
      <w:bookmarkStart w:id="193" w:name="_Toc432106488"/>
      <w:bookmarkStart w:id="194" w:name="_Toc80867915"/>
      <w:bookmarkStart w:id="195" w:name="_Toc34335291"/>
      <w:bookmarkStart w:id="196" w:name="_Toc470096318"/>
      <w:bookmarkStart w:id="197" w:name="_Toc383175065"/>
      <w:bookmarkStart w:id="198" w:name="_Toc383175487"/>
      <w:bookmarkStart w:id="199" w:name="_Toc383175289"/>
      <w:bookmarkStart w:id="200" w:name="_Toc432194839"/>
      <w:r>
        <w:rPr>
          <w:rFonts w:hint="eastAsia" w:ascii="宋体" w:hAnsi="宋体" w:eastAsia="宋体" w:cs="宋体"/>
          <w:color w:val="auto"/>
          <w:sz w:val="24"/>
          <w:szCs w:val="24"/>
          <w:highlight w:val="none"/>
        </w:rPr>
        <w:t>12.响应文件的</w:t>
      </w:r>
      <w:bookmarkEnd w:id="189"/>
      <w:bookmarkEnd w:id="190"/>
      <w:r>
        <w:rPr>
          <w:rFonts w:hint="eastAsia" w:ascii="宋体" w:hAnsi="宋体" w:eastAsia="宋体" w:cs="宋体"/>
          <w:color w:val="auto"/>
          <w:sz w:val="24"/>
          <w:szCs w:val="24"/>
          <w:highlight w:val="none"/>
        </w:rPr>
        <w:t>编制</w:t>
      </w:r>
      <w:bookmarkEnd w:id="191"/>
      <w:bookmarkEnd w:id="192"/>
      <w:bookmarkEnd w:id="193"/>
      <w:bookmarkEnd w:id="194"/>
      <w:bookmarkEnd w:id="195"/>
      <w:bookmarkEnd w:id="196"/>
      <w:bookmarkEnd w:id="197"/>
      <w:bookmarkEnd w:id="198"/>
      <w:bookmarkEnd w:id="199"/>
      <w:bookmarkEnd w:id="200"/>
    </w:p>
    <w:p w14:paraId="64D0B81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响应文件须用不褪色的墨水书写或打印。并按竞争性磋商文件有签署要求的地方按规定格式由供应商的法定代表人或其委托代理人亲笔签字（或盖签字章）。</w:t>
      </w:r>
      <w:r>
        <w:rPr>
          <w:rFonts w:hint="eastAsia" w:ascii="宋体" w:hAnsi="宋体" w:eastAsia="宋体" w:cs="宋体"/>
          <w:b/>
          <w:color w:val="auto"/>
          <w:szCs w:val="21"/>
          <w:highlight w:val="none"/>
        </w:rPr>
        <w:t>委托代理人签字的，响应文件应附法定代表人签署的授权委托书。</w:t>
      </w:r>
    </w:p>
    <w:p w14:paraId="6ACE0C91">
      <w:pPr>
        <w:spacing w:line="360" w:lineRule="auto"/>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响应文件应尽量避免涂改、行间插字或删除。如果出现上述情况，改动之处应加</w:t>
      </w:r>
      <w:r>
        <w:rPr>
          <w:rFonts w:hint="eastAsia" w:ascii="宋体" w:hAnsi="宋体" w:eastAsia="宋体" w:cs="宋体"/>
          <w:color w:val="auto"/>
          <w:szCs w:val="21"/>
          <w:highlight w:val="none"/>
          <w:lang w:eastAsia="zh-CN"/>
        </w:rPr>
        <w:t>加盖供应商公章</w:t>
      </w:r>
      <w:r>
        <w:rPr>
          <w:rFonts w:hint="eastAsia" w:ascii="宋体" w:hAnsi="宋体" w:eastAsia="宋体" w:cs="宋体"/>
          <w:color w:val="auto"/>
          <w:szCs w:val="21"/>
          <w:highlight w:val="none"/>
        </w:rPr>
        <w:t>或供应商法定代表人或其授权的代理人签字确认。</w:t>
      </w:r>
    </w:p>
    <w:p w14:paraId="35B2E8ED">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★12.3响应文件应由法定代表人或其委托代理人在凡规定签字处</w:t>
      </w:r>
      <w:r>
        <w:rPr>
          <w:rFonts w:hint="eastAsia" w:ascii="宋体" w:hAnsi="宋体" w:eastAsia="宋体" w:cs="宋体"/>
          <w:b/>
          <w:bCs/>
          <w:color w:val="auto"/>
          <w:szCs w:val="21"/>
          <w:highlight w:val="none"/>
        </w:rPr>
        <w:t>逐一</w:t>
      </w:r>
      <w:r>
        <w:rPr>
          <w:rFonts w:hint="eastAsia" w:ascii="宋体" w:hAnsi="宋体" w:eastAsia="宋体" w:cs="宋体"/>
          <w:b/>
          <w:color w:val="auto"/>
          <w:szCs w:val="21"/>
          <w:highlight w:val="none"/>
        </w:rPr>
        <w:t>亲笔签字</w:t>
      </w:r>
      <w:r>
        <w:rPr>
          <w:rFonts w:hint="eastAsia" w:ascii="宋体" w:hAnsi="宋体" w:eastAsia="宋体" w:cs="宋体"/>
          <w:color w:val="auto"/>
          <w:szCs w:val="21"/>
          <w:highlight w:val="none"/>
        </w:rPr>
        <w:t>（或盖签字章），要求盖章处应加盖</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公章，若以“投标专用章”或“合同专用章”代替的，须出具供应商单位公章对“投标专用章”或“合同专用章”的授权函原件。</w:t>
      </w:r>
    </w:p>
    <w:p w14:paraId="4D8371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响应文件份数：见“</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w:t>
      </w:r>
    </w:p>
    <w:p w14:paraId="55C37194">
      <w:pPr>
        <w:pStyle w:val="4"/>
        <w:jc w:val="left"/>
        <w:rPr>
          <w:rFonts w:hint="eastAsia" w:ascii="宋体" w:hAnsi="宋体" w:eastAsia="宋体" w:cs="宋体"/>
          <w:color w:val="auto"/>
          <w:sz w:val="24"/>
          <w:szCs w:val="24"/>
          <w:highlight w:val="none"/>
        </w:rPr>
      </w:pPr>
      <w:bookmarkStart w:id="201" w:name="_Toc432194840"/>
      <w:bookmarkStart w:id="202" w:name="_Toc470096319"/>
      <w:bookmarkStart w:id="203" w:name="_Toc432106489"/>
      <w:bookmarkStart w:id="204" w:name="_Toc438396742"/>
      <w:bookmarkStart w:id="205" w:name="_Toc34335292"/>
      <w:bookmarkStart w:id="206" w:name="_Toc328986144"/>
      <w:bookmarkStart w:id="207" w:name="_Toc80867916"/>
      <w:r>
        <w:rPr>
          <w:rFonts w:hint="eastAsia" w:ascii="宋体" w:hAnsi="宋体" w:eastAsia="宋体" w:cs="宋体"/>
          <w:color w:val="auto"/>
          <w:sz w:val="24"/>
          <w:szCs w:val="24"/>
          <w:highlight w:val="none"/>
        </w:rPr>
        <w:t>13.磋商保证金</w:t>
      </w:r>
      <w:bookmarkEnd w:id="201"/>
      <w:bookmarkEnd w:id="202"/>
      <w:bookmarkEnd w:id="203"/>
      <w:bookmarkEnd w:id="204"/>
      <w:bookmarkEnd w:id="205"/>
      <w:bookmarkEnd w:id="206"/>
      <w:bookmarkEnd w:id="207"/>
    </w:p>
    <w:p w14:paraId="21943C8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13.1磋商保证金为人民币。供应商应在递交响应文件截止时间以前按“</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”规定的方式及金额缴纳保证金，并在磋商有效期内保持有效。</w:t>
      </w:r>
    </w:p>
    <w:p w14:paraId="1386D0B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13.2采购代理机构在成交通知书发出后5个工作日内向未成交供应商退还磋商保证金及同期银行存款利息，在采购合同签订后5个工作日内向成交供应商退还磋商保证金及同期银行存款利息。</w:t>
      </w:r>
    </w:p>
    <w:p w14:paraId="3DEB0F8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下列情况发生时，磋商保证金将不予退还：</w:t>
      </w:r>
    </w:p>
    <w:p w14:paraId="4471475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（一）供应商在提交响应文件截止时间后撤回响应文件的；</w:t>
      </w:r>
    </w:p>
    <w:p w14:paraId="2DC7BA7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（二）供应商在响应文件中提供虚假材料的；</w:t>
      </w:r>
    </w:p>
    <w:p w14:paraId="5016D2C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（三）除因不可抗力或磋商文件、磋商通知书认可的情形以外，成交供应商不与采购人签订合同的；</w:t>
      </w:r>
    </w:p>
    <w:p w14:paraId="4AAB28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（四）供应商与采购人、其他供应商或者采购代理机构恶意串通的；</w:t>
      </w:r>
    </w:p>
    <w:p w14:paraId="18D64C8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（五）磋商文件规定的其他情形。</w:t>
      </w:r>
    </w:p>
    <w:p w14:paraId="384B41EE">
      <w:pPr>
        <w:pStyle w:val="3"/>
        <w:rPr>
          <w:rFonts w:hint="eastAsia" w:ascii="宋体" w:hAnsi="宋体" w:eastAsia="宋体" w:cs="宋体"/>
          <w:color w:val="auto"/>
          <w:highlight w:val="none"/>
        </w:rPr>
      </w:pPr>
      <w:bookmarkStart w:id="208" w:name="_Toc1647214830"/>
      <w:bookmarkStart w:id="209" w:name="_Toc34335293"/>
      <w:bookmarkStart w:id="210" w:name="_Toc80867917"/>
      <w:bookmarkStart w:id="211" w:name="_Toc470096320"/>
      <w:bookmarkStart w:id="212" w:name="_Toc86124061"/>
      <w:r>
        <w:rPr>
          <w:rFonts w:hint="eastAsia" w:ascii="宋体" w:hAnsi="宋体" w:eastAsia="宋体" w:cs="宋体"/>
          <w:color w:val="auto"/>
          <w:highlight w:val="none"/>
        </w:rPr>
        <w:t>四、响应文件的提交</w:t>
      </w:r>
      <w:bookmarkEnd w:id="208"/>
      <w:bookmarkEnd w:id="209"/>
      <w:bookmarkEnd w:id="210"/>
      <w:bookmarkEnd w:id="211"/>
      <w:bookmarkEnd w:id="212"/>
    </w:p>
    <w:p w14:paraId="5233B741">
      <w:pPr>
        <w:pStyle w:val="4"/>
        <w:jc w:val="left"/>
        <w:rPr>
          <w:rFonts w:hint="eastAsia" w:ascii="宋体" w:hAnsi="宋体" w:eastAsia="宋体" w:cs="宋体"/>
          <w:color w:val="auto"/>
          <w:sz w:val="24"/>
          <w:szCs w:val="24"/>
          <w:highlight w:val="none"/>
        </w:rPr>
      </w:pPr>
      <w:bookmarkStart w:id="213" w:name="_Toc470096321"/>
      <w:bookmarkStart w:id="214" w:name="_Toc383175068"/>
      <w:bookmarkStart w:id="215" w:name="_Toc86124062"/>
      <w:bookmarkStart w:id="216" w:name="_Toc329810202"/>
      <w:bookmarkStart w:id="217" w:name="_Toc80867918"/>
      <w:bookmarkStart w:id="218" w:name="_Toc34335294"/>
      <w:bookmarkStart w:id="219" w:name="_Toc383175292"/>
      <w:bookmarkStart w:id="220" w:name="_Toc432194842"/>
      <w:bookmarkStart w:id="221" w:name="_Toc1527954333"/>
      <w:bookmarkStart w:id="222" w:name="_Toc383175490"/>
      <w:bookmarkStart w:id="223" w:name="_Toc432106491"/>
      <w:bookmarkStart w:id="224" w:name="_Toc438396744"/>
      <w:r>
        <w:rPr>
          <w:rFonts w:hint="eastAsia" w:ascii="宋体" w:hAnsi="宋体" w:eastAsia="宋体" w:cs="宋体"/>
          <w:color w:val="auto"/>
          <w:sz w:val="24"/>
          <w:szCs w:val="24"/>
          <w:highlight w:val="none"/>
        </w:rPr>
        <w:t>14.响应文件的密封与标记</w:t>
      </w:r>
      <w:bookmarkEnd w:id="213"/>
      <w:bookmarkEnd w:id="214"/>
      <w:bookmarkEnd w:id="215"/>
      <w:bookmarkEnd w:id="216"/>
      <w:bookmarkEnd w:id="217"/>
      <w:bookmarkEnd w:id="218"/>
      <w:bookmarkEnd w:id="219"/>
      <w:bookmarkEnd w:id="220"/>
      <w:bookmarkEnd w:id="221"/>
      <w:bookmarkEnd w:id="222"/>
      <w:bookmarkEnd w:id="223"/>
      <w:bookmarkEnd w:id="224"/>
    </w:p>
    <w:p w14:paraId="003FA44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按“政采云”要求，上传电子响应文件壹份。供应商应安装“政采云”投标客户端，根据采购文件格式编制响应文件，生成加密标书后进行上传。</w:t>
      </w:r>
    </w:p>
    <w:p w14:paraId="2AF6E1D9">
      <w:pPr>
        <w:pStyle w:val="4"/>
        <w:jc w:val="left"/>
        <w:rPr>
          <w:rFonts w:hint="eastAsia" w:ascii="宋体" w:hAnsi="宋体" w:eastAsia="宋体" w:cs="宋体"/>
          <w:color w:val="auto"/>
          <w:sz w:val="24"/>
          <w:szCs w:val="24"/>
          <w:highlight w:val="none"/>
        </w:rPr>
      </w:pPr>
      <w:bookmarkStart w:id="225" w:name="_Toc432106492"/>
      <w:bookmarkStart w:id="226" w:name="_Toc329810203"/>
      <w:bookmarkStart w:id="227" w:name="_Toc86124063"/>
      <w:bookmarkStart w:id="228" w:name="_Toc383175069"/>
      <w:bookmarkStart w:id="229" w:name="_Toc719023905"/>
      <w:bookmarkStart w:id="230" w:name="_Toc432194843"/>
      <w:bookmarkStart w:id="231" w:name="_Toc438396745"/>
      <w:bookmarkStart w:id="232" w:name="_Toc470096322"/>
      <w:bookmarkStart w:id="233" w:name="_Toc383175293"/>
      <w:bookmarkStart w:id="234" w:name="_Toc383175491"/>
      <w:bookmarkStart w:id="235" w:name="_Toc80867919"/>
      <w:bookmarkStart w:id="236" w:name="_Toc34335295"/>
      <w:bookmarkStart w:id="237" w:name="_Toc80867920"/>
      <w:bookmarkStart w:id="238" w:name="_Toc470096323"/>
      <w:bookmarkStart w:id="239" w:name="_Toc86124064"/>
      <w:bookmarkStart w:id="240" w:name="_Toc34335296"/>
      <w:r>
        <w:rPr>
          <w:rFonts w:hint="eastAsia" w:ascii="宋体" w:hAnsi="宋体" w:eastAsia="宋体" w:cs="宋体"/>
          <w:color w:val="auto"/>
          <w:sz w:val="24"/>
          <w:szCs w:val="24"/>
          <w:highlight w:val="none"/>
        </w:rPr>
        <w:t>15.递交响应文件的截止时间和地点</w:t>
      </w:r>
      <w:bookmarkEnd w:id="225"/>
      <w:bookmarkEnd w:id="226"/>
      <w:bookmarkEnd w:id="227"/>
      <w:bookmarkEnd w:id="228"/>
      <w:bookmarkEnd w:id="229"/>
      <w:bookmarkEnd w:id="230"/>
      <w:bookmarkEnd w:id="231"/>
      <w:bookmarkEnd w:id="232"/>
      <w:bookmarkEnd w:id="233"/>
      <w:bookmarkEnd w:id="234"/>
      <w:bookmarkEnd w:id="235"/>
      <w:bookmarkEnd w:id="236"/>
    </w:p>
    <w:p w14:paraId="15024A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响应文件的递交不得迟于“</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”规定的递交响应文件截止时间。</w:t>
      </w:r>
    </w:p>
    <w:p w14:paraId="350109A7">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15.2 供应商必须在规定时间内将响应文件递交到“</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”规定的地点。</w:t>
      </w:r>
    </w:p>
    <w:p w14:paraId="061C2BA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15.3除“</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”另有规定外，供应商所递交的响应文件不予退还。</w:t>
      </w:r>
    </w:p>
    <w:p w14:paraId="5444BDD5">
      <w:pPr>
        <w:pStyle w:val="3"/>
        <w:rPr>
          <w:rFonts w:hint="eastAsia" w:ascii="宋体" w:hAnsi="宋体" w:eastAsia="宋体" w:cs="宋体"/>
          <w:color w:val="auto"/>
          <w:highlight w:val="none"/>
        </w:rPr>
      </w:pPr>
      <w:bookmarkStart w:id="241" w:name="_Toc744289666"/>
      <w:r>
        <w:rPr>
          <w:rFonts w:hint="eastAsia" w:ascii="宋体" w:hAnsi="宋体" w:eastAsia="宋体" w:cs="宋体"/>
          <w:color w:val="auto"/>
          <w:highlight w:val="none"/>
        </w:rPr>
        <w:t>五、磋商</w:t>
      </w:r>
      <w:bookmarkEnd w:id="237"/>
      <w:bookmarkEnd w:id="238"/>
      <w:bookmarkEnd w:id="239"/>
      <w:bookmarkEnd w:id="240"/>
      <w:bookmarkEnd w:id="241"/>
    </w:p>
    <w:p w14:paraId="2281E857">
      <w:pPr>
        <w:pStyle w:val="4"/>
        <w:jc w:val="left"/>
        <w:rPr>
          <w:rFonts w:hint="eastAsia" w:ascii="宋体" w:hAnsi="宋体" w:eastAsia="宋体" w:cs="宋体"/>
          <w:color w:val="auto"/>
          <w:sz w:val="24"/>
          <w:szCs w:val="24"/>
          <w:highlight w:val="none"/>
        </w:rPr>
      </w:pPr>
      <w:bookmarkStart w:id="242" w:name="_Toc184172687"/>
      <w:bookmarkStart w:id="243" w:name="_Toc470096324"/>
      <w:bookmarkStart w:id="244" w:name="_Toc432194845"/>
      <w:bookmarkStart w:id="245" w:name="_Toc432106494"/>
      <w:bookmarkStart w:id="246" w:name="_Toc34335297"/>
      <w:bookmarkStart w:id="247" w:name="_Toc80867921"/>
      <w:bookmarkStart w:id="248" w:name="_Toc438396747"/>
      <w:r>
        <w:rPr>
          <w:rFonts w:hint="eastAsia" w:ascii="宋体" w:hAnsi="宋体" w:eastAsia="宋体" w:cs="宋体"/>
          <w:color w:val="auto"/>
          <w:sz w:val="24"/>
          <w:szCs w:val="24"/>
          <w:highlight w:val="none"/>
        </w:rPr>
        <w:t>16.磋商</w:t>
      </w:r>
      <w:bookmarkEnd w:id="242"/>
      <w:bookmarkEnd w:id="243"/>
      <w:bookmarkEnd w:id="244"/>
      <w:bookmarkEnd w:id="245"/>
      <w:bookmarkEnd w:id="246"/>
      <w:bookmarkEnd w:id="247"/>
      <w:bookmarkEnd w:id="248"/>
    </w:p>
    <w:p w14:paraId="5999D6B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16.1采购代理机构将在“</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”规定的时间和地点进行磋商，供应商的法定代表人或其委托代理人应按时参加。</w:t>
      </w:r>
    </w:p>
    <w:p w14:paraId="37FAA8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磋商由磋商小组负责。磋商小组由从专家库中随机抽取的技术、经济等方面的专家组成，成员人数应当为3人以上单数。</w:t>
      </w:r>
    </w:p>
    <w:p w14:paraId="2169975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磋商原则</w:t>
      </w:r>
    </w:p>
    <w:p w14:paraId="048F5188">
      <w:pPr>
        <w:tabs>
          <w:tab w:val="left" w:pos="7980"/>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磋商小组对各供应商的响应文件进行详细评审。磋商小组按照得分的高低推荐成交候选人，推荐成交候选人3人，并标明排列顺序。</w:t>
      </w:r>
    </w:p>
    <w:p w14:paraId="28369579">
      <w:pPr>
        <w:tabs>
          <w:tab w:val="left" w:pos="7980"/>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磋商程序和方法</w:t>
      </w:r>
    </w:p>
    <w:p w14:paraId="2ACCB7F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磋商小组按按照 “</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”规定的方法、因素、标准和程序进行磋商。</w:t>
      </w:r>
    </w:p>
    <w:p w14:paraId="1941723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16.5竞争性磋商文件</w:t>
      </w:r>
      <w:r>
        <w:rPr>
          <w:rFonts w:hint="eastAsia" w:ascii="宋体" w:hAnsi="宋体" w:eastAsia="宋体" w:cs="宋体"/>
          <w:b/>
          <w:color w:val="auto"/>
          <w:szCs w:val="21"/>
          <w:highlight w:val="none"/>
          <w:u w:val="single"/>
        </w:rPr>
        <w:t>第六章“磋商程序和方法” 前附表资格及符合性评审标准为竞争性磋商文件的实质性内容，未实质性响应竞争性磋商文件的供应商的响应文件将按无效处理，该供应商不得再继续参加磋商</w:t>
      </w:r>
      <w:r>
        <w:rPr>
          <w:rFonts w:hint="eastAsia" w:ascii="宋体" w:hAnsi="宋体" w:eastAsia="宋体" w:cs="宋体"/>
          <w:color w:val="auto"/>
          <w:szCs w:val="21"/>
          <w:highlight w:val="none"/>
        </w:rPr>
        <w:t>。</w:t>
      </w:r>
    </w:p>
    <w:p w14:paraId="6B63023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44ACF4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8C670A2">
      <w:pPr>
        <w:pStyle w:val="4"/>
        <w:jc w:val="left"/>
        <w:rPr>
          <w:rFonts w:hint="eastAsia" w:ascii="宋体" w:hAnsi="宋体" w:eastAsia="宋体" w:cs="宋体"/>
          <w:color w:val="auto"/>
          <w:sz w:val="24"/>
          <w:szCs w:val="24"/>
          <w:highlight w:val="none"/>
        </w:rPr>
      </w:pPr>
      <w:bookmarkStart w:id="249" w:name="_Toc383175494"/>
      <w:bookmarkStart w:id="250" w:name="_Toc329810207"/>
      <w:bookmarkStart w:id="251" w:name="_Toc432106495"/>
      <w:bookmarkStart w:id="252" w:name="_Toc866415082"/>
      <w:bookmarkStart w:id="253" w:name="_Toc80867922"/>
      <w:bookmarkStart w:id="254" w:name="_Toc432194846"/>
      <w:bookmarkStart w:id="255" w:name="_Toc34335298"/>
      <w:bookmarkStart w:id="256" w:name="_Toc86124067"/>
      <w:bookmarkStart w:id="257" w:name="_Toc383175072"/>
      <w:bookmarkStart w:id="258" w:name="_Toc438396748"/>
      <w:bookmarkStart w:id="259" w:name="_Toc383175296"/>
      <w:bookmarkStart w:id="260" w:name="_Toc470096325"/>
      <w:r>
        <w:rPr>
          <w:rFonts w:hint="eastAsia" w:ascii="宋体" w:hAnsi="宋体" w:eastAsia="宋体" w:cs="宋体"/>
          <w:color w:val="auto"/>
          <w:sz w:val="24"/>
          <w:szCs w:val="24"/>
          <w:highlight w:val="none"/>
        </w:rPr>
        <w:t>17.磋商过程的保密</w:t>
      </w:r>
      <w:bookmarkEnd w:id="249"/>
      <w:bookmarkEnd w:id="250"/>
      <w:bookmarkEnd w:id="251"/>
      <w:bookmarkEnd w:id="252"/>
      <w:bookmarkEnd w:id="253"/>
      <w:bookmarkEnd w:id="254"/>
      <w:bookmarkEnd w:id="255"/>
      <w:bookmarkEnd w:id="256"/>
      <w:bookmarkEnd w:id="257"/>
      <w:bookmarkEnd w:id="258"/>
      <w:bookmarkEnd w:id="259"/>
      <w:bookmarkEnd w:id="260"/>
    </w:p>
    <w:p w14:paraId="1D02F77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1BDE9033">
      <w:pPr>
        <w:pStyle w:val="4"/>
        <w:jc w:val="left"/>
        <w:rPr>
          <w:rFonts w:hint="eastAsia" w:ascii="宋体" w:hAnsi="宋体" w:eastAsia="宋体" w:cs="宋体"/>
          <w:color w:val="auto"/>
          <w:sz w:val="24"/>
          <w:szCs w:val="24"/>
          <w:highlight w:val="none"/>
        </w:rPr>
      </w:pPr>
      <w:bookmarkStart w:id="261" w:name="_Toc1899156514"/>
      <w:bookmarkStart w:id="262" w:name="_Toc34335299"/>
      <w:bookmarkStart w:id="263" w:name="_Toc80867923"/>
      <w:bookmarkStart w:id="264" w:name="_Toc432106496"/>
      <w:bookmarkStart w:id="265" w:name="_Toc378499713"/>
      <w:bookmarkStart w:id="266" w:name="_Toc329810208"/>
      <w:bookmarkStart w:id="267" w:name="_Toc383175495"/>
      <w:bookmarkStart w:id="268" w:name="_Toc383175297"/>
      <w:bookmarkStart w:id="269" w:name="_Toc470096326"/>
      <w:bookmarkStart w:id="270" w:name="_Toc438396749"/>
      <w:bookmarkStart w:id="271" w:name="_Toc86124068"/>
      <w:bookmarkStart w:id="272" w:name="_Toc383175073"/>
      <w:bookmarkStart w:id="273" w:name="_Toc432194847"/>
      <w:r>
        <w:rPr>
          <w:rFonts w:hint="eastAsia" w:ascii="宋体" w:hAnsi="宋体" w:eastAsia="宋体" w:cs="宋体"/>
          <w:color w:val="auto"/>
          <w:sz w:val="24"/>
          <w:szCs w:val="24"/>
          <w:highlight w:val="none"/>
        </w:rPr>
        <w:t>18.关于重新开展采购活动</w:t>
      </w:r>
      <w:bookmarkEnd w:id="261"/>
      <w:bookmarkEnd w:id="262"/>
      <w:bookmarkEnd w:id="263"/>
    </w:p>
    <w:bookmarkEnd w:id="264"/>
    <w:bookmarkEnd w:id="265"/>
    <w:bookmarkEnd w:id="266"/>
    <w:bookmarkEnd w:id="267"/>
    <w:bookmarkEnd w:id="268"/>
    <w:bookmarkEnd w:id="269"/>
    <w:bookmarkEnd w:id="270"/>
    <w:bookmarkEnd w:id="271"/>
    <w:bookmarkEnd w:id="272"/>
    <w:bookmarkEnd w:id="273"/>
    <w:p w14:paraId="58AA8F7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出现下列情形之一的，将终止竞争性磋商采购活动，并发布项目终止公告并说明原因，重新开展采购活动：</w:t>
      </w:r>
    </w:p>
    <w:p w14:paraId="29EB19E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（1）因情况变化，不再符合规定的竞争性磋商采购方式适用情形的；</w:t>
      </w:r>
    </w:p>
    <w:p w14:paraId="76FD12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17FC5FA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（3）在采购过程中</w:t>
      </w:r>
      <w:r>
        <w:rPr>
          <w:rFonts w:hint="eastAsia" w:ascii="宋体" w:hAnsi="宋体" w:eastAsia="宋体" w:cs="宋体"/>
          <w:b/>
          <w:bCs/>
          <w:color w:val="auto"/>
          <w:szCs w:val="21"/>
          <w:highlight w:val="none"/>
        </w:rPr>
        <w:t>符合要求的供应商</w:t>
      </w:r>
      <w:r>
        <w:rPr>
          <w:rFonts w:hint="eastAsia" w:ascii="宋体" w:hAnsi="宋体" w:eastAsia="宋体" w:cs="宋体"/>
          <w:color w:val="auto"/>
          <w:szCs w:val="21"/>
          <w:highlight w:val="none"/>
        </w:rPr>
        <w:t>或者</w:t>
      </w:r>
      <w:r>
        <w:rPr>
          <w:rFonts w:hint="eastAsia" w:ascii="宋体" w:hAnsi="宋体" w:eastAsia="宋体" w:cs="宋体"/>
          <w:b/>
          <w:bCs/>
          <w:color w:val="auto"/>
          <w:szCs w:val="21"/>
          <w:highlight w:val="none"/>
        </w:rPr>
        <w:t>最后报价未超过最高限价的供应商不足3家的</w:t>
      </w:r>
      <w:r>
        <w:rPr>
          <w:rFonts w:hint="eastAsia" w:ascii="宋体" w:hAnsi="宋体" w:eastAsia="宋体" w:cs="宋体"/>
          <w:color w:val="auto"/>
          <w:szCs w:val="21"/>
          <w:highlight w:val="none"/>
        </w:rPr>
        <w:t>。</w:t>
      </w:r>
    </w:p>
    <w:p w14:paraId="63C4D6ED">
      <w:pPr>
        <w:pStyle w:val="3"/>
        <w:rPr>
          <w:rFonts w:hint="eastAsia" w:ascii="宋体" w:hAnsi="宋体" w:eastAsia="宋体" w:cs="宋体"/>
          <w:color w:val="auto"/>
          <w:highlight w:val="none"/>
        </w:rPr>
      </w:pPr>
      <w:bookmarkStart w:id="274" w:name="_Toc1074085437"/>
      <w:bookmarkStart w:id="275" w:name="_Toc470096327"/>
      <w:bookmarkStart w:id="276" w:name="_Toc80867924"/>
      <w:bookmarkStart w:id="277" w:name="_Toc34335300"/>
      <w:bookmarkStart w:id="278" w:name="_Toc86124069"/>
      <w:r>
        <w:rPr>
          <w:rFonts w:hint="eastAsia" w:ascii="宋体" w:hAnsi="宋体" w:eastAsia="宋体" w:cs="宋体"/>
          <w:color w:val="auto"/>
          <w:highlight w:val="none"/>
        </w:rPr>
        <w:t>六、成交结果</w:t>
      </w:r>
      <w:bookmarkEnd w:id="274"/>
      <w:bookmarkEnd w:id="275"/>
      <w:bookmarkEnd w:id="276"/>
      <w:bookmarkEnd w:id="277"/>
      <w:bookmarkEnd w:id="278"/>
    </w:p>
    <w:p w14:paraId="647604DB">
      <w:pPr>
        <w:pStyle w:val="4"/>
        <w:jc w:val="left"/>
        <w:rPr>
          <w:rFonts w:hint="eastAsia" w:ascii="宋体" w:hAnsi="宋体" w:eastAsia="宋体" w:cs="宋体"/>
          <w:color w:val="auto"/>
          <w:sz w:val="24"/>
          <w:szCs w:val="24"/>
          <w:highlight w:val="none"/>
        </w:rPr>
      </w:pPr>
      <w:bookmarkStart w:id="279" w:name="_Toc383175299"/>
      <w:bookmarkStart w:id="280" w:name="_Toc383175497"/>
      <w:bookmarkStart w:id="281" w:name="_Toc329810210"/>
      <w:bookmarkStart w:id="282" w:name="_Toc383175075"/>
      <w:bookmarkStart w:id="283" w:name="_Toc470096328"/>
      <w:bookmarkStart w:id="284" w:name="_Toc34335301"/>
      <w:bookmarkStart w:id="285" w:name="_Toc432194849"/>
      <w:bookmarkStart w:id="286" w:name="_Toc438396751"/>
      <w:bookmarkStart w:id="287" w:name="_Toc432106498"/>
      <w:bookmarkStart w:id="288" w:name="_Toc80867925"/>
      <w:bookmarkStart w:id="289" w:name="_Toc86124070"/>
      <w:bookmarkStart w:id="290" w:name="_Toc406402977"/>
      <w:r>
        <w:rPr>
          <w:rFonts w:hint="eastAsia" w:ascii="宋体" w:hAnsi="宋体" w:eastAsia="宋体" w:cs="宋体"/>
          <w:color w:val="auto"/>
          <w:sz w:val="24"/>
          <w:szCs w:val="24"/>
          <w:highlight w:val="none"/>
        </w:rPr>
        <w:t>19.成交人的确定</w:t>
      </w:r>
      <w:bookmarkEnd w:id="279"/>
      <w:bookmarkEnd w:id="280"/>
      <w:bookmarkEnd w:id="281"/>
      <w:bookmarkEnd w:id="282"/>
      <w:bookmarkEnd w:id="283"/>
      <w:bookmarkEnd w:id="284"/>
      <w:bookmarkEnd w:id="285"/>
      <w:bookmarkEnd w:id="286"/>
      <w:bookmarkEnd w:id="287"/>
      <w:bookmarkEnd w:id="288"/>
      <w:bookmarkEnd w:id="289"/>
      <w:bookmarkEnd w:id="290"/>
    </w:p>
    <w:p w14:paraId="784304B4">
      <w:pPr>
        <w:spacing w:line="360" w:lineRule="auto"/>
        <w:ind w:firstLine="420" w:firstLineChars="200"/>
        <w:rPr>
          <w:rFonts w:hint="eastAsia" w:ascii="宋体" w:hAnsi="宋体" w:eastAsia="宋体" w:cs="宋体"/>
          <w:color w:val="auto"/>
          <w:szCs w:val="21"/>
          <w:highlight w:val="none"/>
        </w:rPr>
      </w:pPr>
      <w:bookmarkStart w:id="291" w:name="_Toc329810211"/>
      <w:r>
        <w:rPr>
          <w:rFonts w:hint="eastAsia" w:ascii="宋体" w:hAnsi="宋体" w:eastAsia="宋体" w:cs="宋体"/>
          <w:color w:val="auto"/>
          <w:szCs w:val="21"/>
          <w:highlight w:val="none"/>
        </w:rPr>
        <w:t>19.1 采购代理机构在评审结束后2个工作日内将评审报告送采购人确认。</w:t>
      </w:r>
    </w:p>
    <w:p w14:paraId="1DE024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采购人应当在收到评审报告后5个工作日内，从评审报告提出的成交候选人中，按照综合得分由高到低的的原则确定成交供应商。</w:t>
      </w:r>
    </w:p>
    <w:p w14:paraId="761801AB">
      <w:pPr>
        <w:pStyle w:val="4"/>
        <w:jc w:val="left"/>
        <w:rPr>
          <w:rFonts w:hint="eastAsia" w:ascii="宋体" w:hAnsi="宋体" w:eastAsia="宋体" w:cs="宋体"/>
          <w:color w:val="auto"/>
          <w:sz w:val="24"/>
          <w:szCs w:val="24"/>
          <w:highlight w:val="none"/>
        </w:rPr>
      </w:pPr>
      <w:bookmarkStart w:id="292" w:name="_Toc470096329"/>
      <w:bookmarkStart w:id="293" w:name="_Toc432106499"/>
      <w:bookmarkStart w:id="294" w:name="_Toc438396752"/>
      <w:bookmarkStart w:id="295" w:name="_Toc80867926"/>
      <w:bookmarkStart w:id="296" w:name="_Toc383175300"/>
      <w:bookmarkStart w:id="297" w:name="_Toc383175076"/>
      <w:bookmarkStart w:id="298" w:name="_Toc432194850"/>
      <w:bookmarkStart w:id="299" w:name="_Toc1416836979"/>
      <w:bookmarkStart w:id="300" w:name="_Toc34335302"/>
      <w:bookmarkStart w:id="301" w:name="_Toc383175498"/>
      <w:r>
        <w:rPr>
          <w:rFonts w:hint="eastAsia" w:ascii="宋体" w:hAnsi="宋体" w:eastAsia="宋体" w:cs="宋体"/>
          <w:color w:val="auto"/>
          <w:sz w:val="24"/>
          <w:szCs w:val="24"/>
          <w:highlight w:val="none"/>
        </w:rPr>
        <w:t>20.成交通知书</w:t>
      </w:r>
      <w:bookmarkEnd w:id="291"/>
      <w:bookmarkEnd w:id="292"/>
      <w:bookmarkEnd w:id="293"/>
      <w:bookmarkEnd w:id="294"/>
      <w:bookmarkEnd w:id="295"/>
      <w:bookmarkEnd w:id="296"/>
      <w:bookmarkEnd w:id="297"/>
      <w:bookmarkEnd w:id="298"/>
      <w:bookmarkEnd w:id="299"/>
      <w:bookmarkEnd w:id="300"/>
      <w:bookmarkEnd w:id="301"/>
    </w:p>
    <w:p w14:paraId="498A7BBE">
      <w:pPr>
        <w:spacing w:line="360" w:lineRule="auto"/>
        <w:ind w:firstLine="420" w:firstLineChars="200"/>
        <w:rPr>
          <w:rFonts w:hint="eastAsia" w:ascii="宋体" w:hAnsi="宋体" w:eastAsia="宋体" w:cs="宋体"/>
          <w:color w:val="auto"/>
          <w:szCs w:val="21"/>
          <w:highlight w:val="none"/>
        </w:rPr>
      </w:pPr>
      <w:bookmarkStart w:id="302" w:name="_Toc86124072"/>
      <w:bookmarkStart w:id="303" w:name="_Toc329810212"/>
      <w:r>
        <w:rPr>
          <w:rFonts w:hint="eastAsia" w:ascii="宋体" w:hAnsi="宋体" w:eastAsia="宋体" w:cs="宋体"/>
          <w:color w:val="auto"/>
          <w:szCs w:val="21"/>
          <w:highlight w:val="none"/>
        </w:rPr>
        <w:t>20.1 采购代理机构将在成交供应商确定后2个工作日内，在竞争性磋商文件确定的发布公告媒介上公告,同时向成交供应商发出成交通知书。</w:t>
      </w:r>
    </w:p>
    <w:p w14:paraId="2B8ACC2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成交通知书是合同的一个组成部分。</w:t>
      </w:r>
    </w:p>
    <w:p w14:paraId="1E1F7BE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除不可抗力等因素外，成交通知书发出后，采购人改变成交结果，或者成交供应商拒绝签订政府采购合同的，应当承担相应的法律责任。</w:t>
      </w:r>
    </w:p>
    <w:p w14:paraId="5A5E7B7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 采购代理机构无义务向未成交供应商解释未成交原因和退回响应文件。</w:t>
      </w:r>
    </w:p>
    <w:p w14:paraId="10719557">
      <w:pPr>
        <w:pStyle w:val="4"/>
        <w:jc w:val="left"/>
        <w:rPr>
          <w:rFonts w:hint="eastAsia" w:ascii="宋体" w:hAnsi="宋体" w:eastAsia="宋体" w:cs="宋体"/>
          <w:color w:val="auto"/>
          <w:sz w:val="24"/>
          <w:szCs w:val="24"/>
          <w:highlight w:val="none"/>
        </w:rPr>
      </w:pPr>
      <w:bookmarkStart w:id="304" w:name="_Toc80867927"/>
      <w:bookmarkStart w:id="305" w:name="_Toc1480428117"/>
      <w:bookmarkStart w:id="306" w:name="_Toc438396753"/>
      <w:bookmarkStart w:id="307" w:name="_Toc432194851"/>
      <w:bookmarkStart w:id="308" w:name="_Toc383175077"/>
      <w:bookmarkStart w:id="309" w:name="_Toc470096330"/>
      <w:bookmarkStart w:id="310" w:name="_Toc34335303"/>
      <w:bookmarkStart w:id="311" w:name="_Toc383175301"/>
      <w:bookmarkStart w:id="312" w:name="_Toc432106500"/>
      <w:bookmarkStart w:id="313" w:name="_Toc383175499"/>
      <w:r>
        <w:rPr>
          <w:rFonts w:hint="eastAsia" w:ascii="宋体" w:hAnsi="宋体" w:eastAsia="宋体" w:cs="宋体"/>
          <w:color w:val="auto"/>
          <w:sz w:val="24"/>
          <w:szCs w:val="24"/>
          <w:highlight w:val="none"/>
        </w:rPr>
        <w:t>21.签订合同</w:t>
      </w:r>
      <w:bookmarkEnd w:id="302"/>
      <w:bookmarkEnd w:id="303"/>
      <w:bookmarkEnd w:id="304"/>
      <w:bookmarkEnd w:id="305"/>
      <w:bookmarkEnd w:id="306"/>
      <w:bookmarkEnd w:id="307"/>
      <w:bookmarkEnd w:id="308"/>
      <w:bookmarkEnd w:id="309"/>
      <w:bookmarkEnd w:id="310"/>
      <w:bookmarkEnd w:id="311"/>
      <w:bookmarkEnd w:id="312"/>
      <w:bookmarkEnd w:id="313"/>
    </w:p>
    <w:p w14:paraId="61A732E3">
      <w:pPr>
        <w:spacing w:line="360" w:lineRule="auto"/>
        <w:ind w:firstLine="420" w:firstLineChars="200"/>
        <w:rPr>
          <w:rFonts w:hint="eastAsia" w:ascii="宋体" w:hAnsi="宋体" w:eastAsia="宋体" w:cs="宋体"/>
          <w:color w:val="auto"/>
          <w:szCs w:val="21"/>
          <w:highlight w:val="none"/>
        </w:rPr>
      </w:pPr>
      <w:bookmarkStart w:id="314" w:name="_Toc86124073"/>
      <w:bookmarkStart w:id="315" w:name="_Toc329810213"/>
      <w:r>
        <w:rPr>
          <w:rFonts w:hint="eastAsia" w:ascii="宋体" w:hAnsi="宋体" w:eastAsia="宋体" w:cs="宋体"/>
          <w:color w:val="auto"/>
          <w:szCs w:val="21"/>
          <w:highlight w:val="none"/>
        </w:rPr>
        <w:t>21.1采购人与成交供应商应当在成交通知书发出之日起30日内，按照竞争性磋商文件确定的合同文本以及采购标的、规格型号、采购金额、采购数量、技术和服务要求等事项签订政府采购合同。</w:t>
      </w:r>
    </w:p>
    <w:p w14:paraId="5CCFB4D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采购人不得向成交供应商提出超出竞争性磋商文件以外的任何要求作为签订合同的条件，不得与成交供应商订立背离竞争性磋商文件确定的合同文本以及采购标的、规格型号、采购金额、采购数量、技术和服务要求等实质性内容的协议。</w:t>
      </w:r>
    </w:p>
    <w:p w14:paraId="79D645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21.3除采购人与成交供应商在合同中另行商定将</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项目的非主体、非关键性工作分包的，成交供应商在</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后将</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项目分包的，采购人取消其</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资格，其磋商保证金不予退还；给采购人造成的损失超过磋商保证金数额的，成交供应商还应当对超过部分予以赔偿。</w:t>
      </w:r>
    </w:p>
    <w:p w14:paraId="03C6F6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204558A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21.5除不可抗力等因素外，成交通知书发出后，采购人改变成交结果，或者成交供应商拒绝签订采购合同的，应当承担相应的法律责任。</w:t>
      </w:r>
    </w:p>
    <w:p w14:paraId="2E278A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55D18D37">
      <w:pPr>
        <w:pStyle w:val="4"/>
        <w:jc w:val="left"/>
        <w:rPr>
          <w:rFonts w:hint="eastAsia" w:ascii="宋体" w:hAnsi="宋体" w:eastAsia="宋体" w:cs="宋体"/>
          <w:color w:val="auto"/>
          <w:sz w:val="24"/>
          <w:szCs w:val="24"/>
          <w:highlight w:val="none"/>
        </w:rPr>
      </w:pPr>
      <w:bookmarkStart w:id="316" w:name="_Toc80867928"/>
      <w:bookmarkStart w:id="317" w:name="_Toc809828277"/>
      <w:bookmarkStart w:id="318" w:name="_Toc34335304"/>
      <w:r>
        <w:rPr>
          <w:rFonts w:hint="eastAsia" w:ascii="宋体" w:hAnsi="宋体" w:eastAsia="宋体" w:cs="宋体"/>
          <w:color w:val="auto"/>
          <w:sz w:val="24"/>
          <w:szCs w:val="24"/>
          <w:highlight w:val="none"/>
        </w:rPr>
        <w:t>22.履约保证金</w:t>
      </w:r>
      <w:bookmarkEnd w:id="316"/>
      <w:bookmarkEnd w:id="317"/>
      <w:bookmarkEnd w:id="318"/>
    </w:p>
    <w:p w14:paraId="3E6A10F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22.1在签订政府采购合同前，成交供应商应向采购人提交履约保证金，履约保证金递交的金额及形式详见《供应商须知前附表》。</w:t>
      </w:r>
    </w:p>
    <w:p w14:paraId="24F7B0E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签订合同后，除因不可抗力或磋商文件认可的情形以外，成交供应商不与采购人签订合同的，视为自动放弃，采购人将没收其全部履约保证金，履约保证金不足以赔偿损失的，按实际损失赔偿。</w:t>
      </w:r>
    </w:p>
    <w:bookmarkEnd w:id="314"/>
    <w:bookmarkEnd w:id="315"/>
    <w:p w14:paraId="5590B35E">
      <w:pPr>
        <w:pStyle w:val="3"/>
        <w:rPr>
          <w:rFonts w:hint="eastAsia" w:ascii="宋体" w:hAnsi="宋体" w:eastAsia="宋体" w:cs="宋体"/>
          <w:color w:val="auto"/>
          <w:highlight w:val="none"/>
        </w:rPr>
      </w:pPr>
      <w:bookmarkStart w:id="319" w:name="_Toc470096331"/>
      <w:bookmarkStart w:id="320" w:name="_Toc80867929"/>
      <w:bookmarkStart w:id="321" w:name="_Toc86124074"/>
      <w:bookmarkStart w:id="322" w:name="_Toc34335305"/>
      <w:bookmarkStart w:id="323" w:name="_Toc32496853"/>
      <w:r>
        <w:rPr>
          <w:rFonts w:hint="eastAsia" w:ascii="宋体" w:hAnsi="宋体" w:eastAsia="宋体" w:cs="宋体"/>
          <w:color w:val="auto"/>
          <w:highlight w:val="none"/>
        </w:rPr>
        <w:t>七、其他事项</w:t>
      </w:r>
      <w:bookmarkEnd w:id="319"/>
      <w:bookmarkEnd w:id="320"/>
      <w:bookmarkEnd w:id="321"/>
      <w:bookmarkEnd w:id="322"/>
      <w:bookmarkEnd w:id="323"/>
    </w:p>
    <w:p w14:paraId="310BBDBB">
      <w:pPr>
        <w:pStyle w:val="4"/>
        <w:jc w:val="left"/>
        <w:rPr>
          <w:rFonts w:hint="eastAsia" w:ascii="宋体" w:hAnsi="宋体" w:eastAsia="宋体" w:cs="宋体"/>
          <w:color w:val="auto"/>
          <w:sz w:val="24"/>
          <w:szCs w:val="24"/>
          <w:highlight w:val="none"/>
        </w:rPr>
      </w:pPr>
      <w:bookmarkStart w:id="324" w:name="_Toc329810215"/>
      <w:bookmarkStart w:id="325" w:name="_Toc432194853"/>
      <w:bookmarkStart w:id="326" w:name="_Toc432106502"/>
      <w:bookmarkStart w:id="327" w:name="_Toc383175080"/>
      <w:bookmarkStart w:id="328" w:name="_Toc34335306"/>
      <w:bookmarkStart w:id="329" w:name="_Toc470096332"/>
      <w:bookmarkStart w:id="330" w:name="_Toc438396755"/>
      <w:bookmarkStart w:id="331" w:name="_Toc80867930"/>
      <w:bookmarkStart w:id="332" w:name="_Toc713762033"/>
      <w:bookmarkStart w:id="333" w:name="_Toc383175304"/>
      <w:bookmarkStart w:id="334" w:name="_Toc383175502"/>
      <w:r>
        <w:rPr>
          <w:rFonts w:hint="eastAsia" w:ascii="宋体" w:hAnsi="宋体" w:eastAsia="宋体" w:cs="宋体"/>
          <w:color w:val="auto"/>
          <w:sz w:val="24"/>
          <w:szCs w:val="24"/>
          <w:highlight w:val="none"/>
        </w:rPr>
        <w:t>23.质疑和投诉</w:t>
      </w:r>
      <w:bookmarkEnd w:id="324"/>
      <w:bookmarkEnd w:id="325"/>
      <w:bookmarkEnd w:id="326"/>
      <w:bookmarkEnd w:id="327"/>
      <w:bookmarkEnd w:id="328"/>
      <w:bookmarkEnd w:id="329"/>
      <w:bookmarkEnd w:id="330"/>
      <w:bookmarkEnd w:id="331"/>
      <w:bookmarkEnd w:id="332"/>
      <w:bookmarkEnd w:id="333"/>
      <w:bookmarkEnd w:id="334"/>
    </w:p>
    <w:p w14:paraId="2687DC85">
      <w:pPr>
        <w:spacing w:line="360" w:lineRule="auto"/>
        <w:ind w:firstLine="420" w:firstLineChars="200"/>
        <w:rPr>
          <w:rFonts w:hint="eastAsia" w:ascii="宋体" w:hAnsi="宋体" w:eastAsia="宋体" w:cs="宋体"/>
          <w:color w:val="auto"/>
          <w:szCs w:val="21"/>
          <w:highlight w:val="none"/>
        </w:rPr>
      </w:pPr>
      <w:bookmarkStart w:id="335" w:name="_Hlk511996301"/>
      <w:r>
        <w:rPr>
          <w:rFonts w:hint="eastAsia" w:ascii="宋体" w:hAnsi="宋体" w:eastAsia="宋体" w:cs="宋体"/>
          <w:color w:val="auto"/>
          <w:szCs w:val="21"/>
          <w:highlight w:val="none"/>
        </w:rPr>
        <w:t>23.1质疑</w:t>
      </w:r>
    </w:p>
    <w:p w14:paraId="72CC391D">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color w:val="auto"/>
          <w:szCs w:val="21"/>
          <w:highlight w:val="none"/>
        </w:rPr>
        <w:t>23.1.1</w:t>
      </w:r>
      <w:r>
        <w:rPr>
          <w:rFonts w:hint="eastAsia" w:ascii="宋体" w:hAnsi="宋体" w:eastAsia="宋体" w:cs="宋体"/>
          <w:snapToGrid w:val="0"/>
          <w:color w:val="auto"/>
          <w:kern w:val="21"/>
          <w:szCs w:val="21"/>
          <w:highlight w:val="none"/>
        </w:rPr>
        <w:t>供应商认为竞争性磋商文件、采购过程、</w:t>
      </w:r>
      <w:r>
        <w:rPr>
          <w:rFonts w:hint="eastAsia" w:ascii="宋体" w:hAnsi="宋体" w:eastAsia="宋体" w:cs="宋体"/>
          <w:color w:val="auto"/>
          <w:szCs w:val="21"/>
          <w:highlight w:val="none"/>
          <w:lang w:val="en-US" w:eastAsia="zh-CN"/>
        </w:rPr>
        <w:t>成交</w:t>
      </w:r>
      <w:r>
        <w:rPr>
          <w:rFonts w:hint="eastAsia" w:ascii="宋体" w:hAnsi="宋体" w:eastAsia="宋体" w:cs="宋体"/>
          <w:snapToGrid w:val="0"/>
          <w:color w:val="auto"/>
          <w:kern w:val="21"/>
          <w:szCs w:val="21"/>
          <w:highlight w:val="none"/>
        </w:rPr>
        <w:t>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210FD54B">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23.1.2竞争性磋商文件第二章《供应商须知》23.1.1条中“知道或者应知其权益受到损害之日”是指：</w:t>
      </w:r>
    </w:p>
    <w:p w14:paraId="1C345D8D">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（1）对可以质疑的采购文件提出质疑的，为收到采购文件之日或者采购文件公告期限届满之日；</w:t>
      </w:r>
    </w:p>
    <w:p w14:paraId="6CDC68F5">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（2）对采购过程提出质疑的，为各采购程序环节结束之日；</w:t>
      </w:r>
    </w:p>
    <w:p w14:paraId="5AAB4D1A">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（3）对中标或者成交结果提出质疑的，为中标或者成交结果公告期限届满之日。</w:t>
      </w:r>
      <w:r>
        <w:rPr>
          <w:rFonts w:hint="eastAsia" w:ascii="宋体" w:hAnsi="宋体" w:eastAsia="宋体" w:cs="宋体"/>
          <w:snapToGrid w:val="0"/>
          <w:color w:val="auto"/>
          <w:kern w:val="21"/>
          <w:szCs w:val="21"/>
          <w:highlight w:val="none"/>
        </w:rPr>
        <w:br w:type="textWrapping"/>
      </w:r>
      <w:r>
        <w:rPr>
          <w:rFonts w:hint="eastAsia" w:ascii="宋体" w:hAnsi="宋体" w:eastAsia="宋体" w:cs="宋体"/>
          <w:snapToGrid w:val="0"/>
          <w:color w:val="auto"/>
          <w:kern w:val="21"/>
          <w:szCs w:val="21"/>
          <w:highlight w:val="none"/>
        </w:rPr>
        <w:t xml:space="preserve">    23.1.3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提出质疑的供应商应当是参与所质疑项目采购活动的供应商。</w:t>
      </w:r>
      <w:r>
        <w:rPr>
          <w:rFonts w:hint="eastAsia" w:ascii="宋体" w:hAnsi="宋体" w:eastAsia="宋体" w:cs="宋体"/>
          <w:snapToGrid w:val="0"/>
          <w:color w:val="auto"/>
          <w:kern w:val="21"/>
          <w:szCs w:val="21"/>
          <w:highlight w:val="none"/>
        </w:rPr>
        <w:br w:type="textWrapping"/>
      </w:r>
      <w:r>
        <w:rPr>
          <w:rFonts w:hint="eastAsia" w:ascii="宋体" w:hAnsi="宋体" w:eastAsia="宋体" w:cs="宋体"/>
          <w:snapToGrid w:val="0"/>
          <w:color w:val="auto"/>
          <w:kern w:val="21"/>
          <w:szCs w:val="21"/>
          <w:highlight w:val="none"/>
        </w:rPr>
        <w:t xml:space="preserve">    23.1.4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21D13646">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（1）供应商的姓名或者名称、地址、邮编、联系人及联系电话；</w:t>
      </w:r>
    </w:p>
    <w:p w14:paraId="78FE3CEE">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（2）质疑项目的名称、编号；</w:t>
      </w:r>
    </w:p>
    <w:p w14:paraId="4888A75B">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（3）具体、明确的质疑事项和与质疑事项相关的请求；</w:t>
      </w:r>
    </w:p>
    <w:p w14:paraId="778610FB">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（4）事实依据；</w:t>
      </w:r>
    </w:p>
    <w:p w14:paraId="553675A4">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（5）必要的法律依据；</w:t>
      </w:r>
    </w:p>
    <w:p w14:paraId="4F52B285">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（6）提出质疑的日期。</w:t>
      </w:r>
    </w:p>
    <w:p w14:paraId="7AAD3501">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供应商为自然人的，应当由本人签字；供应商为法人或者其他组织的，应当由法定代表人、主要负责人，或者其授权代表签字或者盖章，并加盖公章。</w:t>
      </w:r>
    </w:p>
    <w:p w14:paraId="6618BADF">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23.1.5供应商不得捏造事实、提供虚假材料或者以非法手段取得证明材料。</w:t>
      </w:r>
    </w:p>
    <w:p w14:paraId="480D921E">
      <w:pPr>
        <w:spacing w:line="360" w:lineRule="auto"/>
        <w:ind w:firstLine="420" w:firstLineChars="200"/>
        <w:rPr>
          <w:rFonts w:hint="eastAsia" w:ascii="宋体" w:hAnsi="宋体" w:eastAsia="宋体" w:cs="宋体"/>
          <w:snapToGrid w:val="0"/>
          <w:color w:val="auto"/>
          <w:kern w:val="21"/>
          <w:szCs w:val="21"/>
          <w:highlight w:val="none"/>
        </w:rPr>
      </w:pPr>
      <w:r>
        <w:rPr>
          <w:rFonts w:hint="eastAsia" w:ascii="宋体" w:hAnsi="宋体" w:eastAsia="宋体" w:cs="宋体"/>
          <w:snapToGrid w:val="0"/>
          <w:color w:val="auto"/>
          <w:kern w:val="21"/>
          <w:szCs w:val="21"/>
          <w:highlight w:val="none"/>
        </w:rPr>
        <w:t>23.1.6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5A314D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snapToGrid w:val="0"/>
          <w:color w:val="auto"/>
          <w:kern w:val="21"/>
          <w:szCs w:val="21"/>
          <w:highlight w:val="none"/>
        </w:rPr>
        <w:t>23.1.7采购人、采购代理机构将在收到供应商质疑函后七个工作日内作出答复，但质疑答复的内容不涉及商业秘密。</w:t>
      </w:r>
      <w:r>
        <w:rPr>
          <w:rFonts w:hint="eastAsia" w:ascii="宋体" w:hAnsi="宋体" w:eastAsia="宋体" w:cs="宋体"/>
          <w:snapToGrid w:val="0"/>
          <w:color w:val="auto"/>
          <w:kern w:val="21"/>
          <w:szCs w:val="21"/>
          <w:highlight w:val="none"/>
        </w:rPr>
        <w:br w:type="textWrapping"/>
      </w:r>
      <w:r>
        <w:rPr>
          <w:rFonts w:hint="eastAsia" w:ascii="宋体" w:hAnsi="宋体" w:eastAsia="宋体" w:cs="宋体"/>
          <w:snapToGrid w:val="0"/>
          <w:color w:val="auto"/>
          <w:kern w:val="21"/>
          <w:szCs w:val="21"/>
          <w:highlight w:val="none"/>
        </w:rPr>
        <w:t xml:space="preserve">    23.1.8供应商对评审过程、成交结果提出质疑的，采购人、采购代理机构可以组织原磋商小组协助答复质疑。质疑答复导致成交结果改变的，采购人或者采购代理机构会将有关情况书面报告</w:t>
      </w:r>
      <w:r>
        <w:rPr>
          <w:rFonts w:hint="eastAsia" w:ascii="宋体" w:hAnsi="宋体" w:eastAsia="宋体" w:cs="宋体"/>
          <w:color w:val="auto"/>
          <w:szCs w:val="21"/>
          <w:highlight w:val="none"/>
        </w:rPr>
        <w:t>同级财政主管部门</w:t>
      </w:r>
      <w:r>
        <w:rPr>
          <w:rFonts w:hint="eastAsia" w:ascii="宋体" w:hAnsi="宋体" w:eastAsia="宋体" w:cs="宋体"/>
          <w:snapToGrid w:val="0"/>
          <w:color w:val="auto"/>
          <w:kern w:val="21"/>
          <w:szCs w:val="21"/>
          <w:highlight w:val="none"/>
        </w:rPr>
        <w:t>。</w:t>
      </w:r>
    </w:p>
    <w:p w14:paraId="41916D1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23.1.9接收质疑函的方式：书面方式；接收质疑函的部门、联系、联系电话、通讯地址，见</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w:t>
      </w:r>
    </w:p>
    <w:p w14:paraId="1C86D7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23.2投诉</w:t>
      </w:r>
    </w:p>
    <w:p w14:paraId="228C2B3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当事人提出的投诉事项必须首先经过质疑程序。质疑人对采购人、采购代理机构的答复不满意，或者采购人、采购代理机构未在规定的时间内做出答复的，可以在答复期满后十五个工作日内书面向同级财政部门提出投诉。</w:t>
      </w:r>
    </w:p>
    <w:bookmarkEnd w:id="335"/>
    <w:p w14:paraId="5865CE7A">
      <w:pPr>
        <w:pStyle w:val="4"/>
        <w:jc w:val="left"/>
        <w:rPr>
          <w:rFonts w:hint="eastAsia" w:ascii="宋体" w:hAnsi="宋体" w:eastAsia="宋体" w:cs="宋体"/>
          <w:color w:val="auto"/>
          <w:sz w:val="24"/>
          <w:szCs w:val="24"/>
          <w:highlight w:val="none"/>
        </w:rPr>
      </w:pPr>
      <w:bookmarkStart w:id="336" w:name="_Toc470096333"/>
      <w:bookmarkStart w:id="337" w:name="_Toc34335307"/>
      <w:bookmarkStart w:id="338" w:name="_Toc86124075"/>
      <w:bookmarkStart w:id="339" w:name="_Toc383175305"/>
      <w:bookmarkStart w:id="340" w:name="_Toc432194854"/>
      <w:bookmarkStart w:id="341" w:name="_Toc329810216"/>
      <w:bookmarkStart w:id="342" w:name="_Toc354836489"/>
      <w:bookmarkStart w:id="343" w:name="_Toc383175503"/>
      <w:bookmarkStart w:id="344" w:name="_Toc383175081"/>
      <w:bookmarkStart w:id="345" w:name="_Toc80867931"/>
      <w:bookmarkStart w:id="346" w:name="_Toc438396756"/>
      <w:bookmarkStart w:id="347" w:name="_Toc432106503"/>
      <w:r>
        <w:rPr>
          <w:rFonts w:hint="eastAsia" w:ascii="宋体" w:hAnsi="宋体" w:eastAsia="宋体" w:cs="宋体"/>
          <w:color w:val="auto"/>
          <w:sz w:val="24"/>
          <w:szCs w:val="24"/>
          <w:highlight w:val="none"/>
        </w:rPr>
        <w:t>24.采购代理服务费</w:t>
      </w:r>
      <w:bookmarkEnd w:id="336"/>
      <w:bookmarkEnd w:id="337"/>
      <w:bookmarkEnd w:id="338"/>
      <w:bookmarkEnd w:id="339"/>
      <w:bookmarkEnd w:id="340"/>
      <w:bookmarkEnd w:id="341"/>
      <w:bookmarkEnd w:id="342"/>
      <w:bookmarkEnd w:id="343"/>
      <w:bookmarkEnd w:id="344"/>
      <w:bookmarkEnd w:id="345"/>
      <w:bookmarkEnd w:id="346"/>
      <w:bookmarkEnd w:id="347"/>
    </w:p>
    <w:p w14:paraId="7064AEC3">
      <w:pPr>
        <w:pStyle w:val="23"/>
        <w:spacing w:line="360" w:lineRule="auto"/>
        <w:ind w:firstLine="424" w:firstLineChars="202"/>
        <w:jc w:val="both"/>
        <w:rPr>
          <w:rFonts w:hint="eastAsia" w:ascii="宋体" w:hAnsi="宋体" w:eastAsia="宋体" w:cs="宋体"/>
          <w:color w:val="auto"/>
          <w:highlight w:val="none"/>
        </w:rPr>
      </w:pPr>
      <w:r>
        <w:rPr>
          <w:rFonts w:hint="eastAsia" w:ascii="宋体" w:hAnsi="宋体" w:eastAsia="宋体" w:cs="宋体"/>
          <w:color w:val="auto"/>
          <w:highlight w:val="none"/>
        </w:rPr>
        <w:t>24.1本项目采购代理服务费收费标准：见“</w:t>
      </w:r>
      <w:r>
        <w:rPr>
          <w:rFonts w:hint="eastAsia" w:ascii="宋体" w:hAnsi="宋体" w:eastAsia="宋体" w:cs="宋体"/>
          <w:b/>
          <w:color w:val="auto"/>
          <w:highlight w:val="none"/>
        </w:rPr>
        <w:t>供应商须知前附表</w:t>
      </w:r>
      <w:r>
        <w:rPr>
          <w:rFonts w:hint="eastAsia" w:ascii="宋体" w:hAnsi="宋体" w:eastAsia="宋体" w:cs="宋体"/>
          <w:color w:val="auto"/>
          <w:highlight w:val="none"/>
        </w:rPr>
        <w:t>”。</w:t>
      </w:r>
    </w:p>
    <w:p w14:paraId="732C6A8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24.2成交人在领取成交通知书时一次性向代理机构支付代理服务费。</w:t>
      </w:r>
    </w:p>
    <w:p w14:paraId="66E5357A">
      <w:pPr>
        <w:pStyle w:val="4"/>
        <w:jc w:val="left"/>
        <w:rPr>
          <w:rFonts w:hint="eastAsia" w:ascii="宋体" w:hAnsi="宋体" w:eastAsia="宋体" w:cs="宋体"/>
          <w:color w:val="auto"/>
          <w:sz w:val="24"/>
          <w:szCs w:val="24"/>
          <w:highlight w:val="none"/>
        </w:rPr>
      </w:pPr>
      <w:bookmarkStart w:id="348" w:name="_Toc438396757"/>
      <w:bookmarkStart w:id="349" w:name="_Toc383175306"/>
      <w:bookmarkStart w:id="350" w:name="_Toc383175504"/>
      <w:bookmarkStart w:id="351" w:name="_Toc80867932"/>
      <w:bookmarkStart w:id="352" w:name="_Toc470096334"/>
      <w:bookmarkStart w:id="353" w:name="_Toc383175082"/>
      <w:bookmarkStart w:id="354" w:name="_Toc34335308"/>
      <w:bookmarkStart w:id="355" w:name="_Toc432106504"/>
      <w:bookmarkStart w:id="356" w:name="_Toc174782904"/>
      <w:bookmarkStart w:id="357" w:name="_Toc329810217"/>
      <w:bookmarkStart w:id="358" w:name="_Toc432194855"/>
      <w:r>
        <w:rPr>
          <w:rFonts w:hint="eastAsia" w:ascii="宋体" w:hAnsi="宋体" w:eastAsia="宋体" w:cs="宋体"/>
          <w:color w:val="auto"/>
          <w:sz w:val="24"/>
          <w:szCs w:val="24"/>
          <w:highlight w:val="none"/>
        </w:rPr>
        <w:t>25.磋商文件编制依据</w:t>
      </w:r>
      <w:bookmarkEnd w:id="348"/>
      <w:bookmarkEnd w:id="349"/>
      <w:bookmarkEnd w:id="350"/>
      <w:bookmarkEnd w:id="351"/>
      <w:bookmarkEnd w:id="352"/>
      <w:bookmarkEnd w:id="353"/>
      <w:bookmarkEnd w:id="354"/>
      <w:bookmarkEnd w:id="355"/>
      <w:bookmarkEnd w:id="356"/>
      <w:bookmarkEnd w:id="357"/>
      <w:bookmarkEnd w:id="358"/>
    </w:p>
    <w:p w14:paraId="29C4AC4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磋商文件是根据《中华人民共和国政府采购法》、《中华人民共和国政府采购法实施条例》、《政府采购竞争性磋商采购方式管理暂行办法》等有关法律、法规和规章进行编制，解释权属于采购人、采购代理机构。</w:t>
      </w:r>
    </w:p>
    <w:p w14:paraId="78917950">
      <w:pPr>
        <w:pStyle w:val="4"/>
        <w:jc w:val="left"/>
        <w:rPr>
          <w:rFonts w:hint="eastAsia" w:ascii="宋体" w:hAnsi="宋体" w:eastAsia="宋体" w:cs="宋体"/>
          <w:color w:val="auto"/>
          <w:sz w:val="24"/>
          <w:szCs w:val="24"/>
          <w:highlight w:val="none"/>
        </w:rPr>
      </w:pPr>
      <w:bookmarkStart w:id="359" w:name="_Toc86124077"/>
      <w:bookmarkStart w:id="360" w:name="_Toc432106505"/>
      <w:bookmarkStart w:id="361" w:name="_Toc383175083"/>
      <w:bookmarkStart w:id="362" w:name="_Toc1966122079"/>
      <w:bookmarkStart w:id="363" w:name="_Toc383175505"/>
      <w:bookmarkStart w:id="364" w:name="_Toc34335309"/>
      <w:bookmarkStart w:id="365" w:name="_Toc432194856"/>
      <w:bookmarkStart w:id="366" w:name="_Toc80867933"/>
      <w:bookmarkStart w:id="367" w:name="_Toc470096335"/>
      <w:bookmarkStart w:id="368" w:name="_Toc329810218"/>
      <w:bookmarkStart w:id="369" w:name="_Toc383175307"/>
      <w:bookmarkStart w:id="370" w:name="_Toc438396758"/>
      <w:r>
        <w:rPr>
          <w:rFonts w:hint="eastAsia" w:ascii="宋体" w:hAnsi="宋体" w:eastAsia="宋体" w:cs="宋体"/>
          <w:color w:val="auto"/>
          <w:sz w:val="24"/>
          <w:szCs w:val="24"/>
          <w:highlight w:val="none"/>
        </w:rPr>
        <w:t>26.需要补充的其他内容</w:t>
      </w:r>
      <w:bookmarkEnd w:id="359"/>
      <w:bookmarkEnd w:id="360"/>
      <w:bookmarkEnd w:id="361"/>
      <w:bookmarkEnd w:id="362"/>
      <w:bookmarkEnd w:id="363"/>
      <w:bookmarkEnd w:id="364"/>
      <w:bookmarkEnd w:id="365"/>
      <w:bookmarkEnd w:id="366"/>
      <w:bookmarkEnd w:id="367"/>
      <w:bookmarkEnd w:id="368"/>
      <w:bookmarkEnd w:id="369"/>
      <w:bookmarkEnd w:id="370"/>
    </w:p>
    <w:p w14:paraId="268263E3">
      <w:pPr>
        <w:pStyle w:val="23"/>
        <w:spacing w:line="360" w:lineRule="auto"/>
        <w:ind w:firstLine="424" w:firstLineChars="202"/>
        <w:jc w:val="both"/>
        <w:rPr>
          <w:rFonts w:hint="eastAsia" w:ascii="宋体" w:hAnsi="宋体" w:eastAsia="宋体" w:cs="宋体"/>
          <w:color w:val="auto"/>
          <w:highlight w:val="none"/>
        </w:rPr>
      </w:pPr>
      <w:r>
        <w:rPr>
          <w:rFonts w:hint="eastAsia" w:ascii="宋体" w:hAnsi="宋体" w:eastAsia="宋体" w:cs="宋体"/>
          <w:color w:val="auto"/>
          <w:highlight w:val="none"/>
        </w:rPr>
        <w:t>26.1需要补充的其他内容：见</w:t>
      </w:r>
      <w:r>
        <w:rPr>
          <w:rFonts w:hint="eastAsia" w:ascii="宋体" w:hAnsi="宋体" w:eastAsia="宋体" w:cs="宋体"/>
          <w:b/>
          <w:color w:val="auto"/>
          <w:highlight w:val="none"/>
        </w:rPr>
        <w:t>“供应商须知前附表”</w:t>
      </w:r>
      <w:r>
        <w:rPr>
          <w:rFonts w:hint="eastAsia" w:ascii="宋体" w:hAnsi="宋体" w:eastAsia="宋体" w:cs="宋体"/>
          <w:color w:val="auto"/>
          <w:highlight w:val="none"/>
        </w:rPr>
        <w:t>。</w:t>
      </w:r>
      <w:bookmarkStart w:id="371" w:name="_Toc430041035"/>
      <w:bookmarkStart w:id="372" w:name="_Toc432106528"/>
      <w:bookmarkStart w:id="373" w:name="_Toc34335310"/>
      <w:bookmarkStart w:id="374" w:name="_Toc438396778"/>
      <w:bookmarkStart w:id="375" w:name="_Toc470096336"/>
      <w:bookmarkStart w:id="376" w:name="_Toc86124078"/>
      <w:r>
        <w:rPr>
          <w:rFonts w:hint="eastAsia" w:ascii="宋体" w:hAnsi="宋体" w:eastAsia="宋体" w:cs="宋体"/>
          <w:color w:val="auto"/>
          <w:highlight w:val="none"/>
        </w:rPr>
        <w:br w:type="page"/>
      </w:r>
      <w:bookmarkStart w:id="377" w:name="_Toc80867934"/>
      <w:bookmarkStart w:id="378" w:name="_Toc34335327"/>
    </w:p>
    <w:p w14:paraId="3F7D6DE5">
      <w:pPr>
        <w:tabs>
          <w:tab w:val="right" w:leader="dot" w:pos="9070"/>
          <w:tab w:val="right" w:leader="dot" w:pos="9498"/>
        </w:tabs>
        <w:spacing w:line="360" w:lineRule="auto"/>
        <w:ind w:right="80" w:rightChars="38"/>
        <w:jc w:val="center"/>
        <w:outlineLvl w:val="0"/>
        <w:rPr>
          <w:rFonts w:hint="eastAsia" w:ascii="宋体" w:hAnsi="宋体" w:eastAsia="宋体" w:cs="宋体"/>
          <w:b/>
          <w:color w:val="auto"/>
          <w:kern w:val="44"/>
          <w:sz w:val="36"/>
          <w:szCs w:val="20"/>
          <w:highlight w:val="none"/>
        </w:rPr>
      </w:pPr>
      <w:bookmarkStart w:id="379" w:name="_Toc1282905364"/>
      <w:r>
        <w:rPr>
          <w:rFonts w:hint="eastAsia" w:ascii="宋体" w:hAnsi="宋体" w:eastAsia="宋体" w:cs="宋体"/>
          <w:b/>
          <w:color w:val="auto"/>
          <w:kern w:val="44"/>
          <w:sz w:val="36"/>
          <w:szCs w:val="20"/>
          <w:highlight w:val="none"/>
        </w:rPr>
        <w:t>第三章  合同书样式及主要条款</w:t>
      </w:r>
      <w:bookmarkEnd w:id="377"/>
      <w:bookmarkEnd w:id="378"/>
      <w:bookmarkEnd w:id="379"/>
    </w:p>
    <w:p w14:paraId="64460626">
      <w:pPr>
        <w:spacing w:line="360" w:lineRule="auto"/>
        <w:jc w:val="center"/>
        <w:rPr>
          <w:rFonts w:hint="eastAsia" w:ascii="宋体" w:hAnsi="宋体" w:eastAsia="宋体" w:cs="宋体"/>
          <w:color w:val="auto"/>
          <w:szCs w:val="21"/>
          <w:highlight w:val="none"/>
        </w:rPr>
      </w:pPr>
      <w:r>
        <w:rPr>
          <w:rFonts w:hint="eastAsia" w:ascii="宋体" w:hAnsi="宋体" w:eastAsia="宋体" w:cs="宋体"/>
          <w:snapToGrid w:val="0"/>
          <w:color w:val="auto"/>
          <w:kern w:val="0"/>
          <w:szCs w:val="21"/>
          <w:highlight w:val="none"/>
        </w:rPr>
        <w:t>（本项目最终施工合同以实际签订为准）</w:t>
      </w:r>
    </w:p>
    <w:p w14:paraId="2F3A8CA2">
      <w:pPr>
        <w:keepNext/>
        <w:keepLines/>
        <w:spacing w:before="260" w:after="260" w:line="360" w:lineRule="auto"/>
        <w:jc w:val="center"/>
        <w:outlineLvl w:val="1"/>
        <w:rPr>
          <w:rFonts w:hint="eastAsia" w:ascii="宋体" w:hAnsi="宋体" w:eastAsia="宋体" w:cs="宋体"/>
          <w:b/>
          <w:bCs/>
          <w:color w:val="auto"/>
          <w:szCs w:val="21"/>
          <w:highlight w:val="none"/>
        </w:rPr>
      </w:pPr>
      <w:bookmarkStart w:id="380" w:name="_Toc296503025"/>
      <w:bookmarkStart w:id="381" w:name="_Toc29953"/>
      <w:bookmarkStart w:id="382" w:name="_Toc296890982"/>
      <w:bookmarkStart w:id="383" w:name="_Toc1054636868"/>
      <w:bookmarkStart w:id="384" w:name="_Toc351203480"/>
      <w:r>
        <w:rPr>
          <w:rFonts w:hint="eastAsia" w:ascii="宋体" w:hAnsi="宋体" w:eastAsia="宋体" w:cs="宋体"/>
          <w:b/>
          <w:bCs/>
          <w:color w:val="auto"/>
          <w:szCs w:val="21"/>
          <w:highlight w:val="none"/>
        </w:rPr>
        <w:t>第一部分 合同协议书</w:t>
      </w:r>
      <w:bookmarkEnd w:id="380"/>
      <w:bookmarkEnd w:id="381"/>
      <w:bookmarkEnd w:id="382"/>
      <w:bookmarkEnd w:id="383"/>
      <w:bookmarkEnd w:id="384"/>
    </w:p>
    <w:p w14:paraId="0316794E">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发包人（全称）： </w:t>
      </w:r>
    </w:p>
    <w:p w14:paraId="06DBB4B6">
      <w:pPr>
        <w:spacing w:line="360" w:lineRule="auto"/>
        <w:ind w:firstLine="42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承包人（全称）： </w:t>
      </w:r>
    </w:p>
    <w:p w14:paraId="586F5DF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根据《中华人民共和国民法典》、《中华人民共和国建筑法》及有关法律规定，遵循平等、自愿、公平和诚实信用的原则，双方就工程施工及有关事项协商一致，共同达成如下协议：</w:t>
      </w:r>
    </w:p>
    <w:p w14:paraId="17AE16B1">
      <w:pPr>
        <w:spacing w:line="360" w:lineRule="auto"/>
        <w:rPr>
          <w:rFonts w:hint="eastAsia" w:ascii="宋体" w:hAnsi="宋体" w:eastAsia="宋体" w:cs="宋体"/>
          <w:b/>
          <w:color w:val="auto"/>
          <w:highlight w:val="none"/>
        </w:rPr>
      </w:pPr>
      <w:bookmarkStart w:id="385" w:name="_Toc351203481"/>
      <w:r>
        <w:rPr>
          <w:rFonts w:hint="eastAsia" w:ascii="宋体" w:hAnsi="宋体" w:eastAsia="宋体" w:cs="宋体"/>
          <w:b/>
          <w:color w:val="auto"/>
          <w:highlight w:val="none"/>
        </w:rPr>
        <w:t>一、工程概况</w:t>
      </w:r>
      <w:bookmarkEnd w:id="385"/>
    </w:p>
    <w:p w14:paraId="45ED5E56">
      <w:pPr>
        <w:spacing w:line="360" w:lineRule="auto"/>
        <w:ind w:firstLine="411" w:firstLineChars="196"/>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p>
    <w:p w14:paraId="1BC92D21">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p>
    <w:p w14:paraId="5E855F12">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p>
    <w:p w14:paraId="42A4C678">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p>
    <w:p w14:paraId="01E1DB14">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5.工程内容：</w:t>
      </w:r>
      <w:r>
        <w:rPr>
          <w:rFonts w:hint="eastAsia" w:ascii="宋体" w:hAnsi="宋体" w:eastAsia="宋体" w:cs="宋体"/>
          <w:color w:val="auto"/>
          <w:szCs w:val="28"/>
          <w:highlight w:val="none"/>
          <w:u w:val="single"/>
        </w:rPr>
        <w:fldChar w:fldCharType="begin"/>
      </w:r>
      <w:r>
        <w:rPr>
          <w:rFonts w:hint="eastAsia" w:ascii="宋体" w:hAnsi="宋体" w:eastAsia="宋体" w:cs="宋体"/>
          <w:color w:val="auto"/>
          <w:szCs w:val="28"/>
          <w:highlight w:val="none"/>
          <w:u w:val="single"/>
        </w:rPr>
        <w:instrText xml:space="preserve">AUTOTEXT  input408 \* MERGEFORMAT</w:instrText>
      </w:r>
      <w:r>
        <w:rPr>
          <w:rFonts w:hint="eastAsia" w:ascii="宋体" w:hAnsi="宋体" w:eastAsia="宋体" w:cs="宋体"/>
          <w:color w:val="auto"/>
          <w:szCs w:val="28"/>
          <w:highlight w:val="none"/>
          <w:u w:val="single"/>
        </w:rPr>
        <w:fldChar w:fldCharType="end"/>
      </w:r>
    </w:p>
    <w:p w14:paraId="2CAB0F22">
      <w:pPr>
        <w:spacing w:line="360" w:lineRule="auto"/>
        <w:ind w:firstLine="420" w:firstLineChars="200"/>
        <w:jc w:val="left"/>
        <w:rPr>
          <w:rFonts w:hint="eastAsia" w:ascii="宋体" w:hAnsi="宋体" w:eastAsia="宋体" w:cs="宋体"/>
          <w:color w:val="auto"/>
          <w:szCs w:val="22"/>
          <w:highlight w:val="none"/>
          <w:u w:val="single"/>
        </w:rPr>
      </w:pPr>
      <w:r>
        <w:rPr>
          <w:rFonts w:hint="eastAsia" w:ascii="宋体" w:hAnsi="宋体" w:eastAsia="宋体" w:cs="宋体"/>
          <w:bCs/>
          <w:color w:val="auto"/>
          <w:szCs w:val="21"/>
          <w:highlight w:val="none"/>
        </w:rPr>
        <w:t>6.工程承包范围：</w:t>
      </w:r>
      <w:r>
        <w:rPr>
          <w:rFonts w:hint="eastAsia" w:ascii="宋体" w:hAnsi="宋体" w:eastAsia="宋体" w:cs="宋体"/>
          <w:color w:val="auto"/>
          <w:szCs w:val="22"/>
          <w:highlight w:val="none"/>
          <w:u w:val="single"/>
        </w:rPr>
        <w:t>按发包人提供的工程施工图、有关设计文件、设计说明及施工过程中下发的设计变更、图纸会审记录等规定内容承包，除发包人明确直接发包工程外，均由承包人负责施工，具体内容如下：</w:t>
      </w:r>
    </w:p>
    <w:p w14:paraId="79D9BD49">
      <w:pPr>
        <w:spacing w:line="360" w:lineRule="auto"/>
        <w:ind w:firstLine="420" w:firstLineChars="200"/>
        <w:jc w:val="left"/>
        <w:rPr>
          <w:rFonts w:hint="eastAsia" w:ascii="宋体" w:hAnsi="宋体" w:eastAsia="宋体" w:cs="宋体"/>
          <w:color w:val="auto"/>
          <w:szCs w:val="22"/>
          <w:highlight w:val="none"/>
          <w:u w:val="single"/>
        </w:rPr>
      </w:pPr>
    </w:p>
    <w:p w14:paraId="46C01CBC">
      <w:pPr>
        <w:spacing w:line="360" w:lineRule="auto"/>
        <w:ind w:firstLine="420" w:firstLineChars="200"/>
        <w:jc w:val="left"/>
        <w:rPr>
          <w:rFonts w:hint="eastAsia" w:ascii="宋体" w:hAnsi="宋体" w:eastAsia="宋体" w:cs="宋体"/>
          <w:color w:val="auto"/>
          <w:szCs w:val="22"/>
          <w:highlight w:val="none"/>
          <w:u w:val="single"/>
        </w:rPr>
      </w:pPr>
      <w:r>
        <w:rPr>
          <w:rFonts w:hint="eastAsia" w:ascii="宋体" w:hAnsi="宋体" w:eastAsia="宋体" w:cs="宋体"/>
          <w:color w:val="auto"/>
          <w:szCs w:val="22"/>
          <w:highlight w:val="none"/>
          <w:u w:val="single"/>
        </w:rPr>
        <w:t>上述所描述的承包范围仅是概括性的，不能视为是完整无缺的。承包人应参阅合同文件的其他部分，去完全了解本合同的实际范围与工作内容。</w:t>
      </w:r>
    </w:p>
    <w:p w14:paraId="22A18E40">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2"/>
          <w:highlight w:val="none"/>
          <w:u w:val="single"/>
        </w:rPr>
        <w:t>发包人有权将增减承包范围，承包人不得拒绝施工。</w:t>
      </w:r>
      <w:r>
        <w:rPr>
          <w:rFonts w:hint="eastAsia" w:ascii="宋体" w:hAnsi="宋体" w:eastAsia="宋体" w:cs="宋体"/>
          <w:color w:val="auto"/>
          <w:szCs w:val="21"/>
          <w:highlight w:val="none"/>
          <w:u w:val="single"/>
        </w:rPr>
        <w:fldChar w:fldCharType="begin"/>
      </w:r>
      <w:r>
        <w:rPr>
          <w:rFonts w:hint="eastAsia" w:ascii="宋体" w:hAnsi="宋体" w:eastAsia="宋体" w:cs="宋体"/>
          <w:color w:val="auto"/>
          <w:szCs w:val="21"/>
          <w:highlight w:val="none"/>
          <w:u w:val="single"/>
        </w:rPr>
        <w:instrText xml:space="preserve"> AUTOTEXT  input408 \* MERGEFORMAT </w:instrText>
      </w:r>
      <w:r>
        <w:rPr>
          <w:rFonts w:hint="eastAsia" w:ascii="宋体" w:hAnsi="宋体" w:eastAsia="宋体" w:cs="宋体"/>
          <w:color w:val="auto"/>
          <w:szCs w:val="21"/>
          <w:highlight w:val="none"/>
          <w:u w:val="single"/>
        </w:rPr>
        <w:fldChar w:fldCharType="end"/>
      </w:r>
    </w:p>
    <w:p w14:paraId="1D0349A5">
      <w:pPr>
        <w:spacing w:line="360" w:lineRule="auto"/>
        <w:rPr>
          <w:rFonts w:hint="eastAsia" w:ascii="宋体" w:hAnsi="宋体" w:eastAsia="宋体" w:cs="宋体"/>
          <w:b/>
          <w:color w:val="auto"/>
          <w:highlight w:val="none"/>
        </w:rPr>
      </w:pPr>
      <w:bookmarkStart w:id="386" w:name="_Toc351203482"/>
      <w:r>
        <w:rPr>
          <w:rFonts w:hint="eastAsia" w:ascii="宋体" w:hAnsi="宋体" w:eastAsia="宋体" w:cs="宋体"/>
          <w:b/>
          <w:color w:val="auto"/>
          <w:highlight w:val="none"/>
        </w:rPr>
        <w:t>二、合同工期</w:t>
      </w:r>
      <w:bookmarkEnd w:id="386"/>
    </w:p>
    <w:p w14:paraId="0B4619F5">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20  年  月  日</w:t>
      </w:r>
      <w:r>
        <w:rPr>
          <w:rFonts w:hint="eastAsia" w:ascii="宋体" w:hAnsi="宋体" w:eastAsia="宋体" w:cs="宋体"/>
          <w:color w:val="auto"/>
          <w:szCs w:val="21"/>
          <w:highlight w:val="none"/>
        </w:rPr>
        <w:t>。</w:t>
      </w:r>
    </w:p>
    <w:p w14:paraId="513DB842">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20  年  月  日</w:t>
      </w:r>
      <w:r>
        <w:rPr>
          <w:rFonts w:hint="eastAsia" w:ascii="宋体" w:hAnsi="宋体" w:eastAsia="宋体" w:cs="宋体"/>
          <w:color w:val="auto"/>
          <w:szCs w:val="21"/>
          <w:highlight w:val="none"/>
        </w:rPr>
        <w:t>。</w:t>
      </w:r>
    </w:p>
    <w:p w14:paraId="439C3661">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工期总日历天数：天。工期总日历天数与根据前述计划开竣工日期计算的工期天数不一致的，以工期总日历天数为准。</w:t>
      </w:r>
    </w:p>
    <w:p w14:paraId="31D34826">
      <w:pPr>
        <w:spacing w:line="360" w:lineRule="auto"/>
        <w:rPr>
          <w:rFonts w:hint="eastAsia" w:ascii="宋体" w:hAnsi="宋体" w:eastAsia="宋体" w:cs="宋体"/>
          <w:b/>
          <w:color w:val="auto"/>
          <w:highlight w:val="none"/>
        </w:rPr>
      </w:pPr>
      <w:bookmarkStart w:id="387" w:name="_Toc351203483"/>
      <w:r>
        <w:rPr>
          <w:rFonts w:hint="eastAsia" w:ascii="宋体" w:hAnsi="宋体" w:eastAsia="宋体" w:cs="宋体"/>
          <w:b/>
          <w:color w:val="auto"/>
          <w:highlight w:val="none"/>
        </w:rPr>
        <w:t>三、质量标准</w:t>
      </w:r>
      <w:bookmarkEnd w:id="387"/>
    </w:p>
    <w:p w14:paraId="5EC07A68">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符合GB50300-2013《建筑工程施工质量验收统一标准》及国家、地方现行相关质量标准及验收规范，并一次性验收合格。</w:t>
      </w:r>
    </w:p>
    <w:p w14:paraId="2321DD80">
      <w:pPr>
        <w:spacing w:line="360" w:lineRule="auto"/>
        <w:rPr>
          <w:rFonts w:hint="eastAsia" w:ascii="宋体" w:hAnsi="宋体" w:eastAsia="宋体" w:cs="宋体"/>
          <w:b/>
          <w:color w:val="auto"/>
          <w:highlight w:val="none"/>
        </w:rPr>
      </w:pPr>
      <w:bookmarkStart w:id="388" w:name="_Toc351203484"/>
      <w:r>
        <w:rPr>
          <w:rFonts w:hint="eastAsia" w:ascii="宋体" w:hAnsi="宋体" w:eastAsia="宋体" w:cs="宋体"/>
          <w:b/>
          <w:color w:val="auto"/>
          <w:highlight w:val="none"/>
        </w:rPr>
        <w:t>四、签约合同价与合同价格形式</w:t>
      </w:r>
      <w:bookmarkEnd w:id="388"/>
    </w:p>
    <w:p w14:paraId="328112B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18E2129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input671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 xml:space="preserve"> (¥ </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input672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元)；</w:t>
      </w:r>
    </w:p>
    <w:p w14:paraId="3574EE7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6A78F5E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（1）安全文明施工费：</w:t>
      </w:r>
    </w:p>
    <w:p w14:paraId="7EF13875">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input673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input674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元)；</w:t>
      </w:r>
    </w:p>
    <w:p w14:paraId="5FFC831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（2）材料和工程设备暂估价金额：</w:t>
      </w:r>
    </w:p>
    <w:p w14:paraId="347781F6">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input675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 xml:space="preserve"> (¥ </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input676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元)；</w:t>
      </w:r>
    </w:p>
    <w:p w14:paraId="483307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（3）专业工程暂估价金额：</w:t>
      </w:r>
    </w:p>
    <w:p w14:paraId="59833D56">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input677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 xml:space="preserve"> (¥ </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input678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元)；</w:t>
      </w:r>
    </w:p>
    <w:p w14:paraId="5EEB981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（4）暂列金额：</w:t>
      </w:r>
    </w:p>
    <w:p w14:paraId="4786F4AF">
      <w:pPr>
        <w:spacing w:line="360" w:lineRule="auto"/>
        <w:ind w:firstLine="525" w:firstLineChars="25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input679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 xml:space="preserve"> (¥ </w:t>
      </w:r>
      <w:r>
        <w:rPr>
          <w:rFonts w:hint="eastAsia" w:ascii="宋体" w:hAnsi="宋体" w:eastAsia="宋体" w:cs="宋体"/>
          <w:b/>
          <w:color w:val="auto"/>
          <w:szCs w:val="21"/>
          <w:highlight w:val="none"/>
          <w:u w:val="single"/>
        </w:rPr>
        <w:fldChar w:fldCharType="begin"/>
      </w:r>
      <w:r>
        <w:rPr>
          <w:rFonts w:hint="eastAsia" w:ascii="宋体" w:hAnsi="宋体" w:eastAsia="宋体" w:cs="宋体"/>
          <w:b/>
          <w:color w:val="auto"/>
          <w:szCs w:val="21"/>
          <w:highlight w:val="none"/>
          <w:u w:val="single"/>
        </w:rPr>
        <w:instrText xml:space="preserve"> AUTOTEXT  input680 \* MERGEFORMAT </w:instrText>
      </w:r>
      <w:r>
        <w:rPr>
          <w:rFonts w:hint="eastAsia" w:ascii="宋体" w:hAnsi="宋体" w:eastAsia="宋体" w:cs="宋体"/>
          <w:b/>
          <w:color w:val="auto"/>
          <w:szCs w:val="21"/>
          <w:highlight w:val="none"/>
          <w:u w:val="single"/>
        </w:rPr>
        <w:fldChar w:fldCharType="end"/>
      </w:r>
      <w:r>
        <w:rPr>
          <w:rFonts w:hint="eastAsia" w:ascii="宋体" w:hAnsi="宋体" w:eastAsia="宋体" w:cs="宋体"/>
          <w:color w:val="auto"/>
          <w:szCs w:val="21"/>
          <w:highlight w:val="none"/>
        </w:rPr>
        <w:t>元)。</w:t>
      </w:r>
    </w:p>
    <w:p w14:paraId="6D419004">
      <w:pPr>
        <w:autoSpaceDE w:val="0"/>
        <w:autoSpaceDN w:val="0"/>
        <w:spacing w:line="360" w:lineRule="auto"/>
        <w:ind w:firstLine="485" w:firstLineChars="231"/>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b/>
          <w:bCs/>
          <w:color w:val="auto"/>
          <w:szCs w:val="21"/>
          <w:highlight w:val="none"/>
          <w:u w:val="single"/>
        </w:rPr>
        <w:t>采用固定单价合同</w:t>
      </w:r>
      <w:r>
        <w:rPr>
          <w:rFonts w:hint="eastAsia" w:ascii="宋体" w:hAnsi="宋体" w:eastAsia="宋体" w:cs="宋体"/>
          <w:b/>
          <w:color w:val="auto"/>
          <w:szCs w:val="21"/>
          <w:highlight w:val="none"/>
          <w:u w:val="single"/>
        </w:rPr>
        <w:t>（本合同固定单价是指</w:t>
      </w:r>
      <w:r>
        <w:rPr>
          <w:rFonts w:hint="eastAsia" w:ascii="宋体" w:hAnsi="宋体" w:eastAsia="宋体" w:cs="宋体"/>
          <w:b/>
          <w:color w:val="auto"/>
          <w:szCs w:val="21"/>
          <w:highlight w:val="none"/>
          <w:u w:val="single"/>
          <w:lang w:val="en-US" w:eastAsia="zh-CN"/>
        </w:rPr>
        <w:t>成交</w:t>
      </w:r>
      <w:r>
        <w:rPr>
          <w:rFonts w:hint="eastAsia" w:ascii="宋体" w:hAnsi="宋体" w:eastAsia="宋体" w:cs="宋体"/>
          <w:b/>
          <w:color w:val="auto"/>
          <w:szCs w:val="21"/>
          <w:highlight w:val="none"/>
          <w:u w:val="single"/>
        </w:rPr>
        <w:t>工程量清单综合单价）合同形式，按实际完成工程量结算</w:t>
      </w:r>
      <w:r>
        <w:rPr>
          <w:rFonts w:hint="eastAsia" w:ascii="宋体" w:hAnsi="宋体" w:eastAsia="宋体" w:cs="宋体"/>
          <w:color w:val="auto"/>
          <w:szCs w:val="21"/>
          <w:highlight w:val="none"/>
        </w:rPr>
        <w:t>。</w:t>
      </w:r>
    </w:p>
    <w:p w14:paraId="7357C222">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五</w:t>
      </w:r>
      <w:bookmarkStart w:id="389" w:name="_Toc351203486"/>
      <w:r>
        <w:rPr>
          <w:rFonts w:hint="eastAsia" w:ascii="宋体" w:hAnsi="宋体" w:eastAsia="宋体" w:cs="宋体"/>
          <w:b/>
          <w:color w:val="auto"/>
          <w:highlight w:val="none"/>
        </w:rPr>
        <w:t>、合同文件构成</w:t>
      </w:r>
      <w:bookmarkEnd w:id="389"/>
    </w:p>
    <w:p w14:paraId="25DF088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662DEC3D">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（1）成交通知书（如果有）；</w:t>
      </w:r>
    </w:p>
    <w:p w14:paraId="0DB5DF7B">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p>
    <w:p w14:paraId="2802F197">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（3）专用合同条款及其附件；</w:t>
      </w:r>
    </w:p>
    <w:p w14:paraId="4C6D771C">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0D65B9E9">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p>
    <w:p w14:paraId="03389C49">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44487369">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（7）已标价工程量清单或预算书；</w:t>
      </w:r>
    </w:p>
    <w:p w14:paraId="5D618A27">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0048C4B0">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6D08DAB1">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1CACE0CC">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六</w:t>
      </w:r>
      <w:bookmarkStart w:id="390" w:name="_Toc351203487"/>
      <w:r>
        <w:rPr>
          <w:rFonts w:hint="eastAsia" w:ascii="宋体" w:hAnsi="宋体" w:eastAsia="宋体" w:cs="宋体"/>
          <w:b/>
          <w:color w:val="auto"/>
          <w:highlight w:val="none"/>
        </w:rPr>
        <w:t>、承诺</w:t>
      </w:r>
      <w:bookmarkEnd w:id="390"/>
    </w:p>
    <w:p w14:paraId="3F210534">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058802CF">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承包人承诺协同发包人办理施工许可</w:t>
      </w:r>
      <w:r>
        <w:rPr>
          <w:rFonts w:hint="eastAsia" w:ascii="宋体" w:hAnsi="宋体" w:eastAsia="宋体" w:cs="宋体"/>
          <w:bCs/>
          <w:color w:val="auto"/>
          <w:szCs w:val="21"/>
          <w:highlight w:val="none"/>
          <w:lang w:val="en-US" w:eastAsia="zh-CN"/>
        </w:rPr>
        <w:t>等</w:t>
      </w:r>
      <w:r>
        <w:rPr>
          <w:rFonts w:hint="eastAsia" w:ascii="宋体" w:hAnsi="宋体" w:eastAsia="宋体" w:cs="宋体"/>
          <w:bCs/>
          <w:color w:val="auto"/>
          <w:szCs w:val="21"/>
          <w:highlight w:val="none"/>
        </w:rPr>
        <w:t>相关手续</w:t>
      </w:r>
      <w:r>
        <w:rPr>
          <w:rFonts w:hint="eastAsia" w:ascii="宋体" w:hAnsi="宋体" w:eastAsia="宋体" w:cs="宋体"/>
          <w:bCs/>
          <w:color w:val="auto"/>
          <w:szCs w:val="21"/>
          <w:highlight w:val="none"/>
          <w:lang w:eastAsia="zh-CN"/>
        </w:rPr>
        <w:t>。</w:t>
      </w:r>
    </w:p>
    <w:p w14:paraId="43FD9F8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.承包人承诺按照法律规定及合同约定组织完成工程施工，确保工程质量和安全，不进行转包及违法分包，并在缺陷责任期及保修期内承担相应的工程维修责任。</w:t>
      </w:r>
    </w:p>
    <w:p w14:paraId="65ABF894">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.发包人和承包人通过招投标形式签订合同的，双方理解并承诺不再就同一工程另行签订与合同实质性内容相背离的协议。</w:t>
      </w:r>
    </w:p>
    <w:p w14:paraId="59349CBC">
      <w:pPr>
        <w:spacing w:line="360" w:lineRule="auto"/>
        <w:rPr>
          <w:rFonts w:hint="eastAsia" w:ascii="宋体" w:hAnsi="宋体" w:eastAsia="宋体" w:cs="宋体"/>
          <w:b/>
          <w:color w:val="auto"/>
          <w:highlight w:val="none"/>
        </w:rPr>
      </w:pPr>
      <w:bookmarkStart w:id="391" w:name="_Toc351203488"/>
      <w:r>
        <w:rPr>
          <w:rFonts w:hint="eastAsia" w:ascii="宋体" w:hAnsi="宋体" w:eastAsia="宋体" w:cs="宋体"/>
          <w:b/>
          <w:color w:val="auto"/>
          <w:highlight w:val="none"/>
        </w:rPr>
        <w:t>七、词语含义</w:t>
      </w:r>
      <w:bookmarkEnd w:id="391"/>
    </w:p>
    <w:p w14:paraId="23FF48EB">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本协议书中词语含义与第二部分通用合同条款中赋予的含义相同。</w:t>
      </w:r>
    </w:p>
    <w:p w14:paraId="51996D95">
      <w:pPr>
        <w:spacing w:line="360" w:lineRule="auto"/>
        <w:rPr>
          <w:rFonts w:hint="eastAsia" w:ascii="宋体" w:hAnsi="宋体" w:eastAsia="宋体" w:cs="宋体"/>
          <w:b/>
          <w:color w:val="auto"/>
          <w:highlight w:val="none"/>
        </w:rPr>
      </w:pPr>
      <w:bookmarkStart w:id="392" w:name="_Toc351203489"/>
      <w:r>
        <w:rPr>
          <w:rFonts w:hint="eastAsia" w:ascii="宋体" w:hAnsi="宋体" w:eastAsia="宋体" w:cs="宋体"/>
          <w:b/>
          <w:color w:val="auto"/>
          <w:highlight w:val="none"/>
        </w:rPr>
        <w:t>八、签订时间</w:t>
      </w:r>
      <w:bookmarkEnd w:id="392"/>
    </w:p>
    <w:p w14:paraId="136C1DE5">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本合同于  年  月  日签订。</w:t>
      </w:r>
    </w:p>
    <w:p w14:paraId="35405C90">
      <w:pPr>
        <w:spacing w:line="360" w:lineRule="auto"/>
        <w:rPr>
          <w:rFonts w:hint="eastAsia" w:ascii="宋体" w:hAnsi="宋体" w:eastAsia="宋体" w:cs="宋体"/>
          <w:b/>
          <w:color w:val="auto"/>
          <w:highlight w:val="none"/>
        </w:rPr>
      </w:pPr>
      <w:bookmarkStart w:id="393" w:name="_Toc351203490"/>
      <w:r>
        <w:rPr>
          <w:rFonts w:hint="eastAsia" w:ascii="宋体" w:hAnsi="宋体" w:eastAsia="宋体" w:cs="宋体"/>
          <w:b/>
          <w:color w:val="auto"/>
          <w:highlight w:val="none"/>
        </w:rPr>
        <w:t>九、签订地点</w:t>
      </w:r>
      <w:bookmarkEnd w:id="393"/>
    </w:p>
    <w:p w14:paraId="21BF856D">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本合同在签订。</w:t>
      </w:r>
    </w:p>
    <w:p w14:paraId="7EB3E369">
      <w:pPr>
        <w:spacing w:line="360" w:lineRule="auto"/>
        <w:rPr>
          <w:rFonts w:hint="eastAsia" w:ascii="宋体" w:hAnsi="宋体" w:eastAsia="宋体" w:cs="宋体"/>
          <w:b/>
          <w:color w:val="auto"/>
          <w:highlight w:val="none"/>
        </w:rPr>
      </w:pPr>
      <w:bookmarkStart w:id="394" w:name="_Toc351203491"/>
      <w:r>
        <w:rPr>
          <w:rFonts w:hint="eastAsia" w:ascii="宋体" w:hAnsi="宋体" w:eastAsia="宋体" w:cs="宋体"/>
          <w:b/>
          <w:color w:val="auto"/>
          <w:highlight w:val="none"/>
        </w:rPr>
        <w:t>十、补充协议</w:t>
      </w:r>
      <w:bookmarkEnd w:id="394"/>
    </w:p>
    <w:p w14:paraId="228A48C5">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合同未尽事宜，合同当事人另行签订补充协议，补充协议是合同的组成部分。</w:t>
      </w:r>
    </w:p>
    <w:p w14:paraId="417BB85D">
      <w:pPr>
        <w:spacing w:line="360" w:lineRule="auto"/>
        <w:rPr>
          <w:rFonts w:hint="eastAsia" w:ascii="宋体" w:hAnsi="宋体" w:eastAsia="宋体" w:cs="宋体"/>
          <w:b/>
          <w:color w:val="auto"/>
          <w:highlight w:val="none"/>
        </w:rPr>
      </w:pPr>
      <w:bookmarkStart w:id="395" w:name="_Toc351203492"/>
      <w:r>
        <w:rPr>
          <w:rFonts w:hint="eastAsia" w:ascii="宋体" w:hAnsi="宋体" w:eastAsia="宋体" w:cs="宋体"/>
          <w:b/>
          <w:color w:val="auto"/>
          <w:highlight w:val="none"/>
        </w:rPr>
        <w:t>十一、合同生效</w:t>
      </w:r>
      <w:bookmarkEnd w:id="395"/>
    </w:p>
    <w:p w14:paraId="3AC349EA">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本合同自</w:t>
      </w:r>
      <w:r>
        <w:rPr>
          <w:rFonts w:hint="eastAsia" w:ascii="宋体" w:hAnsi="宋体" w:eastAsia="宋体" w:cs="宋体"/>
          <w:bCs/>
          <w:color w:val="auto"/>
          <w:szCs w:val="21"/>
          <w:highlight w:val="none"/>
          <w:u w:val="single"/>
        </w:rPr>
        <w:t>合同签订之日起</w:t>
      </w:r>
      <w:r>
        <w:rPr>
          <w:rFonts w:hint="eastAsia" w:ascii="宋体" w:hAnsi="宋体" w:eastAsia="宋体" w:cs="宋体"/>
          <w:bCs/>
          <w:color w:val="auto"/>
          <w:szCs w:val="21"/>
          <w:highlight w:val="none"/>
        </w:rPr>
        <w:t>生效。</w:t>
      </w:r>
    </w:p>
    <w:p w14:paraId="663052B5">
      <w:pPr>
        <w:spacing w:line="360" w:lineRule="auto"/>
        <w:rPr>
          <w:rFonts w:hint="eastAsia" w:ascii="宋体" w:hAnsi="宋体" w:eastAsia="宋体" w:cs="宋体"/>
          <w:b/>
          <w:color w:val="auto"/>
          <w:highlight w:val="none"/>
        </w:rPr>
      </w:pPr>
      <w:bookmarkStart w:id="396" w:name="_Toc351203493"/>
      <w:r>
        <w:rPr>
          <w:rFonts w:hint="eastAsia" w:ascii="宋体" w:hAnsi="宋体" w:eastAsia="宋体" w:cs="宋体"/>
          <w:b/>
          <w:color w:val="auto"/>
          <w:highlight w:val="none"/>
        </w:rPr>
        <w:t>十二、合同份数</w:t>
      </w:r>
      <w:bookmarkEnd w:id="396"/>
    </w:p>
    <w:p w14:paraId="26FC8F93">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本合同一式份，均具有同等法律效力，发包人执份，承包人执份。</w:t>
      </w:r>
    </w:p>
    <w:p w14:paraId="726BC3C5">
      <w:pPr>
        <w:spacing w:line="360" w:lineRule="auto"/>
        <w:rPr>
          <w:rFonts w:hint="eastAsia" w:ascii="宋体" w:hAnsi="宋体" w:eastAsia="宋体" w:cs="宋体"/>
          <w:bCs/>
          <w:color w:val="auto"/>
          <w:szCs w:val="21"/>
          <w:highlight w:val="none"/>
        </w:rPr>
      </w:pPr>
    </w:p>
    <w:p w14:paraId="0F7488D4">
      <w:pPr>
        <w:spacing w:line="360" w:lineRule="auto"/>
        <w:rPr>
          <w:rFonts w:hint="eastAsia" w:ascii="宋体" w:hAnsi="宋体" w:eastAsia="宋体" w:cs="宋体"/>
          <w:color w:val="auto"/>
          <w:szCs w:val="21"/>
          <w:highlight w:val="none"/>
        </w:rPr>
      </w:pPr>
    </w:p>
    <w:p w14:paraId="07390240">
      <w:pPr>
        <w:spacing w:line="360" w:lineRule="auto"/>
        <w:rPr>
          <w:rFonts w:hint="eastAsia" w:ascii="宋体" w:hAnsi="宋体" w:eastAsia="宋体" w:cs="宋体"/>
          <w:color w:val="auto"/>
          <w:szCs w:val="21"/>
          <w:highlight w:val="none"/>
        </w:rPr>
      </w:pPr>
    </w:p>
    <w:p w14:paraId="3B628C5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Cs w:val="21"/>
          <w:highlight w:val="none"/>
        </w:rPr>
        <w:t>（签字页，无正文）</w:t>
      </w:r>
    </w:p>
    <w:p w14:paraId="448AEDD8">
      <w:pPr>
        <w:spacing w:line="360" w:lineRule="auto"/>
        <w:rPr>
          <w:rFonts w:hint="eastAsia" w:ascii="宋体" w:hAnsi="宋体" w:eastAsia="宋体" w:cs="宋体"/>
          <w:color w:val="auto"/>
          <w:szCs w:val="21"/>
          <w:highlight w:val="none"/>
        </w:rPr>
      </w:pPr>
    </w:p>
    <w:p w14:paraId="6A040A6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                             承包人：(公章)</w:t>
      </w:r>
    </w:p>
    <w:p w14:paraId="3609F8A1">
      <w:pPr>
        <w:spacing w:line="360" w:lineRule="auto"/>
        <w:rPr>
          <w:rFonts w:hint="eastAsia" w:ascii="宋体" w:hAnsi="宋体" w:eastAsia="宋体" w:cs="宋体"/>
          <w:color w:val="auto"/>
          <w:szCs w:val="21"/>
          <w:highlight w:val="none"/>
          <w:u w:val="single"/>
        </w:rPr>
      </w:pPr>
    </w:p>
    <w:p w14:paraId="46AF78F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582F9F5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                                        （签字）</w:t>
      </w:r>
    </w:p>
    <w:p w14:paraId="1926FC41">
      <w:pPr>
        <w:spacing w:line="360" w:lineRule="auto"/>
        <w:rPr>
          <w:rFonts w:hint="eastAsia" w:ascii="宋体" w:hAnsi="宋体" w:eastAsia="宋体" w:cs="宋体"/>
          <w:color w:val="auto"/>
          <w:szCs w:val="21"/>
          <w:highlight w:val="none"/>
        </w:rPr>
      </w:pPr>
    </w:p>
    <w:p w14:paraId="003E67C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w:t>
      </w:r>
    </w:p>
    <w:p w14:paraId="6DD5F75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p>
    <w:p w14:paraId="2007086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 </w:t>
      </w:r>
      <w:r>
        <w:rPr>
          <w:rFonts w:hint="eastAsia" w:ascii="宋体" w:hAnsi="宋体" w:eastAsia="宋体" w:cs="宋体"/>
          <w:color w:val="auto"/>
          <w:szCs w:val="21"/>
          <w:highlight w:val="none"/>
          <w:u w:val="single"/>
        </w:rPr>
        <w:t xml:space="preserve"> </w:t>
      </w:r>
    </w:p>
    <w:p w14:paraId="4A97E8B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p>
    <w:p w14:paraId="21C31D8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  </w:t>
      </w:r>
      <w:r>
        <w:rPr>
          <w:rFonts w:hint="eastAsia" w:ascii="宋体" w:hAnsi="宋体" w:eastAsia="宋体" w:cs="宋体"/>
          <w:color w:val="auto"/>
          <w:szCs w:val="21"/>
          <w:highlight w:val="none"/>
          <w:u w:val="single"/>
        </w:rPr>
        <w:t xml:space="preserve">    </w:t>
      </w:r>
    </w:p>
    <w:p w14:paraId="286CA60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传  真： </w:t>
      </w:r>
      <w:r>
        <w:rPr>
          <w:rFonts w:hint="eastAsia" w:ascii="宋体" w:hAnsi="宋体" w:eastAsia="宋体" w:cs="宋体"/>
          <w:color w:val="auto"/>
          <w:szCs w:val="21"/>
          <w:highlight w:val="none"/>
          <w:u w:val="single"/>
        </w:rPr>
        <w:t xml:space="preserve">     </w:t>
      </w:r>
    </w:p>
    <w:p w14:paraId="1EB15A1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 </w:t>
      </w:r>
      <w:r>
        <w:rPr>
          <w:rFonts w:hint="eastAsia" w:ascii="宋体" w:hAnsi="宋体" w:eastAsia="宋体" w:cs="宋体"/>
          <w:color w:val="auto"/>
          <w:szCs w:val="21"/>
          <w:highlight w:val="none"/>
          <w:u w:val="single"/>
        </w:rPr>
        <w:t xml:space="preserve">   </w:t>
      </w:r>
    </w:p>
    <w:p w14:paraId="703F192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 </w:t>
      </w:r>
      <w:r>
        <w:rPr>
          <w:rFonts w:hint="eastAsia" w:ascii="宋体" w:hAnsi="宋体" w:eastAsia="宋体" w:cs="宋体"/>
          <w:color w:val="auto"/>
          <w:szCs w:val="21"/>
          <w:highlight w:val="none"/>
          <w:u w:val="single"/>
        </w:rPr>
        <w:t xml:space="preserve">   </w:t>
      </w:r>
    </w:p>
    <w:p w14:paraId="2FE7BEC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0E59ED1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42F9EB88">
      <w:pPr>
        <w:spacing w:line="360" w:lineRule="auto"/>
        <w:rPr>
          <w:rFonts w:hint="eastAsia" w:ascii="宋体" w:hAnsi="宋体" w:eastAsia="宋体" w:cs="宋体"/>
          <w:color w:val="auto"/>
          <w:szCs w:val="21"/>
          <w:highlight w:val="none"/>
        </w:rPr>
      </w:pPr>
    </w:p>
    <w:p w14:paraId="1821FA8A">
      <w:pPr>
        <w:keepNext/>
        <w:keepLines/>
        <w:spacing w:before="260" w:after="260" w:line="360" w:lineRule="auto"/>
        <w:jc w:val="center"/>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bookmarkStart w:id="397" w:name="_Toc2099301785"/>
      <w:bookmarkStart w:id="398" w:name="_Toc351203494"/>
      <w:bookmarkStart w:id="399" w:name="_Toc1131"/>
      <w:r>
        <w:rPr>
          <w:rFonts w:hint="eastAsia" w:ascii="宋体" w:hAnsi="宋体" w:eastAsia="宋体" w:cs="宋体"/>
          <w:b/>
          <w:bCs/>
          <w:color w:val="auto"/>
          <w:szCs w:val="21"/>
          <w:highlight w:val="none"/>
        </w:rPr>
        <w:t>第二部分 通用合同条款</w:t>
      </w:r>
      <w:bookmarkEnd w:id="397"/>
      <w:bookmarkEnd w:id="398"/>
      <w:bookmarkEnd w:id="399"/>
      <w:bookmarkStart w:id="400" w:name="_Toc337558727"/>
    </w:p>
    <w:p w14:paraId="088C6B67">
      <w:pPr>
        <w:spacing w:line="360" w:lineRule="auto"/>
        <w:ind w:firstLine="420" w:firstLineChars="200"/>
        <w:rPr>
          <w:rFonts w:hint="eastAsia" w:ascii="宋体" w:hAnsi="宋体" w:eastAsia="宋体" w:cs="宋体"/>
          <w:bCs/>
          <w:color w:val="auto"/>
          <w:kern w:val="0"/>
          <w:sz w:val="20"/>
          <w:szCs w:val="21"/>
          <w:highlight w:val="none"/>
        </w:rPr>
      </w:pPr>
      <w:r>
        <w:rPr>
          <w:rFonts w:hint="eastAsia" w:ascii="宋体" w:hAnsi="宋体" w:eastAsia="宋体" w:cs="宋体"/>
          <w:color w:val="auto"/>
          <w:kern w:val="0"/>
          <w:szCs w:val="21"/>
          <w:highlight w:val="none"/>
        </w:rPr>
        <w:t>通用合同条款直接引用《建设工程施工合同（示范文本）》</w:t>
      </w:r>
      <w:r>
        <w:rPr>
          <w:rFonts w:hint="eastAsia" w:ascii="宋体" w:hAnsi="宋体" w:eastAsia="宋体" w:cs="宋体"/>
          <w:bCs/>
          <w:color w:val="auto"/>
          <w:kern w:val="0"/>
          <w:sz w:val="20"/>
          <w:szCs w:val="21"/>
          <w:highlight w:val="none"/>
        </w:rPr>
        <w:t>（GF—2017—0201）</w:t>
      </w:r>
      <w:r>
        <w:rPr>
          <w:rFonts w:hint="eastAsia" w:ascii="宋体" w:hAnsi="宋体" w:eastAsia="宋体" w:cs="宋体"/>
          <w:color w:val="auto"/>
          <w:kern w:val="0"/>
          <w:szCs w:val="21"/>
          <w:highlight w:val="none"/>
        </w:rPr>
        <w:t>的“通用合同条款”。</w:t>
      </w:r>
      <w:bookmarkEnd w:id="400"/>
      <w:bookmarkStart w:id="401" w:name="_Toc351203632"/>
    </w:p>
    <w:p w14:paraId="325480CD">
      <w:pPr>
        <w:autoSpaceDE w:val="0"/>
        <w:autoSpaceDN w:val="0"/>
        <w:adjustRightInd w:val="0"/>
        <w:snapToGrid w:val="0"/>
        <w:spacing w:line="360" w:lineRule="auto"/>
        <w:jc w:val="center"/>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bookmarkEnd w:id="401"/>
      <w:bookmarkStart w:id="402" w:name="_Toc1956263932"/>
      <w:bookmarkStart w:id="403" w:name="_Toc24698"/>
      <w:r>
        <w:rPr>
          <w:rFonts w:hint="eastAsia" w:ascii="宋体" w:hAnsi="宋体" w:eastAsia="宋体" w:cs="宋体"/>
          <w:color w:val="auto"/>
          <w:highlight w:val="none"/>
        </w:rPr>
        <w:fldChar w:fldCharType="begin"/>
      </w:r>
      <w:r>
        <w:rPr>
          <w:rFonts w:hint="eastAsia" w:ascii="宋体" w:hAnsi="宋体" w:eastAsia="宋体" w:cs="宋体"/>
          <w:b/>
          <w:bCs/>
          <w:color w:val="auto"/>
          <w:kern w:val="0"/>
          <w:szCs w:val="21"/>
          <w:highlight w:val="none"/>
        </w:rPr>
        <w:instrText xml:space="preserve">AUTOTEXT  专用合同条款 \* MERGEFORMAT</w:instrText>
      </w:r>
      <w:r>
        <w:rPr>
          <w:rFonts w:hint="eastAsia" w:ascii="宋体" w:hAnsi="宋体" w:eastAsia="宋体" w:cs="宋体"/>
          <w:b/>
          <w:bCs/>
          <w:color w:val="auto"/>
          <w:kern w:val="0"/>
          <w:szCs w:val="21"/>
          <w:highlight w:val="none"/>
        </w:rPr>
        <w:fldChar w:fldCharType="end"/>
      </w:r>
      <w:r>
        <w:rPr>
          <w:rFonts w:hint="eastAsia" w:ascii="宋体" w:hAnsi="宋体" w:eastAsia="宋体" w:cs="宋体"/>
          <w:b/>
          <w:bCs/>
          <w:color w:val="auto"/>
          <w:szCs w:val="21"/>
          <w:highlight w:val="none"/>
        </w:rPr>
        <w:t>第三部分 专用合同条款</w:t>
      </w:r>
      <w:bookmarkEnd w:id="402"/>
      <w:bookmarkEnd w:id="403"/>
    </w:p>
    <w:p w14:paraId="0EC20303">
      <w:pPr>
        <w:adjustRightInd w:val="0"/>
        <w:snapToGrid w:val="0"/>
        <w:spacing w:line="360" w:lineRule="auto"/>
        <w:rPr>
          <w:rFonts w:hint="eastAsia" w:ascii="宋体" w:hAnsi="宋体" w:eastAsia="宋体" w:cs="宋体"/>
          <w:b/>
          <w:bCs/>
          <w:color w:val="auto"/>
          <w:szCs w:val="21"/>
          <w:highlight w:val="none"/>
        </w:rPr>
      </w:pPr>
      <w:bookmarkStart w:id="404" w:name="_Toc351203633"/>
      <w:r>
        <w:rPr>
          <w:rFonts w:hint="eastAsia" w:ascii="宋体" w:hAnsi="宋体" w:eastAsia="宋体" w:cs="宋体"/>
          <w:b/>
          <w:bCs/>
          <w:color w:val="auto"/>
          <w:szCs w:val="21"/>
          <w:highlight w:val="none"/>
        </w:rPr>
        <w:t>1</w:t>
      </w:r>
      <w:bookmarkStart w:id="405" w:name="_Toc292559361"/>
      <w:bookmarkStart w:id="406" w:name="_Toc296347155"/>
      <w:bookmarkStart w:id="407" w:name="_Toc296346657"/>
      <w:bookmarkStart w:id="408" w:name="_Toc297048342"/>
      <w:bookmarkStart w:id="409" w:name="_Toc296503156"/>
      <w:bookmarkStart w:id="410" w:name="_Toc292559866"/>
      <w:bookmarkStart w:id="411" w:name="_Toc296890984"/>
      <w:bookmarkStart w:id="412" w:name="_Toc297120456"/>
      <w:bookmarkStart w:id="413" w:name="_Toc296891196"/>
      <w:bookmarkStart w:id="414" w:name="_Toc296944495"/>
      <w:r>
        <w:rPr>
          <w:rFonts w:hint="eastAsia" w:ascii="宋体" w:hAnsi="宋体" w:eastAsia="宋体" w:cs="宋体"/>
          <w:b/>
          <w:bCs/>
          <w:color w:val="auto"/>
          <w:szCs w:val="21"/>
          <w:highlight w:val="none"/>
        </w:rPr>
        <w:t>. 一般约定</w:t>
      </w:r>
      <w:bookmarkEnd w:id="404"/>
    </w:p>
    <w:bookmarkEnd w:id="405"/>
    <w:bookmarkEnd w:id="406"/>
    <w:bookmarkEnd w:id="407"/>
    <w:bookmarkEnd w:id="408"/>
    <w:bookmarkEnd w:id="409"/>
    <w:bookmarkEnd w:id="410"/>
    <w:bookmarkEnd w:id="411"/>
    <w:bookmarkEnd w:id="412"/>
    <w:bookmarkEnd w:id="413"/>
    <w:bookmarkEnd w:id="414"/>
    <w:p w14:paraId="4CA1B793">
      <w:pPr>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 词语定义</w:t>
      </w:r>
    </w:p>
    <w:p w14:paraId="26523F03">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1.1.1合同</w:t>
      </w:r>
    </w:p>
    <w:p w14:paraId="71CC571F">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1.1.1.10其他合同文件包括：</w:t>
      </w:r>
      <w:r>
        <w:rPr>
          <w:rFonts w:hint="eastAsia" w:ascii="宋体" w:hAnsi="宋体" w:eastAsia="宋体" w:cs="宋体"/>
          <w:color w:val="auto"/>
          <w:szCs w:val="21"/>
          <w:highlight w:val="none"/>
          <w:u w:val="single"/>
        </w:rPr>
        <w:t>履行合同过程中双方书面确认的对合同内容有实质性影响的会议纪要、签证、设计变更等资料。</w:t>
      </w:r>
    </w:p>
    <w:p w14:paraId="062529E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合同当事人及其他相关方</w:t>
      </w:r>
    </w:p>
    <w:p w14:paraId="7DCCC64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1793338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p>
    <w:p w14:paraId="792AEBF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监理人代表：；</w:t>
      </w:r>
    </w:p>
    <w:p w14:paraId="67264A1E">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联系电话：</w:t>
      </w:r>
    </w:p>
    <w:p w14:paraId="339ED8F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32C2D2A5">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1.1.3.7 作为施工现场组成部分的其他场所包括：</w:t>
      </w:r>
      <w:r>
        <w:rPr>
          <w:rFonts w:hint="eastAsia" w:ascii="宋体" w:hAnsi="宋体" w:eastAsia="宋体" w:cs="宋体"/>
          <w:color w:val="auto"/>
          <w:szCs w:val="21"/>
          <w:highlight w:val="none"/>
          <w:u w:val="single"/>
        </w:rPr>
        <w:t>符合通用条款规定的发包人提供的施工场地。</w:t>
      </w:r>
    </w:p>
    <w:p w14:paraId="1C53A1E0">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1.1.3.9 永久占地包括：</w:t>
      </w:r>
      <w:r>
        <w:rPr>
          <w:rFonts w:hint="eastAsia" w:ascii="宋体" w:hAnsi="宋体" w:eastAsia="宋体" w:cs="宋体"/>
          <w:color w:val="auto"/>
          <w:szCs w:val="21"/>
          <w:highlight w:val="none"/>
          <w:u w:val="single"/>
        </w:rPr>
        <w:t>依据设计图纸确定</w:t>
      </w:r>
      <w:r>
        <w:rPr>
          <w:rFonts w:hint="eastAsia" w:ascii="宋体" w:hAnsi="宋体" w:eastAsia="宋体" w:cs="宋体"/>
          <w:color w:val="auto"/>
          <w:kern w:val="0"/>
          <w:szCs w:val="21"/>
          <w:highlight w:val="none"/>
        </w:rPr>
        <w:t>。</w:t>
      </w:r>
    </w:p>
    <w:p w14:paraId="5F69623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1.1.3.10 临时占地包括：</w:t>
      </w:r>
      <w:r>
        <w:rPr>
          <w:rFonts w:hint="eastAsia" w:ascii="宋体" w:hAnsi="宋体" w:eastAsia="宋体" w:cs="宋体"/>
          <w:color w:val="auto"/>
          <w:kern w:val="0"/>
          <w:szCs w:val="21"/>
          <w:highlight w:val="none"/>
          <w:u w:val="single"/>
        </w:rPr>
        <w:t>双方在履行合同过程中确定</w:t>
      </w:r>
      <w:r>
        <w:rPr>
          <w:rFonts w:hint="eastAsia" w:ascii="宋体" w:hAnsi="宋体" w:eastAsia="宋体" w:cs="宋体"/>
          <w:color w:val="auto"/>
          <w:kern w:val="0"/>
          <w:szCs w:val="21"/>
          <w:highlight w:val="none"/>
        </w:rPr>
        <w:t>。</w:t>
      </w:r>
    </w:p>
    <w:p w14:paraId="2C367D7D">
      <w:pPr>
        <w:tabs>
          <w:tab w:val="left" w:pos="3893"/>
        </w:tabs>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 法律 </w:t>
      </w:r>
      <w:r>
        <w:rPr>
          <w:rFonts w:hint="eastAsia" w:ascii="宋体" w:hAnsi="宋体" w:eastAsia="宋体" w:cs="宋体"/>
          <w:b/>
          <w:color w:val="auto"/>
          <w:szCs w:val="21"/>
          <w:highlight w:val="none"/>
        </w:rPr>
        <w:tab/>
      </w:r>
    </w:p>
    <w:p w14:paraId="5C71463F">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适用于合同的其他规范性文件：</w:t>
      </w:r>
      <w:r>
        <w:rPr>
          <w:rFonts w:hint="eastAsia" w:ascii="宋体" w:hAnsi="宋体" w:eastAsia="宋体" w:cs="宋体"/>
          <w:b/>
          <w:color w:val="auto"/>
          <w:szCs w:val="21"/>
          <w:highlight w:val="none"/>
          <w:u w:val="single"/>
        </w:rPr>
        <w:t>《中华人民共和国建筑法》、《中华人民共和国民法典》、《中华人民共和国政府采购法》、《中华人民共和国安全生产法》、国务院《建设工程质量管理条例》等国家颁布的现行法律、法规和</w:t>
      </w:r>
      <w:r>
        <w:rPr>
          <w:rFonts w:hint="eastAsia" w:ascii="宋体" w:hAnsi="宋体" w:eastAsia="宋体" w:cs="宋体"/>
          <w:b/>
          <w:color w:val="auto"/>
          <w:szCs w:val="21"/>
          <w:highlight w:val="none"/>
          <w:u w:val="single"/>
          <w:lang w:val="en-US" w:eastAsia="zh-CN"/>
        </w:rPr>
        <w:t>相关技术规范</w:t>
      </w:r>
      <w:r>
        <w:rPr>
          <w:rFonts w:hint="eastAsia" w:ascii="宋体" w:hAnsi="宋体" w:eastAsia="宋体" w:cs="宋体"/>
          <w:b/>
          <w:color w:val="auto"/>
          <w:szCs w:val="21"/>
          <w:highlight w:val="none"/>
          <w:u w:val="single"/>
        </w:rPr>
        <w:t>。本合同只执行本项目响应文件及其附件递交截止日期时，工程所在地建设行政主管部门发布的计价方法及有关配套计价文件。</w:t>
      </w:r>
    </w:p>
    <w:p w14:paraId="29C54CC0">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 标准和规范</w:t>
      </w:r>
    </w:p>
    <w:p w14:paraId="4FDD7E06">
      <w:pPr>
        <w:autoSpaceDE w:val="0"/>
        <w:autoSpaceDN w:val="0"/>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1.4.1 适用于工程的标准规范包括：</w:t>
      </w:r>
      <w:r>
        <w:rPr>
          <w:rFonts w:hint="eastAsia" w:ascii="宋体" w:hAnsi="宋体" w:eastAsia="宋体" w:cs="宋体"/>
          <w:color w:val="auto"/>
          <w:szCs w:val="21"/>
          <w:highlight w:val="none"/>
          <w:u w:val="single"/>
        </w:rPr>
        <w:t>国家及云南省、昆明市现行的有关标准、规范。</w:t>
      </w:r>
    </w:p>
    <w:p w14:paraId="6DF72D3F">
      <w:pPr>
        <w:autoSpaceDE w:val="0"/>
        <w:autoSpaceDN w:val="0"/>
        <w:adjustRightInd w:val="0"/>
        <w:snapToGrid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1.4.2 发包人提供国外标准、规范的名称：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645FBB66">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发包人提供国外标准、规范的份数：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463838C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发包人提供国外标准、规范的名称：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4ABA253A">
      <w:pPr>
        <w:autoSpaceDE w:val="0"/>
        <w:autoSpaceDN w:val="0"/>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1.4.3 发包人对工程的技术标准和功能要求的特殊要求：</w:t>
      </w:r>
    </w:p>
    <w:p w14:paraId="26AB6851">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1.5 合同文件的优先顺序</w:t>
      </w:r>
    </w:p>
    <w:p w14:paraId="3E150D5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合同文件组成及优先顺序为：</w:t>
      </w:r>
      <w:r>
        <w:rPr>
          <w:rFonts w:hint="eastAsia" w:ascii="宋体" w:hAnsi="宋体" w:eastAsia="宋体" w:cs="宋体"/>
          <w:color w:val="auto"/>
          <w:szCs w:val="21"/>
          <w:highlight w:val="none"/>
          <w:u w:val="single"/>
        </w:rPr>
        <w:t>执行通用条款“1.5 合同文件的优先顺序”</w:t>
      </w:r>
      <w:r>
        <w:rPr>
          <w:rFonts w:hint="eastAsia" w:ascii="宋体" w:hAnsi="宋体" w:eastAsia="宋体" w:cs="宋体"/>
          <w:color w:val="auto"/>
          <w:szCs w:val="21"/>
          <w:highlight w:val="none"/>
        </w:rPr>
        <w:t>。</w:t>
      </w:r>
    </w:p>
    <w:p w14:paraId="504595B8">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1.6 图纸和承包人文件</w:t>
      </w:r>
      <w:r>
        <w:rPr>
          <w:rFonts w:hint="eastAsia" w:ascii="宋体" w:hAnsi="宋体" w:eastAsia="宋体" w:cs="宋体"/>
          <w:b/>
          <w:color w:val="auto"/>
          <w:kern w:val="0"/>
          <w:szCs w:val="21"/>
          <w:highlight w:val="none"/>
        </w:rPr>
        <w:tab/>
      </w:r>
    </w:p>
    <w:p w14:paraId="4D7281D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2653D16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双方另行协商</w:t>
      </w:r>
      <w:r>
        <w:rPr>
          <w:rFonts w:hint="eastAsia" w:ascii="宋体" w:hAnsi="宋体" w:eastAsia="宋体" w:cs="宋体"/>
          <w:color w:val="auto"/>
          <w:szCs w:val="21"/>
          <w:highlight w:val="none"/>
        </w:rPr>
        <w:t>；</w:t>
      </w:r>
    </w:p>
    <w:p w14:paraId="298CF0F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双方另行协商</w:t>
      </w:r>
      <w:r>
        <w:rPr>
          <w:rFonts w:hint="eastAsia" w:ascii="宋体" w:hAnsi="宋体" w:eastAsia="宋体" w:cs="宋体"/>
          <w:color w:val="auto"/>
          <w:szCs w:val="21"/>
          <w:highlight w:val="none"/>
        </w:rPr>
        <w:t>；</w:t>
      </w:r>
    </w:p>
    <w:p w14:paraId="3C3E3BA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合同范围内的所有施工图</w:t>
      </w:r>
      <w:r>
        <w:rPr>
          <w:rFonts w:hint="eastAsia" w:ascii="宋体" w:hAnsi="宋体" w:eastAsia="宋体" w:cs="宋体"/>
          <w:color w:val="auto"/>
          <w:szCs w:val="21"/>
          <w:highlight w:val="none"/>
        </w:rPr>
        <w:t>。</w:t>
      </w:r>
    </w:p>
    <w:p w14:paraId="0730C37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14:paraId="19EC4186">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需要由承包人提供的文件，包括：</w:t>
      </w:r>
      <w:r>
        <w:rPr>
          <w:rFonts w:hint="eastAsia" w:ascii="宋体" w:hAnsi="宋体" w:eastAsia="宋体" w:cs="宋体"/>
          <w:color w:val="auto"/>
          <w:szCs w:val="21"/>
          <w:highlight w:val="none"/>
          <w:u w:val="single"/>
        </w:rPr>
        <w:t>双方另行协商</w:t>
      </w:r>
      <w:r>
        <w:rPr>
          <w:rFonts w:hint="eastAsia" w:ascii="宋体" w:hAnsi="宋体" w:eastAsia="宋体" w:cs="宋体"/>
          <w:color w:val="auto"/>
          <w:szCs w:val="21"/>
          <w:highlight w:val="none"/>
        </w:rPr>
        <w:t>；</w:t>
      </w:r>
    </w:p>
    <w:p w14:paraId="48CE97C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双方另行协商</w:t>
      </w:r>
      <w:r>
        <w:rPr>
          <w:rFonts w:hint="eastAsia" w:ascii="宋体" w:hAnsi="宋体" w:eastAsia="宋体" w:cs="宋体"/>
          <w:color w:val="auto"/>
          <w:szCs w:val="21"/>
          <w:highlight w:val="none"/>
        </w:rPr>
        <w:t>；</w:t>
      </w:r>
    </w:p>
    <w:p w14:paraId="6B13AB8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双方另行协商</w:t>
      </w:r>
      <w:r>
        <w:rPr>
          <w:rFonts w:hint="eastAsia" w:ascii="宋体" w:hAnsi="宋体" w:eastAsia="宋体" w:cs="宋体"/>
          <w:color w:val="auto"/>
          <w:szCs w:val="21"/>
          <w:highlight w:val="none"/>
        </w:rPr>
        <w:t>；</w:t>
      </w:r>
    </w:p>
    <w:p w14:paraId="2B2D92CE">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双方另行协商</w:t>
      </w:r>
      <w:r>
        <w:rPr>
          <w:rFonts w:hint="eastAsia" w:ascii="宋体" w:hAnsi="宋体" w:eastAsia="宋体" w:cs="宋体"/>
          <w:color w:val="auto"/>
          <w:szCs w:val="21"/>
          <w:highlight w:val="none"/>
        </w:rPr>
        <w:t>；</w:t>
      </w:r>
    </w:p>
    <w:p w14:paraId="79F35EF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r>
        <w:rPr>
          <w:rFonts w:hint="eastAsia" w:ascii="宋体" w:hAnsi="宋体" w:eastAsia="宋体" w:cs="宋体"/>
          <w:color w:val="auto"/>
          <w:szCs w:val="21"/>
          <w:highlight w:val="none"/>
          <w:u w:val="single"/>
        </w:rPr>
        <w:t>按发包人相关管理规定</w:t>
      </w:r>
      <w:r>
        <w:rPr>
          <w:rFonts w:hint="eastAsia" w:ascii="宋体" w:hAnsi="宋体" w:eastAsia="宋体" w:cs="宋体"/>
          <w:color w:val="auto"/>
          <w:szCs w:val="21"/>
          <w:highlight w:val="none"/>
        </w:rPr>
        <w:t>。</w:t>
      </w:r>
    </w:p>
    <w:p w14:paraId="19BE8DAE">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14:paraId="3E65136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szCs w:val="21"/>
          <w:highlight w:val="none"/>
          <w:u w:val="single"/>
        </w:rPr>
        <w:t>执行通用条款“1.6.5 图纸和承包人文件的保管”</w:t>
      </w:r>
      <w:r>
        <w:rPr>
          <w:rFonts w:hint="eastAsia" w:ascii="宋体" w:hAnsi="宋体" w:eastAsia="宋体" w:cs="宋体"/>
          <w:color w:val="auto"/>
          <w:szCs w:val="21"/>
          <w:highlight w:val="none"/>
        </w:rPr>
        <w:t>。</w:t>
      </w:r>
    </w:p>
    <w:p w14:paraId="78613FBD">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1.7 联络</w:t>
      </w:r>
    </w:p>
    <w:p w14:paraId="13FBF63A">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 发包人和承包人应当在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天内将与合同有关的通知、批准、证明、证书、指示、指令、要求、请求、同意、意见、确定和决定等书面函件送达对方当事人。</w:t>
      </w:r>
    </w:p>
    <w:p w14:paraId="5F0B3BEC">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 发包人接收文件的地点：；</w:t>
      </w:r>
    </w:p>
    <w:p w14:paraId="4166FC7A">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发包人指定的接收人为：。</w:t>
      </w:r>
    </w:p>
    <w:p w14:paraId="3614595F">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承包人接收文件的地点：；</w:t>
      </w:r>
    </w:p>
    <w:p w14:paraId="502E2803">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承包人指定的接收人为：；</w:t>
      </w:r>
    </w:p>
    <w:p w14:paraId="28C247DF">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rPr>
        <w:t>；</w:t>
      </w:r>
    </w:p>
    <w:p w14:paraId="3199703D">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监理人指定的接收人为：</w:t>
      </w:r>
      <w:r>
        <w:rPr>
          <w:rFonts w:hint="eastAsia" w:ascii="宋体" w:hAnsi="宋体" w:eastAsia="宋体" w:cs="宋体"/>
          <w:color w:val="auto"/>
          <w:kern w:val="0"/>
          <w:szCs w:val="21"/>
          <w:highlight w:val="none"/>
          <w:u w:val="single"/>
        </w:rPr>
        <w:t xml:space="preserve">  /   </w:t>
      </w:r>
      <w:r>
        <w:rPr>
          <w:rFonts w:hint="eastAsia" w:ascii="宋体" w:hAnsi="宋体" w:eastAsia="宋体" w:cs="宋体"/>
          <w:color w:val="auto"/>
          <w:kern w:val="0"/>
          <w:szCs w:val="21"/>
          <w:highlight w:val="none"/>
        </w:rPr>
        <w:t>。</w:t>
      </w:r>
    </w:p>
    <w:p w14:paraId="3FA42733">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1.8 严禁贿赂</w:t>
      </w:r>
    </w:p>
    <w:p w14:paraId="4DE4CB7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果承包人或其任何分包商，代理人或雇员向任何人提出给予或同意给予或给予任何人以任何贿赂、礼品、赏金或佣金，作为引诱或报酬，使该员采取或不采取与该合同或与项目发包人订立的任何其它合同有关的行动，则项目发包人可以终止雇用该承包人。</w:t>
      </w:r>
    </w:p>
    <w:p w14:paraId="14665182">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1.10 交通运输</w:t>
      </w:r>
    </w:p>
    <w:p w14:paraId="7A40E466">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bookmarkStart w:id="415" w:name="_Toc300934943"/>
      <w:bookmarkStart w:id="416" w:name="_Toc312677986"/>
      <w:bookmarkStart w:id="417" w:name="_Toc304295521"/>
      <w:bookmarkStart w:id="418" w:name="_Toc318581155"/>
      <w:bookmarkStart w:id="419" w:name="_Toc303539100"/>
      <w:r>
        <w:rPr>
          <w:rFonts w:hint="eastAsia" w:ascii="宋体" w:hAnsi="宋体" w:eastAsia="宋体" w:cs="宋体"/>
          <w:color w:val="auto"/>
          <w:kern w:val="0"/>
          <w:szCs w:val="21"/>
          <w:highlight w:val="none"/>
        </w:rPr>
        <w:t>.10.1 出入现场的权利</w:t>
      </w:r>
    </w:p>
    <w:p w14:paraId="7483FB0A">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关于出入现场的权利的约定：</w:t>
      </w:r>
      <w:r>
        <w:rPr>
          <w:rFonts w:hint="eastAsia" w:ascii="宋体" w:hAnsi="宋体" w:eastAsia="宋体" w:cs="宋体"/>
          <w:color w:val="auto"/>
          <w:szCs w:val="21"/>
          <w:highlight w:val="none"/>
          <w:u w:val="single"/>
        </w:rPr>
        <w:t>由承包人按发包人要求取得出入施工现场所需的批准手续和全部权利。</w:t>
      </w:r>
    </w:p>
    <w:bookmarkEnd w:id="415"/>
    <w:bookmarkEnd w:id="416"/>
    <w:bookmarkEnd w:id="417"/>
    <w:bookmarkEnd w:id="418"/>
    <w:bookmarkEnd w:id="419"/>
    <w:p w14:paraId="3C53C9FF">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bookmarkStart w:id="420" w:name="_Toc303539101"/>
      <w:bookmarkStart w:id="421" w:name="_Toc300934944"/>
      <w:bookmarkStart w:id="422" w:name="_Toc312677987"/>
      <w:bookmarkStart w:id="423" w:name="_Toc318581156"/>
      <w:bookmarkStart w:id="424" w:name="_Toc304295522"/>
      <w:r>
        <w:rPr>
          <w:rFonts w:hint="eastAsia" w:ascii="宋体" w:hAnsi="宋体" w:eastAsia="宋体" w:cs="宋体"/>
          <w:color w:val="auto"/>
          <w:kern w:val="0"/>
          <w:szCs w:val="21"/>
          <w:highlight w:val="none"/>
        </w:rPr>
        <w:t>.10.3 场内交通</w:t>
      </w:r>
    </w:p>
    <w:p w14:paraId="492745D3">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关于场外交通和场内交通的边界的约定：</w:t>
      </w:r>
      <w:r>
        <w:rPr>
          <w:rFonts w:hint="eastAsia" w:ascii="宋体" w:hAnsi="宋体" w:eastAsia="宋体" w:cs="宋体"/>
          <w:color w:val="auto"/>
          <w:szCs w:val="21"/>
          <w:highlight w:val="none"/>
          <w:u w:val="single"/>
        </w:rPr>
        <w:t>施工图红线范围内</w:t>
      </w:r>
      <w:r>
        <w:rPr>
          <w:rFonts w:hint="eastAsia" w:ascii="宋体" w:hAnsi="宋体" w:eastAsia="宋体" w:cs="宋体"/>
          <w:color w:val="auto"/>
          <w:szCs w:val="21"/>
          <w:highlight w:val="none"/>
        </w:rPr>
        <w:t>。</w:t>
      </w:r>
    </w:p>
    <w:p w14:paraId="56D2660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不提供</w:t>
      </w:r>
      <w:r>
        <w:rPr>
          <w:rFonts w:hint="eastAsia" w:ascii="宋体" w:hAnsi="宋体" w:eastAsia="宋体" w:cs="宋体"/>
          <w:color w:val="auto"/>
          <w:szCs w:val="21"/>
          <w:highlight w:val="none"/>
        </w:rPr>
        <w:t>。</w:t>
      </w:r>
      <w:bookmarkEnd w:id="420"/>
      <w:bookmarkEnd w:id="421"/>
      <w:bookmarkEnd w:id="422"/>
      <w:bookmarkEnd w:id="423"/>
      <w:bookmarkEnd w:id="424"/>
      <w:bookmarkStart w:id="425" w:name="_Toc318581157"/>
    </w:p>
    <w:p w14:paraId="7C947A9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 超大件和超重件的运输</w:t>
      </w:r>
    </w:p>
    <w:p w14:paraId="177C412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运输超大件或超重件所需的道路和桥梁临时加固改造费用和其他有关费用由</w:t>
      </w:r>
      <w:r>
        <w:rPr>
          <w:rFonts w:hint="eastAsia" w:ascii="宋体" w:hAnsi="宋体" w:eastAsia="宋体" w:cs="宋体"/>
          <w:color w:val="auto"/>
          <w:szCs w:val="21"/>
          <w:highlight w:val="none"/>
          <w:u w:val="single"/>
        </w:rPr>
        <w:t xml:space="preserve">承包人 </w:t>
      </w:r>
      <w:r>
        <w:rPr>
          <w:rFonts w:hint="eastAsia" w:ascii="宋体" w:hAnsi="宋体" w:eastAsia="宋体" w:cs="宋体"/>
          <w:color w:val="auto"/>
          <w:szCs w:val="21"/>
          <w:highlight w:val="none"/>
        </w:rPr>
        <w:t>承担。</w:t>
      </w:r>
    </w:p>
    <w:bookmarkEnd w:id="425"/>
    <w:p w14:paraId="76B7FEB2">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1.11 知识产权</w:t>
      </w:r>
    </w:p>
    <w:p w14:paraId="26C17F1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 执行通用条款</w:t>
      </w:r>
      <w:r>
        <w:rPr>
          <w:rFonts w:hint="eastAsia" w:ascii="宋体" w:hAnsi="宋体" w:eastAsia="宋体" w:cs="宋体"/>
          <w:color w:val="auto"/>
          <w:szCs w:val="21"/>
          <w:highlight w:val="none"/>
        </w:rPr>
        <w:t>。</w:t>
      </w:r>
    </w:p>
    <w:p w14:paraId="4DF8E43A">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关于发包人提供的上述文件的使用限制的要求：</w:t>
      </w:r>
      <w:r>
        <w:rPr>
          <w:rFonts w:hint="eastAsia" w:ascii="宋体" w:hAnsi="宋体" w:eastAsia="宋体" w:cs="宋体"/>
          <w:color w:val="auto"/>
          <w:szCs w:val="21"/>
          <w:highlight w:val="none"/>
          <w:u w:val="single"/>
        </w:rPr>
        <w:t xml:space="preserve"> 执行通用条款</w:t>
      </w:r>
      <w:r>
        <w:rPr>
          <w:rFonts w:hint="eastAsia" w:ascii="宋体" w:hAnsi="宋体" w:eastAsia="宋体" w:cs="宋体"/>
          <w:color w:val="auto"/>
          <w:szCs w:val="21"/>
          <w:highlight w:val="none"/>
        </w:rPr>
        <w:t>。</w:t>
      </w:r>
    </w:p>
    <w:p w14:paraId="5FC85D98">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1.11.2 关于承包人为实施工程所编制文件的著作权的归属：</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4A3370F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 xml:space="preserve"> 执行通用条款</w:t>
      </w:r>
      <w:r>
        <w:rPr>
          <w:rFonts w:hint="eastAsia" w:ascii="宋体" w:hAnsi="宋体" w:eastAsia="宋体" w:cs="宋体"/>
          <w:color w:val="auto"/>
          <w:szCs w:val="21"/>
          <w:highlight w:val="none"/>
        </w:rPr>
        <w:t>。</w:t>
      </w:r>
    </w:p>
    <w:p w14:paraId="1F2D3FAE">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1.11.4 承包人在施工过程中所采用的专利、专有技术、技术秘密的使用费的承担方式：</w:t>
      </w:r>
      <w:r>
        <w:rPr>
          <w:rFonts w:hint="eastAsia" w:ascii="宋体" w:hAnsi="宋体" w:eastAsia="宋体" w:cs="宋体"/>
          <w:color w:val="auto"/>
          <w:kern w:val="0"/>
          <w:szCs w:val="21"/>
          <w:highlight w:val="none"/>
          <w:u w:val="single"/>
        </w:rPr>
        <w:t>由承包人承担，费用已包括在投标报价中</w:t>
      </w:r>
      <w:r>
        <w:rPr>
          <w:rFonts w:hint="eastAsia" w:ascii="宋体" w:hAnsi="宋体" w:eastAsia="宋体" w:cs="宋体"/>
          <w:color w:val="auto"/>
          <w:kern w:val="0"/>
          <w:szCs w:val="21"/>
          <w:highlight w:val="none"/>
        </w:rPr>
        <w:t>。</w:t>
      </w:r>
    </w:p>
    <w:p w14:paraId="300D6139">
      <w:pPr>
        <w:autoSpaceDE w:val="0"/>
        <w:autoSpaceDN w:val="0"/>
        <w:adjustRightInd w:val="0"/>
        <w:snapToGrid w:val="0"/>
        <w:spacing w:line="360" w:lineRule="auto"/>
        <w:rPr>
          <w:rFonts w:hint="eastAsia" w:ascii="宋体" w:hAnsi="宋体" w:eastAsia="宋体" w:cs="宋体"/>
          <w:b/>
          <w:bCs w:val="0"/>
          <w:color w:val="auto"/>
          <w:szCs w:val="21"/>
          <w:highlight w:val="none"/>
        </w:rPr>
      </w:pPr>
      <w:bookmarkStart w:id="426" w:name="_Toc351203634"/>
      <w:r>
        <w:rPr>
          <w:rFonts w:hint="eastAsia" w:ascii="宋体" w:hAnsi="宋体" w:eastAsia="宋体" w:cs="宋体"/>
          <w:b/>
          <w:bCs w:val="0"/>
          <w:color w:val="auto"/>
          <w:szCs w:val="21"/>
          <w:highlight w:val="none"/>
        </w:rPr>
        <w:t>2</w:t>
      </w:r>
      <w:bookmarkStart w:id="427" w:name="_Toc292559362"/>
      <w:bookmarkStart w:id="428" w:name="_Toc292559867"/>
      <w:bookmarkStart w:id="429" w:name="_Toc296891197"/>
      <w:bookmarkStart w:id="430" w:name="_Toc296346658"/>
      <w:bookmarkStart w:id="431" w:name="_Toc296347156"/>
      <w:bookmarkStart w:id="432" w:name="_Toc297120457"/>
      <w:bookmarkStart w:id="433" w:name="_Toc296503157"/>
      <w:bookmarkStart w:id="434" w:name="_Toc296890985"/>
      <w:bookmarkStart w:id="435" w:name="_Toc297048343"/>
      <w:bookmarkStart w:id="436" w:name="_Toc296944496"/>
      <w:r>
        <w:rPr>
          <w:rFonts w:hint="eastAsia" w:ascii="宋体" w:hAnsi="宋体" w:eastAsia="宋体" w:cs="宋体"/>
          <w:b/>
          <w:bCs w:val="0"/>
          <w:color w:val="auto"/>
          <w:szCs w:val="21"/>
          <w:highlight w:val="none"/>
        </w:rPr>
        <w:t>. 发包人</w:t>
      </w:r>
      <w:bookmarkEnd w:id="426"/>
    </w:p>
    <w:bookmarkEnd w:id="427"/>
    <w:bookmarkEnd w:id="428"/>
    <w:bookmarkEnd w:id="429"/>
    <w:bookmarkEnd w:id="430"/>
    <w:bookmarkEnd w:id="431"/>
    <w:bookmarkEnd w:id="432"/>
    <w:bookmarkEnd w:id="433"/>
    <w:bookmarkEnd w:id="434"/>
    <w:bookmarkEnd w:id="435"/>
    <w:bookmarkEnd w:id="436"/>
    <w:p w14:paraId="400CB5F3">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2.2 发包人代表</w:t>
      </w:r>
    </w:p>
    <w:p w14:paraId="467F54E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6E6E50C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p>
    <w:p w14:paraId="7FCCC25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p>
    <w:p w14:paraId="3A197BC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p>
    <w:p w14:paraId="5D8967C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p w14:paraId="4C62921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p>
    <w:p w14:paraId="2EF89AC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p w14:paraId="26F3B179">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代表发包人全面履行本合同。代表发包人对本工程施工过程中的质量、进度、造价、安全文明施工、合同管理、信息管理和现场管理等进行监督和检查，协调解决由发包人处理的有关问题，并对工程质量和现场签证进行确认</w:t>
      </w:r>
      <w:r>
        <w:rPr>
          <w:rFonts w:hint="eastAsia" w:ascii="宋体" w:hAnsi="宋体" w:eastAsia="宋体" w:cs="宋体"/>
          <w:color w:val="auto"/>
          <w:szCs w:val="21"/>
          <w:highlight w:val="none"/>
        </w:rPr>
        <w:t>。</w:t>
      </w:r>
    </w:p>
    <w:p w14:paraId="7C2975CC">
      <w:pPr>
        <w:autoSpaceDE w:val="0"/>
        <w:autoSpaceDN w:val="0"/>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2.4 施工现场、施工条件和基础资料的提供</w:t>
      </w:r>
    </w:p>
    <w:p w14:paraId="02C7D52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提供施工现场</w:t>
      </w:r>
    </w:p>
    <w:p w14:paraId="707B96E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 xml:space="preserve"> 双方协商确定</w:t>
      </w:r>
      <w:r>
        <w:rPr>
          <w:rFonts w:hint="eastAsia" w:ascii="宋体" w:hAnsi="宋体" w:eastAsia="宋体" w:cs="宋体"/>
          <w:color w:val="auto"/>
          <w:szCs w:val="21"/>
          <w:highlight w:val="none"/>
        </w:rPr>
        <w:t>。</w:t>
      </w:r>
    </w:p>
    <w:p w14:paraId="1F41562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提供施工条件</w:t>
      </w:r>
    </w:p>
    <w:p w14:paraId="1303170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关于发包人应负责提供施工所需要的条件，包括：</w:t>
      </w:r>
      <w:r>
        <w:rPr>
          <w:rFonts w:hint="eastAsia" w:ascii="宋体" w:hAnsi="宋体" w:eastAsia="宋体" w:cs="宋体"/>
          <w:color w:val="auto"/>
          <w:szCs w:val="21"/>
          <w:highlight w:val="none"/>
          <w:u w:val="single"/>
        </w:rPr>
        <w:t>（1）发包人向承包人提供相应的水源点、电源点，由承包人自行协调并装表计量且负责管理和保护相应的水、电设备，发生费用由承包人承担。（2）承包人据实用量和相应的耗损交纳水电费，并负责看管和维护相应水电设备及设施，发生费用由承包人承担</w:t>
      </w:r>
      <w:r>
        <w:rPr>
          <w:rFonts w:hint="eastAsia" w:ascii="宋体" w:hAnsi="宋体" w:eastAsia="宋体" w:cs="宋体"/>
          <w:color w:val="auto"/>
          <w:szCs w:val="21"/>
          <w:highlight w:val="none"/>
        </w:rPr>
        <w:t>。</w:t>
      </w:r>
    </w:p>
    <w:p w14:paraId="62C278D9">
      <w:pPr>
        <w:autoSpaceDE w:val="0"/>
        <w:autoSpaceDN w:val="0"/>
        <w:adjustRightInd w:val="0"/>
        <w:snapToGrid w:val="0"/>
        <w:spacing w:line="360" w:lineRule="auto"/>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2.5 资金来源证明及支付担保</w:t>
      </w:r>
    </w:p>
    <w:p w14:paraId="5B061E13">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B27417D">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 xml:space="preserve"> 否</w:t>
      </w:r>
      <w:r>
        <w:rPr>
          <w:rFonts w:hint="eastAsia" w:ascii="宋体" w:hAnsi="宋体" w:eastAsia="宋体" w:cs="宋体"/>
          <w:color w:val="auto"/>
          <w:szCs w:val="21"/>
          <w:highlight w:val="none"/>
        </w:rPr>
        <w:t>。</w:t>
      </w:r>
    </w:p>
    <w:p w14:paraId="42538AC7">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xml:space="preserve"> 无</w:t>
      </w:r>
      <w:r>
        <w:rPr>
          <w:rFonts w:hint="eastAsia" w:ascii="宋体" w:hAnsi="宋体" w:eastAsia="宋体" w:cs="宋体"/>
          <w:color w:val="auto"/>
          <w:szCs w:val="21"/>
          <w:highlight w:val="none"/>
          <w:u w:val="single"/>
        </w:rPr>
        <w:sym w:font="宋体" w:char="E5E5"/>
      </w:r>
      <w:r>
        <w:rPr>
          <w:rFonts w:hint="eastAsia" w:ascii="宋体" w:hAnsi="宋体" w:eastAsia="宋体" w:cs="宋体"/>
          <w:color w:val="auto"/>
          <w:szCs w:val="21"/>
          <w:highlight w:val="none"/>
        </w:rPr>
        <w:t>。</w:t>
      </w:r>
    </w:p>
    <w:p w14:paraId="6569D70E">
      <w:pPr>
        <w:autoSpaceDE w:val="0"/>
        <w:autoSpaceDN w:val="0"/>
        <w:adjustRightInd w:val="0"/>
        <w:snapToGrid w:val="0"/>
        <w:spacing w:line="360" w:lineRule="auto"/>
        <w:jc w:val="left"/>
        <w:rPr>
          <w:rFonts w:hint="eastAsia" w:ascii="宋体" w:hAnsi="宋体" w:eastAsia="宋体" w:cs="宋体"/>
          <w:b/>
          <w:bCs/>
          <w:color w:val="auto"/>
          <w:szCs w:val="21"/>
          <w:highlight w:val="none"/>
        </w:rPr>
      </w:pPr>
      <w:bookmarkStart w:id="437" w:name="_Toc351203635"/>
      <w:r>
        <w:rPr>
          <w:rFonts w:hint="eastAsia" w:ascii="宋体" w:hAnsi="宋体" w:eastAsia="宋体" w:cs="宋体"/>
          <w:b/>
          <w:bCs/>
          <w:color w:val="auto"/>
          <w:szCs w:val="21"/>
          <w:highlight w:val="none"/>
        </w:rPr>
        <w:t>3</w:t>
      </w:r>
      <w:bookmarkStart w:id="438" w:name="_Toc296891198"/>
      <w:bookmarkStart w:id="439" w:name="_Toc297048344"/>
      <w:bookmarkStart w:id="440" w:name="_Toc296346659"/>
      <w:bookmarkStart w:id="441" w:name="_Toc296890986"/>
      <w:bookmarkStart w:id="442" w:name="_Toc292559868"/>
      <w:bookmarkStart w:id="443" w:name="_Toc296347157"/>
      <w:bookmarkStart w:id="444" w:name="_Toc297120458"/>
      <w:bookmarkStart w:id="445" w:name="_Toc296944497"/>
      <w:bookmarkStart w:id="446" w:name="_Toc292559363"/>
      <w:bookmarkStart w:id="447" w:name="_Toc296503158"/>
      <w:r>
        <w:rPr>
          <w:rFonts w:hint="eastAsia" w:ascii="宋体" w:hAnsi="宋体" w:eastAsia="宋体" w:cs="宋体"/>
          <w:b/>
          <w:bCs/>
          <w:color w:val="auto"/>
          <w:szCs w:val="21"/>
          <w:highlight w:val="none"/>
        </w:rPr>
        <w:t>. 承包人</w:t>
      </w:r>
      <w:bookmarkEnd w:id="437"/>
    </w:p>
    <w:bookmarkEnd w:id="438"/>
    <w:bookmarkEnd w:id="439"/>
    <w:bookmarkEnd w:id="440"/>
    <w:bookmarkEnd w:id="441"/>
    <w:bookmarkEnd w:id="442"/>
    <w:bookmarkEnd w:id="443"/>
    <w:bookmarkEnd w:id="444"/>
    <w:bookmarkEnd w:id="445"/>
    <w:bookmarkEnd w:id="446"/>
    <w:bookmarkEnd w:id="447"/>
    <w:p w14:paraId="30F54984">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 承包人的一般义务</w:t>
      </w:r>
    </w:p>
    <w:p w14:paraId="18B3C70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szCs w:val="21"/>
          <w:highlight w:val="none"/>
        </w:rPr>
        <w:t>承包人提</w:t>
      </w:r>
      <w:r>
        <w:rPr>
          <w:rFonts w:hint="eastAsia" w:ascii="宋体" w:hAnsi="宋体" w:eastAsia="宋体" w:cs="宋体"/>
          <w:color w:val="auto"/>
          <w:szCs w:val="21"/>
          <w:highlight w:val="none"/>
          <w:u w:val="single"/>
        </w:rPr>
        <w:t>交的竣工资料的内容：承包人向发包人提供完整竣工资料及竣工资料电子文档并满足昆明市城建档案馆或发包人档案接收要求</w:t>
      </w:r>
      <w:r>
        <w:rPr>
          <w:rFonts w:hint="eastAsia" w:ascii="宋体" w:hAnsi="宋体" w:eastAsia="宋体" w:cs="宋体"/>
          <w:color w:val="auto"/>
          <w:szCs w:val="21"/>
          <w:highlight w:val="none"/>
        </w:rPr>
        <w:t>。</w:t>
      </w:r>
    </w:p>
    <w:p w14:paraId="3B78E52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p>
    <w:p w14:paraId="1F2FD6A7">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承包人提交的竣工资料的费用承担：</w:t>
      </w:r>
      <w:r>
        <w:rPr>
          <w:rFonts w:hint="eastAsia" w:ascii="宋体" w:hAnsi="宋体" w:eastAsia="宋体" w:cs="宋体"/>
          <w:color w:val="auto"/>
          <w:szCs w:val="21"/>
          <w:highlight w:val="none"/>
          <w:u w:val="single"/>
        </w:rPr>
        <w:t>由承包人支付</w:t>
      </w:r>
      <w:r>
        <w:rPr>
          <w:rFonts w:hint="eastAsia" w:ascii="宋体" w:hAnsi="宋体" w:eastAsia="宋体" w:cs="宋体"/>
          <w:color w:val="auto"/>
          <w:szCs w:val="21"/>
          <w:highlight w:val="none"/>
        </w:rPr>
        <w:t>。</w:t>
      </w:r>
    </w:p>
    <w:p w14:paraId="09E30261">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承包人提交的竣工资料移交时间：</w:t>
      </w:r>
      <w:r>
        <w:rPr>
          <w:rFonts w:hint="eastAsia" w:ascii="宋体" w:hAnsi="宋体" w:eastAsia="宋体" w:cs="宋体"/>
          <w:color w:val="auto"/>
          <w:szCs w:val="21"/>
          <w:highlight w:val="none"/>
          <w:u w:val="single"/>
        </w:rPr>
        <w:t>工程竣工后     天内承包人向发包人提供完整的、符合归档要求的竣工图及竣工档案资料，一式   套（含电子档案），</w:t>
      </w:r>
      <w:r>
        <w:rPr>
          <w:rFonts w:hint="eastAsia" w:ascii="宋体" w:hAnsi="宋体" w:eastAsia="宋体" w:cs="宋体"/>
          <w:color w:val="auto"/>
          <w:szCs w:val="21"/>
          <w:highlight w:val="none"/>
          <w:u w:val="single"/>
          <w:lang w:val="en-US" w:eastAsia="zh-CN"/>
        </w:rPr>
        <w:t>因承包人原因造成逾期的，</w:t>
      </w:r>
      <w:r>
        <w:rPr>
          <w:rFonts w:hint="eastAsia" w:ascii="宋体" w:hAnsi="宋体" w:eastAsia="宋体" w:cs="宋体"/>
          <w:color w:val="auto"/>
          <w:szCs w:val="21"/>
          <w:highlight w:val="none"/>
          <w:u w:val="single"/>
        </w:rPr>
        <w:t>逾期一天向发包人支付壹仟元违约金，以逾期天数累计计算。给发包人造成损失的，还须赔偿损失。</w:t>
      </w:r>
    </w:p>
    <w:p w14:paraId="7C69360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满足规范要求</w:t>
      </w:r>
      <w:r>
        <w:rPr>
          <w:rFonts w:hint="eastAsia" w:ascii="宋体" w:hAnsi="宋体" w:eastAsia="宋体" w:cs="宋体"/>
          <w:color w:val="auto"/>
          <w:szCs w:val="21"/>
          <w:highlight w:val="none"/>
        </w:rPr>
        <w:t>。</w:t>
      </w:r>
    </w:p>
    <w:p w14:paraId="2EEB3A1E">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（10）承包人应履行的其他义务：</w:t>
      </w:r>
    </w:p>
    <w:p w14:paraId="163CAD53">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①应提供计划、报表的名称及完成时间：开工前提交经发包人批准的《施工组织设计（施工方案）》及安全、文明施工的保证措施，每月5日前向发包人提交上月完成的工程量报表、下月的施工进度计划安排和下月资金使用计划一式六份。</w:t>
      </w:r>
    </w:p>
    <w:p w14:paraId="67341D0E">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②承担施工安全保卫工作及非夜间施工照明的责任和要求：由承包人自负并承担费用。</w:t>
      </w:r>
    </w:p>
    <w:p w14:paraId="2257EDB3">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3.2 项目经理</w:t>
      </w:r>
    </w:p>
    <w:p w14:paraId="4AD3E51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3.2.1 </w:t>
      </w:r>
      <w:r>
        <w:rPr>
          <w:rFonts w:hint="eastAsia" w:ascii="宋体" w:hAnsi="宋体" w:eastAsia="宋体" w:cs="宋体"/>
          <w:color w:val="auto"/>
          <w:szCs w:val="21"/>
          <w:highlight w:val="none"/>
        </w:rPr>
        <w:t>项目经理：</w:t>
      </w:r>
    </w:p>
    <w:p w14:paraId="6546329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p>
    <w:p w14:paraId="2C0E681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p>
    <w:p w14:paraId="5C04B7A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p>
    <w:p w14:paraId="67A3B6E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p>
    <w:p w14:paraId="3DF96109">
      <w:pPr>
        <w:tabs>
          <w:tab w:val="left" w:pos="0"/>
        </w:tabs>
        <w:autoSpaceDE w:val="0"/>
        <w:autoSpaceDN w:val="0"/>
        <w:adjustRightInd w:val="0"/>
        <w:snapToGrid w:val="0"/>
        <w:spacing w:line="360" w:lineRule="auto"/>
        <w:ind w:right="-29" w:rightChars="-14"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p>
    <w:p w14:paraId="5EE39C7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p>
    <w:p w14:paraId="3721612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p w14:paraId="73808F6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p>
    <w:p w14:paraId="4523E80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p w14:paraId="29DFA1B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承包人对项目经理的授权范围如下：项目全过程施工管理。</w:t>
      </w:r>
    </w:p>
    <w:p w14:paraId="49C1A842">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关于项目经理每月在施工现场的时间要求：按工作进度的要求到场</w:t>
      </w:r>
      <w:r>
        <w:rPr>
          <w:rFonts w:hint="eastAsia" w:ascii="宋体" w:hAnsi="宋体" w:eastAsia="宋体" w:cs="宋体"/>
          <w:color w:val="auto"/>
          <w:szCs w:val="21"/>
          <w:highlight w:val="none"/>
          <w:u w:val="single"/>
        </w:rPr>
        <w:t>。</w:t>
      </w:r>
    </w:p>
    <w:p w14:paraId="4C9EA938">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承包人未提交劳动合同，以及没有为项目经理缴纳社会保险证明的违约责任：</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D23854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Cs w:val="21"/>
          <w:highlight w:val="none"/>
        </w:rPr>
        <w:t>。</w:t>
      </w:r>
    </w:p>
    <w:p w14:paraId="4471FB1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3.2.3 承包人擅自更换项目经理的违约责任：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Cs w:val="21"/>
          <w:highlight w:val="none"/>
          <w:u w:val="single"/>
        </w:rPr>
        <w:t>。</w:t>
      </w:r>
    </w:p>
    <w:p w14:paraId="72EA093A">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3.3 承包人人员</w:t>
      </w:r>
    </w:p>
    <w:p w14:paraId="035A251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r>
        <w:rPr>
          <w:rFonts w:hint="eastAsia" w:ascii="宋体" w:hAnsi="宋体" w:eastAsia="宋体" w:cs="宋体"/>
          <w:color w:val="auto"/>
          <w:szCs w:val="21"/>
          <w:highlight w:val="none"/>
          <w:u w:val="single"/>
          <w:lang w:val="en-US" w:eastAsia="zh-CN"/>
        </w:rPr>
        <w:t>开工前提供</w:t>
      </w:r>
      <w:r>
        <w:rPr>
          <w:rFonts w:hint="eastAsia" w:ascii="宋体" w:hAnsi="宋体" w:eastAsia="宋体" w:cs="宋体"/>
          <w:color w:val="auto"/>
          <w:szCs w:val="21"/>
          <w:highlight w:val="none"/>
        </w:rPr>
        <w:t>。</w:t>
      </w:r>
    </w:p>
    <w:p w14:paraId="0653150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r>
        <w:rPr>
          <w:rFonts w:hint="eastAsia" w:ascii="宋体" w:hAnsi="宋体" w:eastAsia="宋体" w:cs="宋体"/>
          <w:color w:val="auto"/>
          <w:szCs w:val="21"/>
          <w:highlight w:val="none"/>
          <w:u w:val="single"/>
        </w:rPr>
        <w:t>发包人或监理工程师发现承包人派驻现场的人员与拟派、投标时不符，不能满足项目实施要求，有权利要求承包人更换或增派相关人员，承包人应立即执行；拒不执行，发包人有权利对承包人按3.3.5条规定进行处罚</w:t>
      </w:r>
      <w:r>
        <w:rPr>
          <w:rFonts w:hint="eastAsia" w:ascii="宋体" w:hAnsi="宋体" w:eastAsia="宋体" w:cs="宋体"/>
          <w:color w:val="auto"/>
          <w:szCs w:val="21"/>
          <w:highlight w:val="none"/>
        </w:rPr>
        <w:t>。</w:t>
      </w:r>
    </w:p>
    <w:p w14:paraId="22F7C6B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3.3.4 承包人主要施工管理人员离开施工现场的批准要求：</w:t>
      </w:r>
      <w:r>
        <w:rPr>
          <w:rFonts w:hint="eastAsia" w:ascii="宋体" w:hAnsi="宋体" w:eastAsia="宋体" w:cs="宋体"/>
          <w:color w:val="auto"/>
          <w:szCs w:val="21"/>
          <w:highlight w:val="none"/>
          <w:u w:val="single"/>
        </w:rPr>
        <w:t>承包人的主要人员离开工地，应由总监理工程师书面批准、发包人认可后方可离开。</w:t>
      </w:r>
    </w:p>
    <w:p w14:paraId="30C9311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 承包人擅自更换主要施工管理人员的违约责任：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Cs w:val="21"/>
          <w:highlight w:val="none"/>
        </w:rPr>
        <w:t>。</w:t>
      </w:r>
    </w:p>
    <w:p w14:paraId="2E639A58">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bookmarkStart w:id="448" w:name="_Toc296503159"/>
      <w:bookmarkStart w:id="449" w:name="_Toc292559364"/>
      <w:bookmarkStart w:id="450" w:name="_Toc292559869"/>
      <w:bookmarkStart w:id="451" w:name="_Toc297123492"/>
      <w:bookmarkStart w:id="452" w:name="_Toc304295523"/>
      <w:bookmarkStart w:id="453" w:name="_Toc303539102"/>
      <w:bookmarkStart w:id="454" w:name="_Toc296347158"/>
      <w:bookmarkStart w:id="455" w:name="_Toc297048345"/>
      <w:bookmarkStart w:id="456" w:name="_Toc296346660"/>
      <w:bookmarkStart w:id="457" w:name="_Toc296944498"/>
      <w:bookmarkStart w:id="458" w:name="_Toc300934945"/>
      <w:bookmarkStart w:id="459" w:name="_Toc296891199"/>
      <w:bookmarkStart w:id="460" w:name="_Toc312677988"/>
      <w:bookmarkStart w:id="461" w:name="_Toc297120459"/>
      <w:bookmarkStart w:id="462" w:name="_Toc297216151"/>
      <w:bookmarkStart w:id="463" w:name="_Toc296890987"/>
      <w:r>
        <w:rPr>
          <w:rFonts w:hint="eastAsia" w:ascii="宋体" w:hAnsi="宋体" w:eastAsia="宋体" w:cs="宋体"/>
          <w:b/>
          <w:color w:val="auto"/>
          <w:szCs w:val="21"/>
          <w:highlight w:val="none"/>
        </w:rPr>
        <w:t>.5 分包</w:t>
      </w:r>
    </w:p>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724BB3F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464" w:name="_Toc296347159"/>
      <w:bookmarkStart w:id="465" w:name="_Toc296503160"/>
      <w:bookmarkStart w:id="466" w:name="_Toc304295524"/>
      <w:bookmarkStart w:id="467" w:name="_Toc297048346"/>
      <w:bookmarkStart w:id="468" w:name="_Toc292559365"/>
      <w:bookmarkStart w:id="469" w:name="_Toc297123493"/>
      <w:bookmarkStart w:id="470" w:name="_Toc296890988"/>
      <w:bookmarkStart w:id="471" w:name="_Toc303539103"/>
      <w:bookmarkStart w:id="472" w:name="_Toc296346661"/>
      <w:bookmarkStart w:id="473" w:name="_Toc300934946"/>
      <w:bookmarkStart w:id="474" w:name="_Toc297216152"/>
      <w:bookmarkStart w:id="475" w:name="_Toc296891200"/>
      <w:bookmarkStart w:id="476" w:name="_Toc297120460"/>
      <w:bookmarkStart w:id="477" w:name="_Toc296944499"/>
      <w:bookmarkStart w:id="478" w:name="_Toc292559870"/>
      <w:bookmarkStart w:id="479" w:name="_Toc318581158"/>
      <w:bookmarkStart w:id="480" w:name="_Toc312677989"/>
      <w:r>
        <w:rPr>
          <w:rFonts w:hint="eastAsia" w:ascii="宋体" w:hAnsi="宋体" w:eastAsia="宋体" w:cs="宋体"/>
          <w:color w:val="auto"/>
          <w:szCs w:val="21"/>
          <w:highlight w:val="none"/>
        </w:rPr>
        <w:t>.5.1 分包的一般约定</w:t>
      </w:r>
    </w:p>
    <w:p w14:paraId="6A0E082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不允许分包</w:t>
      </w:r>
      <w:r>
        <w:rPr>
          <w:rFonts w:hint="eastAsia" w:ascii="宋体" w:hAnsi="宋体" w:eastAsia="宋体" w:cs="宋体"/>
          <w:color w:val="auto"/>
          <w:szCs w:val="21"/>
          <w:highlight w:val="none"/>
        </w:rPr>
        <w:t>。</w:t>
      </w:r>
    </w:p>
    <w:p w14:paraId="7D12EB3E">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Start w:id="481" w:name="_Toc297120461"/>
      <w:bookmarkStart w:id="482" w:name="_Toc297048347"/>
      <w:bookmarkStart w:id="483" w:name="_Toc296346662"/>
      <w:bookmarkStart w:id="484" w:name="_Toc303539104"/>
      <w:bookmarkStart w:id="485" w:name="_Toc300934947"/>
      <w:bookmarkStart w:id="486" w:name="_Toc297123494"/>
      <w:bookmarkStart w:id="487" w:name="_Toc296891201"/>
      <w:bookmarkStart w:id="488" w:name="_Toc296890989"/>
      <w:bookmarkStart w:id="489" w:name="_Toc296347160"/>
      <w:bookmarkStart w:id="490" w:name="_Toc304295525"/>
      <w:bookmarkStart w:id="491" w:name="_Toc296944500"/>
      <w:bookmarkStart w:id="492" w:name="_Toc296503161"/>
      <w:bookmarkStart w:id="493" w:name="_Toc297216153"/>
    </w:p>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14:paraId="21CABCC0">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w:t>
      </w:r>
      <w:bookmarkStart w:id="494" w:name="_Toc312677990"/>
      <w:bookmarkStart w:id="495" w:name="_Toc318581159"/>
      <w:r>
        <w:rPr>
          <w:rFonts w:hint="eastAsia" w:ascii="宋体" w:hAnsi="宋体" w:eastAsia="宋体" w:cs="宋体"/>
          <w:color w:val="auto"/>
          <w:szCs w:val="21"/>
          <w:highlight w:val="none"/>
        </w:rPr>
        <w:t>.5.2 分包的确定</w:t>
      </w:r>
    </w:p>
    <w:p w14:paraId="0437328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BF1F20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18A9CB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14:paraId="22EF6DC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r>
        <w:rPr>
          <w:rFonts w:hint="eastAsia" w:ascii="宋体" w:hAnsi="宋体" w:eastAsia="宋体" w:cs="宋体"/>
          <w:color w:val="auto"/>
          <w:szCs w:val="21"/>
          <w:highlight w:val="none"/>
          <w:u w:val="single"/>
        </w:rPr>
        <w:t xml:space="preserve"> 执行通用条款“3.5.4 分包合同价款”</w:t>
      </w:r>
      <w:r>
        <w:rPr>
          <w:rFonts w:hint="eastAsia" w:ascii="宋体" w:hAnsi="宋体" w:eastAsia="宋体" w:cs="宋体"/>
          <w:color w:val="auto"/>
          <w:szCs w:val="21"/>
          <w:highlight w:val="none"/>
        </w:rPr>
        <w:t>。</w:t>
      </w:r>
    </w:p>
    <w:bookmarkEnd w:id="494"/>
    <w:bookmarkEnd w:id="495"/>
    <w:p w14:paraId="2EE1B3E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14:paraId="38D4B4B6">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承包人负责照管工程及工程相关的材料、工程设备的起始时间：</w:t>
      </w:r>
      <w:r>
        <w:rPr>
          <w:rFonts w:hint="eastAsia" w:ascii="宋体" w:hAnsi="宋体" w:eastAsia="宋体" w:cs="宋体"/>
          <w:color w:val="auto"/>
          <w:kern w:val="0"/>
          <w:szCs w:val="21"/>
          <w:highlight w:val="none"/>
          <w:u w:val="single"/>
        </w:rPr>
        <w:t>工程开工至工程竣工验收，本项目为改造工程，承包人要对原有的成品及半成品进行保护，如损坏照价赔偿或者按原样恢复。</w:t>
      </w:r>
    </w:p>
    <w:p w14:paraId="792C243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4DDEDD2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缴纳金额：合同款项的5%；</w:t>
      </w:r>
    </w:p>
    <w:p w14:paraId="235FE3C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缴纳时间：</w:t>
      </w:r>
      <w:r>
        <w:rPr>
          <w:rFonts w:hint="eastAsia" w:ascii="宋体" w:hAnsi="宋体" w:eastAsia="宋体" w:cs="宋体"/>
          <w:color w:val="auto"/>
          <w:szCs w:val="21"/>
          <w:highlight w:val="none"/>
          <w:lang w:val="en-US" w:eastAsia="zh-CN"/>
        </w:rPr>
        <w:t>合同签订前5日</w:t>
      </w:r>
      <w:r>
        <w:rPr>
          <w:rFonts w:hint="eastAsia" w:ascii="宋体" w:hAnsi="宋体" w:eastAsia="宋体" w:cs="宋体"/>
          <w:color w:val="auto"/>
          <w:szCs w:val="21"/>
          <w:highlight w:val="none"/>
        </w:rPr>
        <w:t>；</w:t>
      </w:r>
    </w:p>
    <w:p w14:paraId="69FADB7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缴纳方式：</w:t>
      </w:r>
      <w:r>
        <w:rPr>
          <w:rFonts w:hint="eastAsia" w:ascii="宋体" w:hAnsi="宋体" w:eastAsia="宋体" w:cs="宋体"/>
          <w:color w:val="auto"/>
          <w:highlight w:val="none"/>
        </w:rPr>
        <w:t>公对公转账或银行保函等非现金形式</w:t>
      </w:r>
      <w:r>
        <w:rPr>
          <w:rFonts w:hint="eastAsia" w:ascii="宋体" w:hAnsi="宋体" w:eastAsia="宋体" w:cs="宋体"/>
          <w:color w:val="auto"/>
          <w:szCs w:val="21"/>
          <w:highlight w:val="none"/>
        </w:rPr>
        <w:t>；</w:t>
      </w:r>
    </w:p>
    <w:p w14:paraId="314D8B7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退还时间：</w:t>
      </w:r>
      <w:r>
        <w:rPr>
          <w:rFonts w:hint="eastAsia" w:ascii="宋体" w:hAnsi="宋体" w:eastAsia="宋体" w:cs="宋体"/>
          <w:color w:val="auto"/>
          <w:highlight w:val="none"/>
        </w:rPr>
        <w:t>工程竣工验收合格后一次性无息退还</w:t>
      </w:r>
      <w:r>
        <w:rPr>
          <w:rFonts w:hint="eastAsia" w:ascii="宋体" w:hAnsi="宋体" w:eastAsia="宋体" w:cs="宋体"/>
          <w:color w:val="auto"/>
          <w:szCs w:val="21"/>
          <w:highlight w:val="none"/>
        </w:rPr>
        <w:t>。</w:t>
      </w:r>
    </w:p>
    <w:p w14:paraId="67B5D11D">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496" w:name="_Toc351203636"/>
      <w:r>
        <w:rPr>
          <w:rFonts w:hint="eastAsia" w:ascii="宋体" w:hAnsi="宋体" w:eastAsia="宋体" w:cs="宋体"/>
          <w:b/>
          <w:bCs/>
          <w:color w:val="auto"/>
          <w:szCs w:val="21"/>
          <w:highlight w:val="none"/>
        </w:rPr>
        <w:t>4</w:t>
      </w:r>
      <w:bookmarkStart w:id="497" w:name="_Toc296944501"/>
      <w:bookmarkStart w:id="498" w:name="_Toc296503162"/>
      <w:bookmarkStart w:id="499" w:name="_Toc296346663"/>
      <w:bookmarkStart w:id="500" w:name="_Toc292559366"/>
      <w:bookmarkStart w:id="501" w:name="_Toc292559871"/>
      <w:bookmarkStart w:id="502" w:name="_Toc297048348"/>
      <w:bookmarkStart w:id="503" w:name="_Toc267251413"/>
      <w:bookmarkStart w:id="504" w:name="_Toc296347161"/>
      <w:bookmarkStart w:id="505" w:name="_Toc296890990"/>
      <w:bookmarkStart w:id="506" w:name="_Toc296891202"/>
      <w:bookmarkStart w:id="507" w:name="_Toc297120462"/>
      <w:r>
        <w:rPr>
          <w:rFonts w:hint="eastAsia" w:ascii="宋体" w:hAnsi="宋体" w:eastAsia="宋体" w:cs="宋体"/>
          <w:b/>
          <w:bCs/>
          <w:color w:val="auto"/>
          <w:szCs w:val="21"/>
          <w:highlight w:val="none"/>
        </w:rPr>
        <w:t>. 监</w:t>
      </w:r>
      <w:bookmarkEnd w:id="497"/>
      <w:bookmarkEnd w:id="498"/>
      <w:bookmarkEnd w:id="499"/>
      <w:bookmarkEnd w:id="500"/>
      <w:bookmarkEnd w:id="501"/>
      <w:bookmarkEnd w:id="502"/>
      <w:bookmarkEnd w:id="503"/>
      <w:bookmarkEnd w:id="504"/>
      <w:bookmarkEnd w:id="505"/>
      <w:bookmarkEnd w:id="506"/>
      <w:bookmarkEnd w:id="507"/>
      <w:r>
        <w:rPr>
          <w:rFonts w:hint="eastAsia" w:ascii="宋体" w:hAnsi="宋体" w:eastAsia="宋体" w:cs="宋体"/>
          <w:b/>
          <w:bCs/>
          <w:color w:val="auto"/>
          <w:szCs w:val="21"/>
          <w:highlight w:val="none"/>
        </w:rPr>
        <w:t>理人</w:t>
      </w:r>
      <w:bookmarkEnd w:id="496"/>
    </w:p>
    <w:p w14:paraId="29D8EBA5">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4.1 监理人的一般规定</w:t>
      </w:r>
    </w:p>
    <w:p w14:paraId="1D02BE3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本施工项目施工阶段、保修阶段、材料、设备以及设计变更的控制等环节的监理服务</w:t>
      </w:r>
      <w:r>
        <w:rPr>
          <w:rFonts w:hint="eastAsia" w:ascii="宋体" w:hAnsi="宋体" w:eastAsia="宋体" w:cs="宋体"/>
          <w:color w:val="auto"/>
          <w:szCs w:val="21"/>
          <w:highlight w:val="none"/>
        </w:rPr>
        <w:t>。</w:t>
      </w:r>
    </w:p>
    <w:p w14:paraId="4303697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关于监理人的监理权限：</w:t>
      </w:r>
    </w:p>
    <w:p w14:paraId="3A972E8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（1）对工程建设有关事项包括工程规模、设计标准、规划设计和使用功能要求，向委托人的建议权。</w:t>
      </w:r>
    </w:p>
    <w:p w14:paraId="012A3A0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工程设计中的技术问题，按照安全和优化的原则，向设计人提出建议；如果拟提出的建议可能会提高工程造价，或延长工期，应当事先征得委托人的同意。当发现工程设计不符合国家颁布的建设工程质量标准或设计合同约定的质量标准时，监理人应当书面报告委托人并要求设计人更正。</w:t>
      </w:r>
    </w:p>
    <w:p w14:paraId="5665B95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（3）审批工程施工组织设计和技术方案，按照保质量、保工期和降低成本的原则，向承包人提出建议，并向委托人提出书面报告。</w:t>
      </w:r>
    </w:p>
    <w:p w14:paraId="1667F31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（4）主持工程建设有关协作单位的组织协调，重要协调事项应当事先向委托人报告。</w:t>
      </w:r>
    </w:p>
    <w:p w14:paraId="7BA2347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（5）征得委托人同意，监理人有权发布开工令、停工令、复工令，但应当事先向委托人报告。如在紧急情况下未能事先报告时，则应在 24 小时内向委托人作出书面报告。</w:t>
      </w:r>
    </w:p>
    <w:p w14:paraId="58C3F9E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工程上使用的材料和施工质量的检验权。对于不符合设计要求和合同约定及国家质量标准的材料、构配件、设备，有权通知承包人停止使用；对于不符合规范和质量标准的工序、分部分项工程和不安全施工作业，有权通知承包人整改、返工、停工。承包人得到监理机构复工令后才能复工。</w:t>
      </w:r>
    </w:p>
    <w:p w14:paraId="575CB83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（7）工程施工进度的检查、监督权，以及工程实际竣工日期提前或超过工程施工合同规定的竣工期限的签认权。</w:t>
      </w:r>
    </w:p>
    <w:p w14:paraId="6DF6E25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（8）在工程施工合同约定的工程价格范围内，工程款支付的审核和签认权，以及工程结算的复核确认权与否决权。未经总监理工程师签字确认，委托人不支付工程款。</w:t>
      </w:r>
    </w:p>
    <w:p w14:paraId="045F04DD">
      <w:pPr>
        <w:pStyle w:val="41"/>
        <w:widowControl w:val="0"/>
        <w:tabs>
          <w:tab w:val="left" w:pos="750"/>
        </w:tabs>
        <w:spacing w:before="120" w:beforeLines="50" w:beforeAutospacing="0" w:after="0" w:afterAutospacing="0" w:line="30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0"/>
          <w:highlight w:val="none"/>
        </w:rPr>
        <w:t>（9）其它：</w:t>
      </w:r>
      <w:r>
        <w:rPr>
          <w:rFonts w:hint="eastAsia" w:ascii="宋体" w:hAnsi="宋体" w:eastAsia="宋体" w:cs="宋体"/>
          <w:color w:val="auto"/>
          <w:kern w:val="2"/>
          <w:sz w:val="21"/>
          <w:szCs w:val="21"/>
          <w:highlight w:val="none"/>
        </w:rPr>
        <w:t>。</w:t>
      </w:r>
    </w:p>
    <w:p w14:paraId="757FCA4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p>
    <w:p w14:paraId="1399C5A2">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4.2 监理人员</w:t>
      </w:r>
    </w:p>
    <w:p w14:paraId="476337F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21D02AF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p>
    <w:p w14:paraId="34C8A34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p>
    <w:p w14:paraId="75C897A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p>
    <w:p w14:paraId="5FB27BE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p w14:paraId="1FF7C64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p>
    <w:p w14:paraId="7ED5426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p w14:paraId="04FCD84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p>
    <w:p w14:paraId="34AE54E6">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4.4 商定或确定</w:t>
      </w:r>
    </w:p>
    <w:p w14:paraId="6532EF83">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bookmarkStart w:id="508" w:name="_Toc267251418"/>
      <w:r>
        <w:rPr>
          <w:rFonts w:hint="eastAsia" w:ascii="宋体" w:hAnsi="宋体" w:eastAsia="宋体" w:cs="宋体"/>
          <w:color w:val="auto"/>
          <w:szCs w:val="21"/>
          <w:highlight w:val="none"/>
        </w:rPr>
        <w:t>在发包人和承包人不能通过协商达成一致意见时，发包人授权监理人对以下事项进行确定：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76453103">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509" w:name="_Toc351203637"/>
      <w:r>
        <w:rPr>
          <w:rFonts w:hint="eastAsia" w:ascii="宋体" w:hAnsi="宋体" w:eastAsia="宋体" w:cs="宋体"/>
          <w:b/>
          <w:bCs/>
          <w:color w:val="auto"/>
          <w:szCs w:val="21"/>
          <w:highlight w:val="none"/>
        </w:rPr>
        <w:t>5</w:t>
      </w:r>
      <w:bookmarkEnd w:id="508"/>
      <w:bookmarkStart w:id="510" w:name="_Toc296944502"/>
      <w:bookmarkStart w:id="511" w:name="_Toc296347162"/>
      <w:bookmarkStart w:id="512" w:name="_Toc296346664"/>
      <w:bookmarkStart w:id="513" w:name="_Toc292559872"/>
      <w:bookmarkStart w:id="514" w:name="_Toc296890991"/>
      <w:bookmarkStart w:id="515" w:name="_Toc297120463"/>
      <w:bookmarkStart w:id="516" w:name="_Toc296891203"/>
      <w:bookmarkStart w:id="517" w:name="_Toc292559367"/>
      <w:bookmarkStart w:id="518" w:name="_Toc297048349"/>
      <w:bookmarkStart w:id="519" w:name="_Toc296503163"/>
      <w:r>
        <w:rPr>
          <w:rFonts w:hint="eastAsia" w:ascii="宋体" w:hAnsi="宋体" w:eastAsia="宋体" w:cs="宋体"/>
          <w:b/>
          <w:bCs/>
          <w:color w:val="auto"/>
          <w:szCs w:val="21"/>
          <w:highlight w:val="none"/>
        </w:rPr>
        <w:t>. 工程质量</w:t>
      </w:r>
      <w:bookmarkEnd w:id="509"/>
    </w:p>
    <w:p w14:paraId="1FEF1150">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5.1 质量要求</w:t>
      </w:r>
    </w:p>
    <w:p w14:paraId="735DC3A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5.1.1依照现行的国家、省、市、区相关法律法规要求，达到国家相关验收标准，满足发包人要求并一次性验收合格。</w:t>
      </w:r>
    </w:p>
    <w:p w14:paraId="327D2B6F">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5</w:t>
      </w:r>
      <w:bookmarkStart w:id="520" w:name="_Toc312677997"/>
      <w:bookmarkStart w:id="521" w:name="_Toc300934949"/>
      <w:bookmarkStart w:id="522" w:name="_Toc304295527"/>
      <w:bookmarkStart w:id="523" w:name="_Toc297123496"/>
      <w:bookmarkStart w:id="524" w:name="_Toc303539106"/>
      <w:bookmarkStart w:id="525" w:name="_Toc297216155"/>
      <w:bookmarkStart w:id="526" w:name="_Toc318581164"/>
      <w:r>
        <w:rPr>
          <w:rFonts w:hint="eastAsia" w:ascii="宋体" w:hAnsi="宋体" w:eastAsia="宋体" w:cs="宋体"/>
          <w:color w:val="auto"/>
          <w:szCs w:val="21"/>
          <w:highlight w:val="none"/>
        </w:rPr>
        <w:t>.1.2特殊质量标准和要求：</w:t>
      </w:r>
      <w:r>
        <w:rPr>
          <w:rFonts w:hint="eastAsia" w:ascii="宋体" w:hAnsi="宋体" w:eastAsia="宋体" w:cs="宋体"/>
          <w:color w:val="auto"/>
          <w:kern w:val="0"/>
          <w:szCs w:val="21"/>
          <w:highlight w:val="none"/>
          <w:u w:val="single"/>
        </w:rPr>
        <w:t>无。</w:t>
      </w:r>
    </w:p>
    <w:p w14:paraId="25B4D02E">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5.3 隐蔽工程检查</w:t>
      </w:r>
    </w:p>
    <w:p w14:paraId="275FB59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 承包人提前通知监理人隐蔽工程检查的期限的约定：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237C39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r>
        <w:rPr>
          <w:rFonts w:hint="eastAsia" w:ascii="宋体" w:hAnsi="宋体" w:eastAsia="宋体" w:cs="宋体"/>
          <w:color w:val="auto"/>
          <w:szCs w:val="21"/>
          <w:highlight w:val="none"/>
          <w:u w:val="single"/>
        </w:rPr>
        <w:t>24</w:t>
      </w:r>
      <w:r>
        <w:rPr>
          <w:rFonts w:hint="eastAsia" w:ascii="宋体" w:hAnsi="宋体" w:eastAsia="宋体" w:cs="宋体"/>
          <w:color w:val="auto"/>
          <w:szCs w:val="21"/>
          <w:highlight w:val="none"/>
        </w:rPr>
        <w:t>小时提交书面延期要求。</w:t>
      </w:r>
    </w:p>
    <w:p w14:paraId="52715EE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48</w:t>
      </w:r>
      <w:r>
        <w:rPr>
          <w:rFonts w:hint="eastAsia" w:ascii="宋体" w:hAnsi="宋体" w:eastAsia="宋体" w:cs="宋体"/>
          <w:color w:val="auto"/>
          <w:szCs w:val="21"/>
          <w:highlight w:val="none"/>
        </w:rPr>
        <w:t>小时。</w:t>
      </w:r>
    </w:p>
    <w:p w14:paraId="68413A6A">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527" w:name="_Toc351203638"/>
      <w:r>
        <w:rPr>
          <w:rFonts w:hint="eastAsia" w:ascii="宋体" w:hAnsi="宋体" w:eastAsia="宋体" w:cs="宋体"/>
          <w:b/>
          <w:bCs/>
          <w:color w:val="auto"/>
          <w:szCs w:val="21"/>
          <w:highlight w:val="none"/>
        </w:rPr>
        <w:t>6. 安全文明施工与环境保护</w:t>
      </w:r>
      <w:bookmarkEnd w:id="527"/>
    </w:p>
    <w:p w14:paraId="132AE478">
      <w:pPr>
        <w:adjustRightInd w:val="0"/>
        <w:snapToGrid w:val="0"/>
        <w:spacing w:after="120" w:line="460" w:lineRule="exact"/>
        <w:ind w:firstLine="420" w:firstLineChars="200"/>
        <w:outlineLvl w:val="2"/>
        <w:rPr>
          <w:rFonts w:hint="eastAsia" w:ascii="宋体" w:hAnsi="宋体" w:eastAsia="宋体" w:cs="宋体"/>
          <w:color w:val="auto"/>
          <w:sz w:val="21"/>
          <w:szCs w:val="21"/>
          <w:highlight w:val="none"/>
        </w:rPr>
      </w:pPr>
      <w:bookmarkStart w:id="528" w:name="_Toc953269554"/>
      <w:r>
        <w:rPr>
          <w:rFonts w:hint="eastAsia" w:ascii="宋体" w:hAnsi="宋体" w:eastAsia="宋体" w:cs="宋体"/>
          <w:color w:val="auto"/>
          <w:sz w:val="21"/>
          <w:szCs w:val="21"/>
          <w:highlight w:val="none"/>
        </w:rPr>
        <w:t>6.1安全文明施工</w:t>
      </w:r>
      <w:bookmarkEnd w:id="528"/>
    </w:p>
    <w:p w14:paraId="7692E7FF">
      <w:pPr>
        <w:adjustRightInd w:val="0"/>
        <w:snapToGrid w:val="0"/>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严格按安全管理条件及安全操作规程进行施工，如因承包人原因发生安全事故，所造成的一切损失由承包人负责，并执行“通用条款”第20、21、22条及中华人民共和国国务院第302号文《国务院关于特大安全事故责任追究的规定》以及本项目的相关管理规定和办法，若因发包人原因发生安全事故，由发包人承担所有责任和损失 。</w:t>
      </w:r>
    </w:p>
    <w:p w14:paraId="3485486C">
      <w:pPr>
        <w:adjustRightInd w:val="0"/>
        <w:snapToGrid w:val="0"/>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必须严格按照国家安全生产、安全施工的相关规定组织施工，如发现无安全防护等违章作业，承包人完全承担由此引发的安全事故责任。本项目专职安全管理人员必须具有相应的执业资格证，并确实做到持证上岗，以备随时查验。</w:t>
      </w:r>
    </w:p>
    <w:p w14:paraId="7A765FBB">
      <w:pPr>
        <w:adjustRightInd w:val="0"/>
        <w:snapToGrid w:val="0"/>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  施工现场的治安保卫由承包人负责 。</w:t>
      </w:r>
    </w:p>
    <w:p w14:paraId="273DCC16">
      <w:pPr>
        <w:adjustRightInd w:val="0"/>
        <w:snapToGrid w:val="0"/>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 承包人编制 。</w:t>
      </w:r>
    </w:p>
    <w:p w14:paraId="437C919A">
      <w:pPr>
        <w:adjustRightInd w:val="0"/>
        <w:snapToGrid w:val="0"/>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0383834C">
      <w:pPr>
        <w:adjustRightInd w:val="0"/>
        <w:snapToGrid w:val="0"/>
        <w:spacing w:line="46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合同当事人对文明施工的要求：现场安全施工、文明施工、工期管理等除满足国家及当地相关部门要求外，应服从发包人项目建设管理部门及监理工程师的统一管理 。</w:t>
      </w:r>
    </w:p>
    <w:p w14:paraId="6329E7F2">
      <w:pPr>
        <w:autoSpaceDE w:val="0"/>
        <w:autoSpaceDN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关于安全文明施工费支付比例和支付期限的约定：按项目所在地建设行政主管部门的相关规定执行。</w:t>
      </w:r>
    </w:p>
    <w:bookmarkEnd w:id="520"/>
    <w:bookmarkEnd w:id="521"/>
    <w:bookmarkEnd w:id="522"/>
    <w:bookmarkEnd w:id="523"/>
    <w:bookmarkEnd w:id="524"/>
    <w:bookmarkEnd w:id="525"/>
    <w:bookmarkEnd w:id="526"/>
    <w:p w14:paraId="5FCB52EE">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529" w:name="_Toc351203639"/>
      <w:r>
        <w:rPr>
          <w:rFonts w:hint="eastAsia" w:ascii="宋体" w:hAnsi="宋体" w:eastAsia="宋体" w:cs="宋体"/>
          <w:b/>
          <w:bCs/>
          <w:color w:val="auto"/>
          <w:szCs w:val="21"/>
          <w:highlight w:val="none"/>
        </w:rPr>
        <w:t>7. 工期和进度</w:t>
      </w:r>
      <w:bookmarkEnd w:id="529"/>
    </w:p>
    <w:p w14:paraId="0E6C2357">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7.1 施工组织设计</w:t>
      </w:r>
    </w:p>
    <w:p w14:paraId="619A72D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7.1.1 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szCs w:val="21"/>
          <w:highlight w:val="none"/>
          <w:u w:val="single"/>
        </w:rPr>
        <w:t>双方协商。</w:t>
      </w:r>
    </w:p>
    <w:p w14:paraId="48063634">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 xml:space="preserve">7.1.2 </w:t>
      </w:r>
      <w:r>
        <w:rPr>
          <w:rFonts w:hint="eastAsia" w:ascii="宋体" w:hAnsi="宋体" w:eastAsia="宋体" w:cs="宋体"/>
          <w:color w:val="auto"/>
          <w:kern w:val="0"/>
          <w:szCs w:val="21"/>
          <w:highlight w:val="none"/>
        </w:rPr>
        <w:t>施工组织设计的提交和修改</w:t>
      </w:r>
    </w:p>
    <w:p w14:paraId="596085B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szCs w:val="21"/>
          <w:highlight w:val="none"/>
          <w:u w:val="single"/>
        </w:rPr>
        <w:t>签订合同后  日内，承包人向发包人提供可行的施工组织设计，并提供施工进度计划及资金使用计划，经发包人批准后实施</w:t>
      </w:r>
      <w:r>
        <w:rPr>
          <w:rFonts w:hint="eastAsia" w:ascii="宋体" w:hAnsi="宋体" w:eastAsia="宋体" w:cs="宋体"/>
          <w:color w:val="auto"/>
          <w:szCs w:val="21"/>
          <w:highlight w:val="none"/>
        </w:rPr>
        <w:t>。</w:t>
      </w:r>
    </w:p>
    <w:p w14:paraId="6460B33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发包人在收到详细的施工组织设计后确认或提出修改意见的期限：</w:t>
      </w:r>
      <w:r>
        <w:rPr>
          <w:rFonts w:hint="eastAsia" w:ascii="宋体" w:hAnsi="宋体" w:eastAsia="宋体" w:cs="宋体"/>
          <w:color w:val="auto"/>
          <w:szCs w:val="21"/>
          <w:highlight w:val="none"/>
          <w:u w:val="single"/>
        </w:rPr>
        <w:t>收到上述资料后7天内确认或提出修改意见，逾期不确认或提出修改意见的，视为认可。</w:t>
      </w:r>
    </w:p>
    <w:p w14:paraId="71CDF6D3">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w:t>
      </w:r>
      <w:bookmarkStart w:id="530" w:name="_Toc300934966"/>
      <w:bookmarkStart w:id="531" w:name="_Toc297123514"/>
      <w:bookmarkStart w:id="532" w:name="_Toc304295541"/>
      <w:bookmarkStart w:id="533" w:name="_Toc303539123"/>
      <w:bookmarkStart w:id="534" w:name="_Toc297216173"/>
      <w:bookmarkStart w:id="535" w:name="_Toc312678005"/>
      <w:bookmarkStart w:id="536" w:name="_Toc312677479"/>
      <w:r>
        <w:rPr>
          <w:rFonts w:hint="eastAsia" w:ascii="宋体" w:hAnsi="宋体" w:eastAsia="宋体" w:cs="宋体"/>
          <w:b/>
          <w:color w:val="auto"/>
          <w:szCs w:val="21"/>
          <w:highlight w:val="none"/>
        </w:rPr>
        <w:t>.2 施工进度计划</w:t>
      </w:r>
    </w:p>
    <w:p w14:paraId="4E76371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7.2.1 施工进度计划的编制</w:t>
      </w:r>
    </w:p>
    <w:p w14:paraId="166252C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施工进度计划应包括但不限于以下内容：</w:t>
      </w:r>
    </w:p>
    <w:p w14:paraId="2EA6A11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（1）按合同工期要求。列出完成各单位工程、各分项（分部）工程所需的时间，最早开始和最迟结束时间，完成工程内容的关键线路；</w:t>
      </w:r>
    </w:p>
    <w:p w14:paraId="4DF0ACE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（2）列出各单位工程或分部工程的施工方案、施工方法、计划完成的实物工程量、形象进度及各施工阶段所需的机具、设备、材料用量和劳动力安排；</w:t>
      </w:r>
    </w:p>
    <w:p w14:paraId="56B9F98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（3）工程重点、难点的施工安排、技术措施、安全措施等；</w:t>
      </w:r>
    </w:p>
    <w:p w14:paraId="3468B2D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（4）列出分项（分部）工程、单位工程的试验检验和验收计划，并说明工程试验和验收应完成的各项准备工作。</w:t>
      </w:r>
    </w:p>
    <w:p w14:paraId="1B1A738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14:paraId="2622FD1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发包人在收到修订的施工进度计划后确认或提出修改意见的期限：</w:t>
      </w:r>
      <w:r>
        <w:rPr>
          <w:rFonts w:hint="eastAsia" w:ascii="宋体" w:hAnsi="宋体" w:eastAsia="宋体" w:cs="宋体"/>
          <w:color w:val="auto"/>
          <w:szCs w:val="21"/>
          <w:highlight w:val="none"/>
          <w:u w:val="single"/>
        </w:rPr>
        <w:t>收到资料后5天内确认或提出修改意见，逾期不确认或提出修改意见的，视为认可。</w:t>
      </w:r>
    </w:p>
    <w:p w14:paraId="195FE3C6">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7.3 开工</w:t>
      </w:r>
    </w:p>
    <w:p w14:paraId="5A01C19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14:paraId="1070864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关于承包人提交</w:t>
      </w:r>
      <w:r>
        <w:rPr>
          <w:rFonts w:hint="eastAsia" w:ascii="宋体" w:hAnsi="宋体" w:eastAsia="宋体" w:cs="宋体"/>
          <w:color w:val="auto"/>
          <w:kern w:val="0"/>
          <w:szCs w:val="21"/>
          <w:highlight w:val="none"/>
        </w:rPr>
        <w:t>工程开工报审表的期限：</w:t>
      </w:r>
      <w:r>
        <w:rPr>
          <w:rFonts w:hint="eastAsia" w:ascii="宋体" w:hAnsi="宋体" w:eastAsia="宋体" w:cs="宋体"/>
          <w:color w:val="auto"/>
          <w:szCs w:val="21"/>
          <w:highlight w:val="none"/>
          <w:u w:val="single"/>
        </w:rPr>
        <w:t>双方协商</w:t>
      </w:r>
      <w:r>
        <w:rPr>
          <w:rFonts w:hint="eastAsia" w:ascii="宋体" w:hAnsi="宋体" w:eastAsia="宋体" w:cs="宋体"/>
          <w:color w:val="auto"/>
          <w:szCs w:val="21"/>
          <w:highlight w:val="none"/>
        </w:rPr>
        <w:t>。</w:t>
      </w:r>
    </w:p>
    <w:p w14:paraId="0EF27485">
      <w:pPr>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关于发包人应完成的其他开工准备工作及期限：</w:t>
      </w:r>
      <w:r>
        <w:rPr>
          <w:rFonts w:hint="eastAsia" w:ascii="宋体" w:hAnsi="宋体" w:eastAsia="宋体" w:cs="宋体"/>
          <w:color w:val="auto"/>
          <w:szCs w:val="21"/>
          <w:highlight w:val="none"/>
          <w:u w:val="single"/>
        </w:rPr>
        <w:t>双方协商</w:t>
      </w:r>
      <w:r>
        <w:rPr>
          <w:rFonts w:hint="eastAsia" w:ascii="宋体" w:hAnsi="宋体" w:eastAsia="宋体" w:cs="宋体"/>
          <w:color w:val="auto"/>
          <w:szCs w:val="21"/>
          <w:highlight w:val="none"/>
        </w:rPr>
        <w:t>。</w:t>
      </w:r>
    </w:p>
    <w:p w14:paraId="71A4083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双方协商</w:t>
      </w:r>
      <w:r>
        <w:rPr>
          <w:rFonts w:hint="eastAsia" w:ascii="宋体" w:hAnsi="宋体" w:eastAsia="宋体" w:cs="宋体"/>
          <w:color w:val="auto"/>
          <w:szCs w:val="21"/>
          <w:highlight w:val="none"/>
        </w:rPr>
        <w:t>。</w:t>
      </w:r>
    </w:p>
    <w:bookmarkEnd w:id="530"/>
    <w:bookmarkEnd w:id="531"/>
    <w:bookmarkEnd w:id="532"/>
    <w:bookmarkEnd w:id="533"/>
    <w:bookmarkEnd w:id="534"/>
    <w:bookmarkEnd w:id="535"/>
    <w:bookmarkEnd w:id="536"/>
    <w:p w14:paraId="6ED2D52E">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7.4 测量放线</w:t>
      </w:r>
    </w:p>
    <w:p w14:paraId="06E1130E">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 发包人向承包人提供测量基准点、基准线和水准点及其书面资料的期限：</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3FF24A38">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w:t>
      </w:r>
      <w:bookmarkStart w:id="537" w:name="_Toc312677484"/>
      <w:bookmarkStart w:id="538" w:name="_Toc312678010"/>
      <w:bookmarkStart w:id="539" w:name="_Toc297216175"/>
      <w:bookmarkStart w:id="540" w:name="_Toc304295546"/>
      <w:bookmarkStart w:id="541" w:name="_Toc297123516"/>
      <w:bookmarkStart w:id="542" w:name="_Toc300934968"/>
      <w:bookmarkStart w:id="543" w:name="_Toc303539125"/>
      <w:r>
        <w:rPr>
          <w:rFonts w:hint="eastAsia" w:ascii="宋体" w:hAnsi="宋体" w:eastAsia="宋体" w:cs="宋体"/>
          <w:b/>
          <w:color w:val="auto"/>
          <w:szCs w:val="21"/>
          <w:highlight w:val="none"/>
        </w:rPr>
        <w:t>.5 工期延误</w:t>
      </w:r>
    </w:p>
    <w:p w14:paraId="1609E060">
      <w:pPr>
        <w:widowControl/>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7.5.1在履行合同过程中，除合同其他条款约定由于非承包人原因造成工期延误而相应顺延工期外出现以下情况导致属于可证明的关键线路工作的工期延误时，承包人亦有权根据对合同履行之影响提出工期顺延申请，经发包人确认后顺延工期，竣工日期应当随此延长的合同工期做相应的调整，但承包人应当通过调整工作安排尽量减少损失。</w:t>
      </w:r>
    </w:p>
    <w:p w14:paraId="3FF85793">
      <w:pPr>
        <w:widowControl/>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7.5.2工期延误的违约处理</w:t>
      </w:r>
    </w:p>
    <w:bookmarkEnd w:id="537"/>
    <w:bookmarkEnd w:id="538"/>
    <w:bookmarkEnd w:id="539"/>
    <w:bookmarkEnd w:id="540"/>
    <w:bookmarkEnd w:id="541"/>
    <w:bookmarkEnd w:id="542"/>
    <w:bookmarkEnd w:id="543"/>
    <w:p w14:paraId="1D573DAB">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因承包人原因造成工期延误，逾期竣工违约金的计算方法为：因承包人原因不能按照协议书约定的完工日期或工程师同意顺延的工期完工的，承包人承担每天人民币叁仟元处罚，累计计算且不超过合同金额的5%。并且发包人有权要求承包人赔偿由此造成的全部经济损失</w:t>
      </w:r>
      <w:r>
        <w:rPr>
          <w:rFonts w:hint="eastAsia" w:ascii="宋体" w:hAnsi="宋体" w:eastAsia="宋体" w:cs="宋体"/>
          <w:bCs/>
          <w:color w:val="auto"/>
          <w:kern w:val="0"/>
          <w:szCs w:val="21"/>
          <w:highlight w:val="none"/>
          <w:lang w:eastAsia="zh-CN"/>
        </w:rPr>
        <w:t>，</w:t>
      </w:r>
      <w:r>
        <w:rPr>
          <w:rFonts w:hint="eastAsia" w:ascii="宋体" w:hAnsi="宋体" w:eastAsia="宋体" w:cs="宋体"/>
          <w:bCs/>
          <w:i w:val="0"/>
          <w:color w:val="auto"/>
          <w:kern w:val="0"/>
          <w:szCs w:val="21"/>
          <w:highlight w:val="none"/>
        </w:rPr>
        <w:t>工期延误超过30天</w:t>
      </w:r>
      <w:r>
        <w:rPr>
          <w:rFonts w:hint="eastAsia" w:ascii="宋体" w:hAnsi="宋体" w:eastAsia="宋体" w:cs="宋体"/>
          <w:bCs/>
          <w:color w:val="auto"/>
          <w:kern w:val="0"/>
          <w:szCs w:val="21"/>
          <w:highlight w:val="none"/>
        </w:rPr>
        <w:t>，发包方有权解除合同，除按日计算的迟延违约金外，并承担由此给发包方造成的全部损失；</w:t>
      </w:r>
    </w:p>
    <w:p w14:paraId="752EAED3">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若遇不可抗力的因素，双方均不承担工期延误责任，工期顺延，工期顺延天数由发包方和承包方签证确认，承包方必须依法在不可抗力发生后7个日历天内，提供有效的不可抗力证明并经发包方派驻的工程师签字认可；</w:t>
      </w:r>
    </w:p>
    <w:p w14:paraId="727AA5AD">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因承包人原因造成工期延误，逾期竣工违约金的上限：双方另行协商 。</w:t>
      </w:r>
    </w:p>
    <w:p w14:paraId="1066943D">
      <w:pPr>
        <w:widowControl/>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如果承包人未能在合同工期内或按照合同约定延长了的时间内完成本合同工程内容，承包人应当按照合同专用条款约定向发包人支付误期违约金。在合同履行的过程中，如果可能发生无法按合同的约定正常完工、竣工之情形，承包人应及时以书面形式将拖延的事实，可能拖延的时间和原因、解决措施通知发包人，以防止发包人所受损失的扩大。</w:t>
      </w:r>
    </w:p>
    <w:p w14:paraId="3D5D63FA">
      <w:pPr>
        <w:widowControl/>
        <w:spacing w:line="360" w:lineRule="auto"/>
        <w:ind w:firstLine="315" w:firstLineChars="150"/>
        <w:rPr>
          <w:rFonts w:hint="eastAsia" w:ascii="宋体" w:hAnsi="宋体" w:eastAsia="宋体" w:cs="宋体"/>
          <w:b/>
          <w:color w:val="auto"/>
          <w:szCs w:val="21"/>
          <w:highlight w:val="none"/>
        </w:rPr>
      </w:pPr>
      <w:r>
        <w:rPr>
          <w:rFonts w:hint="eastAsia" w:ascii="宋体" w:hAnsi="宋体" w:eastAsia="宋体" w:cs="宋体"/>
          <w:bCs/>
          <w:color w:val="auto"/>
          <w:kern w:val="0"/>
          <w:szCs w:val="21"/>
          <w:highlight w:val="none"/>
        </w:rPr>
        <w:t>（2）误期违约金将从按照合同应当支付或将会支付给承包人的款项中扣除，或要求承包人偿还。</w:t>
      </w:r>
      <w:r>
        <w:rPr>
          <w:rFonts w:hint="eastAsia" w:ascii="宋体" w:hAnsi="宋体" w:eastAsia="宋体" w:cs="宋体"/>
          <w:bCs/>
          <w:color w:val="auto"/>
          <w:szCs w:val="21"/>
          <w:highlight w:val="none"/>
        </w:rPr>
        <w:t>如果发包人提供切实证据，证明承包人按照本条支付给发包人的误期违约金总额不足以弥补因误期竣工给发包人造成的损失，承包人应当另行向发包人支付赔偿金；发包人有权在支付给承包人款项扣除此赔偿金，承包人无权提出异议。</w:t>
      </w:r>
    </w:p>
    <w:p w14:paraId="421E0E52">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w:t>
      </w:r>
      <w:bookmarkStart w:id="544" w:name="_Toc303539128"/>
      <w:bookmarkStart w:id="545" w:name="_Toc297123519"/>
      <w:bookmarkStart w:id="546" w:name="_Toc300934971"/>
      <w:bookmarkStart w:id="547" w:name="_Toc297216178"/>
      <w:bookmarkStart w:id="548" w:name="_Toc304295549"/>
      <w:bookmarkStart w:id="549" w:name="_Toc312678015"/>
      <w:r>
        <w:rPr>
          <w:rFonts w:hint="eastAsia" w:ascii="宋体" w:hAnsi="宋体" w:eastAsia="宋体" w:cs="宋体"/>
          <w:b/>
          <w:color w:val="auto"/>
          <w:szCs w:val="21"/>
          <w:highlight w:val="none"/>
        </w:rPr>
        <w:t>.6 不</w:t>
      </w:r>
      <w:bookmarkEnd w:id="544"/>
      <w:bookmarkEnd w:id="545"/>
      <w:bookmarkEnd w:id="546"/>
      <w:bookmarkEnd w:id="547"/>
      <w:bookmarkEnd w:id="548"/>
      <w:bookmarkEnd w:id="549"/>
      <w:r>
        <w:rPr>
          <w:rFonts w:hint="eastAsia" w:ascii="宋体" w:hAnsi="宋体" w:eastAsia="宋体" w:cs="宋体"/>
          <w:b/>
          <w:color w:val="auto"/>
          <w:szCs w:val="21"/>
          <w:highlight w:val="none"/>
        </w:rPr>
        <w:t>利物质条件</w:t>
      </w:r>
    </w:p>
    <w:p w14:paraId="27C3AA8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bookmarkStart w:id="550" w:name="_Toc304295550"/>
      <w:bookmarkStart w:id="551" w:name="_Toc303539129"/>
      <w:bookmarkStart w:id="552" w:name="_Toc297123520"/>
      <w:bookmarkStart w:id="553" w:name="_Toc297216179"/>
      <w:bookmarkStart w:id="554" w:name="_Toc300934972"/>
      <w:bookmarkStart w:id="555" w:name="_Toc312678016"/>
      <w:bookmarkStart w:id="556" w:name="_Toc318581172"/>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bookmarkEnd w:id="550"/>
    <w:bookmarkEnd w:id="551"/>
    <w:bookmarkEnd w:id="552"/>
    <w:bookmarkEnd w:id="553"/>
    <w:bookmarkEnd w:id="554"/>
    <w:bookmarkEnd w:id="555"/>
    <w:bookmarkEnd w:id="556"/>
    <w:p w14:paraId="7ABFC9DB">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w:t>
      </w:r>
      <w:bookmarkStart w:id="557" w:name="_Toc297123521"/>
      <w:bookmarkStart w:id="558" w:name="_Toc297216180"/>
      <w:bookmarkStart w:id="559" w:name="_Toc304295551"/>
      <w:bookmarkStart w:id="560" w:name="_Toc312678017"/>
      <w:bookmarkStart w:id="561" w:name="_Toc303539130"/>
      <w:bookmarkStart w:id="562" w:name="_Toc300934973"/>
      <w:r>
        <w:rPr>
          <w:rFonts w:hint="eastAsia" w:ascii="宋体" w:hAnsi="宋体" w:eastAsia="宋体" w:cs="宋体"/>
          <w:b/>
          <w:color w:val="auto"/>
          <w:szCs w:val="21"/>
          <w:highlight w:val="none"/>
        </w:rPr>
        <w:t>.7 异常恶劣的气候条件</w:t>
      </w:r>
    </w:p>
    <w:bookmarkEnd w:id="557"/>
    <w:bookmarkEnd w:id="558"/>
    <w:bookmarkEnd w:id="559"/>
    <w:bookmarkEnd w:id="560"/>
    <w:bookmarkEnd w:id="561"/>
    <w:bookmarkEnd w:id="562"/>
    <w:p w14:paraId="5BD25EA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r>
        <w:rPr>
          <w:rFonts w:hint="eastAsia" w:ascii="宋体" w:hAnsi="宋体" w:eastAsia="宋体" w:cs="宋体"/>
          <w:color w:val="auto"/>
          <w:szCs w:val="21"/>
          <w:highlight w:val="none"/>
          <w:u w:val="single"/>
        </w:rPr>
        <w:t>双方协商。</w:t>
      </w:r>
    </w:p>
    <w:p w14:paraId="204F21FC">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7.8 暂停施工</w:t>
      </w:r>
    </w:p>
    <w:p w14:paraId="6E770B8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7.8.1发包人认为有必要时，可随时自行向承包人做出暂停进行部分或全部工程的指示，承包人应当按照发包人指令暂停施工。不论由于何种原因引起的暂停施工，承包人均应当按照发包人的指令负责保护、照管该暂停施工的部分或全部工程，以免遭受损失或损害。</w:t>
      </w:r>
    </w:p>
    <w:p w14:paraId="3A7D0AB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7.8.2由于发包人的原因需要暂停施工，且发包人未及时下达暂停施工指令的，承包人可先暂停施工，并及时向发包人提出暂停施工的书面请求。发包人应当在接到书面请求后的24小时内予以答复。</w:t>
      </w:r>
    </w:p>
    <w:p w14:paraId="478ACFE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7.9工程暂停的责任</w:t>
      </w:r>
    </w:p>
    <w:p w14:paraId="4136D4F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7.9.1如果因下列原因引起本工程的暂停，承包人应承担所有费用及工期责任：</w:t>
      </w:r>
    </w:p>
    <w:p w14:paraId="681AC41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(1)承包人违约引起的暂停施工；</w:t>
      </w:r>
    </w:p>
    <w:p w14:paraId="03C4ADD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(2)承包人为合理施工和安全保障所必需的暂停施工；</w:t>
      </w:r>
    </w:p>
    <w:p w14:paraId="279550F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(3)承包人擅自暂停施工；</w:t>
      </w:r>
    </w:p>
    <w:p w14:paraId="136D38D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(4)承包人的原因引起的安全事故，导致暂停施工；</w:t>
      </w:r>
    </w:p>
    <w:p w14:paraId="2244DF3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(5)承包人的其他原因引起的暂停施工；</w:t>
      </w:r>
    </w:p>
    <w:p w14:paraId="692415F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(6)承包人所负责的有关机械施工批文所引致的延误；</w:t>
      </w:r>
    </w:p>
    <w:p w14:paraId="202BA2C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(7)承包人所负责有关政府或其委托机构对相关施工的批文所引致的延误；</w:t>
      </w:r>
    </w:p>
    <w:p w14:paraId="0D1FE1D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(8)合同其他条款约定不予顺延的情形。</w:t>
      </w:r>
    </w:p>
    <w:p w14:paraId="500EC66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7.9.2因发包人原因导致工期延期的，工期延期90日内，发包人均不补偿承包人误工机械费、误工人工费等任何费用，超出90日，双方另行协商。</w:t>
      </w:r>
    </w:p>
    <w:p w14:paraId="6DB87CAD">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563" w:name="_Toc351203640"/>
      <w:r>
        <w:rPr>
          <w:rFonts w:hint="eastAsia" w:ascii="宋体" w:hAnsi="宋体" w:eastAsia="宋体" w:cs="宋体"/>
          <w:b/>
          <w:bCs/>
          <w:color w:val="auto"/>
          <w:szCs w:val="21"/>
          <w:highlight w:val="none"/>
        </w:rPr>
        <w:t>8. 材料与设备</w:t>
      </w:r>
      <w:bookmarkEnd w:id="563"/>
    </w:p>
    <w:bookmarkEnd w:id="510"/>
    <w:bookmarkEnd w:id="511"/>
    <w:bookmarkEnd w:id="512"/>
    <w:bookmarkEnd w:id="513"/>
    <w:bookmarkEnd w:id="514"/>
    <w:bookmarkEnd w:id="515"/>
    <w:bookmarkEnd w:id="516"/>
    <w:bookmarkEnd w:id="517"/>
    <w:bookmarkEnd w:id="518"/>
    <w:bookmarkEnd w:id="519"/>
    <w:p w14:paraId="5296F037">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8.2 承包人供应材料与工程设备</w:t>
      </w:r>
    </w:p>
    <w:p w14:paraId="083C463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合同当事人对承包人供应材料与工程设备的其他要求：</w:t>
      </w:r>
      <w:r>
        <w:rPr>
          <w:rFonts w:hint="eastAsia" w:ascii="宋体" w:hAnsi="宋体" w:eastAsia="宋体" w:cs="宋体"/>
          <w:b/>
          <w:bCs/>
          <w:color w:val="auto"/>
          <w:szCs w:val="21"/>
          <w:highlight w:val="none"/>
          <w:u w:val="single"/>
        </w:rPr>
        <w:t>施工过程中所需的设备材料由承包人按响应文件承诺品牌组织供应。承包人提供的材料、设备技术标准必须达到国家、行业现行最新版本标准或规范及采购人的要求，否则采购人有权要求承包人选用响应文件所列品牌，且综合单价均不予调增。设备材料进场须经发包人及监理工程师核准后方可使用</w:t>
      </w:r>
      <w:r>
        <w:rPr>
          <w:rFonts w:hint="eastAsia" w:ascii="宋体" w:hAnsi="宋体" w:eastAsia="宋体" w:cs="宋体"/>
          <w:color w:val="auto"/>
          <w:szCs w:val="21"/>
          <w:highlight w:val="none"/>
          <w:u w:val="single"/>
        </w:rPr>
        <w:t>。</w:t>
      </w:r>
    </w:p>
    <w:p w14:paraId="7A9735DB">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8.4 材料与工程设备的保管与使用</w:t>
      </w:r>
    </w:p>
    <w:p w14:paraId="69A97F2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合同当事人对承包人供应材料与工程设备的其他要求：</w:t>
      </w:r>
    </w:p>
    <w:p w14:paraId="4EF37F0E">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承包人必须设置相应的临时仓库；承包人须提供专项设备临时放置场地㎡。</w:t>
      </w:r>
    </w:p>
    <w:p w14:paraId="510CC9E5">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564" w:name="_Toc296503168"/>
      <w:bookmarkStart w:id="565" w:name="_Toc296944507"/>
      <w:bookmarkStart w:id="566" w:name="_Toc297120468"/>
      <w:bookmarkStart w:id="567" w:name="_Toc297123528"/>
      <w:bookmarkStart w:id="568" w:name="_Toc304295557"/>
      <w:bookmarkStart w:id="569" w:name="_Toc312677494"/>
      <w:bookmarkStart w:id="570" w:name="_Toc296891208"/>
      <w:bookmarkStart w:id="571" w:name="_Toc297048354"/>
      <w:bookmarkStart w:id="572" w:name="_Toc303539137"/>
      <w:bookmarkStart w:id="573" w:name="_Toc312678020"/>
      <w:bookmarkStart w:id="574" w:name="_Toc300934980"/>
      <w:bookmarkStart w:id="575" w:name="_Toc296347167"/>
      <w:bookmarkStart w:id="576" w:name="_Toc318581173"/>
      <w:bookmarkStart w:id="577" w:name="_Toc296890996"/>
      <w:bookmarkStart w:id="578" w:name="_Toc297216187"/>
      <w:bookmarkStart w:id="579" w:name="_Toc296346669"/>
      <w:bookmarkStart w:id="580" w:name="_Toc280868655"/>
      <w:bookmarkStart w:id="581" w:name="_Toc280868656"/>
      <w:bookmarkStart w:id="582" w:name="_Toc267251424"/>
      <w:r>
        <w:rPr>
          <w:rFonts w:hint="eastAsia" w:ascii="宋体" w:hAnsi="宋体" w:eastAsia="宋体" w:cs="宋体"/>
          <w:b/>
          <w:color w:val="auto"/>
          <w:szCs w:val="21"/>
          <w:highlight w:val="none"/>
        </w:rPr>
        <w:t>8.6 样品</w:t>
      </w:r>
    </w:p>
    <w:p w14:paraId="61F9D4A1">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8.6.1 样品的报送与封存</w:t>
      </w:r>
    </w:p>
    <w:p w14:paraId="558E56B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需要承包人报送样品的材料或工程设备，样品的种类、名称、规格、数量要求：</w:t>
      </w:r>
      <w:r>
        <w:rPr>
          <w:rFonts w:hint="eastAsia" w:ascii="宋体" w:hAnsi="宋体" w:eastAsia="宋体" w:cs="宋体"/>
          <w:color w:val="auto"/>
          <w:szCs w:val="21"/>
          <w:highlight w:val="none"/>
          <w:u w:val="single"/>
        </w:rPr>
        <w:t>按政府相关管理部门要求确定，根据发包人要求双方协商确定</w:t>
      </w:r>
      <w:r>
        <w:rPr>
          <w:rFonts w:hint="eastAsia" w:ascii="宋体" w:hAnsi="宋体" w:eastAsia="宋体" w:cs="宋体"/>
          <w:color w:val="auto"/>
          <w:szCs w:val="21"/>
          <w:highlight w:val="none"/>
        </w:rPr>
        <w:t>。</w:t>
      </w:r>
    </w:p>
    <w:p w14:paraId="6B3D1A08">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8.8 施工设备和临时设施</w:t>
      </w:r>
    </w:p>
    <w:p w14:paraId="70BFA7F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14:paraId="7B3B095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 xml:space="preserve"> 由承包人承担</w:t>
      </w:r>
      <w:r>
        <w:rPr>
          <w:rFonts w:hint="eastAsia" w:ascii="宋体" w:hAnsi="宋体" w:eastAsia="宋体" w:cs="宋体"/>
          <w:color w:val="auto"/>
          <w:szCs w:val="21"/>
          <w:highlight w:val="none"/>
        </w:rPr>
        <w:t>。</w:t>
      </w:r>
    </w:p>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14:paraId="36A7A4B4">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583" w:name="_Toc351203641"/>
      <w:r>
        <w:rPr>
          <w:rFonts w:hint="eastAsia" w:ascii="宋体" w:hAnsi="宋体" w:eastAsia="宋体" w:cs="宋体"/>
          <w:b/>
          <w:bCs/>
          <w:color w:val="auto"/>
          <w:szCs w:val="21"/>
          <w:highlight w:val="none"/>
        </w:rPr>
        <w:t>9</w:t>
      </w:r>
      <w:bookmarkEnd w:id="580"/>
      <w:bookmarkEnd w:id="581"/>
      <w:bookmarkEnd w:id="582"/>
      <w:bookmarkStart w:id="584" w:name="_Toc304295559"/>
      <w:bookmarkStart w:id="585" w:name="_Toc300934982"/>
      <w:bookmarkStart w:id="586" w:name="_Toc297123533"/>
      <w:bookmarkStart w:id="587" w:name="_Toc312678021"/>
      <w:bookmarkStart w:id="588" w:name="_Toc297216192"/>
      <w:bookmarkStart w:id="589" w:name="_Toc303539139"/>
      <w:bookmarkStart w:id="590" w:name="_Toc312677495"/>
      <w:bookmarkStart w:id="591" w:name="_Toc292559378"/>
      <w:bookmarkStart w:id="592" w:name="_Toc297120473"/>
      <w:bookmarkStart w:id="593" w:name="_Toc296347172"/>
      <w:bookmarkStart w:id="594" w:name="_Toc292559883"/>
      <w:bookmarkStart w:id="595" w:name="_Toc267251428"/>
      <w:bookmarkStart w:id="596" w:name="_Toc296891001"/>
      <w:bookmarkStart w:id="597" w:name="_Toc296346674"/>
      <w:bookmarkStart w:id="598" w:name="_Toc297048359"/>
      <w:bookmarkStart w:id="599" w:name="_Toc296944512"/>
      <w:bookmarkStart w:id="600" w:name="_Toc267251427"/>
      <w:bookmarkStart w:id="601" w:name="_Toc296891213"/>
      <w:bookmarkStart w:id="602" w:name="_Toc296503173"/>
      <w:r>
        <w:rPr>
          <w:rFonts w:hint="eastAsia" w:ascii="宋体" w:hAnsi="宋体" w:eastAsia="宋体" w:cs="宋体"/>
          <w:b/>
          <w:bCs/>
          <w:color w:val="auto"/>
          <w:szCs w:val="21"/>
          <w:highlight w:val="none"/>
        </w:rPr>
        <w:t>. 试验与检验</w:t>
      </w:r>
      <w:bookmarkEnd w:id="583"/>
    </w:p>
    <w:bookmarkEnd w:id="584"/>
    <w:bookmarkEnd w:id="585"/>
    <w:bookmarkEnd w:id="586"/>
    <w:bookmarkEnd w:id="587"/>
    <w:bookmarkEnd w:id="588"/>
    <w:bookmarkEnd w:id="589"/>
    <w:bookmarkEnd w:id="590"/>
    <w:p w14:paraId="381329CB">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w:t>
      </w:r>
      <w:bookmarkStart w:id="603" w:name="_Toc300934983"/>
      <w:bookmarkStart w:id="604" w:name="_Toc297216193"/>
      <w:bookmarkStart w:id="605" w:name="_Toc312678022"/>
      <w:bookmarkStart w:id="606" w:name="_Toc297123534"/>
      <w:bookmarkStart w:id="607" w:name="_Toc304295560"/>
      <w:bookmarkStart w:id="608" w:name="_Toc303539140"/>
      <w:bookmarkStart w:id="609" w:name="_Toc312677496"/>
      <w:r>
        <w:rPr>
          <w:rFonts w:hint="eastAsia" w:ascii="宋体" w:hAnsi="宋体" w:eastAsia="宋体" w:cs="宋体"/>
          <w:b/>
          <w:color w:val="auto"/>
          <w:szCs w:val="21"/>
          <w:highlight w:val="none"/>
        </w:rPr>
        <w:t>.1 试验设备与试验人员</w:t>
      </w:r>
    </w:p>
    <w:bookmarkEnd w:id="603"/>
    <w:bookmarkEnd w:id="604"/>
    <w:bookmarkEnd w:id="605"/>
    <w:bookmarkEnd w:id="606"/>
    <w:bookmarkEnd w:id="607"/>
    <w:bookmarkEnd w:id="608"/>
    <w:bookmarkEnd w:id="609"/>
    <w:p w14:paraId="789A6B3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610" w:name="_Toc297216194"/>
      <w:bookmarkStart w:id="611" w:name="_Toc297123535"/>
      <w:bookmarkStart w:id="612" w:name="_Toc312678023"/>
      <w:bookmarkStart w:id="613" w:name="_Toc300934984"/>
      <w:bookmarkStart w:id="614" w:name="_Toc304295561"/>
      <w:bookmarkStart w:id="615" w:name="_Toc303539141"/>
      <w:bookmarkStart w:id="616" w:name="_Toc312677497"/>
      <w:bookmarkStart w:id="617" w:name="_Toc318581174"/>
      <w:r>
        <w:rPr>
          <w:rFonts w:hint="eastAsia" w:ascii="宋体" w:hAnsi="宋体" w:eastAsia="宋体" w:cs="宋体"/>
          <w:color w:val="auto"/>
          <w:szCs w:val="21"/>
          <w:highlight w:val="none"/>
        </w:rPr>
        <w:t>.1.2 试验设备</w:t>
      </w:r>
    </w:p>
    <w:p w14:paraId="6C8BAD3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bookmarkEnd w:id="610"/>
      <w:bookmarkEnd w:id="611"/>
      <w:bookmarkEnd w:id="612"/>
      <w:bookmarkEnd w:id="613"/>
      <w:bookmarkEnd w:id="614"/>
      <w:bookmarkEnd w:id="615"/>
      <w:bookmarkEnd w:id="616"/>
      <w:bookmarkStart w:id="618" w:name="_Toc300934985"/>
      <w:bookmarkStart w:id="619" w:name="_Toc297123536"/>
      <w:bookmarkStart w:id="620" w:name="_Toc297216195"/>
      <w:bookmarkStart w:id="621" w:name="_Toc303539142"/>
      <w:bookmarkStart w:id="622" w:name="_Toc304295562"/>
      <w:bookmarkStart w:id="623" w:name="_Toc312677498"/>
      <w:bookmarkStart w:id="624" w:name="_Toc312678024"/>
      <w:r>
        <w:rPr>
          <w:rFonts w:hint="eastAsia" w:ascii="宋体" w:hAnsi="宋体" w:eastAsia="宋体" w:cs="宋体"/>
          <w:color w:val="auto"/>
          <w:szCs w:val="21"/>
          <w:highlight w:val="none"/>
          <w:u w:val="single"/>
        </w:rPr>
        <w:t>按相关规范</w:t>
      </w:r>
      <w:r>
        <w:rPr>
          <w:rFonts w:hint="eastAsia" w:ascii="宋体" w:hAnsi="宋体" w:eastAsia="宋体" w:cs="宋体"/>
          <w:color w:val="auto"/>
          <w:szCs w:val="21"/>
          <w:highlight w:val="none"/>
        </w:rPr>
        <w:t>。</w:t>
      </w:r>
    </w:p>
    <w:p w14:paraId="01C2C07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施工现场需要配备的试验设备：</w:t>
      </w:r>
      <w:r>
        <w:rPr>
          <w:rFonts w:hint="eastAsia" w:ascii="宋体" w:hAnsi="宋体" w:eastAsia="宋体" w:cs="宋体"/>
          <w:color w:val="auto"/>
          <w:szCs w:val="21"/>
          <w:highlight w:val="none"/>
          <w:u w:val="single"/>
        </w:rPr>
        <w:t>按相关规范</w:t>
      </w:r>
      <w:r>
        <w:rPr>
          <w:rFonts w:hint="eastAsia" w:ascii="宋体" w:hAnsi="宋体" w:eastAsia="宋体" w:cs="宋体"/>
          <w:color w:val="auto"/>
          <w:szCs w:val="21"/>
          <w:highlight w:val="none"/>
        </w:rPr>
        <w:t>。</w:t>
      </w:r>
    </w:p>
    <w:p w14:paraId="41C8C6E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按相关规范</w:t>
      </w:r>
      <w:r>
        <w:rPr>
          <w:rFonts w:hint="eastAsia" w:ascii="宋体" w:hAnsi="宋体" w:eastAsia="宋体" w:cs="宋体"/>
          <w:color w:val="auto"/>
          <w:szCs w:val="21"/>
          <w:highlight w:val="none"/>
        </w:rPr>
        <w:t>。</w:t>
      </w:r>
    </w:p>
    <w:p w14:paraId="1172F0DD">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9．2现场工艺试验</w:t>
      </w:r>
    </w:p>
    <w:p w14:paraId="12E7E07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 xml:space="preserve"> 按相关规范</w:t>
      </w:r>
      <w:r>
        <w:rPr>
          <w:rFonts w:hint="eastAsia" w:ascii="宋体" w:hAnsi="宋体" w:eastAsia="宋体" w:cs="宋体"/>
          <w:color w:val="auto"/>
          <w:szCs w:val="21"/>
          <w:highlight w:val="none"/>
        </w:rPr>
        <w:t>。</w:t>
      </w:r>
    </w:p>
    <w:bookmarkEnd w:id="617"/>
    <w:bookmarkEnd w:id="618"/>
    <w:bookmarkEnd w:id="619"/>
    <w:bookmarkEnd w:id="620"/>
    <w:bookmarkEnd w:id="621"/>
    <w:bookmarkEnd w:id="622"/>
    <w:bookmarkEnd w:id="623"/>
    <w:bookmarkEnd w:id="624"/>
    <w:p w14:paraId="35E3DA56">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625" w:name="_Toc351203642"/>
      <w:r>
        <w:rPr>
          <w:rFonts w:hint="eastAsia" w:ascii="宋体" w:hAnsi="宋体" w:eastAsia="宋体" w:cs="宋体"/>
          <w:b/>
          <w:bCs/>
          <w:color w:val="auto"/>
          <w:szCs w:val="21"/>
          <w:highlight w:val="none"/>
        </w:rPr>
        <w:t>1</w:t>
      </w:r>
      <w:bookmarkEnd w:id="591"/>
      <w:bookmarkEnd w:id="592"/>
      <w:bookmarkEnd w:id="593"/>
      <w:bookmarkEnd w:id="594"/>
      <w:bookmarkEnd w:id="595"/>
      <w:bookmarkEnd w:id="596"/>
      <w:bookmarkEnd w:id="597"/>
      <w:bookmarkEnd w:id="598"/>
      <w:bookmarkEnd w:id="599"/>
      <w:bookmarkEnd w:id="600"/>
      <w:bookmarkEnd w:id="601"/>
      <w:bookmarkEnd w:id="602"/>
      <w:bookmarkStart w:id="626" w:name="_Toc296347192"/>
      <w:bookmarkStart w:id="627" w:name="_Toc296944532"/>
      <w:bookmarkStart w:id="628" w:name="_Toc304295566"/>
      <w:bookmarkStart w:id="629" w:name="_Toc292559903"/>
      <w:bookmarkStart w:id="630" w:name="_Toc296891233"/>
      <w:bookmarkStart w:id="631" w:name="_Toc297216199"/>
      <w:bookmarkStart w:id="632" w:name="_Toc297120493"/>
      <w:bookmarkStart w:id="633" w:name="_Toc296346694"/>
      <w:bookmarkStart w:id="634" w:name="_Toc300934989"/>
      <w:bookmarkStart w:id="635" w:name="_Toc296891021"/>
      <w:bookmarkStart w:id="636" w:name="_Toc303539146"/>
      <w:bookmarkStart w:id="637" w:name="_Toc297123540"/>
      <w:bookmarkStart w:id="638" w:name="_Toc292559398"/>
      <w:bookmarkStart w:id="639" w:name="_Toc296503193"/>
      <w:bookmarkStart w:id="640" w:name="_Toc297048379"/>
      <w:bookmarkStart w:id="641" w:name="_Toc312677499"/>
      <w:bookmarkStart w:id="642" w:name="_Toc312678025"/>
      <w:bookmarkStart w:id="643" w:name="_Toc267251439"/>
      <w:bookmarkStart w:id="644" w:name="_Toc267251435"/>
      <w:bookmarkStart w:id="645" w:name="_Toc267251433"/>
      <w:bookmarkStart w:id="646" w:name="_Toc267251437"/>
      <w:bookmarkStart w:id="647" w:name="_Toc267251440"/>
      <w:bookmarkStart w:id="648" w:name="_Toc267251441"/>
      <w:bookmarkStart w:id="649" w:name="_Toc267251442"/>
      <w:r>
        <w:rPr>
          <w:rFonts w:hint="eastAsia" w:ascii="宋体" w:hAnsi="宋体" w:eastAsia="宋体" w:cs="宋体"/>
          <w:b/>
          <w:bCs/>
          <w:color w:val="auto"/>
          <w:szCs w:val="21"/>
          <w:highlight w:val="none"/>
        </w:rPr>
        <w:t>0. 变更</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bookmarkEnd w:id="641"/>
    <w:bookmarkEnd w:id="642"/>
    <w:p w14:paraId="70C23260">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bookmarkStart w:id="650" w:name="_Toc297048380"/>
      <w:bookmarkStart w:id="651" w:name="_Toc300934990"/>
      <w:bookmarkStart w:id="652" w:name="_Toc296347193"/>
      <w:bookmarkStart w:id="653" w:name="_Toc297123541"/>
      <w:bookmarkStart w:id="654" w:name="_Toc296891022"/>
      <w:bookmarkStart w:id="655" w:name="_Toc296503194"/>
      <w:bookmarkStart w:id="656" w:name="_Toc297120494"/>
      <w:bookmarkStart w:id="657" w:name="_Toc292559399"/>
      <w:bookmarkStart w:id="658" w:name="_Toc312677500"/>
      <w:bookmarkStart w:id="659" w:name="_Toc304295567"/>
      <w:bookmarkStart w:id="660" w:name="_Toc296944533"/>
      <w:bookmarkStart w:id="661" w:name="_Toc296891234"/>
      <w:bookmarkStart w:id="662" w:name="_Toc292559904"/>
      <w:bookmarkStart w:id="663" w:name="_Toc303539147"/>
      <w:bookmarkStart w:id="664" w:name="_Toc312678026"/>
      <w:bookmarkStart w:id="665" w:name="_Toc296346695"/>
      <w:bookmarkStart w:id="666" w:name="_Toc297216200"/>
      <w:r>
        <w:rPr>
          <w:rFonts w:hint="eastAsia" w:ascii="宋体" w:hAnsi="宋体" w:eastAsia="宋体" w:cs="宋体"/>
          <w:b/>
          <w:color w:val="auto"/>
          <w:szCs w:val="21"/>
          <w:highlight w:val="none"/>
        </w:rPr>
        <w:t>0.1 变更的范围</w:t>
      </w:r>
    </w:p>
    <w:p w14:paraId="5A5EDD5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关于变更的范围的约定：由于发包人原因或施工需要造成的工程量清单漏项、数量增减、工程设计变更、施工条件变更、现场签证等引起的变化，工程量据实结算。</w:t>
      </w:r>
    </w:p>
    <w:p w14:paraId="2545033F">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10.1.1已标价工程量清单项目工程量增（减）的，工程量作相应调整，且工程量无论发生如何变化，结算时投标报价中的综合单价均不予调整。  </w:t>
      </w:r>
    </w:p>
    <w:p w14:paraId="770E76AE">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10.1.2已标价工程量清单项目取消的，结算时按照取消清单项目工程量和承包人投标报价时所报综合单价及相应规费、税金、措施费予以扣减。</w:t>
      </w:r>
    </w:p>
    <w:p w14:paraId="5ADF3A0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10.1.3新增项目按《建设工程工程量清单计价规范》（GB50500-2013）中规定的工程量清单计价方式计价，计价标准执行“云建科[2023]54号文”云南省住房和城乡建设厅关于云南省建设工程造价计价标准调整定额人工费的通知。</w:t>
      </w:r>
    </w:p>
    <w:p w14:paraId="54BC906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合同专用条款10.1.3新增单价按照</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价与拦标价的下浮率进行优惠，下浮率=（1-</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 xml:space="preserve">价➗拦标价）*100%（综合单价下浮，安全文明施工费、规费、税金不下浮）。 </w:t>
      </w:r>
    </w:p>
    <w:p w14:paraId="2E42BD7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新增项目综合单价中主要材料价格的确定：如果投标书已有相同的材料时，价格按投标报价执行；如果投标书中没有相同的材料时，按照当期昆明市价格指导执行，如当期昆明市价格指导没有的按照当期云南省价格信息执行，如当期云南省价格信息没有的，材料价格由承包人进行上报，需经造价咨询单位、监理单位、项目管理单位、发包人等审核确定，并书面通知承包人。</w:t>
      </w:r>
    </w:p>
    <w:p w14:paraId="156AB1A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b、新增项目、变更项目的组价原则：</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中已有适用于新增项目、变更项目综合单价的，参照相应价格执行，不另组价；</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中没有适用项目综合单价的，但有类似项目综合单价可以参照的，参照相应价格执行，不另组价；没有适用或类似于变更工程的价格项目综合单价可以参照的，应由承包人根据变更工程资料、计量规则和计价办法、工程造价管理机构发布的信息价格提出变更工程项目的综合单价（材料价按照当期昆明市价格指导执行，如当期昆明市价格指导没有的按照当期云南省价格信息执行，如当期云南省价格信息没有的材料价格由承包人进行上报，需经造价咨询单位、监理单位、项目管理单位、发包人等审核确定，并书面通知承包人。</w:t>
      </w:r>
    </w:p>
    <w:p w14:paraId="2862C46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10.1.4发包人提出的设备、材料变更，结算时该设备、材料价格准予调整。</w:t>
      </w:r>
    </w:p>
    <w:p w14:paraId="4B932C0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10.1.5需由发包人甄选确定的材料，综合单价结算时按实际定价进行结算。</w:t>
      </w:r>
    </w:p>
    <w:p w14:paraId="2735583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10.1.6合同价款应包括全部材料费、设备费（采购人自购材料及设备除外）、施工费、人工费、安装费、管理费、台班费、检验费（桩基检测除外）、施工耗损、利润、税金、临时工程费、工程维护费、缺陷修复费用、工程一切险、第三者责任险、国家或地方行政管理部门强制要求承包人承担的险种的费用、施工技术措施费用、施工单位范围内报建相关手续的费用、一切施工所必需的因素所需费用，以及合同中明确的其他责任、义务。为保证工期而发生的赶工费，投标报价在工程量清单范围内遗漏项目等，发包人认为承包人不收取这方面的费用或视为其报价已包括在其它项目中，在合同执行中不予增补。</w:t>
      </w:r>
    </w:p>
    <w:p w14:paraId="7BAA913A">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10.4 变更估价</w:t>
      </w:r>
    </w:p>
    <w:p w14:paraId="023602C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变更估价原则</w:t>
      </w:r>
    </w:p>
    <w:p w14:paraId="5545703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关于变更估价的约定: </w:t>
      </w:r>
      <w:r>
        <w:rPr>
          <w:rFonts w:hint="eastAsia" w:ascii="宋体" w:hAnsi="宋体" w:eastAsia="宋体" w:cs="宋体"/>
          <w:color w:val="auto"/>
          <w:szCs w:val="21"/>
          <w:highlight w:val="none"/>
          <w:u w:val="single"/>
        </w:rPr>
        <w:t>涉及工程价款的变更，承包人应在施工前提出，经发包人确认后实施。承包人在双方确定变更后14天内不向发包人提出增加工程价款报告，逾期发包人将不予确认，视为该项变更不涉及工程价款的增加。发包人收到承包人报告14天内不答复视为认可承包人报告。</w:t>
      </w:r>
    </w:p>
    <w:p w14:paraId="3611EB52">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Start w:id="667" w:name="_Toc292559402"/>
      <w:bookmarkStart w:id="668" w:name="_Toc296346698"/>
      <w:bookmarkStart w:id="669" w:name="_Toc296503197"/>
      <w:bookmarkStart w:id="670" w:name="_Toc296347196"/>
      <w:bookmarkStart w:id="671" w:name="_Toc297048383"/>
      <w:bookmarkStart w:id="672" w:name="_Toc296891237"/>
      <w:bookmarkStart w:id="673" w:name="_Toc296944536"/>
      <w:bookmarkStart w:id="674" w:name="_Toc303539150"/>
      <w:bookmarkStart w:id="675" w:name="_Toc297123544"/>
      <w:bookmarkStart w:id="676" w:name="_Toc296891025"/>
      <w:bookmarkStart w:id="677" w:name="_Toc300934993"/>
      <w:bookmarkStart w:id="678" w:name="_Toc297216203"/>
      <w:bookmarkStart w:id="679" w:name="_Toc292559907"/>
      <w:bookmarkStart w:id="680" w:name="_Toc297120497"/>
      <w:bookmarkStart w:id="681" w:name="_Toc304295570"/>
      <w:bookmarkStart w:id="682" w:name="_Toc312677503"/>
      <w:bookmarkStart w:id="683" w:name="_Toc312678029"/>
      <w:r>
        <w:rPr>
          <w:rFonts w:hint="eastAsia" w:ascii="宋体" w:hAnsi="宋体" w:eastAsia="宋体" w:cs="宋体"/>
          <w:b/>
          <w:color w:val="auto"/>
          <w:szCs w:val="21"/>
          <w:highlight w:val="none"/>
        </w:rPr>
        <w:t>0.5 承</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Start w:id="684" w:name="_Toc297123545"/>
      <w:bookmarkStart w:id="685" w:name="_Toc297120503"/>
      <w:bookmarkStart w:id="686" w:name="_Toc296503203"/>
      <w:bookmarkStart w:id="687" w:name="_Toc296347202"/>
      <w:bookmarkStart w:id="688" w:name="_Toc292559913"/>
      <w:bookmarkStart w:id="689" w:name="_Toc296944542"/>
      <w:bookmarkStart w:id="690" w:name="_Toc296891031"/>
      <w:bookmarkStart w:id="691" w:name="_Toc303539151"/>
      <w:bookmarkStart w:id="692" w:name="_Toc296891243"/>
      <w:bookmarkStart w:id="693" w:name="_Toc292559408"/>
      <w:bookmarkStart w:id="694" w:name="_Toc297216204"/>
      <w:bookmarkStart w:id="695" w:name="_Toc296346704"/>
      <w:bookmarkStart w:id="696" w:name="_Toc300934994"/>
      <w:bookmarkStart w:id="697" w:name="_Toc297048389"/>
      <w:r>
        <w:rPr>
          <w:rFonts w:hint="eastAsia" w:ascii="宋体" w:hAnsi="宋体" w:eastAsia="宋体" w:cs="宋体"/>
          <w:b/>
          <w:color w:val="auto"/>
          <w:szCs w:val="21"/>
          <w:highlight w:val="none"/>
        </w:rPr>
        <w:t>包人的合理化建议</w:t>
      </w:r>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14:paraId="479CF25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双方协商</w:t>
      </w:r>
      <w:r>
        <w:rPr>
          <w:rFonts w:hint="eastAsia" w:ascii="宋体" w:hAnsi="宋体" w:eastAsia="宋体" w:cs="宋体"/>
          <w:color w:val="auto"/>
          <w:szCs w:val="21"/>
          <w:highlight w:val="none"/>
        </w:rPr>
        <w:t>。</w:t>
      </w:r>
    </w:p>
    <w:p w14:paraId="68E3A5A8">
      <w:pPr>
        <w:autoSpaceDE w:val="0"/>
        <w:autoSpaceDN w:val="0"/>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承</w:t>
      </w:r>
      <w:bookmarkStart w:id="698" w:name="_Toc296944543"/>
      <w:bookmarkStart w:id="699" w:name="_Toc297120504"/>
      <w:bookmarkStart w:id="700" w:name="_Toc296891244"/>
      <w:bookmarkStart w:id="701" w:name="_Toc296346705"/>
      <w:bookmarkStart w:id="702" w:name="_Toc300934995"/>
      <w:bookmarkStart w:id="703" w:name="_Toc296503204"/>
      <w:bookmarkStart w:id="704" w:name="_Toc297216205"/>
      <w:bookmarkStart w:id="705" w:name="_Toc292559914"/>
      <w:bookmarkStart w:id="706" w:name="_Toc318581175"/>
      <w:bookmarkStart w:id="707" w:name="_Toc303539152"/>
      <w:bookmarkStart w:id="708" w:name="_Toc312677504"/>
      <w:bookmarkStart w:id="709" w:name="_Toc304295571"/>
      <w:bookmarkStart w:id="710" w:name="_Toc297048390"/>
      <w:bookmarkStart w:id="711" w:name="_Toc292559409"/>
      <w:bookmarkStart w:id="712" w:name="_Toc312678030"/>
      <w:bookmarkStart w:id="713" w:name="_Toc297123546"/>
      <w:bookmarkStart w:id="714" w:name="_Toc296347203"/>
      <w:bookmarkStart w:id="715" w:name="_Toc296891032"/>
      <w:r>
        <w:rPr>
          <w:rFonts w:hint="eastAsia" w:ascii="宋体" w:hAnsi="宋体" w:eastAsia="宋体" w:cs="宋体"/>
          <w:color w:val="auto"/>
          <w:szCs w:val="21"/>
          <w:highlight w:val="none"/>
        </w:rPr>
        <w:t>包人提出的合理化建议降低了合同价格或者提高了工程经济效益的奖励的方法和金额为：</w:t>
      </w:r>
      <w:r>
        <w:rPr>
          <w:rFonts w:hint="eastAsia" w:ascii="宋体" w:hAnsi="宋体" w:eastAsia="宋体" w:cs="宋体"/>
          <w:color w:val="auto"/>
          <w:szCs w:val="21"/>
          <w:highlight w:val="none"/>
          <w:u w:val="single"/>
        </w:rPr>
        <w:t>双方协商</w:t>
      </w:r>
      <w:r>
        <w:rPr>
          <w:rFonts w:hint="eastAsia" w:ascii="宋体" w:hAnsi="宋体" w:eastAsia="宋体" w:cs="宋体"/>
          <w:color w:val="auto"/>
          <w:szCs w:val="21"/>
          <w:highlight w:val="none"/>
        </w:rPr>
        <w:t>。</w:t>
      </w:r>
    </w:p>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14:paraId="51377144">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bookmarkStart w:id="716" w:name="_Toc296944538"/>
      <w:bookmarkStart w:id="717" w:name="_Toc296503199"/>
      <w:bookmarkStart w:id="718" w:name="_Toc300934997"/>
      <w:bookmarkStart w:id="719" w:name="_Toc297048385"/>
      <w:bookmarkStart w:id="720" w:name="_Toc312678033"/>
      <w:bookmarkStart w:id="721" w:name="_Toc304295574"/>
      <w:bookmarkStart w:id="722" w:name="_Toc297120499"/>
      <w:bookmarkStart w:id="723" w:name="_Toc312677507"/>
      <w:bookmarkStart w:id="724" w:name="_Toc296891027"/>
      <w:bookmarkStart w:id="725" w:name="_Toc297216207"/>
      <w:bookmarkStart w:id="726" w:name="_Toc296346700"/>
      <w:bookmarkStart w:id="727" w:name="_Toc292559404"/>
      <w:bookmarkStart w:id="728" w:name="_Toc297123548"/>
      <w:bookmarkStart w:id="729" w:name="_Toc303539154"/>
      <w:bookmarkStart w:id="730" w:name="_Toc296347198"/>
      <w:bookmarkStart w:id="731" w:name="_Toc292559909"/>
      <w:bookmarkStart w:id="732" w:name="_Toc296891239"/>
      <w:r>
        <w:rPr>
          <w:rFonts w:hint="eastAsia" w:ascii="宋体" w:hAnsi="宋体" w:eastAsia="宋体" w:cs="宋体"/>
          <w:b/>
          <w:color w:val="auto"/>
          <w:szCs w:val="21"/>
          <w:highlight w:val="none"/>
        </w:rPr>
        <w:t>0.7 暂估价</w:t>
      </w:r>
    </w:p>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14:paraId="3362634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暂</w:t>
      </w:r>
      <w:bookmarkStart w:id="733" w:name="_Toc312678034"/>
      <w:bookmarkStart w:id="734" w:name="_Toc312677508"/>
      <w:bookmarkStart w:id="735" w:name="_Toc318581176"/>
      <w:r>
        <w:rPr>
          <w:rFonts w:hint="eastAsia" w:ascii="宋体" w:hAnsi="宋体" w:eastAsia="宋体" w:cs="宋体"/>
          <w:color w:val="auto"/>
          <w:kern w:val="0"/>
          <w:szCs w:val="21"/>
          <w:highlight w:val="none"/>
        </w:rPr>
        <w:t>估价材料和工程设备的明细：</w:t>
      </w:r>
      <w:r>
        <w:rPr>
          <w:rFonts w:hint="eastAsia" w:ascii="宋体" w:hAnsi="宋体" w:eastAsia="宋体" w:cs="宋体"/>
          <w:color w:val="auto"/>
          <w:kern w:val="0"/>
          <w:szCs w:val="21"/>
          <w:highlight w:val="none"/>
          <w:u w:val="single"/>
        </w:rPr>
        <w:t>详见工程量清单。</w:t>
      </w:r>
    </w:p>
    <w:bookmarkEnd w:id="733"/>
    <w:bookmarkEnd w:id="734"/>
    <w:bookmarkEnd w:id="735"/>
    <w:p w14:paraId="55C32BC8">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736" w:name="_Toc318581177"/>
      <w:bookmarkStart w:id="737" w:name="_Toc312677509"/>
      <w:bookmarkStart w:id="738" w:name="_Toc312678035"/>
      <w:r>
        <w:rPr>
          <w:rFonts w:hint="eastAsia" w:ascii="宋体" w:hAnsi="宋体" w:eastAsia="宋体" w:cs="宋体"/>
          <w:color w:val="auto"/>
          <w:szCs w:val="21"/>
          <w:highlight w:val="none"/>
        </w:rPr>
        <w:t>0.7.1 依法必须招标的暂估价项目</w:t>
      </w:r>
    </w:p>
    <w:bookmarkEnd w:id="736"/>
    <w:bookmarkEnd w:id="737"/>
    <w:bookmarkEnd w:id="738"/>
    <w:p w14:paraId="48952EF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对于依法必须招标的暂估价项目的确认和批准采取第  1  种方式确定（详见《建设工程施工合同（示范文本）》（GF—2017—0201）10.7.1内容）。</w:t>
      </w:r>
    </w:p>
    <w:p w14:paraId="0182055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14:paraId="3441435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对于不属于依法必须招标的暂估价项目的确认和批准采取第  1  种方式确定或双方协商，涉及到的材料，须按发包人要求报送样品（详见《建设工程施工合同（示范文本）》（GF—2017—0201）10.7.2内容）。</w:t>
      </w:r>
    </w:p>
    <w:p w14:paraId="2B42C591">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10.8 暂列金额</w:t>
      </w:r>
    </w:p>
    <w:p w14:paraId="2DA69CE3">
      <w:pPr>
        <w:autoSpaceDE w:val="0"/>
        <w:autoSpaceDN w:val="0"/>
        <w:adjustRightInd w:val="0"/>
        <w:snapToGrid w:val="0"/>
        <w:spacing w:line="360" w:lineRule="auto"/>
        <w:ind w:firstLine="42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发包人暂列金、暂估价、计日工费及相应规费、税金属于发包人所有，实际发生时承包人报发包人审批后使用，未发生由发包人扣回。</w:t>
      </w:r>
    </w:p>
    <w:p w14:paraId="6E52E989">
      <w:pPr>
        <w:autoSpaceDE w:val="0"/>
        <w:autoSpaceDN w:val="0"/>
        <w:adjustRightInd w:val="0"/>
        <w:snapToGrid w:val="0"/>
        <w:spacing w:line="360" w:lineRule="auto"/>
        <w:rPr>
          <w:rFonts w:hint="eastAsia" w:ascii="宋体" w:hAnsi="宋体" w:eastAsia="宋体" w:cs="宋体"/>
          <w:bCs/>
          <w:color w:val="auto"/>
          <w:szCs w:val="21"/>
          <w:highlight w:val="none"/>
        </w:rPr>
      </w:pPr>
      <w:bookmarkStart w:id="739" w:name="_Toc351203643"/>
      <w:r>
        <w:rPr>
          <w:rFonts w:hint="eastAsia" w:ascii="宋体" w:hAnsi="宋体" w:eastAsia="宋体" w:cs="宋体"/>
          <w:bCs/>
          <w:color w:val="auto"/>
          <w:szCs w:val="21"/>
          <w:highlight w:val="none"/>
        </w:rPr>
        <w:t>11. 价格调整</w:t>
      </w:r>
      <w:bookmarkEnd w:id="739"/>
    </w:p>
    <w:p w14:paraId="3DFE7BF2">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740" w:name="_Toc304295577"/>
      <w:bookmarkStart w:id="741" w:name="_Toc297048387"/>
      <w:bookmarkStart w:id="742" w:name="_Toc297216209"/>
      <w:bookmarkStart w:id="743" w:name="_Toc312678039"/>
      <w:bookmarkStart w:id="744" w:name="_Toc296347200"/>
      <w:bookmarkStart w:id="745" w:name="_Toc303539157"/>
      <w:bookmarkStart w:id="746" w:name="_Toc300935000"/>
      <w:bookmarkStart w:id="747" w:name="_Toc292559406"/>
      <w:bookmarkStart w:id="748" w:name="_Toc296891241"/>
      <w:bookmarkStart w:id="749" w:name="_Toc296944540"/>
      <w:bookmarkStart w:id="750" w:name="_Toc296346702"/>
      <w:bookmarkStart w:id="751" w:name="_Toc292559911"/>
      <w:bookmarkStart w:id="752" w:name="_Toc297123550"/>
      <w:bookmarkStart w:id="753" w:name="_Toc297120501"/>
      <w:bookmarkStart w:id="754" w:name="_Toc296891029"/>
      <w:bookmarkStart w:id="755" w:name="_Toc296503201"/>
      <w:r>
        <w:rPr>
          <w:rFonts w:hint="eastAsia" w:ascii="宋体" w:hAnsi="宋体" w:eastAsia="宋体" w:cs="宋体"/>
          <w:b/>
          <w:color w:val="auto"/>
          <w:szCs w:val="21"/>
          <w:highlight w:val="none"/>
        </w:rPr>
        <w:t>11.1 市场价格波动引起的调整</w:t>
      </w:r>
    </w:p>
    <w:bookmarkEnd w:id="643"/>
    <w:bookmarkEnd w:id="644"/>
    <w:bookmarkEnd w:id="645"/>
    <w:bookmarkEnd w:id="646"/>
    <w:bookmarkEnd w:id="647"/>
    <w:bookmarkEnd w:id="648"/>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5EC93BAA">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bookmarkStart w:id="756" w:name="_Toc297048391"/>
      <w:bookmarkStart w:id="757" w:name="_Toc296346706"/>
      <w:bookmarkStart w:id="758" w:name="_Toc296503205"/>
      <w:bookmarkStart w:id="759" w:name="_Toc296891245"/>
      <w:bookmarkStart w:id="760" w:name="_Toc296944544"/>
      <w:bookmarkStart w:id="761" w:name="_Toc296891033"/>
      <w:bookmarkStart w:id="762" w:name="_Toc292559915"/>
      <w:bookmarkStart w:id="763" w:name="_Toc292559410"/>
      <w:bookmarkStart w:id="764" w:name="_Toc297120505"/>
      <w:bookmarkStart w:id="765" w:name="_Toc296347204"/>
      <w:bookmarkStart w:id="766" w:name="_Toc351203644"/>
      <w:bookmarkStart w:id="767" w:name="_Toc303539159"/>
      <w:bookmarkStart w:id="768" w:name="_Toc300935002"/>
      <w:bookmarkStart w:id="769" w:name="_Toc312678040"/>
      <w:bookmarkStart w:id="770" w:name="_Toc304295579"/>
      <w:bookmarkStart w:id="771" w:name="_Toc297123552"/>
      <w:bookmarkStart w:id="772" w:name="_Toc297216211"/>
      <w:r>
        <w:rPr>
          <w:rFonts w:hint="eastAsia" w:ascii="宋体" w:hAnsi="宋体" w:eastAsia="宋体" w:cs="宋体"/>
          <w:bCs/>
          <w:color w:val="auto"/>
          <w:szCs w:val="21"/>
          <w:highlight w:val="none"/>
        </w:rPr>
        <w:t>价格调整：采用第</w:t>
      </w:r>
      <w:r>
        <w:rPr>
          <w:rFonts w:hint="eastAsia" w:ascii="宋体" w:hAnsi="宋体" w:eastAsia="宋体" w:cs="宋体"/>
          <w:bCs/>
          <w:color w:val="auto"/>
          <w:szCs w:val="21"/>
          <w:highlight w:val="none"/>
          <w:u w:val="single"/>
        </w:rPr>
        <w:t>②</w:t>
      </w:r>
      <w:r>
        <w:rPr>
          <w:rFonts w:hint="eastAsia" w:ascii="宋体" w:hAnsi="宋体" w:eastAsia="宋体" w:cs="宋体"/>
          <w:bCs/>
          <w:color w:val="auto"/>
          <w:szCs w:val="21"/>
          <w:highlight w:val="none"/>
        </w:rPr>
        <w:t>种方式，采用造价信息进行价格调整。</w:t>
      </w:r>
    </w:p>
    <w:p w14:paraId="543DF9C0">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市场价格波动是否调整合同价格的约定：</w:t>
      </w:r>
    </w:p>
    <w:p w14:paraId="1AEFC87C">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因市场价格波动调整合同价格，采用“通用条款11.1 市场价格波动引起的调整”规定的“第2种方式：采用造价信息进行价格调整”，并符合以下约定：</w:t>
      </w:r>
    </w:p>
    <w:p w14:paraId="1C26330E">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①关于基准价格的约定： 优先选用递交</w:t>
      </w:r>
      <w:r>
        <w:rPr>
          <w:rFonts w:hint="eastAsia" w:ascii="宋体" w:hAnsi="宋体" w:eastAsia="宋体" w:cs="宋体"/>
          <w:bCs/>
          <w:color w:val="auto"/>
          <w:szCs w:val="21"/>
          <w:highlight w:val="none"/>
          <w:u w:val="single"/>
          <w:lang w:eastAsia="zh-CN"/>
        </w:rPr>
        <w:t>响应文件</w:t>
      </w:r>
      <w:r>
        <w:rPr>
          <w:rFonts w:hint="eastAsia" w:ascii="宋体" w:hAnsi="宋体" w:eastAsia="宋体" w:cs="宋体"/>
          <w:bCs/>
          <w:color w:val="auto"/>
          <w:szCs w:val="21"/>
          <w:highlight w:val="none"/>
          <w:u w:val="single"/>
        </w:rPr>
        <w:t>截止日期前28天当期云南省昆明市发布的《价格指导》，在《价格指导》上查找不到的材料价格，采用同期《云南省建设工程材料及设备价格信息》中昆明市价格。</w:t>
      </w:r>
    </w:p>
    <w:p w14:paraId="63EF7A27">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②调差计算方式：差价为施工期间同类材料加权平均指导价格与合同工程基准期（招标工程为递交</w:t>
      </w:r>
      <w:r>
        <w:rPr>
          <w:rFonts w:hint="eastAsia" w:ascii="宋体" w:hAnsi="宋体" w:eastAsia="宋体" w:cs="宋体"/>
          <w:bCs/>
          <w:color w:val="auto"/>
          <w:szCs w:val="21"/>
          <w:highlight w:val="none"/>
          <w:u w:val="single"/>
          <w:lang w:eastAsia="zh-CN"/>
        </w:rPr>
        <w:t>响应文件</w:t>
      </w:r>
      <w:r>
        <w:rPr>
          <w:rFonts w:hint="eastAsia" w:ascii="宋体" w:hAnsi="宋体" w:eastAsia="宋体" w:cs="宋体"/>
          <w:bCs/>
          <w:color w:val="auto"/>
          <w:szCs w:val="21"/>
          <w:highlight w:val="none"/>
          <w:u w:val="single"/>
        </w:rPr>
        <w:t>截止日期前28天）当期的材料指导价格的差额。 施工期材料加权平均指导价按下列公式计算：施工期材料加权平均指导价=∑（每月实际使用量×当期材料指导价）／同类材料总用量 。</w:t>
      </w:r>
      <w:r>
        <w:rPr>
          <w:rFonts w:hint="eastAsia" w:ascii="宋体" w:hAnsi="宋体" w:eastAsia="宋体" w:cs="宋体"/>
          <w:bCs/>
          <w:color w:val="auto"/>
          <w:szCs w:val="21"/>
          <w:highlight w:val="none"/>
          <w:u w:val="single"/>
        </w:rPr>
        <w:br w:type="textWrapping"/>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③因发包人原因造成工期延误的，延误期间发生的材料价格上涨差额由发包人承担；因承包人原因造成工期延误的，延误期间发生的材料价格上涨差额由承包人承担。</w:t>
      </w:r>
    </w:p>
    <w:p w14:paraId="357B41DC">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④人工费及机械台班费不予调整。</w:t>
      </w:r>
    </w:p>
    <w:p w14:paraId="1262335C">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⑤专业工程暂估价按专用条款第12条执行。</w:t>
      </w:r>
    </w:p>
    <w:p w14:paraId="1A45461C">
      <w:pPr>
        <w:autoSpaceDE w:val="0"/>
        <w:autoSpaceDN w:val="0"/>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 </w:t>
      </w:r>
      <w:bookmarkEnd w:id="756"/>
      <w:bookmarkEnd w:id="757"/>
      <w:bookmarkEnd w:id="758"/>
      <w:bookmarkEnd w:id="759"/>
      <w:bookmarkEnd w:id="760"/>
      <w:bookmarkEnd w:id="761"/>
      <w:bookmarkEnd w:id="762"/>
      <w:bookmarkEnd w:id="763"/>
      <w:bookmarkEnd w:id="764"/>
      <w:bookmarkEnd w:id="765"/>
      <w:r>
        <w:rPr>
          <w:rFonts w:hint="eastAsia" w:ascii="宋体" w:hAnsi="宋体" w:eastAsia="宋体" w:cs="宋体"/>
          <w:b/>
          <w:bCs/>
          <w:color w:val="auto"/>
          <w:szCs w:val="21"/>
          <w:highlight w:val="none"/>
        </w:rPr>
        <w:t>合同价格、计量与支付</w:t>
      </w:r>
      <w:bookmarkEnd w:id="766"/>
    </w:p>
    <w:bookmarkEnd w:id="767"/>
    <w:bookmarkEnd w:id="768"/>
    <w:bookmarkEnd w:id="769"/>
    <w:bookmarkEnd w:id="770"/>
    <w:bookmarkEnd w:id="771"/>
    <w:bookmarkEnd w:id="772"/>
    <w:p w14:paraId="51EE6C28">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773" w:name="_Toc292559916"/>
      <w:bookmarkStart w:id="774" w:name="_Toc292559411"/>
      <w:bookmarkStart w:id="775" w:name="_Toc267251461"/>
      <w:bookmarkStart w:id="776" w:name="_Toc297048392"/>
      <w:bookmarkStart w:id="777" w:name="_Toc297120506"/>
      <w:bookmarkStart w:id="778" w:name="_Toc296347205"/>
      <w:bookmarkStart w:id="779" w:name="_Toc296891246"/>
      <w:bookmarkStart w:id="780" w:name="_Toc296346707"/>
      <w:bookmarkStart w:id="781" w:name="_Toc296891034"/>
      <w:bookmarkStart w:id="782" w:name="_Toc296944545"/>
      <w:bookmarkStart w:id="783" w:name="_Toc296503206"/>
      <w:bookmarkStart w:id="784" w:name="_Toc300935003"/>
      <w:bookmarkStart w:id="785" w:name="_Toc297216212"/>
      <w:bookmarkStart w:id="786" w:name="_Toc297123553"/>
      <w:bookmarkStart w:id="787" w:name="_Toc303539160"/>
      <w:bookmarkStart w:id="788" w:name="_Toc304295580"/>
      <w:bookmarkStart w:id="789" w:name="_Toc312678041"/>
      <w:r>
        <w:rPr>
          <w:rFonts w:hint="eastAsia" w:ascii="宋体" w:hAnsi="宋体" w:eastAsia="宋体" w:cs="宋体"/>
          <w:b/>
          <w:color w:val="auto"/>
          <w:szCs w:val="21"/>
          <w:highlight w:val="none"/>
        </w:rPr>
        <w:t>12.1 合</w:t>
      </w:r>
      <w:bookmarkEnd w:id="773"/>
      <w:bookmarkEnd w:id="774"/>
      <w:bookmarkEnd w:id="775"/>
      <w:r>
        <w:rPr>
          <w:rFonts w:hint="eastAsia" w:ascii="宋体" w:hAnsi="宋体" w:eastAsia="宋体" w:cs="宋体"/>
          <w:b/>
          <w:color w:val="auto"/>
          <w:szCs w:val="21"/>
          <w:highlight w:val="none"/>
        </w:rPr>
        <w:t>同价</w:t>
      </w:r>
      <w:bookmarkEnd w:id="776"/>
      <w:bookmarkEnd w:id="777"/>
      <w:bookmarkEnd w:id="778"/>
      <w:bookmarkEnd w:id="779"/>
      <w:bookmarkEnd w:id="780"/>
      <w:bookmarkEnd w:id="781"/>
      <w:bookmarkEnd w:id="782"/>
      <w:bookmarkEnd w:id="783"/>
      <w:r>
        <w:rPr>
          <w:rFonts w:hint="eastAsia" w:ascii="宋体" w:hAnsi="宋体" w:eastAsia="宋体" w:cs="宋体"/>
          <w:b/>
          <w:color w:val="auto"/>
          <w:szCs w:val="21"/>
          <w:highlight w:val="none"/>
        </w:rPr>
        <w:t>格形式</w:t>
      </w:r>
    </w:p>
    <w:bookmarkEnd w:id="784"/>
    <w:bookmarkEnd w:id="785"/>
    <w:bookmarkEnd w:id="786"/>
    <w:bookmarkEnd w:id="787"/>
    <w:bookmarkEnd w:id="788"/>
    <w:bookmarkEnd w:id="789"/>
    <w:p w14:paraId="6E1D4121">
      <w:pPr>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1、本合同采用</w:t>
      </w:r>
      <w:r>
        <w:rPr>
          <w:rFonts w:hint="eastAsia" w:ascii="宋体" w:hAnsi="宋体" w:eastAsia="宋体" w:cs="宋体"/>
          <w:b/>
          <w:bCs/>
          <w:color w:val="auto"/>
          <w:szCs w:val="21"/>
          <w:highlight w:val="none"/>
          <w:u w:val="single"/>
        </w:rPr>
        <w:t>固定单价</w:t>
      </w:r>
      <w:r>
        <w:rPr>
          <w:rFonts w:hint="eastAsia" w:ascii="宋体" w:hAnsi="宋体" w:eastAsia="宋体" w:cs="宋体"/>
          <w:color w:val="auto"/>
          <w:szCs w:val="21"/>
          <w:highlight w:val="none"/>
        </w:rPr>
        <w:t>合同形式（</w:t>
      </w:r>
      <w:r>
        <w:rPr>
          <w:rFonts w:hint="eastAsia" w:ascii="宋体" w:hAnsi="宋体" w:eastAsia="宋体" w:cs="宋体"/>
          <w:color w:val="auto"/>
          <w:szCs w:val="21"/>
          <w:highlight w:val="none"/>
          <w:u w:val="single"/>
        </w:rPr>
        <w:t>本合同固定单价是指</w:t>
      </w:r>
      <w:r>
        <w:rPr>
          <w:rFonts w:hint="eastAsia" w:ascii="宋体" w:hAnsi="宋体" w:eastAsia="宋体" w:cs="宋体"/>
          <w:snapToGrid w:val="0"/>
          <w:color w:val="auto"/>
          <w:kern w:val="21"/>
          <w:szCs w:val="21"/>
          <w:highlight w:val="none"/>
          <w:u w:val="single"/>
        </w:rPr>
        <w:t>磋商报价时已标价工程量清单中的综合单价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，工程量按实际完成工程量结算。</w:t>
      </w:r>
      <w:r>
        <w:rPr>
          <w:rFonts w:hint="eastAsia" w:ascii="宋体" w:hAnsi="宋体" w:eastAsia="宋体" w:cs="宋体"/>
          <w:color w:val="auto"/>
          <w:szCs w:val="21"/>
          <w:highlight w:val="none"/>
          <w:u w:val="single"/>
        </w:rPr>
        <w:t>已包含人工费、材料费、机械费、管理费、利润、市场风险费、税费以及为完成本项目发生的各种成本。</w:t>
      </w:r>
      <w:r>
        <w:rPr>
          <w:rFonts w:hint="eastAsia" w:ascii="宋体" w:hAnsi="宋体" w:eastAsia="宋体" w:cs="宋体"/>
          <w:color w:val="auto"/>
          <w:szCs w:val="21"/>
          <w:highlight w:val="none"/>
        </w:rPr>
        <w:t>若因现场其他因素造成的特殊情况由双方协商解决。</w:t>
      </w:r>
    </w:p>
    <w:p w14:paraId="6BD430B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合同价款中包括的风险范围：</w:t>
      </w:r>
    </w:p>
    <w:p w14:paraId="2235F4FC">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材料市场价格波动风险：不论投标范围内的主要材料市场单价发生上涨或下降合同固定单价都不作调整。承包人在投标书中承诺的材料、设备生产厂家、产地、质量、规格、型号等承包人不得擅自更改；承包人在投标书中承诺的材料价格、品牌与实际采购不相符合,结算扣减。</w:t>
      </w:r>
    </w:p>
    <w:p w14:paraId="7CDD0C8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（2）政策性调价风险：本合同只执行本项目响应文件递交截止日期时工程所在地建设行政主管部门发布的计价方法及有关配套计价文件，承包人自行承担投标期间政策性调价风险。</w:t>
      </w:r>
    </w:p>
    <w:p w14:paraId="22E4C22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（3）已有清单项目工程量增减的风险，实施过程中，由于工程设计变更、施工条件变更、签证引起的已有清单项目工程量的变化，结算时，投标报价中的综合单价均不予调整。</w:t>
      </w:r>
      <w:r>
        <w:rPr>
          <w:rFonts w:hint="eastAsia" w:ascii="宋体" w:hAnsi="宋体" w:eastAsia="宋体" w:cs="宋体"/>
          <w:color w:val="auto"/>
          <w:szCs w:val="21"/>
          <w:highlight w:val="none"/>
        </w:rPr>
        <w:t>新增项目在已标价工程量清单中没有适用、但有类似于变更工程项目的，可在合理范围内参照类似项目的单价；已标价工程量清单中没有适用也没有类似于变更工程项目的，由承包人根据变更工程资料、计量规则和计价办法、工程造价管理机构发布的信息价格和承包人报价浮动率提出变更工程项目的单价，报发包人确认后调整。报价浮动率按下列公式计算：报价浮动率=（1—签约合同价/控制价）×100%。（注：项目过程中，发包人有权对各项价格进行核查，对于严重超过市场价格被认定为不合理、不平衡报价的单项，如果发生数量变动，将按照有利于发包人的单价进行认定。）</w:t>
      </w:r>
    </w:p>
    <w:p w14:paraId="740CBF5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（4）采购范围内的工程量清单项目取消时，按其工程量清单数量乘合同综合单价及对应规费、税金全部扣减。</w:t>
      </w:r>
    </w:p>
    <w:p w14:paraId="08CC092B">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（5）承包人使用机械设备、施工技术以及组织管理水平等自身原因造成施工费用增加的，由承包人全部承担。</w:t>
      </w:r>
    </w:p>
    <w:p w14:paraId="2642DA1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3EABBB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A11743C">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790" w:name="_Toc36392407"/>
      <w:bookmarkStart w:id="791" w:name="_Toc312678042"/>
      <w:bookmarkStart w:id="792" w:name="_Toc297123554"/>
      <w:bookmarkStart w:id="793" w:name="_Toc304295581"/>
      <w:bookmarkStart w:id="794" w:name="_Toc303539161"/>
      <w:bookmarkStart w:id="795" w:name="_Toc297216213"/>
      <w:bookmarkStart w:id="796" w:name="_Toc300935004"/>
      <w:bookmarkStart w:id="797" w:name="_Toc296891247"/>
      <w:bookmarkStart w:id="798" w:name="_Toc297120507"/>
      <w:bookmarkStart w:id="799" w:name="_Toc296503207"/>
      <w:bookmarkStart w:id="800" w:name="_Toc292559917"/>
      <w:bookmarkStart w:id="801" w:name="_Toc292559412"/>
      <w:bookmarkStart w:id="802" w:name="_Toc296891035"/>
      <w:bookmarkStart w:id="803" w:name="_Toc297048393"/>
      <w:bookmarkStart w:id="804" w:name="_Toc296346708"/>
      <w:bookmarkStart w:id="805" w:name="_Toc296347206"/>
      <w:bookmarkStart w:id="806" w:name="_Toc296944546"/>
      <w:r>
        <w:rPr>
          <w:rFonts w:hint="eastAsia" w:ascii="宋体" w:hAnsi="宋体" w:eastAsia="宋体" w:cs="宋体"/>
          <w:b/>
          <w:color w:val="auto"/>
          <w:szCs w:val="21"/>
          <w:highlight w:val="none"/>
        </w:rPr>
        <w:t>12.2 预付款</w:t>
      </w:r>
      <w:bookmarkEnd w:id="790"/>
    </w:p>
    <w:bookmarkEnd w:id="791"/>
    <w:bookmarkEnd w:id="792"/>
    <w:bookmarkEnd w:id="793"/>
    <w:bookmarkEnd w:id="794"/>
    <w:bookmarkEnd w:id="795"/>
    <w:bookmarkEnd w:id="796"/>
    <w:p w14:paraId="5A2F8A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1A82E857">
      <w:pPr>
        <w:spacing w:line="360" w:lineRule="auto"/>
        <w:ind w:firstLine="420" w:firstLineChars="200"/>
        <w:rPr>
          <w:rFonts w:hint="eastAsia" w:ascii="宋体" w:hAnsi="宋体" w:eastAsia="宋体" w:cs="宋体"/>
          <w:bCs/>
          <w:color w:val="auto"/>
          <w:szCs w:val="21"/>
          <w:highlight w:val="none"/>
          <w:u w:val="none"/>
          <w:lang w:eastAsia="zh-CN"/>
        </w:rPr>
      </w:pPr>
      <w:r>
        <w:rPr>
          <w:rFonts w:hint="eastAsia" w:ascii="宋体" w:hAnsi="宋体" w:eastAsia="宋体" w:cs="宋体"/>
          <w:bCs/>
          <w:color w:val="auto"/>
          <w:szCs w:val="21"/>
          <w:highlight w:val="none"/>
        </w:rPr>
        <w:t>预付款支付比例或金额：</w:t>
      </w:r>
      <w:r>
        <w:rPr>
          <w:rFonts w:hint="eastAsia" w:ascii="宋体" w:hAnsi="宋体" w:eastAsia="宋体" w:cs="宋体"/>
          <w:bCs/>
          <w:color w:val="auto"/>
          <w:szCs w:val="21"/>
          <w:highlight w:val="none"/>
          <w:u w:val="single"/>
        </w:rPr>
        <w:t xml:space="preserve">   双方自行协商   </w:t>
      </w:r>
      <w:r>
        <w:rPr>
          <w:rFonts w:hint="eastAsia" w:ascii="宋体" w:hAnsi="宋体" w:eastAsia="宋体" w:cs="宋体"/>
          <w:bCs/>
          <w:color w:val="auto"/>
          <w:szCs w:val="21"/>
          <w:highlight w:val="none"/>
          <w:u w:val="none"/>
          <w:lang w:eastAsia="zh-CN"/>
        </w:rPr>
        <w:t>。</w:t>
      </w:r>
    </w:p>
    <w:p w14:paraId="19013B63">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预付款支付期限：</w:t>
      </w:r>
      <w:r>
        <w:rPr>
          <w:rFonts w:hint="eastAsia" w:ascii="宋体" w:hAnsi="宋体" w:eastAsia="宋体" w:cs="宋体"/>
          <w:bCs/>
          <w:color w:val="auto"/>
          <w:szCs w:val="21"/>
          <w:highlight w:val="none"/>
          <w:u w:val="single"/>
        </w:rPr>
        <w:t xml:space="preserve">   双方自行协商   </w:t>
      </w:r>
      <w:r>
        <w:rPr>
          <w:rFonts w:hint="eastAsia" w:ascii="宋体" w:hAnsi="宋体" w:eastAsia="宋体" w:cs="宋体"/>
          <w:bCs/>
          <w:color w:val="auto"/>
          <w:szCs w:val="21"/>
          <w:highlight w:val="none"/>
        </w:rPr>
        <w:t>。</w:t>
      </w:r>
    </w:p>
    <w:p w14:paraId="5E240115">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预付款扣回的方式：</w:t>
      </w:r>
      <w:r>
        <w:rPr>
          <w:rFonts w:hint="eastAsia" w:ascii="宋体" w:hAnsi="宋体" w:eastAsia="宋体" w:cs="宋体"/>
          <w:bCs/>
          <w:color w:val="auto"/>
          <w:szCs w:val="21"/>
          <w:highlight w:val="none"/>
          <w:u w:val="single"/>
        </w:rPr>
        <w:t xml:space="preserve">    双方自行协商   </w:t>
      </w:r>
      <w:r>
        <w:rPr>
          <w:rFonts w:hint="eastAsia" w:ascii="宋体" w:hAnsi="宋体" w:eastAsia="宋体" w:cs="宋体"/>
          <w:bCs/>
          <w:color w:val="auto"/>
          <w:szCs w:val="21"/>
          <w:highlight w:val="none"/>
        </w:rPr>
        <w:t>。</w:t>
      </w:r>
    </w:p>
    <w:p w14:paraId="53E527E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14:paraId="648FA3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647E2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bookmarkEnd w:id="797"/>
    <w:bookmarkEnd w:id="798"/>
    <w:bookmarkEnd w:id="799"/>
    <w:bookmarkEnd w:id="800"/>
    <w:bookmarkEnd w:id="801"/>
    <w:bookmarkEnd w:id="802"/>
    <w:bookmarkEnd w:id="803"/>
    <w:bookmarkEnd w:id="804"/>
    <w:bookmarkEnd w:id="805"/>
    <w:bookmarkEnd w:id="806"/>
    <w:p w14:paraId="139AC219">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807" w:name="_Toc36392408"/>
      <w:r>
        <w:rPr>
          <w:rFonts w:hint="eastAsia" w:ascii="宋体" w:hAnsi="宋体" w:eastAsia="宋体" w:cs="宋体"/>
          <w:b/>
          <w:color w:val="auto"/>
          <w:szCs w:val="21"/>
          <w:highlight w:val="none"/>
        </w:rPr>
        <w:t xml:space="preserve">12.3 </w:t>
      </w:r>
      <w:bookmarkEnd w:id="807"/>
      <w:r>
        <w:rPr>
          <w:rFonts w:hint="eastAsia" w:ascii="宋体" w:hAnsi="宋体" w:eastAsia="宋体" w:cs="宋体"/>
          <w:b/>
          <w:color w:val="auto"/>
          <w:szCs w:val="21"/>
          <w:highlight w:val="none"/>
        </w:rPr>
        <w:t>计量、计价</w:t>
      </w:r>
    </w:p>
    <w:p w14:paraId="170FE1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计量、计价原则</w:t>
      </w:r>
    </w:p>
    <w:p w14:paraId="568A5F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执行标准：《建设工程工程量清单计价规范》（GB50500—2013）、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云南省住房和城乡建设厅关于云南省建设工程造价计价标准调整定额人工费的通知及造价管理部分发布的相关配套文件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云建科[2023]54号文</w:t>
      </w:r>
      <w:r>
        <w:rPr>
          <w:rFonts w:hint="eastAsia" w:ascii="宋体" w:hAnsi="宋体" w:eastAsia="宋体" w:cs="宋体"/>
          <w:color w:val="auto"/>
          <w:szCs w:val="21"/>
          <w:highlight w:val="none"/>
          <w:lang w:eastAsia="zh-CN"/>
        </w:rPr>
        <w:t>）”。</w:t>
      </w:r>
    </w:p>
    <w:p w14:paraId="5F69BAA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14:paraId="0C5348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按月计量</w:t>
      </w:r>
      <w:r>
        <w:rPr>
          <w:rFonts w:hint="eastAsia" w:ascii="宋体" w:hAnsi="宋体" w:eastAsia="宋体" w:cs="宋体"/>
          <w:color w:val="auto"/>
          <w:szCs w:val="21"/>
          <w:highlight w:val="none"/>
        </w:rPr>
        <w:t>。</w:t>
      </w:r>
    </w:p>
    <w:p w14:paraId="2A41F43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14:paraId="275E60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rPr>
        <w:t xml:space="preserve"> 按月计量</w:t>
      </w:r>
      <w:r>
        <w:rPr>
          <w:rFonts w:hint="eastAsia" w:ascii="宋体" w:hAnsi="宋体" w:eastAsia="宋体" w:cs="宋体"/>
          <w:color w:val="auto"/>
          <w:szCs w:val="21"/>
          <w:highlight w:val="none"/>
        </w:rPr>
        <w:t>。</w:t>
      </w:r>
    </w:p>
    <w:p w14:paraId="6613A45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14:paraId="3702669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879234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w:t>
      </w:r>
      <w:r>
        <w:rPr>
          <w:rFonts w:hint="eastAsia" w:ascii="宋体" w:hAnsi="宋体" w:eastAsia="宋体" w:cs="宋体"/>
          <w:color w:val="auto"/>
          <w:kern w:val="0"/>
          <w:szCs w:val="21"/>
          <w:highlight w:val="none"/>
        </w:rPr>
        <w:t xml:space="preserve">12.3.4 </w:t>
      </w:r>
      <w:r>
        <w:rPr>
          <w:rFonts w:hint="eastAsia" w:ascii="宋体" w:hAnsi="宋体" w:eastAsia="宋体" w:cs="宋体"/>
          <w:color w:val="auto"/>
          <w:szCs w:val="21"/>
          <w:highlight w:val="none"/>
        </w:rPr>
        <w:t>项</w:t>
      </w:r>
      <w:r>
        <w:rPr>
          <w:rFonts w:hint="eastAsia" w:ascii="宋体" w:hAnsi="宋体" w:eastAsia="宋体" w:cs="宋体"/>
          <w:color w:val="auto"/>
          <w:kern w:val="0"/>
          <w:szCs w:val="21"/>
          <w:highlight w:val="none"/>
        </w:rPr>
        <w:t>〔总价合同的计量〕</w:t>
      </w:r>
      <w:r>
        <w:rPr>
          <w:rFonts w:hint="eastAsia" w:ascii="宋体" w:hAnsi="宋体" w:eastAsia="宋体" w:cs="宋体"/>
          <w:color w:val="auto"/>
          <w:szCs w:val="21"/>
          <w:highlight w:val="none"/>
        </w:rPr>
        <w:t>约定进行计量：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AB101F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14:paraId="5A2647F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3A26AC7">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808" w:name="_Toc36392409"/>
      <w:r>
        <w:rPr>
          <w:rFonts w:hint="eastAsia" w:ascii="宋体" w:hAnsi="宋体" w:eastAsia="宋体" w:cs="宋体"/>
          <w:b/>
          <w:color w:val="auto"/>
          <w:szCs w:val="21"/>
          <w:highlight w:val="none"/>
        </w:rPr>
        <w:t>12.4 工程进度款支付</w:t>
      </w:r>
      <w:bookmarkEnd w:id="808"/>
    </w:p>
    <w:p w14:paraId="1DA80E17">
      <w:pPr>
        <w:spacing w:line="360" w:lineRule="auto"/>
        <w:ind w:firstLine="420" w:firstLineChars="200"/>
        <w:rPr>
          <w:rFonts w:hint="eastAsia" w:ascii="宋体" w:hAnsi="宋体" w:eastAsia="宋体" w:cs="宋体"/>
          <w:color w:val="auto"/>
          <w:szCs w:val="21"/>
          <w:highlight w:val="none"/>
        </w:rPr>
      </w:pPr>
      <w:bookmarkStart w:id="809" w:name="_Toc296891251"/>
      <w:bookmarkStart w:id="810" w:name="_Toc300935006"/>
      <w:bookmarkStart w:id="811" w:name="_Toc296503211"/>
      <w:bookmarkStart w:id="812" w:name="_Toc292559921"/>
      <w:bookmarkStart w:id="813" w:name="_Toc296944550"/>
      <w:bookmarkStart w:id="814" w:name="_Toc297048397"/>
      <w:bookmarkStart w:id="815" w:name="_Toc303539163"/>
      <w:bookmarkStart w:id="816" w:name="_Toc292559416"/>
      <w:bookmarkStart w:id="817" w:name="_Toc296347210"/>
      <w:bookmarkStart w:id="818" w:name="_Toc297120511"/>
      <w:bookmarkStart w:id="819" w:name="_Toc297216215"/>
      <w:bookmarkStart w:id="820" w:name="_Toc296346712"/>
      <w:bookmarkStart w:id="821" w:name="_Toc296891039"/>
      <w:bookmarkStart w:id="822" w:name="_Toc297123556"/>
      <w:r>
        <w:rPr>
          <w:rFonts w:hint="eastAsia" w:ascii="宋体" w:hAnsi="宋体" w:eastAsia="宋体" w:cs="宋体"/>
          <w:color w:val="auto"/>
          <w:szCs w:val="21"/>
          <w:highlight w:val="none"/>
        </w:rPr>
        <w:t>12.4.1 付款周期</w:t>
      </w:r>
    </w:p>
    <w:p w14:paraId="01CA2A8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关于付款周期的约定：</w:t>
      </w:r>
    </w:p>
    <w:p w14:paraId="103B01CD">
      <w:pPr>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收到甲方项目负责人审核确认的申请单后7日内，按审核后的工程已完进度额度的   ％支付当月已完工程进度款项，工程竣工验收合格后，支付到合同总价的    ％，施工单位完成工程结算资料报送发包人委托的审计单位，取得最终审计结算报告后30天内支付至工程结算金额的    ％，留    ％作为工程质量保修金，在工程保修期满后无质量问题在30天内不计息退还，如出现质量问题，按实际双方协商的情况不计息退还。</w:t>
      </w:r>
    </w:p>
    <w:p w14:paraId="7CB83E46">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12.4.2 进度付款申请单的编制</w:t>
      </w:r>
    </w:p>
    <w:p w14:paraId="5511DF11">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关于进度付款申请单编制的约定：</w:t>
      </w:r>
      <w:r>
        <w:rPr>
          <w:rFonts w:hint="eastAsia" w:ascii="宋体" w:hAnsi="宋体" w:eastAsia="宋体" w:cs="宋体"/>
          <w:bCs/>
          <w:color w:val="auto"/>
          <w:szCs w:val="21"/>
          <w:highlight w:val="none"/>
          <w:u w:val="single"/>
        </w:rPr>
        <w:t xml:space="preserve"> 按相关要求执行 </w:t>
      </w:r>
      <w:r>
        <w:rPr>
          <w:rFonts w:hint="eastAsia" w:ascii="宋体" w:hAnsi="宋体" w:eastAsia="宋体" w:cs="宋体"/>
          <w:bCs/>
          <w:color w:val="auto"/>
          <w:szCs w:val="21"/>
          <w:highlight w:val="none"/>
        </w:rPr>
        <w:t>。</w:t>
      </w:r>
    </w:p>
    <w:p w14:paraId="7C0BB8B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12.4.3 进度付款申请单的提交</w:t>
      </w:r>
    </w:p>
    <w:p w14:paraId="67B5CCC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（1）单价合同进度付款申请单提交的约定：</w:t>
      </w:r>
      <w:r>
        <w:rPr>
          <w:rFonts w:hint="eastAsia" w:ascii="宋体" w:hAnsi="宋体" w:eastAsia="宋体" w:cs="宋体"/>
          <w:bCs/>
          <w:color w:val="auto"/>
          <w:szCs w:val="21"/>
          <w:highlight w:val="none"/>
          <w:u w:val="single"/>
        </w:rPr>
        <w:t xml:space="preserve">  每月</w:t>
      </w:r>
      <w:r>
        <w:rPr>
          <w:rFonts w:hint="eastAsia" w:ascii="宋体" w:hAnsi="宋体" w:eastAsia="宋体" w:cs="宋体"/>
          <w:bCs/>
          <w:color w:val="auto"/>
          <w:szCs w:val="21"/>
          <w:highlight w:val="none"/>
          <w:u w:val="single"/>
          <w:lang w:val="en-US" w:eastAsia="zh-CN"/>
        </w:rPr>
        <w:t>提交</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A1C1D8D">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E2CA29B">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（3）其他价格形式合同进度付款申请单提交的约定：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B318E1D">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12.4.4 进度款审核和支付</w:t>
      </w:r>
    </w:p>
    <w:p w14:paraId="212FC46A">
      <w:pPr>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（1）监理人审查并报送发包人的期限：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8CD46E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发包人完成审批并签发进度款支付证书的期限：</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w:t>
      </w:r>
    </w:p>
    <w:p w14:paraId="53EBAFBA">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（2）发包人支付进度款的期限：</w:t>
      </w:r>
      <w:r>
        <w:rPr>
          <w:rFonts w:hint="eastAsia" w:ascii="宋体" w:hAnsi="宋体" w:eastAsia="宋体" w:cs="宋体"/>
          <w:bCs/>
          <w:color w:val="auto"/>
          <w:szCs w:val="21"/>
          <w:highlight w:val="none"/>
          <w:u w:val="single"/>
        </w:rPr>
        <w:t xml:space="preserve"> 申请资料报送齐全，达到月度支付条件，款项支付金额经发包人审核通过之日起15日内支付 </w:t>
      </w:r>
      <w:r>
        <w:rPr>
          <w:rFonts w:hint="eastAsia" w:ascii="宋体" w:hAnsi="宋体" w:eastAsia="宋体" w:cs="宋体"/>
          <w:bCs/>
          <w:color w:val="auto"/>
          <w:szCs w:val="21"/>
          <w:highlight w:val="none"/>
        </w:rPr>
        <w:t>。</w:t>
      </w:r>
    </w:p>
    <w:p w14:paraId="79E0EA6C">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29174F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12.4.6 支付分解表的编制</w:t>
      </w:r>
    </w:p>
    <w:p w14:paraId="3BC30E00">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50D39124">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3、单价合同的总价项目支付分解表的编制与审批：</w:t>
      </w:r>
      <w:r>
        <w:rPr>
          <w:rFonts w:hint="eastAsia" w:ascii="宋体" w:hAnsi="宋体" w:eastAsia="宋体" w:cs="宋体"/>
          <w:bCs/>
          <w:color w:val="auto"/>
          <w:szCs w:val="21"/>
          <w:highlight w:val="none"/>
          <w:u w:val="single"/>
        </w:rPr>
        <w:t xml:space="preserve">   按相关要求执行     </w:t>
      </w:r>
      <w:r>
        <w:rPr>
          <w:rFonts w:hint="eastAsia" w:ascii="宋体" w:hAnsi="宋体" w:eastAsia="宋体" w:cs="宋体"/>
          <w:bCs/>
          <w:color w:val="auto"/>
          <w:szCs w:val="21"/>
          <w:highlight w:val="none"/>
        </w:rPr>
        <w:t>。</w:t>
      </w:r>
    </w:p>
    <w:p w14:paraId="2A0E439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合同价款付款方式：公对公转账。</w:t>
      </w:r>
    </w:p>
    <w:bookmarkEnd w:id="649"/>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14:paraId="480B15D4">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823" w:name="_Toc351203645"/>
      <w:bookmarkStart w:id="824" w:name="_Toc297048405"/>
      <w:bookmarkStart w:id="825" w:name="_Toc296944558"/>
      <w:bookmarkStart w:id="826" w:name="_Toc303539172"/>
      <w:bookmarkStart w:id="827" w:name="_Toc296891259"/>
      <w:bookmarkStart w:id="828" w:name="_Toc292559424"/>
      <w:bookmarkStart w:id="829" w:name="_Toc297120519"/>
      <w:bookmarkStart w:id="830" w:name="_Toc297123564"/>
      <w:bookmarkStart w:id="831" w:name="_Toc292559929"/>
      <w:bookmarkStart w:id="832" w:name="_Toc300935015"/>
      <w:bookmarkStart w:id="833" w:name="_Toc304295593"/>
      <w:bookmarkStart w:id="834" w:name="_Toc297216223"/>
      <w:bookmarkStart w:id="835" w:name="_Toc296503219"/>
      <w:bookmarkStart w:id="836" w:name="_Toc296891047"/>
      <w:bookmarkStart w:id="837" w:name="_Toc312678053"/>
      <w:bookmarkStart w:id="838" w:name="_Toc296346720"/>
      <w:bookmarkStart w:id="839" w:name="_Toc296347218"/>
      <w:r>
        <w:rPr>
          <w:rFonts w:hint="eastAsia" w:ascii="宋体" w:hAnsi="宋体" w:eastAsia="宋体" w:cs="宋体"/>
          <w:b/>
          <w:bCs/>
          <w:color w:val="auto"/>
          <w:szCs w:val="21"/>
          <w:highlight w:val="none"/>
        </w:rPr>
        <w:t>13.验收和工程试车</w:t>
      </w:r>
      <w:bookmarkEnd w:id="823"/>
    </w:p>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14:paraId="235F96D1">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13.1 分部分项工程验收</w:t>
      </w:r>
    </w:p>
    <w:p w14:paraId="6313FAF4">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13.1.2 发包人不能按时进行验收时，应提前</w:t>
      </w:r>
      <w:r>
        <w:rPr>
          <w:rFonts w:hint="eastAsia" w:ascii="宋体" w:hAnsi="宋体" w:eastAsia="宋体" w:cs="宋体"/>
          <w:color w:val="auto"/>
          <w:szCs w:val="21"/>
          <w:highlight w:val="none"/>
          <w:u w:val="single"/>
        </w:rPr>
        <w:t>24</w:t>
      </w:r>
      <w:r>
        <w:rPr>
          <w:rFonts w:hint="eastAsia" w:ascii="宋体" w:hAnsi="宋体" w:eastAsia="宋体" w:cs="宋体"/>
          <w:color w:val="auto"/>
          <w:szCs w:val="21"/>
          <w:highlight w:val="none"/>
        </w:rPr>
        <w:t>小时提交书面延期要求，延期最长不得超过</w:t>
      </w:r>
      <w:r>
        <w:rPr>
          <w:rFonts w:hint="eastAsia" w:ascii="宋体" w:hAnsi="宋体" w:eastAsia="宋体" w:cs="宋体"/>
          <w:color w:val="auto"/>
          <w:szCs w:val="21"/>
          <w:highlight w:val="none"/>
          <w:u w:val="single"/>
        </w:rPr>
        <w:t>48</w:t>
      </w:r>
      <w:r>
        <w:rPr>
          <w:rFonts w:hint="eastAsia" w:ascii="宋体" w:hAnsi="宋体" w:eastAsia="宋体" w:cs="宋体"/>
          <w:color w:val="auto"/>
          <w:szCs w:val="21"/>
          <w:highlight w:val="none"/>
        </w:rPr>
        <w:t>小时。</w:t>
      </w:r>
    </w:p>
    <w:p w14:paraId="46C0283A">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bookmarkStart w:id="840" w:name="_Toc292559428"/>
      <w:bookmarkStart w:id="841" w:name="_Toc297216224"/>
      <w:bookmarkStart w:id="842" w:name="_Toc296347222"/>
      <w:bookmarkStart w:id="843" w:name="_Toc296891263"/>
      <w:bookmarkStart w:id="844" w:name="_Toc297123565"/>
      <w:bookmarkStart w:id="845" w:name="_Toc300935016"/>
      <w:bookmarkStart w:id="846" w:name="_Toc312678056"/>
      <w:bookmarkStart w:id="847" w:name="_Toc296346724"/>
      <w:bookmarkStart w:id="848" w:name="_Toc292559933"/>
      <w:bookmarkStart w:id="849" w:name="_Toc297120523"/>
      <w:bookmarkStart w:id="850" w:name="_Toc296891051"/>
      <w:bookmarkStart w:id="851" w:name="_Toc296944562"/>
      <w:bookmarkStart w:id="852" w:name="_Toc304295596"/>
      <w:bookmarkStart w:id="853" w:name="_Toc303539173"/>
      <w:bookmarkStart w:id="854" w:name="_Toc297048409"/>
      <w:bookmarkStart w:id="855" w:name="_Toc296503223"/>
      <w:bookmarkStart w:id="856" w:name="_Toc267251474"/>
      <w:bookmarkStart w:id="857" w:name="_Toc267251475"/>
      <w:bookmarkStart w:id="858" w:name="_Toc267251473"/>
      <w:bookmarkStart w:id="859" w:name="_Toc267251470"/>
      <w:bookmarkStart w:id="860" w:name="_Toc267251472"/>
      <w:bookmarkStart w:id="861" w:name="_Toc267251476"/>
      <w:bookmarkStart w:id="862" w:name="_Toc267251471"/>
      <w:r>
        <w:rPr>
          <w:rFonts w:hint="eastAsia" w:ascii="宋体" w:hAnsi="宋体" w:eastAsia="宋体" w:cs="宋体"/>
          <w:b/>
          <w:color w:val="auto"/>
          <w:szCs w:val="21"/>
          <w:highlight w:val="none"/>
        </w:rPr>
        <w:t>13.2 竣工验收</w:t>
      </w:r>
    </w:p>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14:paraId="63A7804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bookmarkStart w:id="863" w:name="_Toc280868704"/>
      <w:bookmarkStart w:id="864" w:name="_Toc280868705"/>
      <w:bookmarkStart w:id="865" w:name="_Toc280868706"/>
      <w:bookmarkStart w:id="866" w:name="_Toc280868707"/>
      <w:bookmarkStart w:id="867" w:name="_Toc280868708"/>
      <w:bookmarkStart w:id="868" w:name="_Toc280868709"/>
      <w:r>
        <w:rPr>
          <w:rFonts w:hint="eastAsia" w:ascii="宋体" w:hAnsi="宋体" w:eastAsia="宋体" w:cs="宋体"/>
          <w:color w:val="auto"/>
          <w:szCs w:val="21"/>
          <w:highlight w:val="none"/>
        </w:rPr>
        <w:t>13.2.2 竣工验收程序</w:t>
      </w:r>
    </w:p>
    <w:bookmarkEnd w:id="863"/>
    <w:p w14:paraId="66D87A1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关于竣工验收程序的约定：</w:t>
      </w:r>
      <w:r>
        <w:rPr>
          <w:rFonts w:hint="eastAsia" w:ascii="宋体" w:hAnsi="宋体" w:eastAsia="宋体" w:cs="宋体"/>
          <w:color w:val="auto"/>
          <w:szCs w:val="21"/>
          <w:highlight w:val="none"/>
          <w:u w:val="single"/>
        </w:rPr>
        <w:t xml:space="preserve"> 执行“通用条款13.2.2 竣工验收程序”</w:t>
      </w:r>
      <w:r>
        <w:rPr>
          <w:rFonts w:hint="eastAsia" w:ascii="宋体" w:hAnsi="宋体" w:eastAsia="宋体" w:cs="宋体"/>
          <w:color w:val="auto"/>
          <w:szCs w:val="21"/>
          <w:highlight w:val="none"/>
        </w:rPr>
        <w:t>。</w:t>
      </w:r>
    </w:p>
    <w:bookmarkEnd w:id="864"/>
    <w:p w14:paraId="6909F9B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 移交、接收全部与部分工程</w:t>
      </w:r>
    </w:p>
    <w:bookmarkEnd w:id="865"/>
    <w:p w14:paraId="3AA0AF4B">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承包人向发包人移交工程的期限：</w:t>
      </w:r>
      <w:r>
        <w:rPr>
          <w:rFonts w:hint="eastAsia" w:ascii="宋体" w:hAnsi="宋体" w:eastAsia="宋体" w:cs="宋体"/>
          <w:color w:val="auto"/>
          <w:szCs w:val="21"/>
          <w:highlight w:val="none"/>
          <w:u w:val="single"/>
        </w:rPr>
        <w:t>执行“通用条款13.2.5 移交、接收全部与部分工程”</w:t>
      </w:r>
      <w:r>
        <w:rPr>
          <w:rFonts w:hint="eastAsia" w:ascii="宋体" w:hAnsi="宋体" w:eastAsia="宋体" w:cs="宋体"/>
          <w:color w:val="auto"/>
          <w:szCs w:val="21"/>
          <w:highlight w:val="none"/>
        </w:rPr>
        <w:t>。</w:t>
      </w:r>
    </w:p>
    <w:bookmarkEnd w:id="866"/>
    <w:p w14:paraId="1631E5D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关于承包人无正当理由不移交工程的违约责任的约定：</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bookmarkEnd w:id="867"/>
    <w:p w14:paraId="194727C2">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13.6 竣工退场</w:t>
      </w:r>
    </w:p>
    <w:p w14:paraId="3D057374">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 竣工退场</w:t>
      </w:r>
    </w:p>
    <w:p w14:paraId="10AD6AEC">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承包人完成竣工退场的期限：</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kern w:val="0"/>
          <w:szCs w:val="21"/>
          <w:highlight w:val="none"/>
        </w:rPr>
        <w:t>。</w:t>
      </w:r>
    </w:p>
    <w:p w14:paraId="2756AFA5">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869" w:name="_Toc351203646"/>
      <w:r>
        <w:rPr>
          <w:rFonts w:hint="eastAsia" w:ascii="宋体" w:hAnsi="宋体" w:eastAsia="宋体" w:cs="宋体"/>
          <w:b/>
          <w:bCs/>
          <w:color w:val="auto"/>
          <w:szCs w:val="21"/>
          <w:highlight w:val="none"/>
        </w:rPr>
        <w:t>14. 竣工结算</w:t>
      </w:r>
      <w:bookmarkEnd w:id="869"/>
    </w:p>
    <w:p w14:paraId="7234E3D2">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14.1 竣工结算申请</w:t>
      </w:r>
    </w:p>
    <w:p w14:paraId="5CCF33E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承包人提交竣工结算申请单的期限：工程竣工验收合格后</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日内。</w:t>
      </w:r>
    </w:p>
    <w:p w14:paraId="3A03333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竣工结算申请单应包括的内容：按通用条款执行。</w:t>
      </w:r>
    </w:p>
    <w:p w14:paraId="0552A2FE">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14.2 竣工结算审核</w:t>
      </w:r>
    </w:p>
    <w:p w14:paraId="6ED3313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发包人审批竣工付款申请单的期限：上级主管部门下达审计批复意见后20日内。</w:t>
      </w:r>
    </w:p>
    <w:p w14:paraId="4515CC3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p>
    <w:p w14:paraId="3C98D04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p>
    <w:p w14:paraId="3BAEFA5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发包人审批竣工付款申请单的期限： </w:t>
      </w:r>
      <w:r>
        <w:rPr>
          <w:rFonts w:hint="eastAsia" w:ascii="宋体" w:hAnsi="宋体" w:eastAsia="宋体" w:cs="宋体"/>
          <w:color w:val="auto"/>
          <w:szCs w:val="21"/>
          <w:highlight w:val="none"/>
          <w:u w:val="single"/>
        </w:rPr>
        <w:t>收到承包人递交的完整的竣工结算资料后60个工作日内（以接受最后一份结算资料开始起算）进行审批，结果并由双方核对完毕后，签订《结算协议书》</w:t>
      </w:r>
      <w:r>
        <w:rPr>
          <w:rFonts w:hint="eastAsia" w:ascii="宋体" w:hAnsi="宋体" w:eastAsia="宋体" w:cs="宋体"/>
          <w:color w:val="auto"/>
          <w:szCs w:val="21"/>
          <w:highlight w:val="none"/>
        </w:rPr>
        <w:t>。</w:t>
      </w:r>
    </w:p>
    <w:p w14:paraId="425E0FA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按12.4.1和双方签订的《结算协议书》规定执行</w:t>
      </w:r>
      <w:r>
        <w:rPr>
          <w:rFonts w:hint="eastAsia" w:ascii="宋体" w:hAnsi="宋体" w:eastAsia="宋体" w:cs="宋体"/>
          <w:color w:val="auto"/>
          <w:szCs w:val="21"/>
          <w:highlight w:val="none"/>
        </w:rPr>
        <w:t>。</w:t>
      </w:r>
    </w:p>
    <w:p w14:paraId="445DD965">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0DA08E7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14.4 最终结清</w:t>
      </w:r>
    </w:p>
    <w:p w14:paraId="3C7D1ADE">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14.4.1 最终结清申请单</w:t>
      </w:r>
    </w:p>
    <w:p w14:paraId="552D40A4">
      <w:pPr>
        <w:autoSpaceDE w:val="0"/>
        <w:autoSpaceDN w:val="0"/>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关于承包人提交最终结清申请单的份数的约定：</w:t>
      </w:r>
      <w:r>
        <w:rPr>
          <w:rFonts w:hint="eastAsia" w:ascii="宋体" w:hAnsi="宋体" w:eastAsia="宋体" w:cs="宋体"/>
          <w:color w:val="auto"/>
          <w:szCs w:val="21"/>
          <w:highlight w:val="none"/>
          <w:u w:val="single"/>
        </w:rPr>
        <w:t xml:space="preserve">    一式三份 </w:t>
      </w:r>
      <w:r>
        <w:rPr>
          <w:rFonts w:hint="eastAsia" w:ascii="宋体" w:hAnsi="宋体" w:eastAsia="宋体" w:cs="宋体"/>
          <w:color w:val="auto"/>
          <w:szCs w:val="21"/>
          <w:highlight w:val="none"/>
        </w:rPr>
        <w:t>。</w:t>
      </w:r>
    </w:p>
    <w:p w14:paraId="37F624C9">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关于承包人提交最终结算申请单的期限的约定：</w:t>
      </w:r>
      <w:r>
        <w:rPr>
          <w:rFonts w:hint="eastAsia" w:ascii="宋体" w:hAnsi="宋体" w:eastAsia="宋体" w:cs="宋体"/>
          <w:color w:val="auto"/>
          <w:kern w:val="0"/>
          <w:szCs w:val="21"/>
          <w:highlight w:val="none"/>
          <w:u w:val="single"/>
        </w:rPr>
        <w:t>通过竣工验收后30天内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4F3C9166">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14:paraId="28E2D004">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关于最终结清证书和支付的约定：</w:t>
      </w:r>
    </w:p>
    <w:p w14:paraId="40F8F46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双方协商</w:t>
      </w:r>
      <w:r>
        <w:rPr>
          <w:rFonts w:hint="eastAsia" w:ascii="宋体" w:hAnsi="宋体" w:eastAsia="宋体" w:cs="宋体"/>
          <w:color w:val="auto"/>
          <w:szCs w:val="21"/>
          <w:highlight w:val="none"/>
        </w:rPr>
        <w:t>。</w:t>
      </w:r>
    </w:p>
    <w:p w14:paraId="6F094A73">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双方协商 </w:t>
      </w:r>
      <w:r>
        <w:rPr>
          <w:rFonts w:hint="eastAsia" w:ascii="宋体" w:hAnsi="宋体" w:eastAsia="宋体" w:cs="宋体"/>
          <w:color w:val="auto"/>
          <w:szCs w:val="21"/>
          <w:highlight w:val="none"/>
        </w:rPr>
        <w:t>。</w:t>
      </w:r>
    </w:p>
    <w:bookmarkEnd w:id="856"/>
    <w:bookmarkEnd w:id="857"/>
    <w:bookmarkEnd w:id="858"/>
    <w:bookmarkEnd w:id="859"/>
    <w:bookmarkEnd w:id="860"/>
    <w:bookmarkEnd w:id="861"/>
    <w:bookmarkEnd w:id="862"/>
    <w:bookmarkEnd w:id="868"/>
    <w:p w14:paraId="6F023AE0">
      <w:pPr>
        <w:autoSpaceDE w:val="0"/>
        <w:autoSpaceDN w:val="0"/>
        <w:adjustRightInd w:val="0"/>
        <w:snapToGrid w:val="0"/>
        <w:spacing w:line="360" w:lineRule="auto"/>
        <w:rPr>
          <w:rFonts w:hint="eastAsia" w:ascii="宋体" w:hAnsi="宋体" w:eastAsia="宋体" w:cs="宋体"/>
          <w:bCs/>
          <w:color w:val="auto"/>
          <w:szCs w:val="21"/>
          <w:highlight w:val="none"/>
        </w:rPr>
      </w:pPr>
      <w:bookmarkStart w:id="870" w:name="_Toc351203647"/>
      <w:bookmarkStart w:id="871" w:name="_Toc267251483"/>
      <w:bookmarkStart w:id="872" w:name="_Toc267251482"/>
      <w:bookmarkStart w:id="873" w:name="_Toc267251484"/>
      <w:bookmarkStart w:id="874" w:name="_Toc267251485"/>
      <w:bookmarkStart w:id="875" w:name="_Toc267251488"/>
      <w:bookmarkStart w:id="876" w:name="_Toc267251489"/>
      <w:bookmarkStart w:id="877" w:name="_Toc267251486"/>
      <w:bookmarkStart w:id="878" w:name="_Toc267251490"/>
      <w:bookmarkStart w:id="879" w:name="_Toc267251504"/>
      <w:bookmarkStart w:id="880" w:name="_Toc267251492"/>
      <w:bookmarkStart w:id="881" w:name="_Toc267251511"/>
      <w:bookmarkStart w:id="882" w:name="_Toc267251501"/>
      <w:bookmarkStart w:id="883" w:name="_Toc267251497"/>
      <w:bookmarkStart w:id="884" w:name="_Toc267251508"/>
      <w:bookmarkStart w:id="885" w:name="_Toc267251515"/>
      <w:bookmarkStart w:id="886" w:name="_Toc267251499"/>
      <w:bookmarkStart w:id="887" w:name="_Toc267251491"/>
      <w:bookmarkStart w:id="888" w:name="_Toc267251493"/>
      <w:bookmarkStart w:id="889" w:name="_Toc267251507"/>
      <w:bookmarkStart w:id="890" w:name="_Toc267251495"/>
      <w:bookmarkStart w:id="891" w:name="_Toc267251506"/>
      <w:bookmarkStart w:id="892" w:name="_Toc267251498"/>
      <w:bookmarkStart w:id="893" w:name="_Toc267251514"/>
      <w:bookmarkStart w:id="894" w:name="_Toc267251513"/>
      <w:bookmarkStart w:id="895" w:name="_Toc267251510"/>
      <w:bookmarkStart w:id="896" w:name="_Toc267251496"/>
      <w:bookmarkStart w:id="897" w:name="_Toc267251509"/>
      <w:bookmarkStart w:id="898" w:name="_Toc267251494"/>
      <w:bookmarkStart w:id="899" w:name="_Toc267251503"/>
      <w:bookmarkStart w:id="900" w:name="_Toc267251502"/>
      <w:r>
        <w:rPr>
          <w:rFonts w:hint="eastAsia" w:ascii="宋体" w:hAnsi="宋体" w:eastAsia="宋体" w:cs="宋体"/>
          <w:bCs/>
          <w:color w:val="auto"/>
          <w:szCs w:val="21"/>
          <w:highlight w:val="none"/>
        </w:rPr>
        <w:t>15. 缺陷责任期与保修</w:t>
      </w:r>
      <w:bookmarkEnd w:id="870"/>
    </w:p>
    <w:p w14:paraId="14ADCB0E">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15.1 缺陷责任期</w:t>
      </w:r>
      <w:bookmarkEnd w:id="871"/>
    </w:p>
    <w:p w14:paraId="4B31B13D">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关于缺陷责任期的具体期限的约定：</w:t>
      </w:r>
      <w:r>
        <w:rPr>
          <w:rFonts w:hint="eastAsia" w:ascii="宋体" w:hAnsi="宋体" w:eastAsia="宋体" w:cs="宋体"/>
          <w:color w:val="auto"/>
          <w:szCs w:val="21"/>
          <w:highlight w:val="none"/>
          <w:u w:val="single"/>
        </w:rPr>
        <w:t xml:space="preserve">24个月 </w:t>
      </w:r>
      <w:r>
        <w:rPr>
          <w:rFonts w:hint="eastAsia" w:ascii="宋体" w:hAnsi="宋体" w:eastAsia="宋体" w:cs="宋体"/>
          <w:color w:val="auto"/>
          <w:szCs w:val="21"/>
          <w:highlight w:val="none"/>
        </w:rPr>
        <w:t>。</w:t>
      </w:r>
    </w:p>
    <w:p w14:paraId="56FBD678">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15.2 质量保证金</w:t>
      </w:r>
    </w:p>
    <w:p w14:paraId="4FBBE45A">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工程竣工验收后，经最终审计部门审计完成出具审计报告后十个工作日支付至审计部门审定金额的97%，留审定结算价款的3%为质量保证金。</w:t>
      </w:r>
    </w:p>
    <w:p w14:paraId="6F4B5642">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质量保证期：根据《房屋建筑工程质量保修办法》确定；</w:t>
      </w:r>
    </w:p>
    <w:p w14:paraId="244680F0">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退还时间：待质保期(二年)满后二十天内不计利息一次性付清。</w:t>
      </w:r>
    </w:p>
    <w:p w14:paraId="647A8E21">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(质量保证期：年，质保期从工程竣工验收合格之日开始计算)。</w:t>
      </w:r>
    </w:p>
    <w:p w14:paraId="36FE1AE7">
      <w:pPr>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扣留质量保证金。在工程项目竣工前，承包人按专用合同条款第3.7条执行。</w:t>
      </w:r>
    </w:p>
    <w:bookmarkEnd w:id="872"/>
    <w:bookmarkEnd w:id="873"/>
    <w:p w14:paraId="722516E1">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15.3 保修</w:t>
      </w:r>
    </w:p>
    <w:bookmarkEnd w:id="874"/>
    <w:p w14:paraId="7E275624">
      <w:pPr>
        <w:autoSpaceDE w:val="0"/>
        <w:autoSpaceDN w:val="0"/>
        <w:adjustRightInd w:val="0"/>
        <w:snapToGrid w:val="0"/>
        <w:spacing w:line="360" w:lineRule="auto"/>
        <w:ind w:firstLine="409" w:firstLineChars="195"/>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 保修责任</w:t>
      </w:r>
    </w:p>
    <w:p w14:paraId="78F276FB">
      <w:pPr>
        <w:autoSpaceDE w:val="0"/>
        <w:autoSpaceDN w:val="0"/>
        <w:adjustRightInd w:val="0"/>
        <w:snapToGrid w:val="0"/>
        <w:spacing w:line="360" w:lineRule="auto"/>
        <w:ind w:firstLine="409" w:firstLineChars="195"/>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kern w:val="0"/>
          <w:szCs w:val="21"/>
          <w:highlight w:val="none"/>
          <w:u w:val="single"/>
        </w:rPr>
        <w:t>执行《工程质量保修书》约定</w:t>
      </w:r>
      <w:r>
        <w:rPr>
          <w:rFonts w:hint="eastAsia" w:ascii="宋体" w:hAnsi="宋体" w:eastAsia="宋体" w:cs="宋体"/>
          <w:color w:val="auto"/>
          <w:kern w:val="0"/>
          <w:szCs w:val="21"/>
          <w:highlight w:val="none"/>
        </w:rPr>
        <w:t>。</w:t>
      </w:r>
    </w:p>
    <w:p w14:paraId="07DA16D7">
      <w:pPr>
        <w:autoSpaceDE w:val="0"/>
        <w:autoSpaceDN w:val="0"/>
        <w:adjustRightInd w:val="0"/>
        <w:snapToGrid w:val="0"/>
        <w:spacing w:line="360" w:lineRule="auto"/>
        <w:ind w:firstLine="409" w:firstLineChars="195"/>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15.3.2 修复通知</w:t>
      </w:r>
    </w:p>
    <w:p w14:paraId="6A3FDB6E">
      <w:pPr>
        <w:autoSpaceDE w:val="0"/>
        <w:autoSpaceDN w:val="0"/>
        <w:adjustRightInd w:val="0"/>
        <w:snapToGrid w:val="0"/>
        <w:spacing w:line="360" w:lineRule="auto"/>
        <w:ind w:firstLine="409" w:firstLineChars="195"/>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承包人收到保修通知并到达工程现场的合理时间：</w:t>
      </w:r>
      <w:r>
        <w:rPr>
          <w:rFonts w:hint="eastAsia" w:ascii="宋体" w:hAnsi="宋体" w:eastAsia="宋体" w:cs="宋体"/>
          <w:color w:val="auto"/>
          <w:kern w:val="0"/>
          <w:szCs w:val="21"/>
          <w:highlight w:val="none"/>
          <w:u w:val="single"/>
        </w:rPr>
        <w:t>24小时内</w:t>
      </w:r>
      <w:r>
        <w:rPr>
          <w:rFonts w:hint="eastAsia" w:ascii="宋体" w:hAnsi="宋体" w:eastAsia="宋体" w:cs="宋体"/>
          <w:color w:val="auto"/>
          <w:kern w:val="0"/>
          <w:szCs w:val="21"/>
          <w:highlight w:val="none"/>
        </w:rPr>
        <w:t>。</w:t>
      </w:r>
    </w:p>
    <w:bookmarkEnd w:id="875"/>
    <w:bookmarkEnd w:id="876"/>
    <w:bookmarkEnd w:id="877"/>
    <w:bookmarkEnd w:id="878"/>
    <w:p w14:paraId="0FEF6301">
      <w:pPr>
        <w:autoSpaceDE w:val="0"/>
        <w:autoSpaceDN w:val="0"/>
        <w:adjustRightInd w:val="0"/>
        <w:snapToGrid w:val="0"/>
        <w:spacing w:line="360" w:lineRule="auto"/>
        <w:rPr>
          <w:rFonts w:hint="eastAsia" w:ascii="宋体" w:hAnsi="宋体" w:eastAsia="宋体" w:cs="宋体"/>
          <w:b/>
          <w:bCs/>
          <w:color w:val="auto"/>
          <w:szCs w:val="21"/>
          <w:highlight w:val="none"/>
        </w:rPr>
      </w:pPr>
      <w:bookmarkStart w:id="901" w:name="_Toc351203648"/>
      <w:bookmarkStart w:id="902" w:name="_Toc280868718"/>
      <w:bookmarkStart w:id="903" w:name="_Toc280868717"/>
      <w:r>
        <w:rPr>
          <w:rFonts w:hint="eastAsia" w:ascii="宋体" w:hAnsi="宋体" w:eastAsia="宋体" w:cs="宋体"/>
          <w:b/>
          <w:bCs/>
          <w:color w:val="auto"/>
          <w:szCs w:val="21"/>
          <w:highlight w:val="none"/>
        </w:rPr>
        <w:t>16. 违约</w:t>
      </w:r>
      <w:bookmarkEnd w:id="901"/>
    </w:p>
    <w:p w14:paraId="12C49AA8">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16.1 发包人违约</w:t>
      </w:r>
    </w:p>
    <w:p w14:paraId="3893274A">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16.1.1 发包人违约的情形</w:t>
      </w:r>
    </w:p>
    <w:p w14:paraId="3EF9F0EE">
      <w:pPr>
        <w:spacing w:line="360" w:lineRule="auto"/>
        <w:ind w:firstLine="525" w:firstLineChars="250"/>
        <w:rPr>
          <w:rFonts w:hint="eastAsia" w:ascii="宋体" w:hAnsi="宋体" w:eastAsia="宋体" w:cs="宋体"/>
          <w:color w:val="auto"/>
          <w:highlight w:val="none"/>
        </w:rPr>
      </w:pPr>
      <w:r>
        <w:rPr>
          <w:rFonts w:hint="eastAsia" w:ascii="宋体" w:hAnsi="宋体" w:eastAsia="宋体" w:cs="宋体"/>
          <w:bCs/>
          <w:color w:val="auto"/>
          <w:kern w:val="0"/>
          <w:szCs w:val="21"/>
          <w:highlight w:val="none"/>
        </w:rPr>
        <w:t>关于发包人违约的其他情形的约定：</w:t>
      </w:r>
      <w:r>
        <w:rPr>
          <w:rFonts w:hint="eastAsia" w:ascii="宋体" w:hAnsi="宋体" w:eastAsia="宋体" w:cs="宋体"/>
          <w:bCs/>
          <w:color w:val="auto"/>
          <w:kern w:val="0"/>
          <w:szCs w:val="21"/>
          <w:highlight w:val="none"/>
          <w:u w:val="single"/>
          <w:lang w:val="en-US" w:eastAsia="zh-CN"/>
        </w:rPr>
        <w:t xml:space="preserve">                   </w:t>
      </w:r>
      <w:r>
        <w:rPr>
          <w:rFonts w:hint="eastAsia" w:ascii="宋体" w:hAnsi="宋体" w:eastAsia="宋体" w:cs="宋体"/>
          <w:color w:val="auto"/>
          <w:highlight w:val="none"/>
          <w:u w:val="none"/>
        </w:rPr>
        <w:t>。</w:t>
      </w:r>
    </w:p>
    <w:p w14:paraId="272C735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本合同通用条款第26.4款约定发包人违约应承担的违约责任：</w:t>
      </w:r>
      <w:r>
        <w:rPr>
          <w:rFonts w:hint="eastAsia" w:ascii="宋体" w:hAnsi="宋体" w:eastAsia="宋体" w:cs="宋体"/>
          <w:color w:val="auto"/>
          <w:highlight w:val="none"/>
          <w:u w:val="single"/>
        </w:rPr>
        <w:t>按合同《通用条款》第26执行</w:t>
      </w:r>
      <w:r>
        <w:rPr>
          <w:rFonts w:hint="eastAsia" w:ascii="宋体" w:hAnsi="宋体" w:eastAsia="宋体" w:cs="宋体"/>
          <w:color w:val="auto"/>
          <w:highlight w:val="none"/>
        </w:rPr>
        <w:t>　　</w:t>
      </w:r>
    </w:p>
    <w:p w14:paraId="348DEF4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本合同通用条款第33.3款约定发包人违约应承担的违约责任：</w:t>
      </w:r>
      <w:r>
        <w:rPr>
          <w:rFonts w:hint="eastAsia" w:ascii="宋体" w:hAnsi="宋体" w:eastAsia="宋体" w:cs="宋体"/>
          <w:color w:val="auto"/>
          <w:highlight w:val="none"/>
          <w:u w:val="single"/>
        </w:rPr>
        <w:t>按合同《通用条款》第33执行</w:t>
      </w:r>
      <w:r>
        <w:rPr>
          <w:rFonts w:hint="eastAsia" w:ascii="宋体" w:hAnsi="宋体" w:eastAsia="宋体" w:cs="宋体"/>
          <w:color w:val="auto"/>
          <w:highlight w:val="none"/>
        </w:rPr>
        <w:t>　　</w:t>
      </w:r>
    </w:p>
    <w:p w14:paraId="4A62EC6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双方约定的发包人其他违约责任：_</w:t>
      </w:r>
      <w:r>
        <w:rPr>
          <w:rFonts w:hint="eastAsia" w:ascii="宋体" w:hAnsi="宋体" w:eastAsia="宋体" w:cs="宋体"/>
          <w:color w:val="auto"/>
          <w:highlight w:val="none"/>
          <w:u w:val="single"/>
        </w:rPr>
        <w:t>_未经承包人同意，发包人不得将合同约定范围内的工程项目承包给第三方_</w:t>
      </w:r>
      <w:r>
        <w:rPr>
          <w:rFonts w:hint="eastAsia" w:ascii="宋体" w:hAnsi="宋体" w:eastAsia="宋体" w:cs="宋体"/>
          <w:bCs/>
          <w:color w:val="auto"/>
          <w:kern w:val="0"/>
          <w:szCs w:val="21"/>
          <w:highlight w:val="none"/>
        </w:rPr>
        <w:t>。</w:t>
      </w:r>
    </w:p>
    <w:p w14:paraId="69A43049">
      <w:pPr>
        <w:autoSpaceDE w:val="0"/>
        <w:autoSpaceDN w:val="0"/>
        <w:adjustRightInd w:val="0"/>
        <w:snapToGrid w:val="0"/>
        <w:spacing w:line="360" w:lineRule="auto"/>
        <w:ind w:left="1050" w:hanging="1050" w:hangingChars="5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    16.1.2 发包人违约的责任</w:t>
      </w:r>
    </w:p>
    <w:p w14:paraId="330DCAE9">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关于发包人违约责任的承担方式和计算方法的约定：</w:t>
      </w:r>
    </w:p>
    <w:p w14:paraId="272463FA">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（1）因发包人原因未能在计划开工日期前7天内下达开工通知的违约责任：</w:t>
      </w:r>
      <w:r>
        <w:rPr>
          <w:rFonts w:hint="eastAsia" w:ascii="宋体" w:hAnsi="宋体" w:eastAsia="宋体" w:cs="宋体"/>
          <w:bCs/>
          <w:color w:val="auto"/>
          <w:kern w:val="0"/>
          <w:szCs w:val="21"/>
          <w:highlight w:val="none"/>
          <w:u w:val="single"/>
        </w:rPr>
        <w:t xml:space="preserve">工期顺延 </w:t>
      </w:r>
      <w:r>
        <w:rPr>
          <w:rFonts w:hint="eastAsia" w:ascii="宋体" w:hAnsi="宋体" w:eastAsia="宋体" w:cs="宋体"/>
          <w:bCs/>
          <w:color w:val="auto"/>
          <w:kern w:val="0"/>
          <w:szCs w:val="21"/>
          <w:highlight w:val="none"/>
        </w:rPr>
        <w:t>。</w:t>
      </w:r>
    </w:p>
    <w:p w14:paraId="485D64A2">
      <w:pPr>
        <w:spacing w:line="360" w:lineRule="auto"/>
        <w:ind w:firstLine="525" w:firstLineChars="250"/>
        <w:rPr>
          <w:rFonts w:hint="eastAsia" w:ascii="宋体" w:hAnsi="宋体" w:eastAsia="宋体" w:cs="宋体"/>
          <w:color w:val="auto"/>
          <w:highlight w:val="none"/>
        </w:rPr>
      </w:pPr>
      <w:r>
        <w:rPr>
          <w:rFonts w:hint="eastAsia" w:ascii="宋体" w:hAnsi="宋体" w:eastAsia="宋体" w:cs="宋体"/>
          <w:bCs/>
          <w:color w:val="auto"/>
          <w:kern w:val="0"/>
          <w:szCs w:val="21"/>
          <w:highlight w:val="none"/>
        </w:rPr>
        <w:t>（2）因发包人原因未能按合同约定支付合同价款的违约责任：</w:t>
      </w:r>
      <w:r>
        <w:rPr>
          <w:rFonts w:hint="eastAsia" w:ascii="宋体" w:hAnsi="宋体" w:eastAsia="宋体" w:cs="宋体"/>
          <w:bCs/>
          <w:color w:val="auto"/>
          <w:kern w:val="0"/>
          <w:szCs w:val="21"/>
          <w:highlight w:val="none"/>
          <w:u w:val="single"/>
          <w:lang w:val="en-US" w:eastAsia="zh-CN"/>
        </w:rPr>
        <w:t xml:space="preserve">               </w:t>
      </w:r>
      <w:r>
        <w:rPr>
          <w:rFonts w:hint="eastAsia" w:ascii="宋体" w:hAnsi="宋体" w:eastAsia="宋体" w:cs="宋体"/>
          <w:bCs/>
          <w:color w:val="auto"/>
          <w:kern w:val="0"/>
          <w:szCs w:val="21"/>
          <w:highlight w:val="none"/>
        </w:rPr>
        <w:t>。</w:t>
      </w:r>
    </w:p>
    <w:p w14:paraId="230D4F45">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（3）发包人违反第10.1款〔变更的范围〕第（2）项约定，自行实施被取消的工作或转由他人实施的违约责任：</w:t>
      </w:r>
      <w:r>
        <w:rPr>
          <w:rFonts w:hint="eastAsia" w:ascii="宋体" w:hAnsi="宋体" w:eastAsia="宋体" w:cs="宋体"/>
          <w:bCs/>
          <w:color w:val="auto"/>
          <w:kern w:val="0"/>
          <w:szCs w:val="21"/>
          <w:highlight w:val="none"/>
          <w:u w:val="single"/>
        </w:rPr>
        <w:t>无</w:t>
      </w:r>
      <w:r>
        <w:rPr>
          <w:rFonts w:hint="eastAsia" w:ascii="宋体" w:hAnsi="宋体" w:eastAsia="宋体" w:cs="宋体"/>
          <w:bCs/>
          <w:color w:val="auto"/>
          <w:kern w:val="0"/>
          <w:szCs w:val="21"/>
          <w:highlight w:val="none"/>
        </w:rPr>
        <w:t>。</w:t>
      </w:r>
    </w:p>
    <w:p w14:paraId="17EF0CFF">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kern w:val="0"/>
          <w:szCs w:val="21"/>
          <w:highlight w:val="none"/>
          <w:u w:val="single"/>
        </w:rPr>
        <w:t>无</w:t>
      </w:r>
      <w:r>
        <w:rPr>
          <w:rFonts w:hint="eastAsia" w:ascii="宋体" w:hAnsi="宋体" w:eastAsia="宋体" w:cs="宋体"/>
          <w:bCs/>
          <w:color w:val="auto"/>
          <w:kern w:val="0"/>
          <w:szCs w:val="21"/>
          <w:highlight w:val="none"/>
        </w:rPr>
        <w:t>。</w:t>
      </w:r>
    </w:p>
    <w:p w14:paraId="7182D521">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（5）因发包人违反合同约定造成暂停施工的违约责任：</w:t>
      </w:r>
      <w:r>
        <w:rPr>
          <w:rFonts w:hint="eastAsia" w:ascii="宋体" w:hAnsi="宋体" w:eastAsia="宋体" w:cs="宋体"/>
          <w:bCs/>
          <w:color w:val="auto"/>
          <w:kern w:val="0"/>
          <w:szCs w:val="21"/>
          <w:highlight w:val="none"/>
          <w:u w:val="single"/>
        </w:rPr>
        <w:t>工期顺延</w:t>
      </w:r>
      <w:r>
        <w:rPr>
          <w:rFonts w:hint="eastAsia" w:ascii="宋体" w:hAnsi="宋体" w:eastAsia="宋体" w:cs="宋体"/>
          <w:bCs/>
          <w:color w:val="auto"/>
          <w:kern w:val="0"/>
          <w:szCs w:val="21"/>
          <w:highlight w:val="none"/>
        </w:rPr>
        <w:t>。</w:t>
      </w:r>
    </w:p>
    <w:p w14:paraId="14968829">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（6）发包人无正当理由没有在约定期限内发出复工指示，导致承包人无法复工的违约责任：</w:t>
      </w:r>
      <w:r>
        <w:rPr>
          <w:rFonts w:hint="eastAsia" w:ascii="宋体" w:hAnsi="宋体" w:eastAsia="宋体" w:cs="宋体"/>
          <w:bCs/>
          <w:color w:val="auto"/>
          <w:kern w:val="0"/>
          <w:szCs w:val="21"/>
          <w:highlight w:val="none"/>
          <w:u w:val="single"/>
        </w:rPr>
        <w:t>工期顺延</w:t>
      </w:r>
      <w:r>
        <w:rPr>
          <w:rFonts w:hint="eastAsia" w:ascii="宋体" w:hAnsi="宋体" w:eastAsia="宋体" w:cs="宋体"/>
          <w:bCs/>
          <w:color w:val="auto"/>
          <w:kern w:val="0"/>
          <w:szCs w:val="21"/>
          <w:highlight w:val="none"/>
        </w:rPr>
        <w:t>。</w:t>
      </w:r>
    </w:p>
    <w:p w14:paraId="0810B908">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（7）其他：</w:t>
      </w:r>
      <w:r>
        <w:rPr>
          <w:rFonts w:hint="eastAsia" w:ascii="宋体" w:hAnsi="宋体" w:eastAsia="宋体" w:cs="宋体"/>
          <w:bCs/>
          <w:color w:val="auto"/>
          <w:kern w:val="0"/>
          <w:szCs w:val="21"/>
          <w:highlight w:val="none"/>
          <w:u w:val="single"/>
        </w:rPr>
        <w:t>双方协商</w:t>
      </w:r>
      <w:r>
        <w:rPr>
          <w:rFonts w:hint="eastAsia" w:ascii="宋体" w:hAnsi="宋体" w:eastAsia="宋体" w:cs="宋体"/>
          <w:bCs/>
          <w:color w:val="auto"/>
          <w:kern w:val="0"/>
          <w:szCs w:val="21"/>
          <w:highlight w:val="none"/>
        </w:rPr>
        <w:t>。</w:t>
      </w:r>
    </w:p>
    <w:p w14:paraId="5F46E97D">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16.1.3 因发包人违约解除合同</w:t>
      </w:r>
    </w:p>
    <w:p w14:paraId="78E34B23">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承包人按16.1.1项〔发包人违约的情形〕约定暂停施工满</w:t>
      </w:r>
      <w:r>
        <w:rPr>
          <w:rFonts w:hint="eastAsia" w:ascii="宋体" w:hAnsi="宋体" w:eastAsia="宋体" w:cs="宋体"/>
          <w:bCs/>
          <w:color w:val="auto"/>
          <w:kern w:val="0"/>
          <w:szCs w:val="21"/>
          <w:highlight w:val="none"/>
          <w:u w:val="single"/>
        </w:rPr>
        <w:t xml:space="preserve"> / </w:t>
      </w:r>
      <w:r>
        <w:rPr>
          <w:rFonts w:hint="eastAsia" w:ascii="宋体" w:hAnsi="宋体" w:eastAsia="宋体" w:cs="宋体"/>
          <w:bCs/>
          <w:color w:val="auto"/>
          <w:kern w:val="0"/>
          <w:szCs w:val="21"/>
          <w:highlight w:val="none"/>
        </w:rPr>
        <w:t>天后发包人仍不纠正其违约行为并致使合同目的不能实现的，承包人有权解除合同。</w:t>
      </w:r>
    </w:p>
    <w:p w14:paraId="33F069A6">
      <w:pPr>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16.2 承包人违约</w:t>
      </w:r>
    </w:p>
    <w:p w14:paraId="4CB8D815">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16.2.2 承包人违约的责任</w:t>
      </w:r>
    </w:p>
    <w:p w14:paraId="314B0A0E">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szCs w:val="21"/>
          <w:highlight w:val="none"/>
          <w:u w:val="none"/>
        </w:rPr>
        <w:t>承包人违约责任的承担方式和计算方法：</w:t>
      </w:r>
      <w:r>
        <w:rPr>
          <w:rFonts w:hint="eastAsia" w:ascii="宋体" w:hAnsi="宋体" w:eastAsia="宋体" w:cs="宋体"/>
          <w:bCs/>
          <w:color w:val="auto"/>
          <w:szCs w:val="21"/>
          <w:highlight w:val="none"/>
          <w:u w:val="single"/>
        </w:rPr>
        <w:t xml:space="preserve">                                     。</w:t>
      </w:r>
    </w:p>
    <w:p w14:paraId="74502027">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16.2.3 因承包人违约解除合同</w:t>
      </w:r>
    </w:p>
    <w:p w14:paraId="55340FC2">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u w:val="single"/>
          <w:lang w:val="en-US" w:eastAsia="zh-CN"/>
        </w:rPr>
      </w:pPr>
      <w:r>
        <w:rPr>
          <w:rFonts w:hint="eastAsia" w:ascii="宋体" w:hAnsi="宋体" w:eastAsia="宋体" w:cs="宋体"/>
          <w:bCs/>
          <w:color w:val="auto"/>
          <w:kern w:val="0"/>
          <w:szCs w:val="21"/>
          <w:highlight w:val="none"/>
        </w:rPr>
        <w:t>关于承包人违约解除合同的约定：</w:t>
      </w:r>
      <w:r>
        <w:rPr>
          <w:rFonts w:hint="eastAsia" w:ascii="宋体" w:hAnsi="宋体" w:eastAsia="宋体" w:cs="宋体"/>
          <w:bCs/>
          <w:color w:val="auto"/>
          <w:kern w:val="0"/>
          <w:szCs w:val="21"/>
          <w:highlight w:val="none"/>
          <w:u w:val="single"/>
          <w:lang w:val="en-US" w:eastAsia="zh-CN"/>
        </w:rPr>
        <w:t xml:space="preserve">             。</w:t>
      </w:r>
    </w:p>
    <w:p w14:paraId="2726D137">
      <w:pPr>
        <w:widowControl/>
        <w:spacing w:line="360" w:lineRule="auto"/>
        <w:ind w:firstLine="420" w:firstLineChars="200"/>
        <w:jc w:val="left"/>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Cs/>
          <w:color w:val="auto"/>
          <w:kern w:val="0"/>
          <w:szCs w:val="21"/>
          <w:highlight w:val="none"/>
          <w:u w:val="single"/>
        </w:rPr>
        <w:t xml:space="preserve">                     。</w:t>
      </w:r>
    </w:p>
    <w:p w14:paraId="293BA72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16.3其他义务</w:t>
      </w:r>
    </w:p>
    <w:p w14:paraId="397E14CE">
      <w:pPr>
        <w:autoSpaceDE w:val="0"/>
        <w:autoSpaceDN w:val="0"/>
        <w:adjustRightInd w:val="0"/>
        <w:spacing w:line="360" w:lineRule="auto"/>
        <w:ind w:firstLine="525" w:firstLineChars="2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16.3.在通用条款本款后增加：</w:t>
      </w:r>
    </w:p>
    <w:p w14:paraId="15DFA05D">
      <w:pPr>
        <w:autoSpaceDE w:val="0"/>
        <w:autoSpaceDN w:val="0"/>
        <w:adjustRightInd w:val="0"/>
        <w:spacing w:line="360" w:lineRule="auto"/>
        <w:ind w:firstLine="525" w:firstLineChars="2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16.3.1 所有的工程款在工程结束之前，都必须专用于本合同，不能调拨或挪作它用。</w:t>
      </w:r>
    </w:p>
    <w:p w14:paraId="7012B336">
      <w:pPr>
        <w:autoSpaceDE w:val="0"/>
        <w:autoSpaceDN w:val="0"/>
        <w:adjustRightInd w:val="0"/>
        <w:spacing w:line="360" w:lineRule="auto"/>
        <w:ind w:firstLine="525" w:firstLineChars="2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16.3.2 与承包人管理范围内的其他承包人的配合与协调</w:t>
      </w:r>
    </w:p>
    <w:p w14:paraId="537B194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（1）对包括其他承包人工作在内的工程总体施工进度计划的安排、日常协调和管理；</w:t>
      </w:r>
    </w:p>
    <w:p w14:paraId="7ABE73C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（2）为其他承包人及时提供足够的和无障碍的工作面；</w:t>
      </w:r>
    </w:p>
    <w:p w14:paraId="2121964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（3）临时水、电接口其他临时设施的支持配合，包括临时用水用电和电的计量设施；</w:t>
      </w:r>
    </w:p>
    <w:p w14:paraId="07721D9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（4）在其他承包人完成工作并将工作面移交给发包人后，承包人应采取成品保护措施；</w:t>
      </w:r>
    </w:p>
    <w:p w14:paraId="73219688">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（5）提供其他承包人工作所需的基准定位线、主要轴线和其它定位点；</w:t>
      </w:r>
    </w:p>
    <w:p w14:paraId="14A23EF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（6）协助其它承包人完成垃圾清运；</w:t>
      </w:r>
    </w:p>
    <w:p w14:paraId="746348E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（7）现场已搭设的脚手架施工脚手架，且应保证脚手架符合有关安全操作要求；</w:t>
      </w:r>
    </w:p>
    <w:p w14:paraId="500205F7">
      <w:pPr>
        <w:autoSpaceDE w:val="0"/>
        <w:autoSpaceDN w:val="0"/>
        <w:adjustRightInd w:val="0"/>
        <w:snapToGrid w:val="0"/>
        <w:spacing w:line="360" w:lineRule="auto"/>
        <w:rPr>
          <w:rFonts w:hint="eastAsia" w:ascii="宋体" w:hAnsi="宋体" w:eastAsia="宋体" w:cs="宋体"/>
          <w:bCs/>
          <w:color w:val="auto"/>
          <w:kern w:val="0"/>
          <w:szCs w:val="21"/>
          <w:highlight w:val="none"/>
        </w:rPr>
      </w:pPr>
      <w:r>
        <w:rPr>
          <w:rFonts w:hint="eastAsia" w:ascii="宋体" w:hAnsi="宋体" w:eastAsia="宋体" w:cs="宋体"/>
          <w:bCs/>
          <w:color w:val="auto"/>
          <w:szCs w:val="21"/>
          <w:highlight w:val="none"/>
        </w:rPr>
        <w:t>17. 不可抗力</w:t>
      </w:r>
    </w:p>
    <w:p w14:paraId="5EAADFA8">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17.1 不可抗力的确认</w:t>
      </w:r>
    </w:p>
    <w:p w14:paraId="518007BB">
      <w:pPr>
        <w:autoSpaceDE w:val="0"/>
        <w:autoSpaceDN w:val="0"/>
        <w:adjustRightInd w:val="0"/>
        <w:snapToGrid w:val="0"/>
        <w:spacing w:line="360" w:lineRule="auto"/>
        <w:ind w:firstLine="420" w:firstLineChars="200"/>
        <w:rPr>
          <w:rFonts w:hint="eastAsia" w:ascii="宋体" w:hAnsi="宋体" w:eastAsia="宋体" w:cs="宋体"/>
          <w:bCs/>
          <w:color w:val="auto"/>
          <w:kern w:val="0"/>
          <w:szCs w:val="21"/>
          <w:highlight w:val="none"/>
          <w:u w:val="single"/>
        </w:rPr>
      </w:pPr>
      <w:r>
        <w:rPr>
          <w:rFonts w:hint="eastAsia" w:ascii="宋体" w:hAnsi="宋体" w:eastAsia="宋体" w:cs="宋体"/>
          <w:bCs/>
          <w:color w:val="auto"/>
          <w:szCs w:val="21"/>
          <w:highlight w:val="none"/>
        </w:rPr>
        <w:t>除通用合同条款约定的不可抗力事件之外，视为不可抗力的其他情形：</w:t>
      </w:r>
      <w:r>
        <w:rPr>
          <w:rFonts w:hint="eastAsia" w:ascii="宋体" w:hAnsi="宋体" w:eastAsia="宋体" w:cs="宋体"/>
          <w:bCs/>
          <w:color w:val="auto"/>
          <w:kern w:val="0"/>
          <w:szCs w:val="21"/>
          <w:highlight w:val="none"/>
          <w:u w:val="single"/>
        </w:rPr>
        <w:t xml:space="preserve">双方协商 </w:t>
      </w:r>
      <w:r>
        <w:rPr>
          <w:rFonts w:hint="eastAsia" w:ascii="宋体" w:hAnsi="宋体" w:eastAsia="宋体" w:cs="宋体"/>
          <w:bCs/>
          <w:color w:val="auto"/>
          <w:kern w:val="0"/>
          <w:szCs w:val="21"/>
          <w:highlight w:val="none"/>
        </w:rPr>
        <w:t>。</w:t>
      </w:r>
    </w:p>
    <w:p w14:paraId="01977ACF">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17.2 因不可抗力解除合同</w:t>
      </w:r>
    </w:p>
    <w:p w14:paraId="6DAC5BEC">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合同解除后，发包人应在商定或确定发包人应支付款项后</w:t>
      </w:r>
      <w:r>
        <w:rPr>
          <w:rFonts w:hint="eastAsia" w:ascii="宋体" w:hAnsi="宋体" w:eastAsia="宋体" w:cs="宋体"/>
          <w:bCs/>
          <w:color w:val="auto"/>
          <w:szCs w:val="21"/>
          <w:highlight w:val="none"/>
          <w:u w:val="single"/>
        </w:rPr>
        <w:t xml:space="preserve"> 45 </w:t>
      </w:r>
      <w:r>
        <w:rPr>
          <w:rFonts w:hint="eastAsia" w:ascii="宋体" w:hAnsi="宋体" w:eastAsia="宋体" w:cs="宋体"/>
          <w:bCs/>
          <w:color w:val="auto"/>
          <w:szCs w:val="21"/>
          <w:highlight w:val="none"/>
        </w:rPr>
        <w:t>天内完成款项的支付。</w:t>
      </w:r>
    </w:p>
    <w:p w14:paraId="225746C7">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 保险</w:t>
      </w:r>
    </w:p>
    <w:p w14:paraId="70804E95">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18.1 工程保险</w:t>
      </w:r>
    </w:p>
    <w:p w14:paraId="0502B46F">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关于工程保险的特别约定：</w:t>
      </w:r>
      <w:r>
        <w:rPr>
          <w:rFonts w:hint="eastAsia" w:ascii="宋体" w:hAnsi="宋体" w:eastAsia="宋体" w:cs="宋体"/>
          <w:bCs/>
          <w:color w:val="auto"/>
          <w:szCs w:val="21"/>
          <w:highlight w:val="none"/>
          <w:u w:val="single"/>
        </w:rPr>
        <w:t>按通用条款执行</w:t>
      </w:r>
      <w:r>
        <w:rPr>
          <w:rFonts w:hint="eastAsia" w:ascii="宋体" w:hAnsi="宋体" w:eastAsia="宋体" w:cs="宋体"/>
          <w:bCs/>
          <w:color w:val="auto"/>
          <w:szCs w:val="21"/>
          <w:highlight w:val="none"/>
        </w:rPr>
        <w:t>。</w:t>
      </w:r>
    </w:p>
    <w:p w14:paraId="46366644">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18.3 其他保险</w:t>
      </w:r>
    </w:p>
    <w:p w14:paraId="755E9C87">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关于其他保险的约定：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B5D1AF3">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承包人是否应为其施工设备等办理财产保险：</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2587795">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18.7 通知义务</w:t>
      </w:r>
    </w:p>
    <w:p w14:paraId="4F67A1F4">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关于变更保险合同时的通知义务的约定：</w:t>
      </w:r>
      <w:r>
        <w:rPr>
          <w:rFonts w:hint="eastAsia" w:ascii="宋体" w:hAnsi="宋体" w:eastAsia="宋体" w:cs="宋体"/>
          <w:bCs/>
          <w:color w:val="auto"/>
          <w:szCs w:val="21"/>
          <w:highlight w:val="none"/>
          <w:u w:val="single"/>
        </w:rPr>
        <w:t>按通用条款执行</w:t>
      </w:r>
      <w:r>
        <w:rPr>
          <w:rFonts w:hint="eastAsia" w:ascii="宋体" w:hAnsi="宋体" w:eastAsia="宋体" w:cs="宋体"/>
          <w:bCs/>
          <w:color w:val="auto"/>
          <w:szCs w:val="21"/>
          <w:highlight w:val="none"/>
        </w:rPr>
        <w:t>。</w:t>
      </w:r>
    </w:p>
    <w:p w14:paraId="275CC6EC">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 争议解决</w:t>
      </w:r>
    </w:p>
    <w:p w14:paraId="0E4AD348">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20.3 争议评审</w:t>
      </w:r>
    </w:p>
    <w:p w14:paraId="1A8F3249">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合同当事人对争议评审方式的约定：</w:t>
      </w:r>
      <w:r>
        <w:rPr>
          <w:rFonts w:hint="eastAsia" w:ascii="宋体" w:hAnsi="宋体" w:eastAsia="宋体" w:cs="宋体"/>
          <w:bCs/>
          <w:color w:val="auto"/>
          <w:szCs w:val="21"/>
          <w:highlight w:val="none"/>
          <w:u w:val="single"/>
        </w:rPr>
        <w:t>将工程争议提交争议评审小组决定，执行“20.3 争议评审”</w:t>
      </w:r>
    </w:p>
    <w:p w14:paraId="134C98B9">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20.4 仲裁或诉讼</w:t>
      </w:r>
    </w:p>
    <w:p w14:paraId="730E32CA">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因合同及合同有关事项发生的争议，关于解决方式约定：</w:t>
      </w:r>
      <w:r>
        <w:rPr>
          <w:rFonts w:hint="eastAsia" w:ascii="宋体" w:hAnsi="宋体" w:eastAsia="宋体" w:cs="宋体"/>
          <w:bCs/>
          <w:color w:val="auto"/>
          <w:szCs w:val="21"/>
          <w:highlight w:val="none"/>
          <w:u w:val="single"/>
        </w:rPr>
        <w:t>向工程所在地人民法院起诉</w:t>
      </w:r>
      <w:r>
        <w:rPr>
          <w:rFonts w:hint="eastAsia" w:ascii="宋体" w:hAnsi="宋体" w:eastAsia="宋体" w:cs="宋体"/>
          <w:bCs/>
          <w:color w:val="auto"/>
          <w:szCs w:val="21"/>
          <w:highlight w:val="none"/>
        </w:rPr>
        <w:t>。</w:t>
      </w:r>
    </w:p>
    <w:p w14:paraId="4768F1A9">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21、补充条款</w:t>
      </w:r>
    </w:p>
    <w:p w14:paraId="00D047D0">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 承包人须遵守本项目建设指挥部制定的相关管理规定，做好安全、质量、进度和文明施工等管理工作，如违反相关管理规定的，按相应处罚条款给予处罚。</w:t>
      </w:r>
    </w:p>
    <w:p w14:paraId="5F2B0CC8">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21.2 安全防护、文明施工措施费用参照《云南省住房和城乡建设厅公告2010年第28号》《云南省建设厅关于将意外伤害保险、安全防护文明施工费列入建安工程造价的通知》（云建标〔2005〕661号）规定执行。</w:t>
      </w:r>
    </w:p>
    <w:p w14:paraId="30FC2633">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21.3 特殊专业、工种、岗位工作人必须持证上岗，否则停工整改，经发包人确认整改合格后方能复工，承包人承担停工期间工期和费用损失。</w:t>
      </w:r>
    </w:p>
    <w:p w14:paraId="34B568E9">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21.4 农民工工资支付管理执行《保障农民工工资支付条例》（国务院令第724号）、《工程建设领域农民工工资专用账户管理暂行办法》（人社部{2021}53号）和《云南省农民工工资支付保障规定》（政府令第166号）。将开设农民工工资（劳务费）专用账户及存入证明、农民工工资保证金交存证明或免交证明、专用账户监管部门备案及与开户银行签订资金管理协议等资料需提交发包人备案。</w:t>
      </w:r>
    </w:p>
    <w:p w14:paraId="24BE435C">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21.5 承包人通过对现场考察，应结合本工程的实际情况。制定切实可行的施工组织计划。对施工现场作周密布置，除充分考虑上述规定外，还应对现场施工用水的排放及排污做统一安排。若因排水排污妨碍沿线居民正常生活或工农业生产，一切责任由承包人承担。</w:t>
      </w:r>
    </w:p>
    <w:p w14:paraId="6879BAE0">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21.6 施工过程必须严格执行《建设工程质量管理条例》，采取严格措施确保不合格材料和设备不用于工程，对未经检验或复验而用于工程所造成的损失由承包人自行承担。</w:t>
      </w:r>
    </w:p>
    <w:p w14:paraId="3B8E15B9">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21.7 承包人采购材料设备</w:t>
      </w:r>
    </w:p>
    <w:p w14:paraId="03C13B14">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本工程所使用的材料由承包人自行采购。但工程量清单（或招标控制价）中所列的暂估价材料（如有时）由承包人提交样品并经发包人同意后，发包人询价并选定后由承包人进行采购，所购材料必须符合设计规范，并经发包人验收后方可使用。对材料和建材制品，承包人必须提供生产厂家相关产品的生产许可证、强制认证书、质量保证书和产品材料清单，如需检测的还应提供相应的检测报告，材料必须经发包人同意后才能进场使用，确保工程质量，杜绝不合格材料进场。</w:t>
      </w:r>
    </w:p>
    <w:p w14:paraId="7C07EE21">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（2）对设计和质量标准要求不符合的材料，发包方代表可拒绝验收，并由承包人按发包人代表要求的时间退出施工现场。重新采购符合要求的材料，承担由此产生的费用，工期不予顺延。</w:t>
      </w:r>
      <w:r>
        <w:rPr>
          <w:rFonts w:hint="eastAsia" w:ascii="宋体" w:hAnsi="宋体" w:eastAsia="宋体" w:cs="宋体"/>
          <w:bCs/>
          <w:color w:val="auto"/>
          <w:szCs w:val="21"/>
          <w:highlight w:val="none"/>
        </w:rPr>
        <w:br w:type="textWrapping"/>
      </w:r>
      <w:r>
        <w:rPr>
          <w:rFonts w:hint="eastAsia" w:ascii="宋体" w:hAnsi="宋体" w:eastAsia="宋体" w:cs="宋体"/>
          <w:bCs/>
          <w:color w:val="auto"/>
          <w:szCs w:val="21"/>
          <w:highlight w:val="none"/>
        </w:rPr>
        <w:t>  （3）对材料设备供应商，承包人未按材料设备供贷合同支付相应款项的影响工程进度和结算的，发包人有权从工程款中直接支付相应价款给材料设备供应商（承包人必须出具付款委托给发包人）。</w:t>
      </w:r>
    </w:p>
    <w:p w14:paraId="69AFB4EE">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w:t>
      </w:r>
      <w:bookmarkStart w:id="904" w:name="_Hlk81325830"/>
      <w:r>
        <w:rPr>
          <w:rFonts w:hint="eastAsia" w:ascii="宋体" w:hAnsi="宋体" w:eastAsia="宋体" w:cs="宋体"/>
          <w:bCs/>
          <w:color w:val="auto"/>
          <w:szCs w:val="21"/>
          <w:highlight w:val="none"/>
        </w:rPr>
        <w:t>承包人在</w:t>
      </w:r>
      <w:r>
        <w:rPr>
          <w:rFonts w:hint="eastAsia" w:ascii="宋体" w:hAnsi="宋体" w:eastAsia="宋体" w:cs="宋体"/>
          <w:bCs/>
          <w:color w:val="auto"/>
          <w:szCs w:val="21"/>
          <w:highlight w:val="none"/>
          <w:lang w:eastAsia="zh-CN"/>
        </w:rPr>
        <w:t>响应文件</w:t>
      </w:r>
      <w:r>
        <w:rPr>
          <w:rFonts w:hint="eastAsia" w:ascii="宋体" w:hAnsi="宋体" w:eastAsia="宋体" w:cs="宋体"/>
          <w:bCs/>
          <w:color w:val="auto"/>
          <w:szCs w:val="21"/>
          <w:highlight w:val="none"/>
        </w:rPr>
        <w:t>中承诺的设备、材料生产厂家、产地、质量、规格、型号等承包人不得擅自更改；承包人若需更改，必须经发包人书面认可，但必须按下列原则进行调价：即材料、设备采购价低于原投标报价的，结算时综合单价给予相应调低；材料、设备采购价高于原投标报价的，结算时综合单价不予调整（发包人提出的、井书面下达通知变更设备、材料的，可参照本合同约定据实进行调整）。</w:t>
      </w:r>
      <w:bookmarkEnd w:id="904"/>
    </w:p>
    <w:p w14:paraId="180FB9B1">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（5）在工程实施过程中，承包人不能因与发包人在材料价格审核进度款审核等方面存在争议而拖延材料采购及工程施工，否则造成的工期延误责任由承包人承担。</w:t>
      </w:r>
    </w:p>
    <w:p w14:paraId="32B55F15">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6）在项目实施过程中承包人需对暂定价材料及项目（如有时）提出实施建议和方案并报送相关材料样品方案，经发包人审核认可后确定。暂定价材料及项目的暂定价仅做为工程款支付的依据，结算时按发包人审定价格进行计价。</w:t>
      </w:r>
    </w:p>
    <w:p w14:paraId="0F7B6890">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（7）钢材、水泥等主要原材料应使用规模较大厂商合格产品，混凝土使用商品混凝土，砂浆必须采用预拌砂浆。  </w:t>
      </w:r>
    </w:p>
    <w:p w14:paraId="3B9DC4CE">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21.8 如果工程师对承包人所用材料有疑虑，以云南省质量技术监督局或其它专业资质机构鉴定结果为准，若检验不合格，检验费用由承包人承担；若检验合格，检验费用由发包人承担。</w:t>
      </w:r>
    </w:p>
    <w:p w14:paraId="3A42944E">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21.9 质量保修制度和保修期限：按《建设工程质量管理条例》（国务院第279号文）及投标承诺执行。</w:t>
      </w:r>
    </w:p>
    <w:p w14:paraId="2598394F">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21.10 保修金：工程保修款按国家相关规定确定的保修款按各分部工程保修年限退还比例、退还时间执行。</w:t>
      </w:r>
    </w:p>
    <w:p w14:paraId="035FC61B">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21.11 本工程造价管理实行全过程跟踪审核，承包人应配合跟踪审核及工程竣工结算的相关审核工作。</w:t>
      </w:r>
    </w:p>
    <w:p w14:paraId="677EBFB1">
      <w:pPr>
        <w:autoSpaceDE w:val="0"/>
        <w:autoSpaceDN w:val="0"/>
        <w:adjustRightInd w:val="0"/>
        <w:snapToGrid w:val="0"/>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21.12 在施工全过程中承包人必须配备能够胜任本项目的专职计量造价技术管理人员（具有注册造价师执业资格）。</w:t>
      </w:r>
    </w:p>
    <w:p w14:paraId="6295AF68">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21.13 承包人若因报价过低致使合同履行中无故要求变更投标承诺和变更投标报价（含单价、合价和总价）的。按下列规定执行：</w:t>
      </w:r>
    </w:p>
    <w:p w14:paraId="1258DA85">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不严格和不全面履行合同的，发包人有权改变合同约定的发包范围另行委托其他单位完成该项工作。同时还应承担由此造成发包人的实际损失，由此造成的承包人损失由承包人自行承担。此外，发包人可将有关情况报建设行政主管部门，由建设行政主管部门依照有关法律、法规给予相应处罚，并作为不良市场行为记录。</w:t>
      </w:r>
    </w:p>
    <w:p w14:paraId="55421721">
      <w:pPr>
        <w:autoSpaceDE w:val="0"/>
        <w:autoSpaceDN w:val="0"/>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在合同履行中，承包人无故要求变更投标承诺和变更投标报价（含单价、合价和总价）的，发包人不给予调整，可视情况终止合同。由此造成发包人的实际损失由承包人承担赔偿责任，由此造成的承包人损失由承包人自行承担。发包人可将有关情况报建设行政主管部门，由建设行政主管部门依照有关法律、法规给予相应处罚，并作为不良市场行为记录。</w:t>
      </w:r>
    </w:p>
    <w:p w14:paraId="4CE91CA2">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21.14 工程结算时，承包人应报送正式结算送审稿及完整的结算支撑资料，包括竣工图、签证、变更及其他为支撑结算数据构成的各项资料。</w:t>
      </w:r>
    </w:p>
    <w:p w14:paraId="25884AA7">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21.15 承包人的法人营业执照、组织机构代码证、施工资质（含等级）证的复印件（须加盖本单位红色印章）在本合同签订前必须提交发包人备查，并作为本合同的附件。</w:t>
      </w:r>
    </w:p>
    <w:p w14:paraId="5D56FE8B">
      <w:pPr>
        <w:autoSpaceDE w:val="0"/>
        <w:autoSpaceDN w:val="0"/>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21.16 其他条款合同治谈另行协商。</w:t>
      </w:r>
    </w:p>
    <w:p w14:paraId="41539F36">
      <w:pPr>
        <w:ind w:firstLine="420" w:firstLineChars="200"/>
        <w:rPr>
          <w:rFonts w:hint="eastAsia" w:ascii="宋体" w:hAnsi="宋体" w:eastAsia="宋体" w:cs="宋体"/>
          <w:bCs/>
          <w:color w:val="auto"/>
          <w:szCs w:val="20"/>
          <w:highlight w:val="none"/>
        </w:rPr>
      </w:pPr>
      <w:r>
        <w:rPr>
          <w:rFonts w:hint="eastAsia" w:ascii="宋体" w:hAnsi="宋体" w:eastAsia="宋体" w:cs="宋体"/>
          <w:bCs/>
          <w:color w:val="auto"/>
          <w:szCs w:val="21"/>
          <w:highlight w:val="none"/>
        </w:rPr>
        <w:t>21.17 未尽事宜双方协商解决处理，并形成纪要作为合同附件。</w:t>
      </w:r>
    </w:p>
    <w:p w14:paraId="1176DB27">
      <w:pPr>
        <w:rPr>
          <w:rFonts w:hint="eastAsia" w:ascii="宋体" w:hAnsi="宋体" w:eastAsia="宋体" w:cs="宋体"/>
          <w:bCs/>
          <w:color w:val="auto"/>
          <w:highlight w:val="none"/>
        </w:rPr>
      </w:pPr>
    </w:p>
    <w:p w14:paraId="095EC858">
      <w:pPr>
        <w:widowControl/>
        <w:jc w:val="left"/>
        <w:rPr>
          <w:rFonts w:hint="eastAsia" w:ascii="宋体" w:hAnsi="宋体" w:eastAsia="宋体" w:cs="宋体"/>
          <w:bCs/>
          <w:color w:val="auto"/>
          <w:highlight w:val="none"/>
        </w:rPr>
      </w:pPr>
      <w:bookmarkStart w:id="905" w:name="_Toc351203652"/>
      <w:r>
        <w:rPr>
          <w:rFonts w:hint="eastAsia" w:ascii="宋体" w:hAnsi="宋体" w:eastAsia="宋体" w:cs="宋体"/>
          <w:bCs/>
          <w:color w:val="auto"/>
          <w:szCs w:val="21"/>
          <w:highlight w:val="none"/>
        </w:rPr>
        <w:t>附件</w:t>
      </w:r>
      <w:bookmarkEnd w:id="905"/>
    </w:p>
    <w:p w14:paraId="3AB959FD">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协议书附件：</w:t>
      </w:r>
    </w:p>
    <w:p w14:paraId="3467EF02">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附件1：承包人承揽工程项目一览表</w:t>
      </w:r>
    </w:p>
    <w:p w14:paraId="48E50CD0">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附件2：承包人提供的材料和工程设备一览表</w:t>
      </w:r>
    </w:p>
    <w:p w14:paraId="72B6A535">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附件3：工 程 质 量 保 修 书</w:t>
      </w:r>
    </w:p>
    <w:p w14:paraId="147350F7">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附件4：安全生产合同</w:t>
      </w:r>
    </w:p>
    <w:p w14:paraId="64BD0E6A">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附件5：廉 政 合 同</w:t>
      </w:r>
    </w:p>
    <w:p w14:paraId="24B4BD13">
      <w:pPr>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p>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2"/>
    <w:bookmarkEnd w:id="903"/>
    <w:p w14:paraId="067CA3B0">
      <w:pPr>
        <w:pStyle w:val="3"/>
        <w:widowControl/>
        <w:spacing w:before="0"/>
        <w:rPr>
          <w:rFonts w:hint="eastAsia" w:ascii="宋体" w:hAnsi="宋体" w:eastAsia="宋体" w:cs="宋体"/>
          <w:b w:val="0"/>
          <w:color w:val="auto"/>
          <w:szCs w:val="21"/>
          <w:highlight w:val="none"/>
        </w:rPr>
      </w:pPr>
      <w:bookmarkStart w:id="906" w:name="_Toc1373387458"/>
      <w:bookmarkStart w:id="907" w:name="_Toc56093343"/>
      <w:bookmarkStart w:id="908" w:name="_Toc7547"/>
      <w:r>
        <w:rPr>
          <w:rFonts w:hint="eastAsia" w:ascii="宋体" w:hAnsi="宋体" w:eastAsia="宋体" w:cs="宋体"/>
          <w:color w:val="auto"/>
          <w:highlight w:val="none"/>
        </w:rPr>
        <w:fldChar w:fldCharType="begin"/>
      </w:r>
      <w:r>
        <w:rPr>
          <w:rFonts w:hint="eastAsia" w:ascii="宋体" w:hAnsi="宋体" w:eastAsia="宋体" w:cs="宋体"/>
          <w:bCs/>
          <w:color w:val="auto"/>
          <w:sz w:val="21"/>
          <w:szCs w:val="21"/>
          <w:highlight w:val="none"/>
        </w:rPr>
        <w:instrText xml:space="preserve">AUTOTEXT  专用合同条款 \* MERGEFORMAT</w:instrTex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第四部分 工程质量保修书</w:t>
      </w:r>
      <w:bookmarkEnd w:id="906"/>
      <w:bookmarkEnd w:id="907"/>
      <w:bookmarkEnd w:id="908"/>
    </w:p>
    <w:p w14:paraId="26FEC912">
      <w:pPr>
        <w:spacing w:line="360" w:lineRule="auto"/>
        <w:rPr>
          <w:rFonts w:hint="eastAsia" w:ascii="宋体" w:hAnsi="宋体" w:eastAsia="宋体" w:cs="宋体"/>
          <w:color w:val="auto"/>
          <w:szCs w:val="21"/>
          <w:highlight w:val="none"/>
        </w:rPr>
      </w:pPr>
    </w:p>
    <w:p w14:paraId="6352DD06">
      <w:pPr>
        <w:spacing w:line="360" w:lineRule="auto"/>
        <w:rPr>
          <w:rFonts w:hint="eastAsia" w:ascii="宋体" w:hAnsi="宋体" w:eastAsia="宋体" w:cs="宋体"/>
          <w:color w:val="auto"/>
          <w:spacing w:val="-20"/>
          <w:szCs w:val="21"/>
          <w:highlight w:val="none"/>
          <w:u w:val="single"/>
        </w:rPr>
      </w:pPr>
      <w:r>
        <w:rPr>
          <w:rFonts w:hint="eastAsia" w:ascii="宋体" w:hAnsi="宋体" w:eastAsia="宋体" w:cs="宋体"/>
          <w:color w:val="auto"/>
          <w:szCs w:val="21"/>
          <w:highlight w:val="none"/>
        </w:rPr>
        <w:t>发包人</w:t>
      </w:r>
      <w:r>
        <w:rPr>
          <w:rFonts w:hint="eastAsia" w:ascii="宋体" w:hAnsi="宋体" w:eastAsia="宋体" w:cs="宋体"/>
          <w:color w:val="auto"/>
          <w:spacing w:val="-20"/>
          <w:szCs w:val="21"/>
          <w:highlight w:val="none"/>
        </w:rPr>
        <w:t>（全 称）</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u w:val="single"/>
        </w:rPr>
        <w:t xml:space="preserve">                                  　　　　</w:t>
      </w:r>
    </w:p>
    <w:p w14:paraId="30531487">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w:t>
      </w:r>
      <w:r>
        <w:rPr>
          <w:rFonts w:hint="eastAsia" w:ascii="宋体" w:hAnsi="宋体" w:eastAsia="宋体" w:cs="宋体"/>
          <w:color w:val="auto"/>
          <w:spacing w:val="-20"/>
          <w:szCs w:val="21"/>
          <w:highlight w:val="none"/>
        </w:rPr>
        <w:t>（全 称）</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u w:val="single"/>
        </w:rPr>
        <w:t xml:space="preserve">　　　　　　　　　　　　　　　　　　　    </w:t>
      </w:r>
    </w:p>
    <w:p w14:paraId="0891A90C">
      <w:pPr>
        <w:spacing w:line="360" w:lineRule="auto"/>
        <w:rPr>
          <w:rFonts w:hint="eastAsia" w:ascii="宋体" w:hAnsi="宋体" w:eastAsia="宋体" w:cs="宋体"/>
          <w:color w:val="auto"/>
          <w:szCs w:val="21"/>
          <w:highlight w:val="none"/>
        </w:rPr>
      </w:pPr>
    </w:p>
    <w:p w14:paraId="5288757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甲方、乙方根据《中华人民共和国建筑法》《建设工程质量管理条例》《房屋建筑工程质量保修办法》等法律法规，经协商一致，对</w:t>
      </w:r>
      <w:r>
        <w:rPr>
          <w:rFonts w:hint="eastAsia" w:ascii="宋体" w:hAnsi="宋体" w:eastAsia="宋体" w:cs="宋体"/>
          <w:b/>
          <w:bCs/>
          <w:color w:val="auto"/>
          <w:szCs w:val="21"/>
          <w:highlight w:val="none"/>
          <w:u w:val="single"/>
        </w:rPr>
        <w:t>　　　　　　　　　</w:t>
      </w:r>
      <w:r>
        <w:rPr>
          <w:rFonts w:hint="eastAsia" w:ascii="宋体" w:hAnsi="宋体" w:eastAsia="宋体" w:cs="宋体"/>
          <w:color w:val="auto"/>
          <w:szCs w:val="21"/>
          <w:highlight w:val="none"/>
        </w:rPr>
        <w:t>签订工程质量保修书。</w:t>
      </w:r>
    </w:p>
    <w:p w14:paraId="0B276D5B">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1．工程质量保修范围和内容</w:t>
      </w:r>
    </w:p>
    <w:p w14:paraId="1E3033A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乙方在质量保修期内，按照有关法律、法规、规章规定和双方约定，承担本工程质量保修责任。</w:t>
      </w:r>
    </w:p>
    <w:p w14:paraId="7C240F7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质量保修范围包括拆除工程，以及双方约定的其他项目。具体保修的内容，双方约定如下：</w:t>
      </w:r>
      <w:r>
        <w:rPr>
          <w:rFonts w:hint="eastAsia" w:ascii="宋体" w:hAnsi="宋体" w:eastAsia="宋体" w:cs="宋体"/>
          <w:b/>
          <w:color w:val="auto"/>
          <w:szCs w:val="21"/>
          <w:highlight w:val="none"/>
          <w:u w:val="single"/>
        </w:rPr>
        <w:t>保修范围为由乙方建设实施的施工图范围内所示的全部内容（含响应文件及附件部分）</w:t>
      </w:r>
      <w:r>
        <w:rPr>
          <w:rFonts w:hint="eastAsia" w:ascii="宋体" w:hAnsi="宋体" w:eastAsia="宋体" w:cs="宋体"/>
          <w:color w:val="auto"/>
          <w:szCs w:val="21"/>
          <w:highlight w:val="none"/>
        </w:rPr>
        <w:t>。</w:t>
      </w:r>
    </w:p>
    <w:p w14:paraId="4FF695E2">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2．</w:t>
      </w:r>
      <w:bookmarkStart w:id="909" w:name="_Hlk92807992"/>
      <w:r>
        <w:rPr>
          <w:rFonts w:hint="eastAsia" w:ascii="宋体" w:hAnsi="宋体" w:eastAsia="宋体" w:cs="宋体"/>
          <w:b/>
          <w:color w:val="auto"/>
          <w:szCs w:val="21"/>
          <w:highlight w:val="none"/>
        </w:rPr>
        <w:t>质量保修期</w:t>
      </w:r>
      <w:bookmarkEnd w:id="909"/>
    </w:p>
    <w:p w14:paraId="3D0CF1FB">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双方根据《建设工程质量管理条例》及有关规定，约定本工程的质量保修期如下：</w:t>
      </w:r>
    </w:p>
    <w:p w14:paraId="331D35DA">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（1）地基基础工程和主体结构工程为设计文件规定的该工程合理使用年限；</w:t>
      </w:r>
    </w:p>
    <w:p w14:paraId="4A40D0B3">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（2）屋面防水工程、有防水要求的卫生间、房间和外墙的防渗漏为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p>
    <w:p w14:paraId="39660F57">
      <w:pPr>
        <w:spacing w:line="360" w:lineRule="auto"/>
        <w:ind w:firstLine="48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（3）装修工程为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p>
    <w:p w14:paraId="296CF2EC">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（4）电气管线、给排水管道、设备安装工程为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p>
    <w:p w14:paraId="34BC2069">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（5）供热与供冷系统为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个采暖期、供冷期；</w:t>
      </w:r>
    </w:p>
    <w:p w14:paraId="0C92C82F">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（6）住宅小区内的给排水设施、道路等配套工程为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p>
    <w:p w14:paraId="7F6CA6B8">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（7）其他项目保修期限约定如下：</w:t>
      </w:r>
      <w:r>
        <w:rPr>
          <w:rFonts w:hint="eastAsia" w:ascii="宋体" w:hAnsi="宋体" w:eastAsia="宋体" w:cs="宋体"/>
          <w:b/>
          <w:color w:val="auto"/>
          <w:szCs w:val="21"/>
          <w:highlight w:val="none"/>
          <w:u w:val="single"/>
        </w:rPr>
        <w:t xml:space="preserve">                  。</w:t>
      </w:r>
    </w:p>
    <w:p w14:paraId="7F5BEBD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2.2质量保修期</w:t>
      </w:r>
      <w:bookmarkStart w:id="910" w:name="_Hlk92808023"/>
      <w:r>
        <w:rPr>
          <w:rFonts w:hint="eastAsia" w:ascii="宋体" w:hAnsi="宋体" w:eastAsia="宋体" w:cs="宋体"/>
          <w:color w:val="auto"/>
          <w:szCs w:val="21"/>
          <w:highlight w:val="none"/>
        </w:rPr>
        <w:t>自工程竣工验收（初验）合格之日起计算（由验收方在验收报告中明确具体起止日期）</w:t>
      </w:r>
      <w:bookmarkEnd w:id="910"/>
      <w:r>
        <w:rPr>
          <w:rFonts w:hint="eastAsia" w:ascii="宋体" w:hAnsi="宋体" w:eastAsia="宋体" w:cs="宋体"/>
          <w:color w:val="auto"/>
          <w:szCs w:val="21"/>
          <w:highlight w:val="none"/>
        </w:rPr>
        <w:t>。</w:t>
      </w:r>
    </w:p>
    <w:p w14:paraId="37D766DE">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3．质量保修责任</w:t>
      </w:r>
    </w:p>
    <w:p w14:paraId="58AA421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3.1 属于保修范围、内容的项目，乙方应当在接到保修通知之日起7天内派人保修。乙方不在约定期限内派人保修的，甲方可以委托他人修理，保修费从质量保修金内扣除。</w:t>
      </w:r>
    </w:p>
    <w:p w14:paraId="7C666C1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3.2 发生须紧急抢修事故的，乙方在接到事故通知后，应当立即到达事故现场抢修。</w:t>
      </w:r>
    </w:p>
    <w:p w14:paraId="0826F50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3.3 在国家规定的工程合理使用期限内，乙方应确保所承包工程主体结构的质量。因乙方原因致使工程在合理使用期内造成人身和财产损害的，乙方应承担损害赔偿责任。</w:t>
      </w:r>
    </w:p>
    <w:p w14:paraId="27271D0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3.4 工程竣工验收合格，质量保修完成后，由甲方组织验收。</w:t>
      </w:r>
    </w:p>
    <w:p w14:paraId="5D4723F7">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4．其他</w:t>
      </w:r>
    </w:p>
    <w:p w14:paraId="1A04621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4.l 双方约定的其他工程质量保修事项：</w:t>
      </w:r>
    </w:p>
    <w:p w14:paraId="6595671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暂无，如发生，甲乙双方友好协商解决。          </w:t>
      </w:r>
    </w:p>
    <w:p w14:paraId="3E5EFC6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4.2本工程质量保修书，由施工合同甲方、乙方双方共同签署，作为施工合同附件，其有效期限至保修期满。</w:t>
      </w:r>
    </w:p>
    <w:p w14:paraId="75BCB97B">
      <w:pPr>
        <w:spacing w:line="360" w:lineRule="auto"/>
        <w:ind w:firstLine="718"/>
        <w:rPr>
          <w:rFonts w:hint="eastAsia" w:ascii="宋体" w:hAnsi="宋体" w:eastAsia="宋体" w:cs="宋体"/>
          <w:color w:val="auto"/>
          <w:szCs w:val="21"/>
          <w:highlight w:val="none"/>
        </w:rPr>
      </w:pPr>
    </w:p>
    <w:p w14:paraId="267EB23D">
      <w:pPr>
        <w:spacing w:line="360" w:lineRule="auto"/>
        <w:ind w:firstLine="71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甲方（公章）：                  乙方（公章）：      </w:t>
      </w:r>
    </w:p>
    <w:p w14:paraId="44149238">
      <w:pPr>
        <w:spacing w:line="360" w:lineRule="auto"/>
        <w:rPr>
          <w:rFonts w:hint="eastAsia" w:ascii="宋体" w:hAnsi="宋体" w:eastAsia="宋体" w:cs="宋体"/>
          <w:color w:val="auto"/>
          <w:szCs w:val="21"/>
          <w:highlight w:val="none"/>
        </w:rPr>
      </w:pPr>
    </w:p>
    <w:p w14:paraId="24FAAC46">
      <w:pPr>
        <w:spacing w:line="360" w:lineRule="auto"/>
        <w:ind w:firstLine="718"/>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　　　                法定代表人</w:t>
      </w:r>
    </w:p>
    <w:p w14:paraId="47494FD5">
      <w:pPr>
        <w:spacing w:line="360" w:lineRule="auto"/>
        <w:ind w:firstLine="718"/>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或委托代理人：　　　　　　　　　或委托代理人：</w:t>
      </w:r>
    </w:p>
    <w:p w14:paraId="63A59B91">
      <w:pPr>
        <w:spacing w:line="360" w:lineRule="auto"/>
        <w:ind w:firstLine="718"/>
        <w:rPr>
          <w:rFonts w:hint="eastAsia" w:ascii="宋体" w:hAnsi="宋体" w:eastAsia="宋体" w:cs="宋体"/>
          <w:color w:val="auto"/>
          <w:szCs w:val="21"/>
          <w:highlight w:val="none"/>
        </w:rPr>
      </w:pPr>
    </w:p>
    <w:p w14:paraId="16FFC236">
      <w:pPr>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                       电    话：</w:t>
      </w:r>
    </w:p>
    <w:p w14:paraId="319542D0">
      <w:pPr>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                       日    期：</w:t>
      </w:r>
    </w:p>
    <w:p w14:paraId="5E6DFCC9">
      <w:pPr>
        <w:pStyle w:val="3"/>
        <w:widowControl/>
        <w:spacing w:before="0"/>
        <w:rPr>
          <w:rFonts w:hint="eastAsia" w:ascii="宋体" w:hAnsi="宋体" w:eastAsia="宋体" w:cs="宋体"/>
          <w:b w:val="0"/>
          <w:color w:val="auto"/>
          <w:highlight w:val="none"/>
        </w:rPr>
      </w:pPr>
      <w:r>
        <w:rPr>
          <w:rFonts w:hint="eastAsia" w:ascii="宋体" w:hAnsi="宋体" w:eastAsia="宋体" w:cs="宋体"/>
          <w:color w:val="auto"/>
          <w:sz w:val="24"/>
          <w:highlight w:val="none"/>
        </w:rPr>
        <w:br w:type="page"/>
      </w:r>
      <w:bookmarkStart w:id="911" w:name="_Toc228812733"/>
      <w:bookmarkStart w:id="912" w:name="_Toc12716"/>
      <w:bookmarkStart w:id="913" w:name="_Toc310941247"/>
      <w:bookmarkStart w:id="914" w:name="_Toc56093344"/>
      <w:bookmarkStart w:id="915" w:name="_Toc1368768650"/>
      <w:r>
        <w:rPr>
          <w:rFonts w:hint="eastAsia" w:ascii="宋体" w:hAnsi="宋体" w:eastAsia="宋体" w:cs="宋体"/>
          <w:bCs/>
          <w:color w:val="auto"/>
          <w:sz w:val="21"/>
          <w:szCs w:val="21"/>
          <w:highlight w:val="none"/>
        </w:rPr>
        <w:t>第五部分 安全生产合同</w:t>
      </w:r>
      <w:bookmarkEnd w:id="911"/>
      <w:bookmarkEnd w:id="912"/>
      <w:bookmarkEnd w:id="913"/>
      <w:bookmarkEnd w:id="914"/>
      <w:bookmarkEnd w:id="915"/>
    </w:p>
    <w:p w14:paraId="04436977">
      <w:pPr>
        <w:spacing w:line="360" w:lineRule="auto"/>
        <w:ind w:firstLine="420"/>
        <w:rPr>
          <w:rFonts w:hint="eastAsia" w:ascii="宋体" w:hAnsi="宋体" w:eastAsia="宋体" w:cs="宋体"/>
          <w:b/>
          <w:color w:val="auto"/>
          <w:szCs w:val="21"/>
          <w:highlight w:val="none"/>
        </w:rPr>
      </w:pPr>
    </w:p>
    <w:p w14:paraId="12361E0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为在</w:t>
      </w:r>
      <w:r>
        <w:rPr>
          <w:rFonts w:hint="eastAsia" w:ascii="宋体" w:hAnsi="宋体" w:eastAsia="宋体" w:cs="宋体"/>
          <w:b/>
          <w:bCs/>
          <w:color w:val="auto"/>
          <w:szCs w:val="21"/>
          <w:highlight w:val="none"/>
          <w:u w:val="single"/>
        </w:rPr>
        <w:t>　　　　　　　　　　　　　　</w:t>
      </w:r>
      <w:r>
        <w:rPr>
          <w:rFonts w:hint="eastAsia" w:ascii="宋体" w:hAnsi="宋体" w:eastAsia="宋体" w:cs="宋体"/>
          <w:color w:val="auto"/>
          <w:szCs w:val="21"/>
          <w:highlight w:val="none"/>
        </w:rPr>
        <w:t>的实施过程中创造安全、高效的施工环境，切实搞好本项目的安全管理工作，本项目业主</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以下简称“甲方”)与乙方</w:t>
      </w:r>
      <w:r>
        <w:rPr>
          <w:rFonts w:hint="eastAsia" w:ascii="宋体" w:hAnsi="宋体" w:eastAsia="宋体" w:cs="宋体"/>
          <w:b/>
          <w:bCs/>
          <w:color w:val="auto"/>
          <w:szCs w:val="21"/>
          <w:highlight w:val="none"/>
          <w:u w:val="single"/>
        </w:rPr>
        <w:t xml:space="preserve">　　  </w:t>
      </w:r>
      <w:r>
        <w:rPr>
          <w:rFonts w:hint="eastAsia" w:ascii="宋体" w:hAnsi="宋体" w:eastAsia="宋体" w:cs="宋体"/>
          <w:bCs/>
          <w:color w:val="auto"/>
          <w:szCs w:val="21"/>
          <w:highlight w:val="none"/>
          <w:u w:val="single"/>
        </w:rPr>
        <w:t>（</w:t>
      </w:r>
      <w:r>
        <w:rPr>
          <w:rFonts w:hint="eastAsia" w:ascii="宋体" w:hAnsi="宋体" w:eastAsia="宋体" w:cs="宋体"/>
          <w:color w:val="auto"/>
          <w:szCs w:val="21"/>
          <w:highlight w:val="none"/>
        </w:rPr>
        <w:t>以下简称“乙方”)特此签订安全生产合同：</w:t>
      </w:r>
    </w:p>
    <w:p w14:paraId="26517918">
      <w:pPr>
        <w:spacing w:line="360" w:lineRule="auto"/>
        <w:ind w:firstLine="54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一、甲方职责</w:t>
      </w:r>
    </w:p>
    <w:p w14:paraId="6D6FF5D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1．严格遵守国家有关安全生产的法律法规，认真执行工程承包合同中的有关安全要求。</w:t>
      </w:r>
    </w:p>
    <w:p w14:paraId="7DD740D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2．按照“安全第一、预防为主”和坚持“管生产必须管安全”的原则进行安全生产管理，做到生产与安全工作同时计划、布置、检查、总结和评比。</w:t>
      </w:r>
    </w:p>
    <w:p w14:paraId="1C3B7D8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3．重要的安全设施必须坚持与主体工程“三同时”的原则，即：同时设计、审批，同时施工，同时验收，投入使用。</w:t>
      </w:r>
    </w:p>
    <w:p w14:paraId="657EBB9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4．定期召开安全生产调度会，及时传达中央及地方有关安全生产的精神。</w:t>
      </w:r>
    </w:p>
    <w:p w14:paraId="56A2716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5．组织对乙方施工现场安全生产检查，监督乙方及时处理发现的各种安全隐患。</w:t>
      </w:r>
    </w:p>
    <w:p w14:paraId="4A98B717">
      <w:pPr>
        <w:spacing w:line="360" w:lineRule="auto"/>
        <w:ind w:firstLine="35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二、乙方职责</w:t>
      </w:r>
    </w:p>
    <w:p w14:paraId="46D39FD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1.严格遵守国家有关安全生产的法律法规，认真执行工程承包合同中的有关安全要求。</w:t>
      </w:r>
    </w:p>
    <w:p w14:paraId="7E44653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D2EDE4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09727CF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4.乙方在任何时候都应采取各种合理的预防措施，防止其员工发生任何违法、违禁、暴力或妨碍治安的行为。</w:t>
      </w:r>
    </w:p>
    <w:p w14:paraId="78A0711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3BEA836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786343E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7.操作人员上岗，必须按规定穿戴防护用品。施工负责人和安全检查员应随时检查劳动防护用品的穿戴情况，不按规定穿戴防护用品的人员不得上岗。</w:t>
      </w:r>
    </w:p>
    <w:p w14:paraId="1E80A3E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8．所有施工机具设备和高空作业的设备均应定期检查，并有安全员的签字记录，保证其经常处于完好状态；不合格的机具、设备和劳动保护用品严禁使用。</w:t>
      </w:r>
    </w:p>
    <w:p w14:paraId="0F97AD5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9．施工中采用新技术、新工艺、新设备、新材料时，必须制定相应的安全技术措施，施工现场必须具有相关的安全标志牌。</w:t>
      </w:r>
    </w:p>
    <w:p w14:paraId="6BD1C34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4180591C">
      <w:pPr>
        <w:spacing w:line="360" w:lineRule="auto"/>
        <w:ind w:firstLine="378"/>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三、违约责任</w:t>
      </w:r>
    </w:p>
    <w:p w14:paraId="0293BD9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如因甲方或乙方违约造成安全事故，将依法追究责任。</w:t>
      </w:r>
    </w:p>
    <w:p w14:paraId="386B63B9">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本合同共拾份，其中正本贰份，发包人壹份，承包人壹份；副本捌份，发包人肆份，承包人肆份。由双方法定代表人或其授权的代理人签署与加盖公章后生效，全部工程竣工验收后失效。</w:t>
      </w:r>
    </w:p>
    <w:p w14:paraId="5F981D8E">
      <w:pPr>
        <w:spacing w:line="360" w:lineRule="auto"/>
        <w:ind w:firstLine="480"/>
        <w:rPr>
          <w:rFonts w:hint="eastAsia" w:ascii="宋体" w:hAnsi="宋体" w:eastAsia="宋体" w:cs="宋体"/>
          <w:color w:val="auto"/>
          <w:szCs w:val="21"/>
          <w:highlight w:val="none"/>
        </w:rPr>
      </w:pPr>
    </w:p>
    <w:p w14:paraId="09DFA846">
      <w:pPr>
        <w:spacing w:line="360" w:lineRule="auto"/>
        <w:ind w:firstLine="480"/>
        <w:rPr>
          <w:rFonts w:hint="eastAsia" w:ascii="宋体" w:hAnsi="宋体" w:eastAsia="宋体" w:cs="宋体"/>
          <w:color w:val="auto"/>
          <w:szCs w:val="21"/>
          <w:highlight w:val="none"/>
        </w:rPr>
      </w:pPr>
    </w:p>
    <w:p w14:paraId="3A323DF3">
      <w:pPr>
        <w:spacing w:line="360" w:lineRule="auto"/>
        <w:ind w:firstLine="480"/>
        <w:jc w:val="center"/>
        <w:rPr>
          <w:rFonts w:hint="eastAsia" w:ascii="宋体" w:hAnsi="宋体" w:eastAsia="宋体" w:cs="宋体"/>
          <w:color w:val="auto"/>
          <w:szCs w:val="21"/>
          <w:highlight w:val="none"/>
        </w:rPr>
      </w:pPr>
    </w:p>
    <w:p w14:paraId="15B8A9EF">
      <w:pPr>
        <w:tabs>
          <w:tab w:val="left" w:pos="432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                              乙方：</w:t>
      </w:r>
    </w:p>
    <w:p w14:paraId="598B061F">
      <w:pPr>
        <w:tabs>
          <w:tab w:val="left" w:pos="4320"/>
        </w:tabs>
        <w:spacing w:line="360" w:lineRule="auto"/>
        <w:rPr>
          <w:rFonts w:hint="eastAsia" w:ascii="宋体" w:hAnsi="宋体" w:eastAsia="宋体" w:cs="宋体"/>
          <w:color w:val="auto"/>
          <w:szCs w:val="21"/>
          <w:highlight w:val="none"/>
        </w:rPr>
      </w:pPr>
    </w:p>
    <w:p w14:paraId="1BECE64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法定代表人：                                  </w:t>
      </w:r>
    </w:p>
    <w:p w14:paraId="1A955EA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或委托代理人：　　　　　　　　　    或委托代理人：</w:t>
      </w:r>
    </w:p>
    <w:p w14:paraId="234BE13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                          电    话：</w:t>
      </w:r>
    </w:p>
    <w:p w14:paraId="4E3C49A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日期：</w:t>
      </w:r>
      <w:bookmarkStart w:id="916" w:name="_Toc310941248"/>
    </w:p>
    <w:p w14:paraId="0BBBE78A">
      <w:pPr>
        <w:spacing w:line="360" w:lineRule="auto"/>
        <w:rPr>
          <w:rFonts w:hint="eastAsia" w:ascii="宋体" w:hAnsi="宋体" w:eastAsia="宋体" w:cs="宋体"/>
          <w:color w:val="auto"/>
          <w:highlight w:val="none"/>
        </w:rPr>
      </w:pPr>
    </w:p>
    <w:p w14:paraId="5EB9090C">
      <w:pPr>
        <w:spacing w:line="360" w:lineRule="auto"/>
        <w:rPr>
          <w:rFonts w:hint="eastAsia" w:ascii="宋体" w:hAnsi="宋体" w:eastAsia="宋体" w:cs="宋体"/>
          <w:color w:val="auto"/>
          <w:highlight w:val="none"/>
        </w:rPr>
      </w:pPr>
    </w:p>
    <w:p w14:paraId="4C3ACAE4">
      <w:pPr>
        <w:spacing w:line="360" w:lineRule="auto"/>
        <w:rPr>
          <w:rFonts w:hint="eastAsia" w:ascii="宋体" w:hAnsi="宋体" w:eastAsia="宋体" w:cs="宋体"/>
          <w:color w:val="auto"/>
          <w:highlight w:val="none"/>
        </w:rPr>
      </w:pPr>
    </w:p>
    <w:p w14:paraId="0DB05894">
      <w:pPr>
        <w:spacing w:line="360" w:lineRule="auto"/>
        <w:rPr>
          <w:rFonts w:hint="eastAsia" w:ascii="宋体" w:hAnsi="宋体" w:eastAsia="宋体" w:cs="宋体"/>
          <w:color w:val="auto"/>
          <w:highlight w:val="none"/>
        </w:rPr>
      </w:pPr>
    </w:p>
    <w:p w14:paraId="6D40AC2D">
      <w:pPr>
        <w:spacing w:line="360" w:lineRule="auto"/>
        <w:rPr>
          <w:rFonts w:hint="eastAsia" w:ascii="宋体" w:hAnsi="宋体" w:eastAsia="宋体" w:cs="宋体"/>
          <w:color w:val="auto"/>
          <w:highlight w:val="none"/>
        </w:rPr>
      </w:pPr>
    </w:p>
    <w:p w14:paraId="33FEFFC6">
      <w:pPr>
        <w:spacing w:line="360" w:lineRule="auto"/>
        <w:rPr>
          <w:rFonts w:hint="eastAsia" w:ascii="宋体" w:hAnsi="宋体" w:eastAsia="宋体" w:cs="宋体"/>
          <w:color w:val="auto"/>
          <w:highlight w:val="none"/>
        </w:rPr>
      </w:pPr>
    </w:p>
    <w:p w14:paraId="5928597C">
      <w:pPr>
        <w:spacing w:line="360" w:lineRule="auto"/>
        <w:rPr>
          <w:rFonts w:hint="eastAsia" w:ascii="宋体" w:hAnsi="宋体" w:eastAsia="宋体" w:cs="宋体"/>
          <w:color w:val="auto"/>
          <w:highlight w:val="none"/>
        </w:rPr>
      </w:pPr>
    </w:p>
    <w:p w14:paraId="1B15080F">
      <w:pPr>
        <w:spacing w:line="360" w:lineRule="auto"/>
        <w:rPr>
          <w:rFonts w:hint="eastAsia" w:ascii="宋体" w:hAnsi="宋体" w:eastAsia="宋体" w:cs="宋体"/>
          <w:color w:val="auto"/>
          <w:highlight w:val="none"/>
        </w:rPr>
      </w:pPr>
    </w:p>
    <w:p w14:paraId="142ACAB6">
      <w:pPr>
        <w:spacing w:line="360" w:lineRule="auto"/>
        <w:rPr>
          <w:rFonts w:hint="eastAsia" w:ascii="宋体" w:hAnsi="宋体" w:eastAsia="宋体" w:cs="宋体"/>
          <w:color w:val="auto"/>
          <w:highlight w:val="none"/>
        </w:rPr>
      </w:pPr>
    </w:p>
    <w:p w14:paraId="0546E9D9">
      <w:pPr>
        <w:spacing w:line="360" w:lineRule="auto"/>
        <w:rPr>
          <w:rFonts w:hint="eastAsia" w:ascii="宋体" w:hAnsi="宋体" w:eastAsia="宋体" w:cs="宋体"/>
          <w:color w:val="auto"/>
          <w:highlight w:val="none"/>
        </w:rPr>
      </w:pPr>
    </w:p>
    <w:p w14:paraId="259F042F">
      <w:pPr>
        <w:spacing w:line="360" w:lineRule="auto"/>
        <w:rPr>
          <w:rFonts w:hint="eastAsia" w:ascii="宋体" w:hAnsi="宋体" w:eastAsia="宋体" w:cs="宋体"/>
          <w:color w:val="auto"/>
          <w:highlight w:val="none"/>
        </w:rPr>
      </w:pPr>
    </w:p>
    <w:p w14:paraId="40C22545">
      <w:pPr>
        <w:spacing w:line="360" w:lineRule="auto"/>
        <w:ind w:firstLine="3465" w:firstLineChars="1650"/>
        <w:rPr>
          <w:rFonts w:hint="eastAsia" w:ascii="宋体" w:hAnsi="宋体" w:eastAsia="宋体" w:cs="宋体"/>
          <w:color w:val="auto"/>
          <w:highlight w:val="none"/>
        </w:rPr>
      </w:pPr>
    </w:p>
    <w:p w14:paraId="2EA4301E">
      <w:pPr>
        <w:spacing w:line="360" w:lineRule="auto"/>
        <w:ind w:firstLine="3465" w:firstLineChars="1650"/>
        <w:rPr>
          <w:rFonts w:hint="eastAsia" w:ascii="宋体" w:hAnsi="宋体" w:eastAsia="宋体" w:cs="宋体"/>
          <w:color w:val="auto"/>
          <w:highlight w:val="none"/>
        </w:rPr>
      </w:pPr>
    </w:p>
    <w:p w14:paraId="3E59EDFA">
      <w:pPr>
        <w:pStyle w:val="3"/>
        <w:widowControl/>
        <w:spacing w:before="0"/>
        <w:rPr>
          <w:rFonts w:hint="eastAsia" w:ascii="宋体" w:hAnsi="宋体" w:eastAsia="宋体" w:cs="宋体"/>
          <w:bCs/>
          <w:color w:val="auto"/>
          <w:sz w:val="21"/>
          <w:szCs w:val="21"/>
          <w:highlight w:val="none"/>
        </w:rPr>
      </w:pPr>
      <w:bookmarkStart w:id="917" w:name="_Toc1049873886"/>
      <w:bookmarkStart w:id="918" w:name="_Toc19401"/>
      <w:bookmarkStart w:id="919" w:name="_Toc56093345"/>
      <w:r>
        <w:rPr>
          <w:rFonts w:hint="eastAsia" w:ascii="宋体" w:hAnsi="宋体" w:eastAsia="宋体" w:cs="宋体"/>
          <w:bCs/>
          <w:color w:val="auto"/>
          <w:sz w:val="21"/>
          <w:szCs w:val="21"/>
          <w:highlight w:val="none"/>
        </w:rPr>
        <w:t>第六部分 工程廉政合同</w:t>
      </w:r>
      <w:bookmarkEnd w:id="916"/>
      <w:bookmarkEnd w:id="917"/>
      <w:bookmarkEnd w:id="918"/>
      <w:bookmarkEnd w:id="919"/>
    </w:p>
    <w:p w14:paraId="7E9726ED">
      <w:pPr>
        <w:spacing w:line="360" w:lineRule="auto"/>
        <w:jc w:val="center"/>
        <w:rPr>
          <w:rFonts w:hint="eastAsia" w:ascii="宋体" w:hAnsi="宋体" w:eastAsia="宋体" w:cs="宋体"/>
          <w:b/>
          <w:color w:val="auto"/>
          <w:szCs w:val="21"/>
          <w:highlight w:val="none"/>
        </w:rPr>
      </w:pPr>
    </w:p>
    <w:p w14:paraId="5E66274D">
      <w:pPr>
        <w:spacing w:line="360" w:lineRule="auto"/>
        <w:rPr>
          <w:rFonts w:hint="eastAsia" w:ascii="宋体" w:hAnsi="宋体" w:eastAsia="宋体" w:cs="宋体"/>
          <w:color w:val="auto"/>
          <w:spacing w:val="-20"/>
          <w:szCs w:val="21"/>
          <w:highlight w:val="none"/>
          <w:u w:val="single"/>
        </w:rPr>
      </w:pPr>
      <w:r>
        <w:rPr>
          <w:rFonts w:hint="eastAsia" w:ascii="宋体" w:hAnsi="宋体" w:eastAsia="宋体" w:cs="宋体"/>
          <w:color w:val="auto"/>
          <w:szCs w:val="21"/>
          <w:highlight w:val="none"/>
        </w:rPr>
        <w:t>发包人</w:t>
      </w:r>
      <w:r>
        <w:rPr>
          <w:rFonts w:hint="eastAsia" w:ascii="宋体" w:hAnsi="宋体" w:eastAsia="宋体" w:cs="宋体"/>
          <w:color w:val="auto"/>
          <w:spacing w:val="-20"/>
          <w:szCs w:val="21"/>
          <w:highlight w:val="none"/>
        </w:rPr>
        <w:t>（全 称）</w:t>
      </w:r>
      <w:r>
        <w:rPr>
          <w:rFonts w:hint="eastAsia" w:ascii="宋体" w:hAnsi="宋体" w:eastAsia="宋体" w:cs="宋体"/>
          <w:color w:val="auto"/>
          <w:szCs w:val="21"/>
          <w:highlight w:val="none"/>
        </w:rPr>
        <w:t>：</w:t>
      </w:r>
    </w:p>
    <w:p w14:paraId="776FDD4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w:t>
      </w:r>
      <w:r>
        <w:rPr>
          <w:rFonts w:hint="eastAsia" w:ascii="宋体" w:hAnsi="宋体" w:eastAsia="宋体" w:cs="宋体"/>
          <w:color w:val="auto"/>
          <w:spacing w:val="-20"/>
          <w:szCs w:val="21"/>
          <w:highlight w:val="none"/>
        </w:rPr>
        <w:t>（全 称）</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u w:val="single"/>
        </w:rPr>
        <w:t>　　　　　　　　　　　　　　　</w:t>
      </w:r>
    </w:p>
    <w:p w14:paraId="4213C9E3">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根据有关工程建设、廉政建设的规定，为做好工程建设中的党风廉政建设，保证工程建设高效优质，保证建设资金的安全有效使用以及投资效益，本项目业主（以下简称“甲方”)  与乙方</w:t>
      </w:r>
      <w:r>
        <w:rPr>
          <w:rFonts w:hint="eastAsia" w:ascii="宋体" w:hAnsi="宋体" w:eastAsia="宋体" w:cs="宋体"/>
          <w:b/>
          <w:bCs/>
          <w:color w:val="auto"/>
          <w:szCs w:val="21"/>
          <w:highlight w:val="none"/>
          <w:u w:val="single"/>
        </w:rPr>
        <w:t>　　　　　</w:t>
      </w:r>
      <w:r>
        <w:rPr>
          <w:rFonts w:hint="eastAsia" w:ascii="宋体" w:hAnsi="宋体" w:eastAsia="宋体" w:cs="宋体"/>
          <w:color w:val="auto"/>
          <w:szCs w:val="21"/>
          <w:highlight w:val="none"/>
        </w:rPr>
        <w:t>以下简称“乙方”)，特订立如下合同。</w:t>
      </w:r>
    </w:p>
    <w:p w14:paraId="4F1F66A4">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1．甲乙双方的权利和义务</w:t>
      </w:r>
    </w:p>
    <w:p w14:paraId="6D9B584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（1）严格遵守党的政策规定和国家有关法律法规及住建部的有关规定。</w:t>
      </w:r>
    </w:p>
    <w:p w14:paraId="46224A3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（2）严格执行</w:t>
      </w:r>
      <w:r>
        <w:rPr>
          <w:rFonts w:hint="eastAsia" w:ascii="宋体" w:hAnsi="宋体" w:eastAsia="宋体" w:cs="宋体"/>
          <w:b/>
          <w:bCs/>
          <w:color w:val="auto"/>
          <w:szCs w:val="21"/>
          <w:highlight w:val="none"/>
          <w:u w:val="single"/>
        </w:rPr>
        <w:t>　　　　　　　　　　　　　　　　　　　</w:t>
      </w:r>
      <w:r>
        <w:rPr>
          <w:rFonts w:hint="eastAsia" w:ascii="宋体" w:hAnsi="宋体" w:eastAsia="宋体" w:cs="宋体"/>
          <w:color w:val="auto"/>
          <w:szCs w:val="21"/>
          <w:highlight w:val="none"/>
        </w:rPr>
        <w:t>的合同文件，自觉按合同办事。</w:t>
      </w:r>
    </w:p>
    <w:p w14:paraId="5904C2AD">
      <w:pPr>
        <w:spacing w:line="360" w:lineRule="auto"/>
        <w:ind w:firstLine="3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（3）双方的业务活动坚持公开、公正、诚信、透明的原则(法律认定的商业秘密和合同文件另有规定除外)，不得损害国家和集体利益，违反工程建设管理规章制度。</w:t>
      </w:r>
    </w:p>
    <w:p w14:paraId="4A0CDC67">
      <w:pPr>
        <w:tabs>
          <w:tab w:val="left" w:pos="540"/>
        </w:tabs>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（4）建立健全廉政制度，开展廉政教育，设立廉政告示牌，公布举报电话，监督并认真查处违法违纪行为。</w:t>
      </w:r>
    </w:p>
    <w:p w14:paraId="77F734C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（5）发现对方在业务活动中有违反廉政规定的行为，有及时提醒对方纠正的权利和义务。</w:t>
      </w:r>
    </w:p>
    <w:p w14:paraId="20B88C0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（6）发现对方严重违反本合同义务条款的行为，有向其上级有关部门举报、建议给予处理并要求告知处理结果的权利。</w:t>
      </w:r>
    </w:p>
    <w:p w14:paraId="185923A3">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2．甲方的义务</w:t>
      </w:r>
    </w:p>
    <w:p w14:paraId="37E2831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（1）甲方及其工作人员不得索要或接受乙方的礼金、有价证券和贵重物品，不得在乙方报销任何应由甲方或甲方工作人员个人支付的费用等。</w:t>
      </w:r>
    </w:p>
    <w:p w14:paraId="5438103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（2）甲方工作人员不得参加乙方安排的超标准宴请和娱乐活动；不得接受乙方提供的通讯工具、交通工具和高档办公用品等。</w:t>
      </w:r>
    </w:p>
    <w:p w14:paraId="21CA9F3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（3）甲方及其工作人员不得要求或者接受乙方为其住房装修、婚丧嫁娶活动、配偶子女的工作安排以及出国出境、旅游等提供方便等。</w:t>
      </w:r>
    </w:p>
    <w:p w14:paraId="437D79C8">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（4）甲方工作人员及其配偶、子女不得从事与甲方工程有关的材料设备供应、工程分包、劳务等经济活动。</w:t>
      </w:r>
    </w:p>
    <w:p w14:paraId="01D128E8">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（5）甲方及其工作人员不得以任何理由向乙方推荐分包单位或推销材料，不得要求乙方购买合同规定外的材料和设备。</w:t>
      </w:r>
    </w:p>
    <w:p w14:paraId="226DC9B7">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（6）甲方工作人员要秉公办事，不准营私舞弊，不准利用职权从事各种个人有偿中介活动和安排个人施工队伍。</w:t>
      </w:r>
    </w:p>
    <w:p w14:paraId="4F279687">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3．乙方义务</w:t>
      </w:r>
    </w:p>
    <w:p w14:paraId="3CEE855F">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（1）乙方不得以任何理由向甲方及其工作人员行贿或馈赠礼金、有价证券、贵重礼品。</w:t>
      </w:r>
    </w:p>
    <w:p w14:paraId="5B8251EB">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（2）乙方不得以任何名义为甲方及其工作人员报销应由甲方单位或个人支付的任何费用。</w:t>
      </w:r>
    </w:p>
    <w:p w14:paraId="677EFF0D">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（3）乙方不得以任何理由安排甲方工作人员参加超标准宴请及娱乐活动。</w:t>
      </w:r>
    </w:p>
    <w:p w14:paraId="6509646B">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（4）乙方不得为甲方单位和个人购置或提供通讯工具、交通工具和高档办公用品等。</w:t>
      </w:r>
    </w:p>
    <w:p w14:paraId="12943D15">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4．违约责任</w:t>
      </w:r>
    </w:p>
    <w:p w14:paraId="06E62F8C">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（1）甲方及其工作人员违反本合同第一、二条，按管理权限，依据有关规定给予党纪、政纪或组织处理；涉嫌犯罪的，移交司法机关追究刑事责任；给乙方单位造成经济损失的，应予以赔偿。</w:t>
      </w:r>
    </w:p>
    <w:p w14:paraId="70FB93F9">
      <w:pPr>
        <w:spacing w:line="360" w:lineRule="auto"/>
        <w:ind w:firstLine="493"/>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p>
    <w:p w14:paraId="045646F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5．双方约定</w:t>
      </w:r>
    </w:p>
    <w:p w14:paraId="398F26CC">
      <w:pPr>
        <w:spacing w:line="360" w:lineRule="auto"/>
        <w:ind w:firstLine="732" w:firstLineChars="34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1897BD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6．本合同有效期</w:t>
      </w:r>
    </w:p>
    <w:p w14:paraId="586D29E1">
      <w:pPr>
        <w:spacing w:line="360" w:lineRule="auto"/>
        <w:ind w:firstLine="732" w:firstLineChars="34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甲乙双方签署之日起至该工程项目竣工验收后止。</w:t>
      </w:r>
    </w:p>
    <w:p w14:paraId="676B5BB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7．合同生效条件</w:t>
      </w:r>
    </w:p>
    <w:p w14:paraId="0E4CC712">
      <w:pPr>
        <w:spacing w:line="360" w:lineRule="auto"/>
        <w:ind w:firstLine="732" w:firstLineChars="349"/>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经合同双方签字盖章生效。</w:t>
      </w:r>
    </w:p>
    <w:p w14:paraId="5CD48CA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8．本合同共十份</w:t>
      </w:r>
      <w:r>
        <w:rPr>
          <w:rFonts w:hint="eastAsia" w:ascii="宋体" w:hAnsi="宋体" w:eastAsia="宋体" w:cs="宋体"/>
          <w:color w:val="auto"/>
          <w:szCs w:val="21"/>
          <w:highlight w:val="none"/>
        </w:rPr>
        <w:t>，其中正本贰份，发包人壹份，承包人壹份；副本八份，发包人肆份，承包人叁份，送交财政主管部门备案壹份。</w:t>
      </w:r>
    </w:p>
    <w:p w14:paraId="560AE232">
      <w:pPr>
        <w:tabs>
          <w:tab w:val="left" w:pos="4320"/>
        </w:tabs>
        <w:spacing w:line="360" w:lineRule="auto"/>
        <w:rPr>
          <w:rFonts w:hint="eastAsia" w:ascii="宋体" w:hAnsi="宋体" w:eastAsia="宋体" w:cs="宋体"/>
          <w:color w:val="auto"/>
          <w:szCs w:val="21"/>
          <w:highlight w:val="none"/>
        </w:rPr>
      </w:pPr>
    </w:p>
    <w:p w14:paraId="6EAD0E2E">
      <w:pPr>
        <w:tabs>
          <w:tab w:val="left" w:pos="4320"/>
        </w:tabs>
        <w:spacing w:line="360" w:lineRule="auto"/>
        <w:rPr>
          <w:rFonts w:hint="eastAsia" w:ascii="宋体" w:hAnsi="宋体" w:eastAsia="宋体" w:cs="宋体"/>
          <w:color w:val="auto"/>
          <w:szCs w:val="21"/>
          <w:highlight w:val="none"/>
        </w:rPr>
      </w:pPr>
    </w:p>
    <w:p w14:paraId="7D246210">
      <w:pPr>
        <w:tabs>
          <w:tab w:val="left" w:pos="432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p>
    <w:p w14:paraId="3651DB01">
      <w:pPr>
        <w:tabs>
          <w:tab w:val="left" w:pos="4320"/>
        </w:tabs>
        <w:spacing w:line="360" w:lineRule="auto"/>
        <w:rPr>
          <w:rFonts w:hint="eastAsia" w:ascii="宋体" w:hAnsi="宋体" w:eastAsia="宋体" w:cs="宋体"/>
          <w:color w:val="auto"/>
          <w:szCs w:val="21"/>
          <w:highlight w:val="none"/>
        </w:rPr>
      </w:pPr>
    </w:p>
    <w:p w14:paraId="02ED2E04">
      <w:pPr>
        <w:tabs>
          <w:tab w:val="left" w:pos="4320"/>
        </w:tabs>
        <w:spacing w:line="360" w:lineRule="auto"/>
        <w:rPr>
          <w:rFonts w:hint="eastAsia" w:ascii="宋体" w:hAnsi="宋体" w:eastAsia="宋体" w:cs="宋体"/>
          <w:color w:val="auto"/>
          <w:szCs w:val="21"/>
          <w:highlight w:val="none"/>
        </w:rPr>
      </w:pPr>
    </w:p>
    <w:p w14:paraId="1F5F94E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　　　　　　　　　　　　　　　法定代表人：</w:t>
      </w:r>
    </w:p>
    <w:p w14:paraId="14B558D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或委托代理人：　　　　　　　　　　　　　　或委托代理人：</w:t>
      </w:r>
    </w:p>
    <w:p w14:paraId="5AA985C3">
      <w:pPr>
        <w:spacing w:line="360" w:lineRule="auto"/>
        <w:ind w:firstLine="1260"/>
        <w:rPr>
          <w:rFonts w:hint="eastAsia" w:ascii="宋体" w:hAnsi="宋体" w:eastAsia="宋体" w:cs="宋体"/>
          <w:color w:val="auto"/>
          <w:szCs w:val="21"/>
          <w:highlight w:val="none"/>
        </w:rPr>
      </w:pPr>
    </w:p>
    <w:p w14:paraId="224055CD">
      <w:pPr>
        <w:spacing w:line="360" w:lineRule="auto"/>
        <w:ind w:firstLine="1260"/>
        <w:rPr>
          <w:rFonts w:hint="eastAsia" w:ascii="宋体" w:hAnsi="宋体" w:eastAsia="宋体" w:cs="宋体"/>
          <w:color w:val="auto"/>
          <w:szCs w:val="21"/>
          <w:highlight w:val="none"/>
        </w:rPr>
      </w:pPr>
    </w:p>
    <w:p w14:paraId="18DA6F6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p>
    <w:p w14:paraId="015DCC83">
      <w:pPr>
        <w:spacing w:line="360" w:lineRule="auto"/>
        <w:rPr>
          <w:rFonts w:hint="eastAsia" w:ascii="宋体" w:hAnsi="宋体" w:eastAsia="宋体" w:cs="宋体"/>
          <w:color w:val="auto"/>
          <w:szCs w:val="21"/>
          <w:highlight w:val="none"/>
        </w:rPr>
      </w:pPr>
    </w:p>
    <w:p w14:paraId="0AEE0651">
      <w:pPr>
        <w:widowControl/>
        <w:jc w:val="left"/>
        <w:rPr>
          <w:rFonts w:hint="eastAsia" w:ascii="宋体" w:hAnsi="宋体" w:eastAsia="宋体" w:cs="宋体"/>
          <w:color w:val="auto"/>
          <w:highlight w:val="none"/>
        </w:rPr>
      </w:pPr>
      <w:r>
        <w:rPr>
          <w:rFonts w:hint="eastAsia" w:ascii="宋体" w:hAnsi="宋体" w:eastAsia="宋体" w:cs="宋体"/>
          <w:color w:val="auto"/>
          <w:szCs w:val="21"/>
          <w:highlight w:val="none"/>
        </w:rPr>
        <w:t>日    期：                                日    期：</w:t>
      </w:r>
    </w:p>
    <w:p w14:paraId="556DD5E4">
      <w:pPr>
        <w:autoSpaceDE w:val="0"/>
        <w:autoSpaceDN w:val="0"/>
        <w:adjustRightInd w:val="0"/>
        <w:snapToGrid w:val="0"/>
        <w:spacing w:line="360" w:lineRule="auto"/>
        <w:rPr>
          <w:rFonts w:hint="eastAsia" w:ascii="宋体" w:hAnsi="宋体" w:eastAsia="宋体" w:cs="宋体"/>
          <w:color w:val="auto"/>
          <w:szCs w:val="21"/>
          <w:highlight w:val="none"/>
        </w:rPr>
      </w:pPr>
    </w:p>
    <w:p w14:paraId="069967BF">
      <w:pPr>
        <w:rPr>
          <w:rFonts w:hint="eastAsia" w:ascii="宋体" w:hAnsi="宋体" w:eastAsia="宋体" w:cs="宋体"/>
          <w:color w:val="auto"/>
          <w:highlight w:val="none"/>
        </w:rPr>
      </w:pPr>
    </w:p>
    <w:p w14:paraId="3EE13B47">
      <w:pPr>
        <w:tabs>
          <w:tab w:val="right" w:leader="dot" w:pos="9070"/>
          <w:tab w:val="right" w:leader="dot" w:pos="9498"/>
        </w:tabs>
        <w:spacing w:line="360" w:lineRule="auto"/>
        <w:ind w:right="80" w:rightChars="38"/>
        <w:jc w:val="center"/>
        <w:outlineLvl w:val="0"/>
        <w:rPr>
          <w:rFonts w:hint="eastAsia" w:ascii="宋体" w:hAnsi="宋体" w:eastAsia="宋体" w:cs="宋体"/>
          <w:b/>
          <w:color w:val="auto"/>
          <w:kern w:val="44"/>
          <w:sz w:val="36"/>
          <w:szCs w:val="20"/>
          <w:highlight w:val="none"/>
        </w:rPr>
      </w:pPr>
      <w:r>
        <w:rPr>
          <w:rFonts w:hint="eastAsia" w:ascii="宋体" w:hAnsi="宋体" w:eastAsia="宋体" w:cs="宋体"/>
          <w:color w:val="auto"/>
          <w:highlight w:val="none"/>
        </w:rPr>
        <w:br w:type="page"/>
      </w:r>
      <w:bookmarkStart w:id="920" w:name="_Toc1504758250"/>
      <w:bookmarkStart w:id="921" w:name="_Toc80867956"/>
      <w:r>
        <w:rPr>
          <w:rFonts w:hint="eastAsia" w:ascii="宋体" w:hAnsi="宋体" w:eastAsia="宋体" w:cs="宋体"/>
          <w:b/>
          <w:color w:val="auto"/>
          <w:kern w:val="44"/>
          <w:sz w:val="36"/>
          <w:szCs w:val="20"/>
          <w:highlight w:val="none"/>
        </w:rPr>
        <w:t>第四章  响应文件格式</w:t>
      </w:r>
      <w:bookmarkEnd w:id="920"/>
      <w:bookmarkEnd w:id="921"/>
    </w:p>
    <w:p w14:paraId="0B1A1CA2">
      <w:pPr>
        <w:keepNext/>
        <w:tabs>
          <w:tab w:val="left" w:pos="420"/>
          <w:tab w:val="left" w:pos="6090"/>
        </w:tabs>
        <w:adjustRightInd w:val="0"/>
        <w:jc w:val="left"/>
        <w:textAlignment w:val="baseline"/>
        <w:rPr>
          <w:rFonts w:hint="eastAsia" w:ascii="宋体" w:hAnsi="宋体" w:eastAsia="宋体" w:cs="宋体"/>
          <w:color w:val="auto"/>
          <w:highlight w:val="none"/>
        </w:rPr>
      </w:pPr>
      <w:bookmarkStart w:id="922" w:name="_Toc427339178"/>
      <w:bookmarkStart w:id="923" w:name="_Toc34335331"/>
      <w:bookmarkStart w:id="924" w:name="_Toc470096337"/>
      <w:bookmarkStart w:id="925" w:name="_Toc463868520"/>
      <w:bookmarkStart w:id="926" w:name="_Toc80867957"/>
    </w:p>
    <w:p w14:paraId="08D9255F">
      <w:pPr>
        <w:keepNext/>
        <w:tabs>
          <w:tab w:val="left" w:pos="420"/>
          <w:tab w:val="left" w:pos="6090"/>
        </w:tabs>
        <w:adjustRightInd w:val="0"/>
        <w:jc w:val="left"/>
        <w:textAlignment w:val="baseline"/>
        <w:rPr>
          <w:rFonts w:hint="eastAsia" w:ascii="宋体" w:hAnsi="宋体" w:eastAsia="宋体" w:cs="宋体"/>
          <w:color w:val="auto"/>
          <w:highlight w:val="none"/>
        </w:rPr>
      </w:pPr>
    </w:p>
    <w:p w14:paraId="1E1AD6A2">
      <w:pPr>
        <w:keepNext/>
        <w:tabs>
          <w:tab w:val="left" w:pos="420"/>
          <w:tab w:val="left" w:pos="6090"/>
        </w:tabs>
        <w:adjustRightIn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响应文件封面</w:t>
      </w:r>
      <w:bookmarkEnd w:id="922"/>
      <w:bookmarkEnd w:id="923"/>
      <w:bookmarkEnd w:id="924"/>
      <w:bookmarkEnd w:id="925"/>
      <w:bookmarkEnd w:id="926"/>
    </w:p>
    <w:p w14:paraId="2C17F0DF">
      <w:pPr>
        <w:spacing w:line="360" w:lineRule="auto"/>
        <w:ind w:firstLine="561"/>
        <w:jc w:val="center"/>
        <w:rPr>
          <w:rFonts w:hint="eastAsia" w:ascii="宋体" w:hAnsi="宋体" w:eastAsia="宋体" w:cs="宋体"/>
          <w:b/>
          <w:color w:val="auto"/>
          <w:sz w:val="44"/>
          <w:szCs w:val="44"/>
          <w:highlight w:val="none"/>
        </w:rPr>
      </w:pPr>
    </w:p>
    <w:p w14:paraId="7A2040D4">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（项目名称）</w:t>
      </w:r>
    </w:p>
    <w:p w14:paraId="50D39199">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w:t>
      </w:r>
    </w:p>
    <w:p w14:paraId="423E869D">
      <w:pPr>
        <w:spacing w:line="360" w:lineRule="auto"/>
        <w:ind w:firstLine="561"/>
        <w:jc w:val="center"/>
        <w:rPr>
          <w:rFonts w:hint="eastAsia" w:ascii="宋体" w:hAnsi="宋体" w:eastAsia="宋体" w:cs="宋体"/>
          <w:b/>
          <w:color w:val="auto"/>
          <w:sz w:val="48"/>
          <w:szCs w:val="48"/>
          <w:highlight w:val="none"/>
        </w:rPr>
      </w:pPr>
    </w:p>
    <w:p w14:paraId="20BFA89C">
      <w:pPr>
        <w:spacing w:line="360" w:lineRule="auto"/>
        <w:ind w:firstLine="561"/>
        <w:jc w:val="center"/>
        <w:rPr>
          <w:rFonts w:hint="eastAsia" w:ascii="宋体" w:hAnsi="宋体" w:eastAsia="宋体" w:cs="宋体"/>
          <w:b/>
          <w:color w:val="auto"/>
          <w:sz w:val="48"/>
          <w:szCs w:val="48"/>
          <w:highlight w:val="none"/>
        </w:rPr>
      </w:pPr>
    </w:p>
    <w:p w14:paraId="1C8EEC69">
      <w:pPr>
        <w:spacing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响应文件</w:t>
      </w:r>
    </w:p>
    <w:p w14:paraId="420E6974">
      <w:pPr>
        <w:spacing w:line="360" w:lineRule="auto"/>
        <w:jc w:val="center"/>
        <w:rPr>
          <w:rFonts w:hint="eastAsia" w:ascii="宋体" w:hAnsi="宋体" w:eastAsia="宋体" w:cs="宋体"/>
          <w:b/>
          <w:bCs/>
          <w:color w:val="auto"/>
          <w:sz w:val="32"/>
          <w:szCs w:val="32"/>
          <w:highlight w:val="none"/>
        </w:rPr>
      </w:pPr>
    </w:p>
    <w:p w14:paraId="43E4F442">
      <w:pPr>
        <w:spacing w:line="360" w:lineRule="auto"/>
        <w:jc w:val="center"/>
        <w:rPr>
          <w:rFonts w:hint="eastAsia" w:ascii="宋体" w:hAnsi="宋体" w:eastAsia="宋体" w:cs="宋体"/>
          <w:b/>
          <w:bCs/>
          <w:color w:val="auto"/>
          <w:sz w:val="32"/>
          <w:szCs w:val="32"/>
          <w:highlight w:val="none"/>
        </w:rPr>
      </w:pPr>
    </w:p>
    <w:p w14:paraId="04E09CE6">
      <w:pPr>
        <w:spacing w:line="360" w:lineRule="auto"/>
        <w:jc w:val="center"/>
        <w:rPr>
          <w:rFonts w:hint="eastAsia" w:ascii="宋体" w:hAnsi="宋体" w:eastAsia="宋体" w:cs="宋体"/>
          <w:color w:val="auto"/>
          <w:szCs w:val="21"/>
          <w:highlight w:val="none"/>
        </w:rPr>
      </w:pPr>
    </w:p>
    <w:p w14:paraId="0FE91EA0">
      <w:pPr>
        <w:spacing w:line="360" w:lineRule="auto"/>
        <w:rPr>
          <w:rFonts w:hint="eastAsia" w:ascii="宋体" w:hAnsi="宋体" w:eastAsia="宋体" w:cs="宋体"/>
          <w:color w:val="auto"/>
          <w:szCs w:val="21"/>
          <w:highlight w:val="none"/>
        </w:rPr>
      </w:pPr>
    </w:p>
    <w:p w14:paraId="24A76E11">
      <w:pPr>
        <w:spacing w:line="360" w:lineRule="auto"/>
        <w:ind w:firstLine="480" w:firstLineChars="200"/>
        <w:rPr>
          <w:rFonts w:hint="eastAsia" w:ascii="宋体" w:hAnsi="宋体" w:eastAsia="宋体" w:cs="宋体"/>
          <w:color w:val="auto"/>
          <w:sz w:val="24"/>
          <w:highlight w:val="none"/>
        </w:rPr>
      </w:pPr>
    </w:p>
    <w:p w14:paraId="1F4A4C5B">
      <w:pPr>
        <w:spacing w:line="360" w:lineRule="auto"/>
        <w:ind w:firstLine="480" w:firstLineChars="200"/>
        <w:rPr>
          <w:rFonts w:hint="eastAsia" w:ascii="宋体" w:hAnsi="宋体" w:eastAsia="宋体" w:cs="宋体"/>
          <w:color w:val="auto"/>
          <w:sz w:val="24"/>
          <w:highlight w:val="none"/>
        </w:rPr>
      </w:pPr>
    </w:p>
    <w:p w14:paraId="17B4ADE0">
      <w:pPr>
        <w:spacing w:line="360" w:lineRule="auto"/>
        <w:ind w:firstLine="1351" w:firstLineChars="450"/>
        <w:rPr>
          <w:rFonts w:hint="eastAsia" w:ascii="宋体" w:hAnsi="宋体" w:eastAsia="宋体" w:cs="宋体"/>
          <w:b/>
          <w:bCs/>
          <w:color w:val="auto"/>
          <w:sz w:val="30"/>
          <w:szCs w:val="30"/>
          <w:highlight w:val="none"/>
        </w:rPr>
      </w:pPr>
      <w:r>
        <w:rPr>
          <w:rFonts w:hint="eastAsia" w:ascii="宋体" w:hAnsi="宋体" w:eastAsia="宋体" w:cs="宋体"/>
          <w:b/>
          <w:bCs/>
          <w:color w:val="auto"/>
          <w:kern w:val="0"/>
          <w:sz w:val="30"/>
          <w:szCs w:val="30"/>
          <w:highlight w:val="none"/>
        </w:rPr>
        <w:t>供应商名称</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（盖章）      </w:t>
      </w:r>
    </w:p>
    <w:p w14:paraId="3268D038">
      <w:pPr>
        <w:wordWrap w:val="0"/>
        <w:spacing w:line="360" w:lineRule="auto"/>
        <w:ind w:firstLine="1351" w:firstLineChars="4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法定代表人或其授权代理人：</w:t>
      </w:r>
      <w:r>
        <w:rPr>
          <w:rFonts w:hint="eastAsia" w:ascii="宋体" w:hAnsi="宋体" w:eastAsia="宋体" w:cs="宋体"/>
          <w:b/>
          <w:bCs/>
          <w:color w:val="auto"/>
          <w:sz w:val="30"/>
          <w:szCs w:val="30"/>
          <w:highlight w:val="none"/>
          <w:u w:val="single"/>
        </w:rPr>
        <w:t xml:space="preserve">     （签名或签章） </w:t>
      </w:r>
    </w:p>
    <w:p w14:paraId="4A73332D">
      <w:pPr>
        <w:ind w:firstLine="1351" w:firstLineChars="450"/>
        <w:jc w:val="lef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日     期： 年月日</w:t>
      </w:r>
    </w:p>
    <w:p w14:paraId="39672E1D">
      <w:pPr>
        <w:pStyle w:val="3"/>
        <w:numPr>
          <w:ilvl w:val="0"/>
          <w:numId w:val="4"/>
        </w:numPr>
        <w:rPr>
          <w:rFonts w:hint="eastAsia" w:ascii="宋体" w:hAnsi="宋体" w:eastAsia="宋体" w:cs="宋体"/>
          <w:color w:val="auto"/>
          <w:highlight w:val="none"/>
        </w:rPr>
      </w:pPr>
      <w:r>
        <w:rPr>
          <w:rFonts w:hint="eastAsia" w:ascii="宋体" w:hAnsi="宋体" w:eastAsia="宋体" w:cs="宋体"/>
          <w:bCs/>
          <w:color w:val="auto"/>
          <w:highlight w:val="none"/>
        </w:rPr>
        <w:br w:type="page"/>
      </w:r>
      <w:bookmarkStart w:id="927" w:name="_Toc383175510"/>
      <w:bookmarkStart w:id="928" w:name="_Toc80867959"/>
      <w:bookmarkStart w:id="929" w:name="_Toc502909053"/>
      <w:bookmarkStart w:id="930" w:name="_Toc1704480678"/>
      <w:bookmarkStart w:id="931" w:name="_Toc415662825"/>
      <w:bookmarkStart w:id="932" w:name="_Toc34335333"/>
      <w:bookmarkStart w:id="933" w:name="_Toc347849248"/>
      <w:bookmarkStart w:id="934" w:name="_Toc383175517"/>
      <w:bookmarkStart w:id="935" w:name="_Toc415662831"/>
      <w:bookmarkStart w:id="936" w:name="_Toc347849254"/>
      <w:bookmarkStart w:id="937" w:name="_Toc346496609"/>
      <w:r>
        <w:rPr>
          <w:rFonts w:hint="eastAsia" w:ascii="宋体" w:hAnsi="宋体" w:eastAsia="宋体" w:cs="宋体"/>
          <w:color w:val="auto"/>
          <w:highlight w:val="none"/>
        </w:rPr>
        <w:t>资格证明文件</w:t>
      </w:r>
      <w:bookmarkEnd w:id="927"/>
      <w:bookmarkEnd w:id="928"/>
      <w:bookmarkEnd w:id="929"/>
      <w:bookmarkEnd w:id="930"/>
      <w:bookmarkEnd w:id="931"/>
      <w:bookmarkEnd w:id="932"/>
      <w:bookmarkEnd w:id="933"/>
    </w:p>
    <w:p w14:paraId="404D9875">
      <w:pPr>
        <w:pStyle w:val="4"/>
        <w:bidi w:val="0"/>
        <w:rPr>
          <w:rFonts w:hint="eastAsia" w:ascii="宋体" w:hAnsi="宋体" w:eastAsia="宋体" w:cs="宋体"/>
          <w:color w:val="auto"/>
          <w:highlight w:val="none"/>
        </w:rPr>
      </w:pPr>
      <w:bookmarkStart w:id="938" w:name="_Toc1922387813"/>
      <w:bookmarkStart w:id="939" w:name="_Toc19833"/>
      <w:r>
        <w:rPr>
          <w:rFonts w:hint="eastAsia" w:ascii="宋体" w:hAnsi="宋体" w:eastAsia="宋体" w:cs="宋体"/>
          <w:color w:val="auto"/>
          <w:highlight w:val="none"/>
        </w:rPr>
        <w:t>★营业执照等资格证明材料</w:t>
      </w:r>
      <w:bookmarkEnd w:id="938"/>
      <w:bookmarkEnd w:id="939"/>
    </w:p>
    <w:p w14:paraId="096C34BD">
      <w:pPr>
        <w:keepNext/>
        <w:keepLines/>
        <w:spacing w:line="360" w:lineRule="auto"/>
        <w:ind w:firstLine="420" w:firstLineChars="200"/>
        <w:jc w:val="left"/>
        <w:rPr>
          <w:rFonts w:hint="eastAsia" w:ascii="宋体" w:hAnsi="宋体" w:eastAsia="宋体" w:cs="宋体"/>
          <w:b/>
          <w:color w:val="auto"/>
          <w:szCs w:val="21"/>
          <w:highlight w:val="none"/>
        </w:rPr>
      </w:pPr>
      <w:bookmarkStart w:id="940" w:name="OLE_LINK54"/>
      <w:r>
        <w:rPr>
          <w:rFonts w:hint="eastAsia" w:ascii="宋体" w:hAnsi="宋体" w:eastAsia="宋体" w:cs="宋体"/>
          <w:b/>
          <w:bCs/>
          <w:color w:val="auto"/>
          <w:szCs w:val="21"/>
          <w:highlight w:val="none"/>
        </w:rPr>
        <w:t>供应商提供的资格证明</w:t>
      </w:r>
      <w:r>
        <w:rPr>
          <w:rFonts w:hint="eastAsia" w:ascii="宋体" w:hAnsi="宋体" w:eastAsia="宋体" w:cs="宋体"/>
          <w:color w:val="auto"/>
          <w:szCs w:val="21"/>
          <w:highlight w:val="none"/>
        </w:rPr>
        <w:t>材料应满足本项目磋商公告中对申请人</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资格要求，提供的材料不能证明其符合申请人资格要求的，</w:t>
      </w:r>
      <w:r>
        <w:rPr>
          <w:rFonts w:hint="eastAsia" w:ascii="宋体" w:hAnsi="宋体" w:eastAsia="宋体" w:cs="宋体"/>
          <w:b/>
          <w:color w:val="auto"/>
          <w:szCs w:val="21"/>
          <w:highlight w:val="none"/>
        </w:rPr>
        <w:t>其响应文件无效</w:t>
      </w:r>
      <w:bookmarkEnd w:id="940"/>
      <w:r>
        <w:rPr>
          <w:rFonts w:hint="eastAsia" w:ascii="宋体" w:hAnsi="宋体" w:eastAsia="宋体" w:cs="宋体"/>
          <w:b/>
          <w:color w:val="auto"/>
          <w:szCs w:val="21"/>
          <w:highlight w:val="none"/>
        </w:rPr>
        <w:t>。</w:t>
      </w:r>
    </w:p>
    <w:p w14:paraId="5F7A83D4">
      <w:pPr>
        <w:keepNext/>
        <w:keepLines/>
        <w:spacing w:line="360" w:lineRule="auto"/>
        <w:ind w:firstLine="420" w:firstLineChars="200"/>
        <w:jc w:val="left"/>
        <w:rPr>
          <w:rFonts w:hint="eastAsia" w:ascii="宋体" w:hAnsi="宋体" w:eastAsia="宋体" w:cs="宋体"/>
          <w:b/>
          <w:color w:val="auto"/>
          <w:szCs w:val="21"/>
          <w:highlight w:val="none"/>
        </w:rPr>
      </w:pPr>
    </w:p>
    <w:p w14:paraId="78FA7297">
      <w:pPr>
        <w:tabs>
          <w:tab w:val="left" w:pos="720"/>
          <w:tab w:val="left" w:pos="8295"/>
        </w:tabs>
        <w:spacing w:line="360" w:lineRule="auto"/>
        <w:ind w:firstLine="420" w:firstLineChars="200"/>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1.满足《中华人民共和国政府采购法》第二十二条规定</w:t>
      </w:r>
      <w:r>
        <w:rPr>
          <w:rFonts w:hint="eastAsia" w:ascii="宋体" w:hAnsi="宋体" w:eastAsia="宋体" w:cs="宋体"/>
          <w:b/>
          <w:bCs/>
          <w:color w:val="auto"/>
          <w:szCs w:val="21"/>
          <w:highlight w:val="none"/>
          <w:lang w:eastAsia="zh-CN"/>
        </w:rPr>
        <w:t>：</w:t>
      </w:r>
    </w:p>
    <w:p w14:paraId="0F53EDCB">
      <w:pPr>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b/>
          <w:bCs/>
          <w:color w:val="auto"/>
          <w:kern w:val="0"/>
          <w:szCs w:val="21"/>
          <w:highlight w:val="none"/>
        </w:rPr>
        <w:t>具有独立承担民事责任的能力：</w:t>
      </w:r>
      <w:r>
        <w:rPr>
          <w:rFonts w:hint="eastAsia" w:ascii="宋体" w:hAnsi="宋体" w:eastAsia="宋体" w:cs="宋体"/>
          <w:color w:val="auto"/>
          <w:kern w:val="0"/>
          <w:szCs w:val="21"/>
          <w:highlight w:val="none"/>
        </w:rPr>
        <w:t>供应商须是具有独立承担民事责任能力的</w:t>
      </w:r>
      <w:r>
        <w:rPr>
          <w:rFonts w:hint="eastAsia" w:ascii="宋体" w:hAnsi="宋体" w:eastAsia="宋体" w:cs="宋体"/>
          <w:color w:val="auto"/>
          <w:szCs w:val="21"/>
          <w:highlight w:val="none"/>
        </w:rPr>
        <w:t>法人、其他组织；（①若供应商是企业，提供有效的“营业执照”；②若供应商是事业单位，提供有效的“事业单位法人证书”；③若供应商是非企业专业服务机构的，提供有效的法定证明文件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0B50BD45">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1.2具有良好的商业信誉和健全的财务会计制度</w:t>
      </w:r>
    </w:p>
    <w:p w14:paraId="4CE5B229">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具有良好的商业信誉：</w:t>
      </w:r>
      <w:r>
        <w:rPr>
          <w:rFonts w:hint="eastAsia" w:ascii="宋体" w:hAnsi="宋体" w:eastAsia="宋体" w:cs="宋体"/>
          <w:color w:val="auto"/>
          <w:szCs w:val="21"/>
          <w:highlight w:val="none"/>
        </w:rPr>
        <w:t>①查询渠道：“信用中国”网站（www.creditchina.gov.cn）和“中国政府采购”网站（www.ccgp.gov.cn）；</w:t>
      </w:r>
      <w:r>
        <w:rPr>
          <w:rFonts w:hint="eastAsia" w:ascii="宋体" w:hAnsi="宋体" w:eastAsia="宋体" w:cs="宋体"/>
          <w:color w:val="auto"/>
          <w:kern w:val="0"/>
          <w:szCs w:val="21"/>
          <w:highlight w:val="none"/>
        </w:rPr>
        <w:t>②</w:t>
      </w:r>
      <w:r>
        <w:rPr>
          <w:rFonts w:hint="eastAsia" w:ascii="宋体" w:hAnsi="宋体" w:eastAsia="宋体" w:cs="宋体"/>
          <w:color w:val="auto"/>
          <w:szCs w:val="21"/>
          <w:highlight w:val="none"/>
        </w:rPr>
        <w:t>截止时点：</w:t>
      </w:r>
      <w:r>
        <w:rPr>
          <w:rFonts w:hint="eastAsia" w:ascii="宋体" w:hAnsi="宋体" w:eastAsia="宋体" w:cs="宋体"/>
          <w:color w:val="auto"/>
          <w:szCs w:val="21"/>
          <w:highlight w:val="none"/>
          <w:lang w:eastAsia="zh-CN"/>
        </w:rPr>
        <w:t>采购人或采购代理机构的实际查询时间</w:t>
      </w:r>
      <w:r>
        <w:rPr>
          <w:rFonts w:hint="eastAsia" w:ascii="宋体" w:hAnsi="宋体" w:eastAsia="宋体" w:cs="宋体"/>
          <w:color w:val="auto"/>
          <w:szCs w:val="21"/>
          <w:highlight w:val="none"/>
          <w:lang w:val="en-US" w:eastAsia="zh-CN"/>
        </w:rPr>
        <w:t>为本公告发布之日起至提交响应文件截止时间止</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③</w:t>
      </w:r>
      <w:r>
        <w:rPr>
          <w:rFonts w:hint="eastAsia" w:ascii="宋体" w:hAnsi="宋体" w:eastAsia="宋体" w:cs="宋体"/>
          <w:color w:val="auto"/>
          <w:szCs w:val="21"/>
          <w:highlight w:val="none"/>
        </w:rPr>
        <w:t>信用信息查询记录和证据留存具体方式：查询结果网页打印页作为查询记录和证据，与</w:t>
      </w:r>
      <w:r>
        <w:rPr>
          <w:rFonts w:hint="eastAsia" w:ascii="宋体" w:hAnsi="宋体" w:eastAsia="宋体" w:cs="宋体"/>
          <w:color w:val="auto"/>
          <w:szCs w:val="21"/>
          <w:highlight w:val="none"/>
          <w:lang w:val="en-US" w:eastAsia="zh-CN"/>
        </w:rPr>
        <w:t>项目备案资料</w:t>
      </w:r>
      <w:r>
        <w:rPr>
          <w:rFonts w:hint="eastAsia" w:ascii="宋体" w:hAnsi="宋体" w:eastAsia="宋体" w:cs="宋体"/>
          <w:color w:val="auto"/>
          <w:szCs w:val="21"/>
          <w:highlight w:val="none"/>
        </w:rPr>
        <w:t>一并保存；④信用信息的使用原则：经认定被列入“信用中国”网站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失信被执行人、重大税收违法</w:t>
      </w:r>
      <w:r>
        <w:rPr>
          <w:rFonts w:hint="eastAsia" w:ascii="宋体" w:hAnsi="宋体" w:eastAsia="宋体" w:cs="宋体"/>
          <w:color w:val="auto"/>
          <w:szCs w:val="21"/>
          <w:highlight w:val="none"/>
          <w:lang w:val="en-US" w:eastAsia="zh-CN"/>
        </w:rPr>
        <w:t>失信主体</w:t>
      </w:r>
      <w:r>
        <w:rPr>
          <w:rFonts w:hint="eastAsia" w:ascii="宋体" w:hAnsi="宋体" w:eastAsia="宋体" w:cs="宋体"/>
          <w:color w:val="auto"/>
          <w:szCs w:val="21"/>
          <w:highlight w:val="none"/>
        </w:rPr>
        <w:t>、政府采购严重违法失信行为记录名单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和</w:t>
      </w:r>
      <w:r>
        <w:rPr>
          <w:rFonts w:hint="eastAsia" w:ascii="宋体" w:hAnsi="宋体" w:eastAsia="宋体" w:cs="宋体"/>
          <w:color w:val="auto"/>
          <w:szCs w:val="21"/>
          <w:highlight w:val="none"/>
        </w:rPr>
        <w:t>“中国政府采购”网站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政府采购严重违法失信行为记录名单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的供应商，其响应无效</w:t>
      </w:r>
      <w:r>
        <w:rPr>
          <w:rFonts w:hint="eastAsia" w:ascii="宋体" w:hAnsi="宋体" w:eastAsia="宋体" w:cs="宋体"/>
          <w:color w:val="auto"/>
          <w:kern w:val="0"/>
          <w:szCs w:val="21"/>
          <w:highlight w:val="none"/>
        </w:rPr>
        <w:t>。</w:t>
      </w:r>
      <w:r>
        <w:rPr>
          <w:rFonts w:hint="eastAsia" w:ascii="宋体" w:hAnsi="宋体" w:eastAsia="宋体" w:cs="宋体"/>
          <w:b/>
          <w:color w:val="auto"/>
          <w:highlight w:val="none"/>
        </w:rPr>
        <w:t>（此部分不需要供应商提供证明材料）</w:t>
      </w:r>
    </w:p>
    <w:p w14:paraId="6DBEFDBD">
      <w:pPr>
        <w:spacing w:line="360" w:lineRule="auto"/>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kern w:val="0"/>
          <w:szCs w:val="21"/>
          <w:highlight w:val="none"/>
        </w:rPr>
        <w:t>具有健全的财务会计制度</w:t>
      </w:r>
    </w:p>
    <w:p w14:paraId="2A92674F">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color w:val="auto"/>
          <w:szCs w:val="21"/>
          <w:highlight w:val="none"/>
        </w:rPr>
        <w:t>供应商须</w:t>
      </w:r>
      <w:r>
        <w:rPr>
          <w:rFonts w:hint="eastAsia" w:ascii="宋体" w:hAnsi="宋体" w:eastAsia="宋体" w:cs="宋体"/>
          <w:color w:val="auto"/>
          <w:kern w:val="0"/>
          <w:szCs w:val="21"/>
          <w:highlight w:val="none"/>
        </w:rPr>
        <w:t>提供</w:t>
      </w:r>
      <w:r>
        <w:rPr>
          <w:rFonts w:hint="eastAsia" w:ascii="宋体" w:hAnsi="宋体" w:eastAsia="宋体" w:cs="宋体"/>
          <w:color w:val="auto"/>
          <w:szCs w:val="21"/>
          <w:highlight w:val="none"/>
          <w:lang w:bidi="ar"/>
        </w:rPr>
        <w:t>202</w:t>
      </w:r>
      <w:r>
        <w:rPr>
          <w:rFonts w:hint="eastAsia" w:ascii="宋体" w:hAnsi="宋体" w:eastAsia="宋体" w:cs="宋体"/>
          <w:color w:val="auto"/>
          <w:szCs w:val="21"/>
          <w:highlight w:val="none"/>
          <w:lang w:val="en-US" w:eastAsia="zh-CN" w:bidi="ar"/>
        </w:rPr>
        <w:t>3</w:t>
      </w:r>
      <w:r>
        <w:rPr>
          <w:rFonts w:hint="eastAsia" w:ascii="宋体" w:hAnsi="宋体" w:eastAsia="宋体" w:cs="宋体"/>
          <w:color w:val="auto"/>
          <w:szCs w:val="21"/>
          <w:highlight w:val="none"/>
          <w:lang w:bidi="ar"/>
        </w:rPr>
        <w:t>年或202</w:t>
      </w:r>
      <w:r>
        <w:rPr>
          <w:rFonts w:hint="eastAsia" w:ascii="宋体" w:hAnsi="宋体" w:eastAsia="宋体" w:cs="宋体"/>
          <w:color w:val="auto"/>
          <w:szCs w:val="21"/>
          <w:highlight w:val="none"/>
          <w:lang w:val="en-US" w:eastAsia="zh-CN" w:bidi="ar"/>
        </w:rPr>
        <w:t>4</w:t>
      </w:r>
      <w:r>
        <w:rPr>
          <w:rFonts w:hint="eastAsia" w:ascii="宋体" w:hAnsi="宋体" w:eastAsia="宋体" w:cs="宋体"/>
          <w:color w:val="auto"/>
          <w:szCs w:val="21"/>
          <w:highlight w:val="none"/>
          <w:lang w:bidi="ar"/>
        </w:rPr>
        <w:t>年任意一年度</w:t>
      </w:r>
      <w:r>
        <w:rPr>
          <w:rFonts w:hint="eastAsia" w:ascii="宋体" w:hAnsi="宋体" w:eastAsia="宋体" w:cs="宋体"/>
          <w:color w:val="auto"/>
          <w:kern w:val="0"/>
          <w:szCs w:val="21"/>
          <w:highlight w:val="none"/>
        </w:rPr>
        <w:t xml:space="preserve">经审计的财务会计报告及报表资料（至少包括：财务审计报告、资产负债表、利润表、现金流量表）；事业单位可提供内部财务报表；新成立企业，若成立时间至本项目提交响应文件截止时间不满1年的可提供成立至今的财务报表。 </w:t>
      </w:r>
    </w:p>
    <w:p w14:paraId="6899C5C0">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w:t>
      </w:r>
      <w:r>
        <w:rPr>
          <w:rFonts w:hint="eastAsia" w:ascii="宋体" w:hAnsi="宋体" w:eastAsia="宋体" w:cs="宋体"/>
          <w:color w:val="auto"/>
          <w:szCs w:val="21"/>
          <w:highlight w:val="none"/>
        </w:rPr>
        <w:t>供应商须</w:t>
      </w:r>
      <w:r>
        <w:rPr>
          <w:rFonts w:hint="eastAsia" w:ascii="宋体" w:hAnsi="宋体" w:eastAsia="宋体" w:cs="宋体"/>
          <w:color w:val="auto"/>
          <w:kern w:val="0"/>
          <w:szCs w:val="21"/>
          <w:highlight w:val="none"/>
        </w:rPr>
        <w:t>提供在提交响应文件截止时间前三个月内银行开具的资信证明；（银行出具的资信证明无需针对本项目或本项目采购人）。</w:t>
      </w:r>
    </w:p>
    <w:p w14:paraId="68BD9C63">
      <w:pPr>
        <w:spacing w:line="360" w:lineRule="auto"/>
        <w:ind w:firstLine="422"/>
        <w:rPr>
          <w:rFonts w:hint="eastAsia" w:ascii="宋体" w:hAnsi="宋体" w:eastAsia="宋体" w:cs="宋体"/>
          <w:color w:val="auto"/>
          <w:highlight w:val="none"/>
        </w:rPr>
      </w:pPr>
      <w:r>
        <w:rPr>
          <w:rFonts w:hint="eastAsia" w:ascii="宋体" w:hAnsi="宋体" w:eastAsia="宋体" w:cs="宋体"/>
          <w:b/>
          <w:bCs/>
          <w:color w:val="auto"/>
          <w:kern w:val="0"/>
          <w:szCs w:val="21"/>
          <w:highlight w:val="none"/>
        </w:rPr>
        <w:t>备注：以上①-②项证明材料具有同等效力，供应商可根据自身情况提供上述任意一种证明材料</w:t>
      </w:r>
      <w:r>
        <w:rPr>
          <w:rFonts w:hint="eastAsia" w:ascii="宋体" w:hAnsi="宋体" w:eastAsia="宋体" w:cs="宋体"/>
          <w:b/>
          <w:bCs/>
          <w:color w:val="auto"/>
          <w:szCs w:val="21"/>
          <w:highlight w:val="none"/>
        </w:rPr>
        <w:t>。</w:t>
      </w:r>
    </w:p>
    <w:p w14:paraId="5BBAA75E">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1.3有依法缴纳税收和社会保障资金的良好记录</w:t>
      </w:r>
    </w:p>
    <w:p w14:paraId="60ABD30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依法缴纳税收：供应商须提供缴税所属时间在202</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年1月1日起至提交响应文件截止之日内任意1个月的税务局税收通用缴款书或银行电子缴税（费）凭证或税务局出具纳税情况的相关证明；依法免税的，应提供依法免税的相关证明文件；新成立企业，若成立时间至本项目提交响应文件截止时间不足6个月的，提供相关内容情况说明或纳税证明材料。</w:t>
      </w:r>
    </w:p>
    <w:p w14:paraId="6429D719">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依法缴纳社会保障资金：供应商须提供缴费所属时间在202</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年1月1日起至提交响应文件截止之日内任意1个月的社会保险费缴款书或银行电子缴税（费）凭证或社保管理部门出具的有效的缴款证明；依法不需要缴纳社会保障资金的，应提供依法免缴的相关证明文件；新成立企业，若成立时间至本项目提交响应文件截止时间不足6个月的，提供相关内容情况说明或缴纳社保证明材料。</w:t>
      </w:r>
    </w:p>
    <w:p w14:paraId="082EFA0D">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1.4具有履行合同所必需的设备和专业技术能力：</w:t>
      </w:r>
      <w:r>
        <w:rPr>
          <w:rFonts w:hint="eastAsia" w:ascii="宋体" w:hAnsi="宋体" w:eastAsia="宋体" w:cs="宋体"/>
          <w:color w:val="auto"/>
          <w:szCs w:val="21"/>
          <w:highlight w:val="none"/>
        </w:rPr>
        <w:t>供应商须具有履行合同所必需的设备和专业技术能力（</w:t>
      </w:r>
      <w:r>
        <w:rPr>
          <w:rFonts w:hint="eastAsia" w:ascii="宋体" w:hAnsi="宋体" w:eastAsia="宋体" w:cs="宋体"/>
          <w:b w:val="0"/>
          <w:bCs w:val="0"/>
          <w:color w:val="auto"/>
          <w:szCs w:val="21"/>
          <w:highlight w:val="none"/>
          <w:lang w:val="en-US" w:eastAsia="zh-CN"/>
        </w:rPr>
        <w:t>提供</w:t>
      </w:r>
      <w:r>
        <w:rPr>
          <w:rFonts w:hint="eastAsia" w:ascii="宋体" w:hAnsi="宋体" w:eastAsia="宋体" w:cs="宋体"/>
          <w:color w:val="auto"/>
          <w:szCs w:val="21"/>
          <w:highlight w:val="none"/>
        </w:rPr>
        <w:t>承</w:t>
      </w:r>
      <w:r>
        <w:rPr>
          <w:rFonts w:hint="eastAsia" w:ascii="宋体" w:hAnsi="宋体" w:eastAsia="宋体" w:cs="宋体"/>
          <w:b w:val="0"/>
          <w:bCs w:val="0"/>
          <w:color w:val="auto"/>
          <w:szCs w:val="21"/>
          <w:highlight w:val="none"/>
        </w:rPr>
        <w:t>诺</w:t>
      </w:r>
      <w:r>
        <w:rPr>
          <w:rFonts w:hint="eastAsia" w:ascii="宋体" w:hAnsi="宋体" w:eastAsia="宋体" w:cs="宋体"/>
          <w:b w:val="0"/>
          <w:bCs w:val="0"/>
          <w:color w:val="auto"/>
          <w:szCs w:val="21"/>
          <w:highlight w:val="none"/>
          <w:lang w:val="en-US" w:eastAsia="zh-CN"/>
        </w:rPr>
        <w:t>书</w:t>
      </w:r>
      <w:r>
        <w:rPr>
          <w:rFonts w:hint="eastAsia" w:ascii="宋体" w:hAnsi="宋体" w:eastAsia="宋体" w:cs="宋体"/>
          <w:color w:val="auto"/>
          <w:szCs w:val="21"/>
          <w:highlight w:val="none"/>
        </w:rPr>
        <w:t>）。</w:t>
      </w:r>
    </w:p>
    <w:p w14:paraId="03D0A0EE">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1.5参加政府采购活动前三年内，在经营活动中没有重大违法记录</w:t>
      </w:r>
      <w:r>
        <w:rPr>
          <w:rFonts w:hint="eastAsia" w:ascii="宋体" w:hAnsi="宋体" w:eastAsia="宋体" w:cs="宋体"/>
          <w:color w:val="auto"/>
          <w:szCs w:val="21"/>
          <w:highlight w:val="none"/>
        </w:rPr>
        <w:t>：供应商参加政府采购活动前三年内，在经营活动中没有重大违法记录（重大违法记录，是指供应商因违法经营受到刑事处罚或者责令停产停业、吊销许可证或者执照、较大数额罚款等行政处罚）（提供承诺书）。</w:t>
      </w:r>
    </w:p>
    <w:p w14:paraId="43170848">
      <w:pPr>
        <w:spacing w:line="360" w:lineRule="auto"/>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1.6</w:t>
      </w:r>
      <w:r>
        <w:rPr>
          <w:rFonts w:hint="eastAsia" w:ascii="宋体" w:hAnsi="宋体" w:eastAsia="宋体" w:cs="宋体"/>
          <w:b/>
          <w:bCs/>
          <w:color w:val="auto"/>
          <w:szCs w:val="21"/>
          <w:highlight w:val="none"/>
          <w:lang w:val="en-US" w:eastAsia="zh-CN"/>
        </w:rPr>
        <w:t>其他资格要求：</w:t>
      </w:r>
    </w:p>
    <w:p w14:paraId="7C1A3AF4">
      <w:pPr>
        <w:spacing w:line="360" w:lineRule="auto"/>
        <w:ind w:firstLine="422"/>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单位负责人为同一人或者存在直接控股、管理关系的不同供应商，不得参加同一合同项下的政府采购活动（提供供应商关联企业情况声明）。</w:t>
      </w:r>
    </w:p>
    <w:p w14:paraId="491D7895">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eastAsia="zh-CN"/>
        </w:rPr>
        <w:t>）</w:t>
      </w:r>
      <w:r>
        <w:rPr>
          <w:rFonts w:hint="eastAsia" w:ascii="宋体" w:hAnsi="宋体" w:eastAsia="宋体" w:cs="宋体"/>
          <w:color w:val="auto"/>
          <w:szCs w:val="21"/>
          <w:highlight w:val="none"/>
        </w:rPr>
        <w:t>为采购项目提供整体设计、规范编制或者项目管理、 监理、检测等服务的供应商，不得再参加该采购项目的其他采购活动（</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承诺</w:t>
      </w:r>
      <w:r>
        <w:rPr>
          <w:rFonts w:hint="eastAsia" w:ascii="宋体" w:hAnsi="宋体" w:eastAsia="宋体" w:cs="宋体"/>
          <w:color w:val="auto"/>
          <w:szCs w:val="21"/>
          <w:highlight w:val="none"/>
          <w:lang w:val="en-US" w:eastAsia="zh-CN"/>
        </w:rPr>
        <w:t>书</w:t>
      </w:r>
      <w:r>
        <w:rPr>
          <w:rFonts w:hint="eastAsia" w:ascii="宋体" w:hAnsi="宋体" w:eastAsia="宋体" w:cs="宋体"/>
          <w:color w:val="auto"/>
          <w:szCs w:val="21"/>
          <w:highlight w:val="none"/>
        </w:rPr>
        <w:t>）。</w:t>
      </w:r>
    </w:p>
    <w:p w14:paraId="7B3E6929">
      <w:pPr>
        <w:spacing w:line="360" w:lineRule="auto"/>
        <w:ind w:firstLine="422"/>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分公司可以参与投标，但必须获得总公司的授权，并使用总公司的资质。同时，分公司还需要满足</w:t>
      </w:r>
      <w:r>
        <w:rPr>
          <w:rFonts w:hint="eastAsia" w:ascii="宋体" w:hAnsi="宋体" w:eastAsia="宋体" w:cs="宋体"/>
          <w:color w:val="auto"/>
          <w:szCs w:val="21"/>
          <w:highlight w:val="none"/>
          <w:lang w:eastAsia="zh-CN"/>
        </w:rPr>
        <w:t>竞争性磋商文件</w:t>
      </w:r>
      <w:r>
        <w:rPr>
          <w:rFonts w:hint="eastAsia" w:ascii="宋体" w:hAnsi="宋体" w:eastAsia="宋体" w:cs="宋体"/>
          <w:color w:val="auto"/>
          <w:szCs w:val="21"/>
          <w:highlight w:val="none"/>
        </w:rPr>
        <w:t>和法律规定的其他条件。</w:t>
      </w:r>
    </w:p>
    <w:p w14:paraId="41846A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2.落实政府采购政策需满足的资格要求：</w:t>
      </w:r>
      <w:r>
        <w:rPr>
          <w:rFonts w:hint="eastAsia" w:ascii="宋体" w:hAnsi="宋体" w:eastAsia="宋体" w:cs="宋体"/>
          <w:color w:val="auto"/>
          <w:szCs w:val="21"/>
          <w:highlight w:val="none"/>
        </w:rPr>
        <w:t>本项目非专门面向中小企业采购的项目；</w:t>
      </w:r>
    </w:p>
    <w:p w14:paraId="04B2936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3.本项目的特定资格要求：</w:t>
      </w:r>
    </w:p>
    <w:p w14:paraId="7F6054C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3.1供应商须同时具备以下资质：</w:t>
      </w:r>
    </w:p>
    <w:p w14:paraId="619C90A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①建设行政主管部门核发的建筑装修装饰工程专业承包二级及以上资质；②有效期内的安全生产许可证。</w:t>
      </w:r>
    </w:p>
    <w:p w14:paraId="3D975E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3.2项目经理：</w:t>
      </w:r>
      <w:r>
        <w:rPr>
          <w:rFonts w:hint="eastAsia" w:ascii="宋体" w:hAnsi="宋体" w:eastAsia="宋体" w:cs="宋体"/>
          <w:color w:val="auto"/>
          <w:szCs w:val="21"/>
          <w:highlight w:val="none"/>
          <w:lang w:eastAsia="zh-CN"/>
        </w:rPr>
        <w:t>须具备建筑工程专业二级及以上或机电工程专业二级及以上注册建造师注册资格证书</w:t>
      </w:r>
      <w:r>
        <w:rPr>
          <w:rFonts w:hint="eastAsia" w:ascii="宋体" w:hAnsi="宋体" w:eastAsia="宋体" w:cs="宋体"/>
          <w:color w:val="auto"/>
          <w:szCs w:val="21"/>
          <w:highlight w:val="none"/>
        </w:rPr>
        <w:t>，具备有效的安全生产考核合格证（B证），且未担任其他正在建设工程项目的项目经理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经理的</w:t>
      </w:r>
      <w:r>
        <w:rPr>
          <w:rFonts w:hint="eastAsia" w:ascii="宋体" w:hAnsi="宋体" w:eastAsia="宋体" w:cs="宋体"/>
          <w:color w:val="auto"/>
          <w:szCs w:val="21"/>
          <w:highlight w:val="none"/>
          <w:lang w:val="en-US" w:eastAsia="zh-CN"/>
        </w:rPr>
        <w:t>上述</w:t>
      </w:r>
      <w:r>
        <w:rPr>
          <w:rFonts w:hint="eastAsia" w:ascii="宋体" w:hAnsi="宋体" w:eastAsia="宋体" w:cs="宋体"/>
          <w:color w:val="auto"/>
          <w:szCs w:val="21"/>
          <w:highlight w:val="none"/>
        </w:rPr>
        <w:t>资格证书及安全生产考核合格证（B证）注册单位须与供应商名称一致</w:t>
      </w:r>
      <w:r>
        <w:rPr>
          <w:rFonts w:hint="eastAsia" w:ascii="宋体" w:hAnsi="宋体" w:eastAsia="宋体" w:cs="宋体"/>
          <w:color w:val="auto"/>
          <w:szCs w:val="21"/>
          <w:highlight w:val="none"/>
          <w:lang w:eastAsia="zh-CN"/>
        </w:rPr>
        <w:t>。</w:t>
      </w:r>
    </w:p>
    <w:p w14:paraId="562BE724">
      <w:pPr>
        <w:spacing w:line="360" w:lineRule="auto"/>
        <w:ind w:firstLine="420" w:firstLineChars="200"/>
        <w:rPr>
          <w:rFonts w:hint="eastAsia" w:ascii="宋体" w:hAnsi="宋体" w:eastAsia="宋体" w:cs="宋体"/>
          <w:color w:val="auto"/>
          <w:szCs w:val="21"/>
          <w:highlight w:val="none"/>
        </w:rPr>
      </w:pPr>
    </w:p>
    <w:p w14:paraId="5A8C7939">
      <w:pPr>
        <w:pStyle w:val="4"/>
        <w:bidi w:val="0"/>
        <w:rPr>
          <w:rFonts w:hint="eastAsia" w:ascii="宋体" w:hAnsi="宋体" w:eastAsia="宋体" w:cs="宋体"/>
          <w:color w:val="auto"/>
          <w:kern w:val="2"/>
          <w:sz w:val="28"/>
          <w:szCs w:val="28"/>
          <w:highlight w:val="none"/>
        </w:rPr>
      </w:pPr>
      <w:r>
        <w:rPr>
          <w:rFonts w:hint="eastAsia" w:ascii="宋体" w:hAnsi="宋体" w:eastAsia="宋体" w:cs="宋体"/>
          <w:b/>
          <w:color w:val="auto"/>
          <w:szCs w:val="21"/>
          <w:highlight w:val="none"/>
        </w:rPr>
        <w:br w:type="page"/>
      </w:r>
      <w:bookmarkStart w:id="941" w:name="_Toc680503976"/>
      <w:r>
        <w:rPr>
          <w:rFonts w:hint="eastAsia" w:ascii="宋体" w:hAnsi="宋体" w:eastAsia="宋体" w:cs="宋体"/>
          <w:color w:val="auto"/>
          <w:kern w:val="2"/>
          <w:sz w:val="28"/>
          <w:szCs w:val="28"/>
          <w:highlight w:val="none"/>
        </w:rPr>
        <w:t>★承诺书</w:t>
      </w:r>
      <w:bookmarkEnd w:id="941"/>
    </w:p>
    <w:p w14:paraId="04C3B228">
      <w:pPr>
        <w:widowControl/>
        <w:spacing w:line="48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（采购人名称）：</w:t>
      </w:r>
      <w:r>
        <w:rPr>
          <w:rFonts w:hint="eastAsia" w:ascii="宋体" w:hAnsi="宋体" w:eastAsia="宋体" w:cs="宋体"/>
          <w:color w:val="auto"/>
          <w:kern w:val="0"/>
          <w:szCs w:val="21"/>
          <w:highlight w:val="none"/>
          <w:lang w:bidi="ar"/>
        </w:rPr>
        <w:t xml:space="preserve"> </w:t>
      </w:r>
    </w:p>
    <w:p w14:paraId="34608BD2">
      <w:pPr>
        <w:widowControl/>
        <w:spacing w:line="48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在参与本次项目磋商中，我单位承诺：  </w:t>
      </w:r>
    </w:p>
    <w:p w14:paraId="45FDF8B4">
      <w:pPr>
        <w:widowControl/>
        <w:spacing w:line="48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（1）具有履行合同所必需的设备和专业技术能力； </w:t>
      </w:r>
    </w:p>
    <w:p w14:paraId="27D65278">
      <w:pPr>
        <w:widowControl/>
        <w:spacing w:line="480" w:lineRule="auto"/>
        <w:ind w:firstLine="420" w:firstLineChars="200"/>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 xml:space="preserve">（2）参加政府采购活动前三年内，在经营活动中没有重大违法记录（重大违法记录指因违法经营受到刑事处罚或者责令停产停业、吊销许可证或者执照、较大数额罚款等行政处罚）； </w:t>
      </w:r>
    </w:p>
    <w:p w14:paraId="150881BA">
      <w:pPr>
        <w:keepNext w:val="0"/>
        <w:keepLines w:val="0"/>
        <w:pageBreakBefore w:val="0"/>
        <w:widowControl/>
        <w:suppressLineNumbers w:val="0"/>
        <w:kinsoku/>
        <w:wordWrap/>
        <w:overflowPunct/>
        <w:topLinePunct w:val="0"/>
        <w:autoSpaceDE/>
        <w:autoSpaceDN/>
        <w:bidi w:val="0"/>
        <w:adjustRightInd/>
        <w:snapToGrid/>
        <w:spacing w:line="48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（3）我单位不存在为采购项目</w:t>
      </w:r>
      <w:r>
        <w:rPr>
          <w:rFonts w:hint="eastAsia" w:ascii="宋体" w:hAnsi="宋体" w:eastAsia="宋体" w:cs="宋体"/>
          <w:color w:val="auto"/>
          <w:kern w:val="2"/>
          <w:sz w:val="21"/>
          <w:szCs w:val="21"/>
          <w:highlight w:val="none"/>
          <w:lang w:val="en-US" w:eastAsia="zh-CN" w:bidi="ar"/>
        </w:rPr>
        <w:t>提供整体设计、规范编制或者项目管理、 监理、检测等服务</w:t>
      </w:r>
      <w:r>
        <w:rPr>
          <w:rFonts w:hint="eastAsia" w:ascii="宋体" w:hAnsi="宋体" w:eastAsia="宋体" w:cs="宋体"/>
          <w:color w:val="auto"/>
          <w:kern w:val="0"/>
          <w:sz w:val="21"/>
          <w:szCs w:val="21"/>
          <w:highlight w:val="none"/>
          <w:lang w:val="en-US" w:eastAsia="zh-CN" w:bidi="ar"/>
        </w:rPr>
        <w:t>后，再参加该采购项目的其他采购活动的情形；</w:t>
      </w:r>
    </w:p>
    <w:p w14:paraId="20429812">
      <w:pPr>
        <w:keepNext/>
        <w:keepLines/>
        <w:pageBreakBefore w:val="0"/>
        <w:widowControl w:val="0"/>
        <w:numPr>
          <w:ilvl w:val="0"/>
          <w:numId w:val="0"/>
        </w:numPr>
        <w:tabs>
          <w:tab w:val="left" w:pos="0"/>
        </w:tabs>
        <w:kinsoku/>
        <w:wordWrap/>
        <w:overflowPunct/>
        <w:topLinePunct w:val="0"/>
        <w:autoSpaceDE/>
        <w:autoSpaceDN/>
        <w:bidi w:val="0"/>
        <w:adjustRightInd/>
        <w:snapToGrid w:val="0"/>
        <w:spacing w:line="480" w:lineRule="auto"/>
        <w:ind w:leftChars="0" w:right="0" w:rightChars="0" w:firstLine="420" w:firstLineChars="200"/>
        <w:textAlignment w:val="auto"/>
        <w:outlineLvl w:val="9"/>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kern w:val="0"/>
          <w:sz w:val="21"/>
          <w:szCs w:val="21"/>
          <w:highlight w:val="none"/>
          <w:lang w:val="en-US" w:eastAsia="zh-CN" w:bidi="ar"/>
        </w:rPr>
        <w:t>上述承诺真实有效，否则我方负全部责任。</w:t>
      </w:r>
    </w:p>
    <w:p w14:paraId="00DCEE97">
      <w:pPr>
        <w:ind w:firstLine="422"/>
        <w:rPr>
          <w:rFonts w:hint="eastAsia" w:ascii="宋体" w:hAnsi="宋体" w:eastAsia="宋体" w:cs="宋体"/>
          <w:b/>
          <w:color w:val="auto"/>
          <w:szCs w:val="21"/>
          <w:highlight w:val="none"/>
        </w:rPr>
      </w:pPr>
    </w:p>
    <w:p w14:paraId="06FB714A">
      <w:pPr>
        <w:spacing w:line="480" w:lineRule="auto"/>
        <w:jc w:val="left"/>
        <w:rPr>
          <w:rFonts w:hint="eastAsia" w:ascii="宋体" w:hAnsi="宋体" w:eastAsia="宋体" w:cs="宋体"/>
          <w:b/>
          <w:bCs/>
          <w:color w:val="auto"/>
          <w:szCs w:val="21"/>
          <w:highlight w:val="none"/>
        </w:rPr>
      </w:pPr>
    </w:p>
    <w:p w14:paraId="1B186F57">
      <w:pPr>
        <w:spacing w:line="480" w:lineRule="auto"/>
        <w:jc w:val="left"/>
        <w:rPr>
          <w:rFonts w:hint="eastAsia" w:ascii="宋体" w:hAnsi="宋体" w:eastAsia="宋体" w:cs="宋体"/>
          <w:b/>
          <w:bCs/>
          <w:color w:val="auto"/>
          <w:szCs w:val="21"/>
          <w:highlight w:val="none"/>
        </w:rPr>
      </w:pPr>
    </w:p>
    <w:p w14:paraId="5766602C">
      <w:pPr>
        <w:spacing w:line="480" w:lineRule="auto"/>
        <w:jc w:val="left"/>
        <w:rPr>
          <w:rFonts w:hint="eastAsia" w:ascii="宋体" w:hAnsi="宋体" w:eastAsia="宋体" w:cs="宋体"/>
          <w:b/>
          <w:bCs/>
          <w:color w:val="auto"/>
          <w:szCs w:val="21"/>
          <w:highlight w:val="none"/>
        </w:rPr>
      </w:pPr>
    </w:p>
    <w:p w14:paraId="68D209A2">
      <w:pPr>
        <w:spacing w:line="48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供应商：（盖章）</w:t>
      </w:r>
    </w:p>
    <w:p w14:paraId="395EF5EB">
      <w:pPr>
        <w:tabs>
          <w:tab w:val="left" w:pos="4860"/>
        </w:tabs>
        <w:spacing w:line="480" w:lineRule="auto"/>
        <w:ind w:right="1560" w:firstLine="420"/>
        <w:jc w:val="lef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日期：</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年</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月</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日</w:t>
      </w:r>
    </w:p>
    <w:p w14:paraId="1E290057">
      <w:pPr>
        <w:pStyle w:val="4"/>
        <w:bidi w:val="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r>
      <w:bookmarkStart w:id="942" w:name="_Toc1879904357"/>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供应商关联企业情况声明</w:t>
      </w:r>
      <w:bookmarkEnd w:id="942"/>
    </w:p>
    <w:p w14:paraId="4AA81F8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我方郑重声明如下：</w:t>
      </w:r>
    </w:p>
    <w:p w14:paraId="1401F8E7">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1.供应商名称（按营业执照的全称填写）：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6008DE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2.供应商的直接上级控股/管理单位/自然人控股股东和直接下级控股/管理单位情况：</w:t>
      </w:r>
    </w:p>
    <w:tbl>
      <w:tblPr>
        <w:tblStyle w:val="47"/>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8"/>
      </w:tblGrid>
      <w:tr w14:paraId="6E2F305A">
        <w:trPr>
          <w:trHeight w:val="948" w:hRule="atLeast"/>
          <w:jc w:val="center"/>
        </w:trPr>
        <w:tc>
          <w:tcPr>
            <w:tcW w:w="1459" w:type="pct"/>
            <w:tcBorders>
              <w:tl2br w:val="nil"/>
              <w:tr2bl w:val="nil"/>
            </w:tcBorders>
            <w:noWrap w:val="0"/>
            <w:vAlign w:val="center"/>
          </w:tcPr>
          <w:p w14:paraId="69CE6BB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直接上级控股/管理单位/自然人控股股东名称</w:t>
            </w:r>
          </w:p>
        </w:tc>
        <w:tc>
          <w:tcPr>
            <w:tcW w:w="1053" w:type="pct"/>
            <w:tcBorders>
              <w:tl2br w:val="nil"/>
              <w:tr2bl w:val="nil"/>
            </w:tcBorders>
            <w:noWrap w:val="0"/>
            <w:vAlign w:val="center"/>
          </w:tcPr>
          <w:p w14:paraId="6AD3D8C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对本单位的控股（出资）比例（%）</w:t>
            </w:r>
          </w:p>
        </w:tc>
        <w:tc>
          <w:tcPr>
            <w:tcW w:w="897" w:type="pct"/>
            <w:tcBorders>
              <w:tl2br w:val="nil"/>
              <w:tr2bl w:val="nil"/>
            </w:tcBorders>
            <w:noWrap w:val="0"/>
            <w:vAlign w:val="center"/>
          </w:tcPr>
          <w:p w14:paraId="32EF433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单位负责人</w:t>
            </w:r>
          </w:p>
        </w:tc>
        <w:tc>
          <w:tcPr>
            <w:tcW w:w="927" w:type="pct"/>
            <w:tcBorders>
              <w:tl2br w:val="nil"/>
              <w:tr2bl w:val="nil"/>
            </w:tcBorders>
            <w:noWrap w:val="0"/>
            <w:vAlign w:val="center"/>
          </w:tcPr>
          <w:p w14:paraId="1B137A8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联系人及电话</w:t>
            </w:r>
          </w:p>
        </w:tc>
        <w:tc>
          <w:tcPr>
            <w:tcW w:w="663" w:type="pct"/>
            <w:tcBorders>
              <w:tl2br w:val="nil"/>
              <w:tr2bl w:val="nil"/>
            </w:tcBorders>
            <w:noWrap w:val="0"/>
            <w:vAlign w:val="center"/>
          </w:tcPr>
          <w:p w14:paraId="02DD7DF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单位地址</w:t>
            </w:r>
          </w:p>
        </w:tc>
      </w:tr>
      <w:tr w14:paraId="66239C80">
        <w:trPr>
          <w:trHeight w:val="355" w:hRule="atLeast"/>
          <w:jc w:val="center"/>
        </w:trPr>
        <w:tc>
          <w:tcPr>
            <w:tcW w:w="1459" w:type="pct"/>
            <w:tcBorders>
              <w:tl2br w:val="nil"/>
              <w:tr2bl w:val="nil"/>
            </w:tcBorders>
            <w:noWrap w:val="0"/>
            <w:vAlign w:val="top"/>
          </w:tcPr>
          <w:p w14:paraId="5AE2F0D0">
            <w:pPr>
              <w:spacing w:line="360" w:lineRule="auto"/>
              <w:rPr>
                <w:rFonts w:hint="eastAsia" w:ascii="宋体" w:hAnsi="宋体" w:eastAsia="宋体" w:cs="宋体"/>
                <w:color w:val="auto"/>
                <w:szCs w:val="21"/>
                <w:highlight w:val="none"/>
              </w:rPr>
            </w:pPr>
          </w:p>
        </w:tc>
        <w:tc>
          <w:tcPr>
            <w:tcW w:w="1053" w:type="pct"/>
            <w:tcBorders>
              <w:tl2br w:val="nil"/>
              <w:tr2bl w:val="nil"/>
            </w:tcBorders>
            <w:noWrap w:val="0"/>
            <w:vAlign w:val="top"/>
          </w:tcPr>
          <w:p w14:paraId="135D5C0A">
            <w:pPr>
              <w:spacing w:line="360" w:lineRule="auto"/>
              <w:rPr>
                <w:rFonts w:hint="eastAsia" w:ascii="宋体" w:hAnsi="宋体" w:eastAsia="宋体" w:cs="宋体"/>
                <w:color w:val="auto"/>
                <w:szCs w:val="21"/>
                <w:highlight w:val="none"/>
              </w:rPr>
            </w:pPr>
          </w:p>
        </w:tc>
        <w:tc>
          <w:tcPr>
            <w:tcW w:w="897" w:type="pct"/>
            <w:tcBorders>
              <w:tl2br w:val="nil"/>
              <w:tr2bl w:val="nil"/>
            </w:tcBorders>
            <w:noWrap w:val="0"/>
            <w:vAlign w:val="top"/>
          </w:tcPr>
          <w:p w14:paraId="2A864EC3">
            <w:pPr>
              <w:spacing w:line="360" w:lineRule="auto"/>
              <w:rPr>
                <w:rFonts w:hint="eastAsia" w:ascii="宋体" w:hAnsi="宋体" w:eastAsia="宋体" w:cs="宋体"/>
                <w:color w:val="auto"/>
                <w:szCs w:val="21"/>
                <w:highlight w:val="none"/>
              </w:rPr>
            </w:pPr>
          </w:p>
        </w:tc>
        <w:tc>
          <w:tcPr>
            <w:tcW w:w="927" w:type="pct"/>
            <w:tcBorders>
              <w:tl2br w:val="nil"/>
              <w:tr2bl w:val="nil"/>
            </w:tcBorders>
            <w:noWrap w:val="0"/>
            <w:vAlign w:val="top"/>
          </w:tcPr>
          <w:p w14:paraId="7C1F8B4F">
            <w:pPr>
              <w:spacing w:line="360" w:lineRule="auto"/>
              <w:rPr>
                <w:rFonts w:hint="eastAsia" w:ascii="宋体" w:hAnsi="宋体" w:eastAsia="宋体" w:cs="宋体"/>
                <w:color w:val="auto"/>
                <w:szCs w:val="21"/>
                <w:highlight w:val="none"/>
              </w:rPr>
            </w:pPr>
          </w:p>
        </w:tc>
        <w:tc>
          <w:tcPr>
            <w:tcW w:w="663" w:type="pct"/>
            <w:tcBorders>
              <w:tl2br w:val="nil"/>
              <w:tr2bl w:val="nil"/>
            </w:tcBorders>
            <w:noWrap w:val="0"/>
            <w:vAlign w:val="top"/>
          </w:tcPr>
          <w:p w14:paraId="3374059A">
            <w:pPr>
              <w:spacing w:line="360" w:lineRule="auto"/>
              <w:rPr>
                <w:rFonts w:hint="eastAsia" w:ascii="宋体" w:hAnsi="宋体" w:eastAsia="宋体" w:cs="宋体"/>
                <w:color w:val="auto"/>
                <w:szCs w:val="21"/>
                <w:highlight w:val="none"/>
              </w:rPr>
            </w:pPr>
          </w:p>
        </w:tc>
      </w:tr>
      <w:tr w14:paraId="2999B328">
        <w:trPr>
          <w:trHeight w:val="327" w:hRule="atLeast"/>
          <w:jc w:val="center"/>
        </w:trPr>
        <w:tc>
          <w:tcPr>
            <w:tcW w:w="1459" w:type="pct"/>
            <w:tcBorders>
              <w:tl2br w:val="nil"/>
              <w:tr2bl w:val="nil"/>
            </w:tcBorders>
            <w:noWrap w:val="0"/>
            <w:vAlign w:val="top"/>
          </w:tcPr>
          <w:p w14:paraId="519D8A9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053" w:type="pct"/>
            <w:tcBorders>
              <w:tl2br w:val="nil"/>
              <w:tr2bl w:val="nil"/>
            </w:tcBorders>
            <w:noWrap w:val="0"/>
            <w:vAlign w:val="top"/>
          </w:tcPr>
          <w:p w14:paraId="17A2DDCE">
            <w:pPr>
              <w:spacing w:line="360" w:lineRule="auto"/>
              <w:rPr>
                <w:rFonts w:hint="eastAsia" w:ascii="宋体" w:hAnsi="宋体" w:eastAsia="宋体" w:cs="宋体"/>
                <w:color w:val="auto"/>
                <w:szCs w:val="21"/>
                <w:highlight w:val="none"/>
              </w:rPr>
            </w:pPr>
          </w:p>
        </w:tc>
        <w:tc>
          <w:tcPr>
            <w:tcW w:w="897" w:type="pct"/>
            <w:tcBorders>
              <w:tl2br w:val="nil"/>
              <w:tr2bl w:val="nil"/>
            </w:tcBorders>
            <w:noWrap w:val="0"/>
            <w:vAlign w:val="top"/>
          </w:tcPr>
          <w:p w14:paraId="263D2CA4">
            <w:pPr>
              <w:spacing w:line="360" w:lineRule="auto"/>
              <w:rPr>
                <w:rFonts w:hint="eastAsia" w:ascii="宋体" w:hAnsi="宋体" w:eastAsia="宋体" w:cs="宋体"/>
                <w:color w:val="auto"/>
                <w:szCs w:val="21"/>
                <w:highlight w:val="none"/>
              </w:rPr>
            </w:pPr>
          </w:p>
        </w:tc>
        <w:tc>
          <w:tcPr>
            <w:tcW w:w="927" w:type="pct"/>
            <w:tcBorders>
              <w:tl2br w:val="nil"/>
              <w:tr2bl w:val="nil"/>
            </w:tcBorders>
            <w:noWrap w:val="0"/>
            <w:vAlign w:val="top"/>
          </w:tcPr>
          <w:p w14:paraId="5163780F">
            <w:pPr>
              <w:spacing w:line="360" w:lineRule="auto"/>
              <w:rPr>
                <w:rFonts w:hint="eastAsia" w:ascii="宋体" w:hAnsi="宋体" w:eastAsia="宋体" w:cs="宋体"/>
                <w:color w:val="auto"/>
                <w:szCs w:val="21"/>
                <w:highlight w:val="none"/>
              </w:rPr>
            </w:pPr>
          </w:p>
        </w:tc>
        <w:tc>
          <w:tcPr>
            <w:tcW w:w="663" w:type="pct"/>
            <w:tcBorders>
              <w:tl2br w:val="nil"/>
              <w:tr2bl w:val="nil"/>
            </w:tcBorders>
            <w:noWrap w:val="0"/>
            <w:vAlign w:val="top"/>
          </w:tcPr>
          <w:p w14:paraId="4F37743C">
            <w:pPr>
              <w:spacing w:line="360" w:lineRule="auto"/>
              <w:rPr>
                <w:rFonts w:hint="eastAsia" w:ascii="宋体" w:hAnsi="宋体" w:eastAsia="宋体" w:cs="宋体"/>
                <w:color w:val="auto"/>
                <w:szCs w:val="21"/>
                <w:highlight w:val="none"/>
              </w:rPr>
            </w:pPr>
          </w:p>
        </w:tc>
      </w:tr>
      <w:tr w14:paraId="52673E05">
        <w:trPr>
          <w:trHeight w:val="476" w:hRule="atLeast"/>
          <w:jc w:val="center"/>
        </w:trPr>
        <w:tc>
          <w:tcPr>
            <w:tcW w:w="5000" w:type="pct"/>
            <w:gridSpan w:val="5"/>
            <w:tcBorders>
              <w:tl2br w:val="nil"/>
              <w:tr2bl w:val="nil"/>
            </w:tcBorders>
            <w:noWrap w:val="0"/>
            <w:vAlign w:val="top"/>
          </w:tcPr>
          <w:p w14:paraId="724CD8B4">
            <w:pPr>
              <w:spacing w:line="360" w:lineRule="auto"/>
              <w:rPr>
                <w:rFonts w:hint="eastAsia" w:ascii="宋体" w:hAnsi="宋体" w:eastAsia="宋体" w:cs="宋体"/>
                <w:color w:val="auto"/>
                <w:szCs w:val="21"/>
                <w:highlight w:val="none"/>
              </w:rPr>
            </w:pPr>
          </w:p>
        </w:tc>
      </w:tr>
      <w:tr w14:paraId="7F4A8526">
        <w:trPr>
          <w:trHeight w:val="948" w:hRule="atLeast"/>
          <w:jc w:val="center"/>
        </w:trPr>
        <w:tc>
          <w:tcPr>
            <w:tcW w:w="1459" w:type="pct"/>
            <w:tcBorders>
              <w:tl2br w:val="nil"/>
              <w:tr2bl w:val="nil"/>
            </w:tcBorders>
            <w:noWrap w:val="0"/>
            <w:vAlign w:val="center"/>
          </w:tcPr>
          <w:p w14:paraId="7FF124B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直接下级控股/管理单位名称</w:t>
            </w:r>
          </w:p>
        </w:tc>
        <w:tc>
          <w:tcPr>
            <w:tcW w:w="1053" w:type="pct"/>
            <w:tcBorders>
              <w:tl2br w:val="nil"/>
              <w:tr2bl w:val="nil"/>
            </w:tcBorders>
            <w:noWrap w:val="0"/>
            <w:vAlign w:val="center"/>
          </w:tcPr>
          <w:p w14:paraId="09A094E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本单位控股（出资）比例（%）</w:t>
            </w:r>
          </w:p>
        </w:tc>
        <w:tc>
          <w:tcPr>
            <w:tcW w:w="897" w:type="pct"/>
            <w:tcBorders>
              <w:tl2br w:val="nil"/>
              <w:tr2bl w:val="nil"/>
            </w:tcBorders>
            <w:noWrap w:val="0"/>
            <w:vAlign w:val="center"/>
          </w:tcPr>
          <w:p w14:paraId="3B0B5CE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单位负责人</w:t>
            </w:r>
          </w:p>
        </w:tc>
        <w:tc>
          <w:tcPr>
            <w:tcW w:w="927" w:type="pct"/>
            <w:tcBorders>
              <w:tl2br w:val="nil"/>
              <w:tr2bl w:val="nil"/>
            </w:tcBorders>
            <w:noWrap w:val="0"/>
            <w:vAlign w:val="center"/>
          </w:tcPr>
          <w:p w14:paraId="2B56205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联系人及电话</w:t>
            </w:r>
          </w:p>
        </w:tc>
        <w:tc>
          <w:tcPr>
            <w:tcW w:w="663" w:type="pct"/>
            <w:tcBorders>
              <w:tl2br w:val="nil"/>
              <w:tr2bl w:val="nil"/>
            </w:tcBorders>
            <w:noWrap w:val="0"/>
            <w:vAlign w:val="center"/>
          </w:tcPr>
          <w:p w14:paraId="3410F66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单位地址</w:t>
            </w:r>
          </w:p>
        </w:tc>
      </w:tr>
      <w:tr w14:paraId="0C1F0BB0">
        <w:trPr>
          <w:trHeight w:val="476" w:hRule="atLeast"/>
          <w:jc w:val="center"/>
        </w:trPr>
        <w:tc>
          <w:tcPr>
            <w:tcW w:w="1459" w:type="pct"/>
            <w:tcBorders>
              <w:tl2br w:val="nil"/>
              <w:tr2bl w:val="nil"/>
            </w:tcBorders>
            <w:noWrap w:val="0"/>
            <w:vAlign w:val="top"/>
          </w:tcPr>
          <w:p w14:paraId="3BB2A760">
            <w:pPr>
              <w:spacing w:line="360" w:lineRule="auto"/>
              <w:rPr>
                <w:rFonts w:hint="eastAsia" w:ascii="宋体" w:hAnsi="宋体" w:eastAsia="宋体" w:cs="宋体"/>
                <w:color w:val="auto"/>
                <w:szCs w:val="21"/>
                <w:highlight w:val="none"/>
              </w:rPr>
            </w:pPr>
          </w:p>
        </w:tc>
        <w:tc>
          <w:tcPr>
            <w:tcW w:w="1053" w:type="pct"/>
            <w:tcBorders>
              <w:tl2br w:val="nil"/>
              <w:tr2bl w:val="nil"/>
            </w:tcBorders>
            <w:noWrap w:val="0"/>
            <w:vAlign w:val="top"/>
          </w:tcPr>
          <w:p w14:paraId="3847778C">
            <w:pPr>
              <w:spacing w:line="360" w:lineRule="auto"/>
              <w:rPr>
                <w:rFonts w:hint="eastAsia" w:ascii="宋体" w:hAnsi="宋体" w:eastAsia="宋体" w:cs="宋体"/>
                <w:color w:val="auto"/>
                <w:szCs w:val="21"/>
                <w:highlight w:val="none"/>
              </w:rPr>
            </w:pPr>
          </w:p>
        </w:tc>
        <w:tc>
          <w:tcPr>
            <w:tcW w:w="897" w:type="pct"/>
            <w:tcBorders>
              <w:tl2br w:val="nil"/>
              <w:tr2bl w:val="nil"/>
            </w:tcBorders>
            <w:noWrap w:val="0"/>
            <w:vAlign w:val="top"/>
          </w:tcPr>
          <w:p w14:paraId="20B3D6BA">
            <w:pPr>
              <w:spacing w:line="360" w:lineRule="auto"/>
              <w:rPr>
                <w:rFonts w:hint="eastAsia" w:ascii="宋体" w:hAnsi="宋体" w:eastAsia="宋体" w:cs="宋体"/>
                <w:color w:val="auto"/>
                <w:szCs w:val="21"/>
                <w:highlight w:val="none"/>
              </w:rPr>
            </w:pPr>
          </w:p>
        </w:tc>
        <w:tc>
          <w:tcPr>
            <w:tcW w:w="927" w:type="pct"/>
            <w:tcBorders>
              <w:tl2br w:val="nil"/>
              <w:tr2bl w:val="nil"/>
            </w:tcBorders>
            <w:noWrap w:val="0"/>
            <w:vAlign w:val="top"/>
          </w:tcPr>
          <w:p w14:paraId="012338FA">
            <w:pPr>
              <w:spacing w:line="360" w:lineRule="auto"/>
              <w:rPr>
                <w:rFonts w:hint="eastAsia" w:ascii="宋体" w:hAnsi="宋体" w:eastAsia="宋体" w:cs="宋体"/>
                <w:color w:val="auto"/>
                <w:szCs w:val="21"/>
                <w:highlight w:val="none"/>
              </w:rPr>
            </w:pPr>
          </w:p>
        </w:tc>
        <w:tc>
          <w:tcPr>
            <w:tcW w:w="663" w:type="pct"/>
            <w:tcBorders>
              <w:tl2br w:val="nil"/>
              <w:tr2bl w:val="nil"/>
            </w:tcBorders>
            <w:noWrap w:val="0"/>
            <w:vAlign w:val="top"/>
          </w:tcPr>
          <w:p w14:paraId="5FBBE497">
            <w:pPr>
              <w:spacing w:line="360" w:lineRule="auto"/>
              <w:rPr>
                <w:rFonts w:hint="eastAsia" w:ascii="宋体" w:hAnsi="宋体" w:eastAsia="宋体" w:cs="宋体"/>
                <w:color w:val="auto"/>
                <w:szCs w:val="21"/>
                <w:highlight w:val="none"/>
              </w:rPr>
            </w:pPr>
          </w:p>
        </w:tc>
      </w:tr>
      <w:tr w14:paraId="28BADC30">
        <w:trPr>
          <w:trHeight w:val="481" w:hRule="atLeast"/>
          <w:jc w:val="center"/>
        </w:trPr>
        <w:tc>
          <w:tcPr>
            <w:tcW w:w="1459" w:type="pct"/>
            <w:tcBorders>
              <w:tl2br w:val="nil"/>
              <w:tr2bl w:val="nil"/>
            </w:tcBorders>
            <w:noWrap w:val="0"/>
            <w:vAlign w:val="top"/>
          </w:tcPr>
          <w:p w14:paraId="37E325A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053" w:type="pct"/>
            <w:tcBorders>
              <w:tl2br w:val="nil"/>
              <w:tr2bl w:val="nil"/>
            </w:tcBorders>
            <w:noWrap w:val="0"/>
            <w:vAlign w:val="top"/>
          </w:tcPr>
          <w:p w14:paraId="631C71F0">
            <w:pPr>
              <w:spacing w:line="360" w:lineRule="auto"/>
              <w:rPr>
                <w:rFonts w:hint="eastAsia" w:ascii="宋体" w:hAnsi="宋体" w:eastAsia="宋体" w:cs="宋体"/>
                <w:color w:val="auto"/>
                <w:szCs w:val="21"/>
                <w:highlight w:val="none"/>
              </w:rPr>
            </w:pPr>
          </w:p>
        </w:tc>
        <w:tc>
          <w:tcPr>
            <w:tcW w:w="897" w:type="pct"/>
            <w:tcBorders>
              <w:tl2br w:val="nil"/>
              <w:tr2bl w:val="nil"/>
            </w:tcBorders>
            <w:noWrap w:val="0"/>
            <w:vAlign w:val="top"/>
          </w:tcPr>
          <w:p w14:paraId="509E166F">
            <w:pPr>
              <w:spacing w:line="360" w:lineRule="auto"/>
              <w:rPr>
                <w:rFonts w:hint="eastAsia" w:ascii="宋体" w:hAnsi="宋体" w:eastAsia="宋体" w:cs="宋体"/>
                <w:color w:val="auto"/>
                <w:szCs w:val="21"/>
                <w:highlight w:val="none"/>
              </w:rPr>
            </w:pPr>
          </w:p>
        </w:tc>
        <w:tc>
          <w:tcPr>
            <w:tcW w:w="927" w:type="pct"/>
            <w:tcBorders>
              <w:tl2br w:val="nil"/>
              <w:tr2bl w:val="nil"/>
            </w:tcBorders>
            <w:noWrap w:val="0"/>
            <w:vAlign w:val="top"/>
          </w:tcPr>
          <w:p w14:paraId="1C2815DC">
            <w:pPr>
              <w:spacing w:line="360" w:lineRule="auto"/>
              <w:rPr>
                <w:rFonts w:hint="eastAsia" w:ascii="宋体" w:hAnsi="宋体" w:eastAsia="宋体" w:cs="宋体"/>
                <w:color w:val="auto"/>
                <w:szCs w:val="21"/>
                <w:highlight w:val="none"/>
              </w:rPr>
            </w:pPr>
          </w:p>
        </w:tc>
        <w:tc>
          <w:tcPr>
            <w:tcW w:w="663" w:type="pct"/>
            <w:tcBorders>
              <w:tl2br w:val="nil"/>
              <w:tr2bl w:val="nil"/>
            </w:tcBorders>
            <w:noWrap w:val="0"/>
            <w:vAlign w:val="top"/>
          </w:tcPr>
          <w:p w14:paraId="6C3E05A8">
            <w:pPr>
              <w:spacing w:line="360" w:lineRule="auto"/>
              <w:rPr>
                <w:rFonts w:hint="eastAsia" w:ascii="宋体" w:hAnsi="宋体" w:eastAsia="宋体" w:cs="宋体"/>
                <w:color w:val="auto"/>
                <w:szCs w:val="21"/>
                <w:highlight w:val="none"/>
              </w:rPr>
            </w:pPr>
          </w:p>
        </w:tc>
      </w:tr>
    </w:tbl>
    <w:p w14:paraId="0A9628F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3、属于同一直接上级控股/管理单位/自然人控股股东的其他兄弟单位情况：</w:t>
      </w:r>
    </w:p>
    <w:tbl>
      <w:tblPr>
        <w:tblStyle w:val="47"/>
        <w:tblW w:w="4721"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92"/>
        <w:gridCol w:w="1830"/>
        <w:gridCol w:w="1605"/>
        <w:gridCol w:w="1565"/>
        <w:gridCol w:w="1177"/>
      </w:tblGrid>
      <w:tr w14:paraId="43E774E5">
        <w:trPr>
          <w:trHeight w:val="2352" w:hRule="atLeast"/>
          <w:jc w:val="center"/>
        </w:trPr>
        <w:tc>
          <w:tcPr>
            <w:tcW w:w="1477" w:type="pct"/>
            <w:tcBorders>
              <w:tl2br w:val="nil"/>
              <w:tr2bl w:val="nil"/>
            </w:tcBorders>
            <w:noWrap w:val="0"/>
            <w:vAlign w:val="center"/>
          </w:tcPr>
          <w:p w14:paraId="2A7ED66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其他兄弟单位名称</w:t>
            </w:r>
          </w:p>
        </w:tc>
        <w:tc>
          <w:tcPr>
            <w:tcW w:w="1043" w:type="pct"/>
            <w:tcBorders>
              <w:tl2br w:val="nil"/>
              <w:tr2bl w:val="nil"/>
            </w:tcBorders>
            <w:noWrap w:val="0"/>
            <w:vAlign w:val="center"/>
          </w:tcPr>
          <w:p w14:paraId="65CA533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同一直接上级控股/管理单位/自然人控股股东对该单位控股（出资）比例（%）</w:t>
            </w:r>
          </w:p>
        </w:tc>
        <w:tc>
          <w:tcPr>
            <w:tcW w:w="915" w:type="pct"/>
            <w:tcBorders>
              <w:tl2br w:val="nil"/>
              <w:tr2bl w:val="nil"/>
            </w:tcBorders>
            <w:noWrap w:val="0"/>
            <w:vAlign w:val="center"/>
          </w:tcPr>
          <w:p w14:paraId="00E082F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单位负责人</w:t>
            </w:r>
          </w:p>
        </w:tc>
        <w:tc>
          <w:tcPr>
            <w:tcW w:w="892" w:type="pct"/>
            <w:tcBorders>
              <w:tl2br w:val="nil"/>
              <w:tr2bl w:val="nil"/>
            </w:tcBorders>
            <w:noWrap w:val="0"/>
            <w:vAlign w:val="center"/>
          </w:tcPr>
          <w:p w14:paraId="1E57BE4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联系人及电话</w:t>
            </w:r>
          </w:p>
        </w:tc>
        <w:tc>
          <w:tcPr>
            <w:tcW w:w="671" w:type="pct"/>
            <w:tcBorders>
              <w:tl2br w:val="nil"/>
              <w:tr2bl w:val="nil"/>
            </w:tcBorders>
            <w:noWrap w:val="0"/>
            <w:vAlign w:val="center"/>
          </w:tcPr>
          <w:p w14:paraId="66F89FA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单位地址</w:t>
            </w:r>
          </w:p>
        </w:tc>
      </w:tr>
      <w:tr w14:paraId="7A34ECB9">
        <w:trPr>
          <w:trHeight w:val="474" w:hRule="atLeast"/>
          <w:jc w:val="center"/>
        </w:trPr>
        <w:tc>
          <w:tcPr>
            <w:tcW w:w="1477" w:type="pct"/>
            <w:tcBorders>
              <w:tl2br w:val="nil"/>
              <w:tr2bl w:val="nil"/>
            </w:tcBorders>
            <w:noWrap w:val="0"/>
            <w:vAlign w:val="top"/>
          </w:tcPr>
          <w:p w14:paraId="65945650">
            <w:pPr>
              <w:spacing w:line="360" w:lineRule="auto"/>
              <w:rPr>
                <w:rFonts w:hint="eastAsia" w:ascii="宋体" w:hAnsi="宋体" w:eastAsia="宋体" w:cs="宋体"/>
                <w:color w:val="auto"/>
                <w:szCs w:val="21"/>
                <w:highlight w:val="none"/>
              </w:rPr>
            </w:pPr>
          </w:p>
        </w:tc>
        <w:tc>
          <w:tcPr>
            <w:tcW w:w="1043" w:type="pct"/>
            <w:tcBorders>
              <w:tl2br w:val="nil"/>
              <w:tr2bl w:val="nil"/>
            </w:tcBorders>
            <w:noWrap w:val="0"/>
            <w:vAlign w:val="top"/>
          </w:tcPr>
          <w:p w14:paraId="68FEE667">
            <w:pPr>
              <w:spacing w:line="360" w:lineRule="auto"/>
              <w:rPr>
                <w:rFonts w:hint="eastAsia" w:ascii="宋体" w:hAnsi="宋体" w:eastAsia="宋体" w:cs="宋体"/>
                <w:color w:val="auto"/>
                <w:szCs w:val="21"/>
                <w:highlight w:val="none"/>
              </w:rPr>
            </w:pPr>
          </w:p>
        </w:tc>
        <w:tc>
          <w:tcPr>
            <w:tcW w:w="915" w:type="pct"/>
            <w:tcBorders>
              <w:tl2br w:val="nil"/>
              <w:tr2bl w:val="nil"/>
            </w:tcBorders>
            <w:noWrap w:val="0"/>
            <w:vAlign w:val="top"/>
          </w:tcPr>
          <w:p w14:paraId="3E996CE2">
            <w:pPr>
              <w:spacing w:line="360" w:lineRule="auto"/>
              <w:rPr>
                <w:rFonts w:hint="eastAsia" w:ascii="宋体" w:hAnsi="宋体" w:eastAsia="宋体" w:cs="宋体"/>
                <w:color w:val="auto"/>
                <w:szCs w:val="21"/>
                <w:highlight w:val="none"/>
              </w:rPr>
            </w:pPr>
          </w:p>
        </w:tc>
        <w:tc>
          <w:tcPr>
            <w:tcW w:w="892" w:type="pct"/>
            <w:tcBorders>
              <w:tl2br w:val="nil"/>
              <w:tr2bl w:val="nil"/>
            </w:tcBorders>
            <w:noWrap w:val="0"/>
            <w:vAlign w:val="top"/>
          </w:tcPr>
          <w:p w14:paraId="068BEF08">
            <w:pPr>
              <w:spacing w:line="360" w:lineRule="auto"/>
              <w:rPr>
                <w:rFonts w:hint="eastAsia" w:ascii="宋体" w:hAnsi="宋体" w:eastAsia="宋体" w:cs="宋体"/>
                <w:color w:val="auto"/>
                <w:szCs w:val="21"/>
                <w:highlight w:val="none"/>
              </w:rPr>
            </w:pPr>
          </w:p>
        </w:tc>
        <w:tc>
          <w:tcPr>
            <w:tcW w:w="671" w:type="pct"/>
            <w:tcBorders>
              <w:tl2br w:val="nil"/>
              <w:tr2bl w:val="nil"/>
            </w:tcBorders>
            <w:noWrap w:val="0"/>
            <w:vAlign w:val="top"/>
          </w:tcPr>
          <w:p w14:paraId="6BE8CE2F">
            <w:pPr>
              <w:spacing w:line="360" w:lineRule="auto"/>
              <w:rPr>
                <w:rFonts w:hint="eastAsia" w:ascii="宋体" w:hAnsi="宋体" w:eastAsia="宋体" w:cs="宋体"/>
                <w:color w:val="auto"/>
                <w:szCs w:val="21"/>
                <w:highlight w:val="none"/>
              </w:rPr>
            </w:pPr>
          </w:p>
        </w:tc>
      </w:tr>
      <w:tr w14:paraId="105772EB">
        <w:trPr>
          <w:trHeight w:val="479" w:hRule="atLeast"/>
          <w:jc w:val="center"/>
        </w:trPr>
        <w:tc>
          <w:tcPr>
            <w:tcW w:w="1477" w:type="pct"/>
            <w:tcBorders>
              <w:tl2br w:val="nil"/>
              <w:tr2bl w:val="nil"/>
            </w:tcBorders>
            <w:noWrap w:val="0"/>
            <w:vAlign w:val="top"/>
          </w:tcPr>
          <w:p w14:paraId="6B00175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043" w:type="pct"/>
            <w:tcBorders>
              <w:tl2br w:val="nil"/>
              <w:tr2bl w:val="nil"/>
            </w:tcBorders>
            <w:noWrap w:val="0"/>
            <w:vAlign w:val="top"/>
          </w:tcPr>
          <w:p w14:paraId="50443075">
            <w:pPr>
              <w:spacing w:line="360" w:lineRule="auto"/>
              <w:rPr>
                <w:rFonts w:hint="eastAsia" w:ascii="宋体" w:hAnsi="宋体" w:eastAsia="宋体" w:cs="宋体"/>
                <w:color w:val="auto"/>
                <w:szCs w:val="21"/>
                <w:highlight w:val="none"/>
              </w:rPr>
            </w:pPr>
          </w:p>
        </w:tc>
        <w:tc>
          <w:tcPr>
            <w:tcW w:w="915" w:type="pct"/>
            <w:tcBorders>
              <w:tl2br w:val="nil"/>
              <w:tr2bl w:val="nil"/>
            </w:tcBorders>
            <w:noWrap w:val="0"/>
            <w:vAlign w:val="top"/>
          </w:tcPr>
          <w:p w14:paraId="4D63BC74">
            <w:pPr>
              <w:spacing w:line="360" w:lineRule="auto"/>
              <w:rPr>
                <w:rFonts w:hint="eastAsia" w:ascii="宋体" w:hAnsi="宋体" w:eastAsia="宋体" w:cs="宋体"/>
                <w:color w:val="auto"/>
                <w:szCs w:val="21"/>
                <w:highlight w:val="none"/>
              </w:rPr>
            </w:pPr>
          </w:p>
        </w:tc>
        <w:tc>
          <w:tcPr>
            <w:tcW w:w="892" w:type="pct"/>
            <w:tcBorders>
              <w:tl2br w:val="nil"/>
              <w:tr2bl w:val="nil"/>
            </w:tcBorders>
            <w:noWrap w:val="0"/>
            <w:vAlign w:val="top"/>
          </w:tcPr>
          <w:p w14:paraId="5A48B5D4">
            <w:pPr>
              <w:spacing w:line="360" w:lineRule="auto"/>
              <w:rPr>
                <w:rFonts w:hint="eastAsia" w:ascii="宋体" w:hAnsi="宋体" w:eastAsia="宋体" w:cs="宋体"/>
                <w:color w:val="auto"/>
                <w:szCs w:val="21"/>
                <w:highlight w:val="none"/>
              </w:rPr>
            </w:pPr>
          </w:p>
        </w:tc>
        <w:tc>
          <w:tcPr>
            <w:tcW w:w="671" w:type="pct"/>
            <w:tcBorders>
              <w:tl2br w:val="nil"/>
              <w:tr2bl w:val="nil"/>
            </w:tcBorders>
            <w:noWrap w:val="0"/>
            <w:vAlign w:val="top"/>
          </w:tcPr>
          <w:p w14:paraId="1ED7EFE0">
            <w:pPr>
              <w:spacing w:line="360" w:lineRule="auto"/>
              <w:rPr>
                <w:rFonts w:hint="eastAsia" w:ascii="宋体" w:hAnsi="宋体" w:eastAsia="宋体" w:cs="宋体"/>
                <w:color w:val="auto"/>
                <w:szCs w:val="21"/>
                <w:highlight w:val="none"/>
              </w:rPr>
            </w:pPr>
          </w:p>
        </w:tc>
      </w:tr>
    </w:tbl>
    <w:p w14:paraId="066F5BC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注：如实填写上述表格中内容，若无控股/管理单位/自然人控股股东/兄弟单位关联企业，则在上述表格中填写“无”</w:t>
      </w:r>
    </w:p>
    <w:p w14:paraId="799BAE1C">
      <w:pPr>
        <w:pStyle w:val="4"/>
        <w:bidi w:val="0"/>
        <w:rPr>
          <w:rFonts w:hint="eastAsia" w:ascii="宋体" w:hAnsi="宋体" w:eastAsia="宋体" w:cs="宋体"/>
          <w:color w:val="auto"/>
          <w:sz w:val="28"/>
          <w:szCs w:val="28"/>
          <w:highlight w:val="none"/>
        </w:rPr>
      </w:pPr>
      <w:r>
        <w:rPr>
          <w:rFonts w:hint="eastAsia" w:ascii="宋体" w:hAnsi="宋体" w:eastAsia="宋体" w:cs="宋体"/>
          <w:color w:val="auto"/>
          <w:szCs w:val="21"/>
          <w:highlight w:val="none"/>
        </w:rPr>
        <w:br w:type="page"/>
      </w:r>
      <w:bookmarkStart w:id="943" w:name="_Toc1773113435"/>
      <w:r>
        <w:rPr>
          <w:rFonts w:hint="eastAsia" w:ascii="宋体" w:hAnsi="宋体" w:eastAsia="宋体" w:cs="宋体"/>
          <w:color w:val="auto"/>
          <w:sz w:val="28"/>
          <w:szCs w:val="28"/>
          <w:highlight w:val="none"/>
        </w:rPr>
        <w:t>联合体协议</w:t>
      </w:r>
      <w:bookmarkEnd w:id="943"/>
    </w:p>
    <w:p w14:paraId="5AF5A49D">
      <w:pPr>
        <w:spacing w:line="360" w:lineRule="auto"/>
        <w:jc w:val="center"/>
        <w:rPr>
          <w:rFonts w:hint="eastAsia" w:ascii="宋体" w:hAnsi="宋体" w:eastAsia="宋体" w:cs="宋体"/>
          <w:color w:val="auto"/>
          <w:szCs w:val="21"/>
          <w:highlight w:val="none"/>
        </w:rPr>
      </w:pPr>
      <w:bookmarkStart w:id="944" w:name="OLE_LINK352"/>
      <w:r>
        <w:rPr>
          <w:rFonts w:hint="eastAsia" w:ascii="宋体" w:hAnsi="宋体" w:eastAsia="宋体" w:cs="宋体"/>
          <w:color w:val="auto"/>
          <w:szCs w:val="21"/>
          <w:highlight w:val="none"/>
        </w:rPr>
        <w:t>（如有）</w:t>
      </w:r>
    </w:p>
    <w:bookmarkEnd w:id="944"/>
    <w:p w14:paraId="13702104">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 、</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及 </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就“</w:t>
      </w:r>
      <w:r>
        <w:rPr>
          <w:rFonts w:hint="eastAsia" w:ascii="宋体" w:hAnsi="宋体" w:eastAsia="宋体" w:cs="宋体"/>
          <w:color w:val="auto"/>
          <w:kern w:val="0"/>
          <w:szCs w:val="21"/>
          <w:highlight w:val="none"/>
          <w:u w:val="single"/>
          <w:lang w:bidi="ar"/>
        </w:rPr>
        <w:t>（项目名称）</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包采购项目的响应事宜，经各方充分协商一致，达成如下协议： </w:t>
      </w:r>
    </w:p>
    <w:p w14:paraId="583735FF">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一、由</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牵头，</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参加，组成联合体共同进行采购项目的响应工作。 </w:t>
      </w:r>
    </w:p>
    <w:p w14:paraId="75EE73E0">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二、联合体成交后，联合体各方共同与采购人签订合同，就采购合同约定的事项对采购人承担连带责任。 </w:t>
      </w:r>
    </w:p>
    <w:p w14:paraId="3A08E7D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三、联合体各方均同意由牵头人代表其他联合体成员单位按竞争性磋商文件要求出具《授权委托书》。</w:t>
      </w:r>
    </w:p>
    <w:p w14:paraId="06C301E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四、牵头人为项目的总负责单位；组织各参加方进行项目实施工作。 </w:t>
      </w:r>
    </w:p>
    <w:p w14:paraId="1575DFA8">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五、</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负责</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，具体工作范围、内容以响应文件及合同为准。 </w:t>
      </w:r>
    </w:p>
    <w:p w14:paraId="1E74C35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六、</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负责</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，具体工作范围、内容以响应文件及合同为准。 </w:t>
      </w:r>
    </w:p>
    <w:p w14:paraId="20BE95B3">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七、</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负责</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（如有），具体工作范围、内容以响应文件及合同为准。 </w:t>
      </w:r>
    </w:p>
    <w:p w14:paraId="4914DE67">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八、本项目联合协议合同总额为</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元，联合体各成员按照如下比例分摊（按联合体成员分别列明）： </w:t>
      </w:r>
    </w:p>
    <w:p w14:paraId="3557AA5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为□大型企业、□中型企业、□小微企业（包含监狱企业、残疾人福利性单位）、□其他，合同金额为</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元； </w:t>
      </w:r>
    </w:p>
    <w:p w14:paraId="7E3EA0E5">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为□大型企业、□中型企业、□小微企业（包含监狱企业、残疾人福利性单位）、□其他，合同金额为</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元； </w:t>
      </w:r>
    </w:p>
    <w:p w14:paraId="27DD1572">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为□大型企业、□中型企业、□小微企业（包含监狱企业、残疾人福利性单位）、□其他，合同金额为</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元。 </w:t>
      </w:r>
    </w:p>
    <w:p w14:paraId="64270A1F">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九、以联合体形式参加政府采购活动的，联合体各方不得再单独参加或者与其他供应商另外组成联合体参加同一合同项下的政府采购活动。 </w:t>
      </w:r>
    </w:p>
    <w:p w14:paraId="0384029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十、其他约定（如有）：</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 </w:t>
      </w:r>
    </w:p>
    <w:p w14:paraId="0F28DC9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本协议自各方盖章后生效，采购合同履行完毕后自动失效。如未成交，本协议自动终止。</w:t>
      </w:r>
    </w:p>
    <w:p w14:paraId="2815BEC4">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联合体牵头人名称：</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         联合体成员名称：</w:t>
      </w:r>
      <w:r>
        <w:rPr>
          <w:rFonts w:hint="eastAsia" w:ascii="宋体" w:hAnsi="宋体" w:eastAsia="宋体" w:cs="宋体"/>
          <w:color w:val="auto"/>
          <w:kern w:val="0"/>
          <w:szCs w:val="21"/>
          <w:highlight w:val="none"/>
          <w:u w:val="single"/>
          <w:lang w:bidi="ar"/>
        </w:rPr>
        <w:t xml:space="preserve">               </w:t>
      </w:r>
    </w:p>
    <w:p w14:paraId="1D6CE6CF">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盖章：</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                       盖章：</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 </w:t>
      </w:r>
    </w:p>
    <w:p w14:paraId="15D3766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联合体成员名称：</w:t>
      </w:r>
      <w:r>
        <w:rPr>
          <w:rFonts w:hint="eastAsia" w:ascii="宋体" w:hAnsi="宋体" w:eastAsia="宋体" w:cs="宋体"/>
          <w:color w:val="auto"/>
          <w:kern w:val="0"/>
          <w:szCs w:val="21"/>
          <w:highlight w:val="none"/>
          <w:u w:val="single"/>
          <w:lang w:bidi="ar"/>
        </w:rPr>
        <w:t xml:space="preserve">               </w:t>
      </w:r>
    </w:p>
    <w:p w14:paraId="0C23662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盖章：</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 </w:t>
      </w:r>
    </w:p>
    <w:p w14:paraId="41669A4E">
      <w:pPr>
        <w:widowControl/>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日期：</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年</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月</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 xml:space="preserve">日 </w:t>
      </w:r>
    </w:p>
    <w:p w14:paraId="4EFA2B7D">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lang w:bidi="ar"/>
        </w:rPr>
        <w:t>注：</w:t>
      </w:r>
      <w:r>
        <w:rPr>
          <w:rFonts w:hint="eastAsia" w:ascii="宋体" w:hAnsi="宋体" w:eastAsia="宋体" w:cs="宋体"/>
          <w:color w:val="auto"/>
          <w:kern w:val="0"/>
          <w:szCs w:val="21"/>
          <w:highlight w:val="none"/>
          <w:lang w:bidi="ar"/>
        </w:rPr>
        <w:t xml:space="preserve"> </w:t>
      </w:r>
    </w:p>
    <w:p w14:paraId="6BC79557">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1.如本项目（包）接受供应商以联合体形式参加采购活动，且供应商以联合体形式参与时，须提供《联合体协议》，否则</w:t>
      </w:r>
      <w:r>
        <w:rPr>
          <w:rFonts w:hint="eastAsia" w:ascii="宋体" w:hAnsi="宋体" w:eastAsia="宋体" w:cs="宋体"/>
          <w:b/>
          <w:bCs/>
          <w:color w:val="auto"/>
          <w:kern w:val="0"/>
          <w:szCs w:val="21"/>
          <w:highlight w:val="none"/>
          <w:lang w:bidi="ar"/>
        </w:rPr>
        <w:t>响应无效</w:t>
      </w:r>
      <w:r>
        <w:rPr>
          <w:rFonts w:hint="eastAsia" w:ascii="宋体" w:hAnsi="宋体" w:eastAsia="宋体" w:cs="宋体"/>
          <w:color w:val="auto"/>
          <w:kern w:val="0"/>
          <w:szCs w:val="21"/>
          <w:highlight w:val="none"/>
          <w:lang w:bidi="ar"/>
        </w:rPr>
        <w:t xml:space="preserve">。 </w:t>
      </w:r>
    </w:p>
    <w:p w14:paraId="5C411F65">
      <w:pPr>
        <w:numPr>
          <w:ilvl w:val="0"/>
          <w:numId w:val="0"/>
        </w:numP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2.联合体各方成员需在本协议上共同盖章。</w:t>
      </w:r>
    </w:p>
    <w:p w14:paraId="74979126">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E6746C2">
      <w:pPr>
        <w:pStyle w:val="3"/>
        <w:spacing w:before="0" w:after="0" w:line="360" w:lineRule="auto"/>
        <w:jc w:val="center"/>
        <w:rPr>
          <w:rFonts w:hint="eastAsia" w:ascii="宋体" w:hAnsi="宋体" w:eastAsia="宋体" w:cs="宋体"/>
          <w:b/>
          <w:color w:val="auto"/>
          <w:sz w:val="28"/>
          <w:szCs w:val="28"/>
          <w:highlight w:val="none"/>
        </w:rPr>
      </w:pPr>
      <w:bookmarkStart w:id="945" w:name="_Toc23663"/>
      <w:bookmarkStart w:id="946" w:name="OLE_LINK97"/>
      <w:bookmarkStart w:id="947" w:name="_Toc86932626"/>
      <w:r>
        <w:rPr>
          <w:rFonts w:hint="eastAsia" w:ascii="宋体" w:hAnsi="宋体" w:eastAsia="宋体" w:cs="宋体"/>
          <w:b/>
          <w:bCs w:val="0"/>
          <w:color w:val="auto"/>
          <w:sz w:val="28"/>
          <w:szCs w:val="28"/>
          <w:highlight w:val="none"/>
        </w:rPr>
        <w:t>二、</w:t>
      </w:r>
      <w:bookmarkStart w:id="948" w:name="OLE_LINK330"/>
      <w:r>
        <w:rPr>
          <w:rFonts w:hint="eastAsia" w:ascii="宋体" w:hAnsi="宋体" w:eastAsia="宋体" w:cs="宋体"/>
          <w:b/>
          <w:bCs w:val="0"/>
          <w:color w:val="auto"/>
          <w:sz w:val="28"/>
          <w:szCs w:val="28"/>
          <w:highlight w:val="none"/>
        </w:rPr>
        <w:t>报</w:t>
      </w:r>
      <w:bookmarkStart w:id="949" w:name="OLE_LINK202"/>
      <w:r>
        <w:rPr>
          <w:rFonts w:hint="eastAsia" w:ascii="宋体" w:hAnsi="宋体" w:eastAsia="宋体" w:cs="宋体"/>
          <w:b/>
          <w:bCs w:val="0"/>
          <w:color w:val="auto"/>
          <w:sz w:val="28"/>
          <w:szCs w:val="28"/>
          <w:highlight w:val="none"/>
        </w:rPr>
        <w:t>价</w:t>
      </w:r>
      <w:bookmarkStart w:id="950" w:name="OLE_LINK329"/>
      <w:r>
        <w:rPr>
          <w:rFonts w:hint="eastAsia" w:ascii="宋体" w:hAnsi="宋体" w:eastAsia="宋体" w:cs="宋体"/>
          <w:b/>
          <w:bCs w:val="0"/>
          <w:color w:val="auto"/>
          <w:sz w:val="28"/>
          <w:szCs w:val="28"/>
          <w:highlight w:val="none"/>
        </w:rPr>
        <w:t>文件部分</w:t>
      </w:r>
      <w:bookmarkEnd w:id="945"/>
      <w:bookmarkEnd w:id="946"/>
      <w:bookmarkEnd w:id="947"/>
      <w:bookmarkEnd w:id="948"/>
      <w:bookmarkEnd w:id="949"/>
      <w:bookmarkEnd w:id="950"/>
    </w:p>
    <w:p w14:paraId="32B98C51">
      <w:pPr>
        <w:keepNext/>
        <w:keepLines/>
        <w:spacing w:line="360" w:lineRule="auto"/>
        <w:jc w:val="center"/>
        <w:outlineLvl w:val="2"/>
        <w:rPr>
          <w:rFonts w:hint="eastAsia" w:ascii="宋体" w:hAnsi="宋体" w:eastAsia="宋体" w:cs="宋体"/>
          <w:color w:val="auto"/>
          <w:sz w:val="28"/>
          <w:szCs w:val="28"/>
          <w:highlight w:val="none"/>
        </w:rPr>
      </w:pPr>
      <w:bookmarkStart w:id="951" w:name="OLE_LINK203"/>
      <w:bookmarkStart w:id="952" w:name="_Toc787765222"/>
      <w:bookmarkStart w:id="953" w:name="OLE_LINK58"/>
      <w:r>
        <w:rPr>
          <w:rFonts w:hint="eastAsia" w:ascii="宋体" w:hAnsi="宋体" w:eastAsia="宋体" w:cs="宋体"/>
          <w:color w:val="auto"/>
          <w:sz w:val="28"/>
          <w:szCs w:val="28"/>
          <w:highlight w:val="none"/>
        </w:rPr>
        <w:t>★磋商</w:t>
      </w:r>
      <w:bookmarkStart w:id="954" w:name="OLE_LINK331"/>
      <w:r>
        <w:rPr>
          <w:rFonts w:hint="eastAsia" w:ascii="宋体" w:hAnsi="宋体" w:eastAsia="宋体" w:cs="宋体"/>
          <w:color w:val="auto"/>
          <w:sz w:val="28"/>
          <w:szCs w:val="28"/>
          <w:highlight w:val="none"/>
        </w:rPr>
        <w:t>报价一览</w:t>
      </w:r>
      <w:bookmarkEnd w:id="951"/>
      <w:r>
        <w:rPr>
          <w:rFonts w:hint="eastAsia" w:ascii="宋体" w:hAnsi="宋体" w:eastAsia="宋体" w:cs="宋体"/>
          <w:color w:val="auto"/>
          <w:sz w:val="28"/>
          <w:szCs w:val="28"/>
          <w:highlight w:val="none"/>
        </w:rPr>
        <w:t>表</w:t>
      </w:r>
      <w:bookmarkEnd w:id="952"/>
      <w:bookmarkEnd w:id="954"/>
    </w:p>
    <w:bookmarkEnd w:id="953"/>
    <w:tbl>
      <w:tblPr>
        <w:tblStyle w:val="47"/>
        <w:tblW w:w="492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6418"/>
      </w:tblGrid>
      <w:tr w14:paraId="396B74D7">
        <w:trPr>
          <w:trHeight w:val="1014" w:hRule="atLeast"/>
          <w:jc w:val="center"/>
        </w:trPr>
        <w:tc>
          <w:tcPr>
            <w:tcW w:w="1488" w:type="pct"/>
            <w:tcBorders>
              <w:tl2br w:val="nil"/>
              <w:tr2bl w:val="nil"/>
            </w:tcBorders>
            <w:noWrap w:val="0"/>
            <w:vAlign w:val="center"/>
          </w:tcPr>
          <w:p w14:paraId="4CD1BB3E">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p>
        </w:tc>
        <w:tc>
          <w:tcPr>
            <w:tcW w:w="3511" w:type="pct"/>
            <w:tcBorders>
              <w:tl2br w:val="nil"/>
              <w:tr2bl w:val="nil"/>
            </w:tcBorders>
            <w:noWrap w:val="0"/>
            <w:vAlign w:val="center"/>
          </w:tcPr>
          <w:p w14:paraId="291D9B7F">
            <w:pPr>
              <w:spacing w:line="360" w:lineRule="auto"/>
              <w:jc w:val="center"/>
              <w:rPr>
                <w:rFonts w:hint="eastAsia" w:ascii="宋体" w:hAnsi="宋体" w:eastAsia="宋体" w:cs="宋体"/>
                <w:color w:val="auto"/>
                <w:szCs w:val="21"/>
                <w:highlight w:val="none"/>
              </w:rPr>
            </w:pPr>
          </w:p>
        </w:tc>
      </w:tr>
      <w:tr w14:paraId="7DD13575">
        <w:trPr>
          <w:trHeight w:val="1243" w:hRule="atLeast"/>
          <w:jc w:val="center"/>
        </w:trPr>
        <w:tc>
          <w:tcPr>
            <w:tcW w:w="1488" w:type="pct"/>
            <w:tcBorders>
              <w:tl2br w:val="nil"/>
              <w:tr2bl w:val="nil"/>
            </w:tcBorders>
            <w:noWrap w:val="0"/>
            <w:vAlign w:val="center"/>
          </w:tcPr>
          <w:p w14:paraId="153F637D">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磋商总报价（元）</w:t>
            </w:r>
          </w:p>
        </w:tc>
        <w:tc>
          <w:tcPr>
            <w:tcW w:w="3511" w:type="pct"/>
            <w:tcBorders>
              <w:tl2br w:val="nil"/>
              <w:tr2bl w:val="nil"/>
            </w:tcBorders>
            <w:noWrap w:val="0"/>
            <w:vAlign w:val="center"/>
          </w:tcPr>
          <w:p w14:paraId="711DB25E">
            <w:pPr>
              <w:spacing w:before="50" w:after="50"/>
              <w:rPr>
                <w:rFonts w:hint="eastAsia" w:ascii="宋体" w:hAnsi="宋体" w:eastAsia="宋体" w:cs="宋体"/>
                <w:color w:val="auto"/>
                <w:highlight w:val="none"/>
              </w:rPr>
            </w:pPr>
            <w:r>
              <w:rPr>
                <w:rFonts w:hint="eastAsia" w:ascii="宋体" w:hAnsi="宋体" w:eastAsia="宋体" w:cs="宋体"/>
                <w:color w:val="auto"/>
                <w:highlight w:val="none"/>
              </w:rPr>
              <w:t>小写：     元</w:t>
            </w:r>
          </w:p>
          <w:p w14:paraId="2E3D3629">
            <w:pPr>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kern w:val="2"/>
                <w:sz w:val="21"/>
                <w:szCs w:val="24"/>
                <w:highlight w:val="none"/>
              </w:rPr>
              <w:t>大写：</w:t>
            </w:r>
          </w:p>
        </w:tc>
      </w:tr>
      <w:tr w14:paraId="05339842">
        <w:trPr>
          <w:trHeight w:val="933" w:hRule="atLeast"/>
          <w:jc w:val="center"/>
        </w:trPr>
        <w:tc>
          <w:tcPr>
            <w:tcW w:w="1488" w:type="pct"/>
            <w:tcBorders>
              <w:tl2br w:val="nil"/>
              <w:tr2bl w:val="nil"/>
            </w:tcBorders>
            <w:noWrap w:val="0"/>
            <w:vAlign w:val="center"/>
          </w:tcPr>
          <w:p w14:paraId="2FD06254">
            <w:pPr>
              <w:spacing w:line="320" w:lineRule="exact"/>
              <w:jc w:val="center"/>
              <w:rPr>
                <w:rFonts w:hint="eastAsia" w:ascii="宋体" w:hAnsi="宋体" w:eastAsia="宋体" w:cs="宋体"/>
                <w:color w:val="auto"/>
                <w:szCs w:val="21"/>
                <w:highlight w:val="none"/>
              </w:rPr>
            </w:pPr>
            <w:bookmarkStart w:id="955" w:name="OLE_LINK208"/>
            <w:bookmarkStart w:id="956" w:name="OLE_LINK239" w:colFirst="0" w:colLast="0"/>
            <w:r>
              <w:rPr>
                <w:rFonts w:hint="eastAsia" w:ascii="宋体" w:hAnsi="宋体" w:eastAsia="宋体" w:cs="宋体"/>
                <w:color w:val="auto"/>
                <w:szCs w:val="21"/>
                <w:highlight w:val="none"/>
              </w:rPr>
              <w:t>项目实施地点</w:t>
            </w:r>
          </w:p>
        </w:tc>
        <w:tc>
          <w:tcPr>
            <w:tcW w:w="3511" w:type="pct"/>
            <w:tcBorders>
              <w:tl2br w:val="nil"/>
              <w:tr2bl w:val="nil"/>
            </w:tcBorders>
            <w:noWrap w:val="0"/>
            <w:vAlign w:val="center"/>
          </w:tcPr>
          <w:p w14:paraId="046D1D3C">
            <w:pPr>
              <w:spacing w:line="360" w:lineRule="auto"/>
              <w:rPr>
                <w:rFonts w:hint="eastAsia" w:ascii="宋体" w:hAnsi="宋体" w:eastAsia="宋体" w:cs="宋体"/>
                <w:color w:val="auto"/>
                <w:szCs w:val="21"/>
                <w:highlight w:val="none"/>
              </w:rPr>
            </w:pPr>
          </w:p>
        </w:tc>
      </w:tr>
      <w:bookmarkEnd w:id="955"/>
      <w:tr w14:paraId="4CBE25AD">
        <w:trPr>
          <w:trHeight w:val="933" w:hRule="atLeast"/>
          <w:jc w:val="center"/>
        </w:trPr>
        <w:tc>
          <w:tcPr>
            <w:tcW w:w="1488" w:type="pct"/>
            <w:tcBorders>
              <w:tl2br w:val="nil"/>
              <w:tr2bl w:val="nil"/>
            </w:tcBorders>
            <w:noWrap w:val="0"/>
            <w:vAlign w:val="center"/>
          </w:tcPr>
          <w:p w14:paraId="00AF505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rPr>
              <w:t>施工工期</w:t>
            </w:r>
          </w:p>
        </w:tc>
        <w:tc>
          <w:tcPr>
            <w:tcW w:w="3511" w:type="pct"/>
            <w:tcBorders>
              <w:tl2br w:val="nil"/>
              <w:tr2bl w:val="nil"/>
            </w:tcBorders>
            <w:noWrap w:val="0"/>
            <w:vAlign w:val="center"/>
          </w:tcPr>
          <w:p w14:paraId="1784E7EB">
            <w:pPr>
              <w:spacing w:line="360" w:lineRule="auto"/>
              <w:rPr>
                <w:rFonts w:hint="eastAsia" w:ascii="宋体" w:hAnsi="宋体" w:eastAsia="宋体" w:cs="宋体"/>
                <w:color w:val="auto"/>
                <w:szCs w:val="21"/>
                <w:highlight w:val="none"/>
              </w:rPr>
            </w:pPr>
          </w:p>
        </w:tc>
      </w:tr>
      <w:tr w14:paraId="37027123">
        <w:trPr>
          <w:trHeight w:val="933" w:hRule="atLeast"/>
          <w:jc w:val="center"/>
        </w:trPr>
        <w:tc>
          <w:tcPr>
            <w:tcW w:w="1488" w:type="pct"/>
            <w:tcBorders>
              <w:tl2br w:val="nil"/>
              <w:tr2bl w:val="nil"/>
            </w:tcBorders>
            <w:noWrap w:val="0"/>
            <w:vAlign w:val="center"/>
          </w:tcPr>
          <w:p w14:paraId="79EB298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w:t>
            </w:r>
          </w:p>
        </w:tc>
        <w:tc>
          <w:tcPr>
            <w:tcW w:w="3511" w:type="pct"/>
            <w:tcBorders>
              <w:tl2br w:val="nil"/>
              <w:tr2bl w:val="nil"/>
            </w:tcBorders>
            <w:noWrap w:val="0"/>
            <w:vAlign w:val="center"/>
          </w:tcPr>
          <w:p w14:paraId="076C8878">
            <w:pPr>
              <w:spacing w:line="360" w:lineRule="auto"/>
              <w:rPr>
                <w:rFonts w:hint="eastAsia" w:ascii="宋体" w:hAnsi="宋体" w:eastAsia="宋体" w:cs="宋体"/>
                <w:color w:val="auto"/>
                <w:szCs w:val="21"/>
                <w:highlight w:val="none"/>
              </w:rPr>
            </w:pPr>
          </w:p>
        </w:tc>
      </w:tr>
      <w:tr w14:paraId="3333AECF">
        <w:trPr>
          <w:trHeight w:val="933" w:hRule="atLeast"/>
          <w:jc w:val="center"/>
        </w:trPr>
        <w:tc>
          <w:tcPr>
            <w:tcW w:w="1488" w:type="pct"/>
            <w:tcBorders>
              <w:tl2br w:val="nil"/>
              <w:tr2bl w:val="nil"/>
            </w:tcBorders>
            <w:noWrap w:val="0"/>
            <w:vAlign w:val="center"/>
          </w:tcPr>
          <w:p w14:paraId="1CE464F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p>
        </w:tc>
        <w:tc>
          <w:tcPr>
            <w:tcW w:w="3511" w:type="pct"/>
            <w:tcBorders>
              <w:tl2br w:val="nil"/>
              <w:tr2bl w:val="nil"/>
            </w:tcBorders>
            <w:noWrap w:val="0"/>
            <w:vAlign w:val="center"/>
          </w:tcPr>
          <w:p w14:paraId="2B5B498B">
            <w:pPr>
              <w:spacing w:line="360" w:lineRule="auto"/>
              <w:rPr>
                <w:rFonts w:hint="eastAsia" w:ascii="宋体" w:hAnsi="宋体" w:eastAsia="宋体" w:cs="宋体"/>
                <w:color w:val="auto"/>
                <w:szCs w:val="21"/>
                <w:highlight w:val="none"/>
              </w:rPr>
            </w:pPr>
          </w:p>
        </w:tc>
      </w:tr>
      <w:tr w14:paraId="0171F39C">
        <w:trPr>
          <w:trHeight w:val="933" w:hRule="atLeast"/>
          <w:jc w:val="center"/>
        </w:trPr>
        <w:tc>
          <w:tcPr>
            <w:tcW w:w="1488" w:type="pct"/>
            <w:tcBorders>
              <w:tl2br w:val="nil"/>
              <w:tr2bl w:val="nil"/>
            </w:tcBorders>
            <w:noWrap w:val="0"/>
            <w:vAlign w:val="center"/>
          </w:tcPr>
          <w:p w14:paraId="3136A8E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技术标准</w:t>
            </w:r>
          </w:p>
        </w:tc>
        <w:tc>
          <w:tcPr>
            <w:tcW w:w="3511" w:type="pct"/>
            <w:tcBorders>
              <w:tl2br w:val="nil"/>
              <w:tr2bl w:val="nil"/>
            </w:tcBorders>
            <w:noWrap w:val="0"/>
            <w:vAlign w:val="center"/>
          </w:tcPr>
          <w:p w14:paraId="74E14C62">
            <w:pPr>
              <w:spacing w:line="360" w:lineRule="auto"/>
              <w:rPr>
                <w:rFonts w:hint="eastAsia" w:ascii="宋体" w:hAnsi="宋体" w:eastAsia="宋体" w:cs="宋体"/>
                <w:color w:val="auto"/>
                <w:szCs w:val="21"/>
                <w:highlight w:val="none"/>
              </w:rPr>
            </w:pPr>
          </w:p>
        </w:tc>
      </w:tr>
      <w:tr w14:paraId="55A893AA">
        <w:trPr>
          <w:trHeight w:val="933" w:hRule="atLeast"/>
          <w:jc w:val="center"/>
        </w:trPr>
        <w:tc>
          <w:tcPr>
            <w:tcW w:w="1488" w:type="pct"/>
            <w:tcBorders>
              <w:tl2br w:val="nil"/>
              <w:tr2bl w:val="nil"/>
            </w:tcBorders>
            <w:noWrap w:val="0"/>
            <w:vAlign w:val="center"/>
          </w:tcPr>
          <w:p w14:paraId="7B86347C">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1"/>
                <w:szCs w:val="21"/>
                <w:highlight w:val="none"/>
              </w:rPr>
              <w:t>质量要求</w:t>
            </w:r>
          </w:p>
        </w:tc>
        <w:tc>
          <w:tcPr>
            <w:tcW w:w="3511" w:type="pct"/>
            <w:tcBorders>
              <w:tl2br w:val="nil"/>
              <w:tr2bl w:val="nil"/>
            </w:tcBorders>
            <w:noWrap w:val="0"/>
            <w:vAlign w:val="center"/>
          </w:tcPr>
          <w:p w14:paraId="2DB13A86">
            <w:pPr>
              <w:spacing w:line="360" w:lineRule="auto"/>
              <w:rPr>
                <w:rFonts w:hint="eastAsia" w:ascii="宋体" w:hAnsi="宋体" w:eastAsia="宋体" w:cs="宋体"/>
                <w:color w:val="auto"/>
                <w:szCs w:val="21"/>
                <w:highlight w:val="none"/>
              </w:rPr>
            </w:pPr>
          </w:p>
        </w:tc>
      </w:tr>
      <w:tr w14:paraId="4EC0F9F5">
        <w:trPr>
          <w:trHeight w:val="933" w:hRule="atLeast"/>
          <w:jc w:val="center"/>
        </w:trPr>
        <w:tc>
          <w:tcPr>
            <w:tcW w:w="1488" w:type="pct"/>
            <w:tcBorders>
              <w:tl2br w:val="nil"/>
              <w:tr2bl w:val="nil"/>
            </w:tcBorders>
            <w:noWrap w:val="0"/>
            <w:vAlign w:val="center"/>
          </w:tcPr>
          <w:p w14:paraId="150A5E8B">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验收标准</w:t>
            </w:r>
          </w:p>
        </w:tc>
        <w:tc>
          <w:tcPr>
            <w:tcW w:w="3511" w:type="pct"/>
            <w:tcBorders>
              <w:tl2br w:val="nil"/>
              <w:tr2bl w:val="nil"/>
            </w:tcBorders>
            <w:noWrap w:val="0"/>
            <w:vAlign w:val="center"/>
          </w:tcPr>
          <w:p w14:paraId="46913391">
            <w:pPr>
              <w:spacing w:line="360" w:lineRule="auto"/>
              <w:rPr>
                <w:rFonts w:hint="eastAsia" w:ascii="宋体" w:hAnsi="宋体" w:eastAsia="宋体" w:cs="宋体"/>
                <w:color w:val="auto"/>
                <w:szCs w:val="21"/>
                <w:highlight w:val="none"/>
              </w:rPr>
            </w:pPr>
          </w:p>
        </w:tc>
      </w:tr>
      <w:tr w14:paraId="26E7FB1B">
        <w:trPr>
          <w:trHeight w:val="933" w:hRule="atLeast"/>
          <w:jc w:val="center"/>
        </w:trPr>
        <w:tc>
          <w:tcPr>
            <w:tcW w:w="1488" w:type="pct"/>
            <w:tcBorders>
              <w:tl2br w:val="nil"/>
              <w:tr2bl w:val="nil"/>
            </w:tcBorders>
            <w:noWrap w:val="0"/>
            <w:vAlign w:val="center"/>
          </w:tcPr>
          <w:p w14:paraId="7A2D2D1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3511" w:type="pct"/>
            <w:tcBorders>
              <w:tl2br w:val="nil"/>
              <w:tr2bl w:val="nil"/>
            </w:tcBorders>
            <w:noWrap w:val="0"/>
            <w:vAlign w:val="center"/>
          </w:tcPr>
          <w:p w14:paraId="6FCDDA77">
            <w:pPr>
              <w:spacing w:line="360" w:lineRule="auto"/>
              <w:rPr>
                <w:rFonts w:hint="eastAsia" w:ascii="宋体" w:hAnsi="宋体" w:eastAsia="宋体" w:cs="宋体"/>
                <w:color w:val="auto"/>
                <w:szCs w:val="21"/>
                <w:highlight w:val="none"/>
              </w:rPr>
            </w:pPr>
          </w:p>
        </w:tc>
      </w:tr>
      <w:bookmarkEnd w:id="956"/>
      <w:tr w14:paraId="0E3DB75A">
        <w:trPr>
          <w:trHeight w:val="1289" w:hRule="atLeast"/>
          <w:jc w:val="center"/>
        </w:trPr>
        <w:tc>
          <w:tcPr>
            <w:tcW w:w="1488" w:type="pct"/>
            <w:tcBorders>
              <w:tl2br w:val="nil"/>
              <w:tr2bl w:val="nil"/>
            </w:tcBorders>
            <w:noWrap w:val="0"/>
            <w:vAlign w:val="center"/>
          </w:tcPr>
          <w:p w14:paraId="72DEA2EC">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备注</w:t>
            </w:r>
          </w:p>
        </w:tc>
        <w:tc>
          <w:tcPr>
            <w:tcW w:w="3511" w:type="pct"/>
            <w:tcBorders>
              <w:tl2br w:val="nil"/>
              <w:tr2bl w:val="nil"/>
            </w:tcBorders>
            <w:noWrap w:val="0"/>
            <w:vAlign w:val="center"/>
          </w:tcPr>
          <w:p w14:paraId="6DBF4608">
            <w:pPr>
              <w:spacing w:line="360" w:lineRule="auto"/>
              <w:rPr>
                <w:rFonts w:hint="eastAsia" w:ascii="宋体" w:hAnsi="宋体" w:eastAsia="宋体" w:cs="宋体"/>
                <w:color w:val="auto"/>
                <w:szCs w:val="21"/>
                <w:highlight w:val="none"/>
              </w:rPr>
            </w:pPr>
          </w:p>
        </w:tc>
      </w:tr>
    </w:tbl>
    <w:p w14:paraId="11CABC10">
      <w:pPr>
        <w:pStyle w:val="23"/>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注：</w:t>
      </w:r>
      <w:r>
        <w:rPr>
          <w:rFonts w:hint="eastAsia" w:ascii="宋体" w:hAnsi="宋体" w:eastAsia="宋体" w:cs="宋体"/>
          <w:b/>
          <w:color w:val="auto"/>
          <w:szCs w:val="21"/>
          <w:highlight w:val="none"/>
        </w:rPr>
        <w:t>因本项目为电子采购项目，上述磋商报价一览表中供应商填写的内容应与电子交易系统中开标一览表填写内容一致，如出现不一致的情况以电子交易系统中开标一览表填写内容为准</w:t>
      </w:r>
      <w:r>
        <w:rPr>
          <w:rFonts w:hint="eastAsia" w:ascii="宋体" w:hAnsi="宋体" w:eastAsia="宋体" w:cs="宋体"/>
          <w:color w:val="auto"/>
          <w:szCs w:val="21"/>
          <w:highlight w:val="none"/>
        </w:rPr>
        <w:t>。</w:t>
      </w:r>
    </w:p>
    <w:p w14:paraId="52D96CF6">
      <w:pPr>
        <w:rPr>
          <w:rFonts w:hint="eastAsia" w:ascii="宋体" w:hAnsi="宋体" w:eastAsia="宋体" w:cs="宋体"/>
          <w:color w:val="auto"/>
          <w:highlight w:val="none"/>
        </w:rPr>
        <w:sectPr>
          <w:footerReference r:id="rId8" w:type="first"/>
          <w:pgSz w:w="11906" w:h="16838"/>
          <w:pgMar w:top="1418" w:right="1417" w:bottom="1418" w:left="1418" w:header="851" w:footer="904" w:gutter="0"/>
          <w:pgBorders>
            <w:top w:val="none" w:sz="0" w:space="0"/>
            <w:left w:val="none" w:sz="0" w:space="0"/>
            <w:bottom w:val="none" w:sz="0" w:space="0"/>
            <w:right w:val="none" w:sz="0" w:space="0"/>
          </w:pgBorders>
          <w:pgNumType w:start="1"/>
          <w:cols w:space="720" w:num="1"/>
          <w:docGrid w:linePitch="312" w:charSpace="0"/>
        </w:sectPr>
      </w:pPr>
    </w:p>
    <w:tbl>
      <w:tblPr>
        <w:tblStyle w:val="47"/>
        <w:tblpPr w:leftFromText="180" w:rightFromText="180" w:vertAnchor="text" w:horzAnchor="page" w:tblpX="1502" w:tblpY="267"/>
        <w:tblOverlap w:val="never"/>
        <w:tblW w:w="134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6"/>
        <w:gridCol w:w="2745"/>
        <w:gridCol w:w="4213"/>
        <w:gridCol w:w="942"/>
        <w:gridCol w:w="1301"/>
        <w:gridCol w:w="975"/>
        <w:gridCol w:w="975"/>
        <w:gridCol w:w="1529"/>
      </w:tblGrid>
      <w:tr w14:paraId="049256C9">
        <w:trPr>
          <w:trHeight w:val="644" w:hRule="atLeast"/>
        </w:trPr>
        <w:tc>
          <w:tcPr>
            <w:tcW w:w="13406" w:type="dxa"/>
            <w:gridSpan w:val="8"/>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91C3F">
            <w:pPr>
              <w:keepNext w:val="0"/>
              <w:keepLines w:val="0"/>
              <w:widowControl/>
              <w:suppressLineNumbers w:val="0"/>
              <w:jc w:val="center"/>
              <w:textAlignment w:val="bottom"/>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工程量清单</w:t>
            </w:r>
          </w:p>
        </w:tc>
      </w:tr>
      <w:tr w14:paraId="1AD748E0">
        <w:trPr>
          <w:trHeight w:val="644" w:hRule="atLeast"/>
        </w:trPr>
        <w:tc>
          <w:tcPr>
            <w:tcW w:w="768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36C3">
            <w:pPr>
              <w:keepNext w:val="0"/>
              <w:keepLines w:val="0"/>
              <w:widowControl/>
              <w:suppressLineNumbers w:val="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建设单位：弥勒市疾病预防控制中心</w:t>
            </w:r>
          </w:p>
        </w:tc>
        <w:tc>
          <w:tcPr>
            <w:tcW w:w="572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EBD90">
            <w:pPr>
              <w:keepNext w:val="0"/>
              <w:keepLines w:val="0"/>
              <w:widowControl/>
              <w:suppressLineNumbers w:val="0"/>
              <w:jc w:val="right"/>
              <w:textAlignment w:val="center"/>
              <w:rPr>
                <w:rFonts w:hint="eastAsia" w:ascii="宋体" w:hAnsi="宋体" w:eastAsia="宋体" w:cs="宋体"/>
                <w:b/>
                <w:bCs/>
                <w:i w:val="0"/>
                <w:iCs w:val="0"/>
                <w:color w:val="auto"/>
                <w:sz w:val="22"/>
                <w:szCs w:val="22"/>
                <w:highlight w:val="none"/>
                <w:u w:val="none"/>
              </w:rPr>
            </w:pPr>
            <w:r>
              <w:rPr>
                <w:rFonts w:hint="eastAsia" w:ascii="宋体" w:hAnsi="宋体" w:cs="宋体"/>
                <w:b/>
                <w:bCs/>
                <w:i w:val="0"/>
                <w:iCs w:val="0"/>
                <w:color w:val="auto"/>
                <w:kern w:val="0"/>
                <w:sz w:val="22"/>
                <w:szCs w:val="22"/>
                <w:highlight w:val="none"/>
                <w:u w:val="none"/>
                <w:lang w:val="en-US" w:eastAsia="zh-CN" w:bidi="ar"/>
              </w:rPr>
              <w:t>工程名称：弥勒市疾病预防控制中心鼠疫实验室改造项目</w:t>
            </w:r>
          </w:p>
        </w:tc>
      </w:tr>
      <w:tr w14:paraId="7E5C93B9">
        <w:trPr>
          <w:trHeight w:val="713"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7B85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940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材料名称</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EDA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型号名称</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893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B5C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DF7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3A8D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价格</w:t>
            </w: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6E7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37DCB09A">
        <w:trPr>
          <w:trHeight w:val="713"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55D1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1268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32BD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装饰装修部分</w:t>
            </w:r>
          </w:p>
        </w:tc>
      </w:tr>
      <w:tr w14:paraId="09764728">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BF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0E3B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土建墙拆除</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0A4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原有实验室拆除</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F1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62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D1007">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EF3E">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4884">
            <w:pPr>
              <w:jc w:val="center"/>
              <w:rPr>
                <w:rFonts w:hint="eastAsia" w:ascii="宋体" w:hAnsi="宋体" w:eastAsia="宋体" w:cs="宋体"/>
                <w:i w:val="0"/>
                <w:iCs w:val="0"/>
                <w:color w:val="auto"/>
                <w:sz w:val="22"/>
                <w:szCs w:val="22"/>
                <w:highlight w:val="none"/>
                <w:u w:val="none"/>
              </w:rPr>
            </w:pPr>
          </w:p>
        </w:tc>
      </w:tr>
      <w:tr w14:paraId="231F3201">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63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0C2C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手工中空玻镁板（墙板）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008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50系列、0.45mm，A级防火</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D5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971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475.54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B4C0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1A61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6F24">
            <w:pPr>
              <w:jc w:val="center"/>
              <w:rPr>
                <w:rFonts w:hint="eastAsia" w:ascii="宋体" w:hAnsi="宋体" w:eastAsia="宋体" w:cs="宋体"/>
                <w:i w:val="0"/>
                <w:iCs w:val="0"/>
                <w:color w:val="auto"/>
                <w:sz w:val="22"/>
                <w:szCs w:val="22"/>
                <w:highlight w:val="none"/>
                <w:u w:val="none"/>
              </w:rPr>
            </w:pPr>
          </w:p>
        </w:tc>
      </w:tr>
      <w:tr w14:paraId="36B21483">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E0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686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手工中空玻镁板（顶板）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C8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50系列、0.45mm，A级防火</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B5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C08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196.80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02EA">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5D2FA">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D5D9">
            <w:pPr>
              <w:jc w:val="center"/>
              <w:rPr>
                <w:rFonts w:hint="eastAsia" w:ascii="宋体" w:hAnsi="宋体" w:eastAsia="宋体" w:cs="宋体"/>
                <w:i w:val="0"/>
                <w:iCs w:val="0"/>
                <w:color w:val="auto"/>
                <w:sz w:val="22"/>
                <w:szCs w:val="22"/>
                <w:highlight w:val="none"/>
                <w:u w:val="none"/>
              </w:rPr>
            </w:pPr>
          </w:p>
        </w:tc>
      </w:tr>
      <w:tr w14:paraId="41347F2E">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25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F39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铝合金专用接件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448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F1B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C1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672.34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0B8D">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A8B2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F893">
            <w:pPr>
              <w:jc w:val="center"/>
              <w:rPr>
                <w:rFonts w:hint="eastAsia" w:ascii="宋体" w:hAnsi="宋体" w:eastAsia="宋体" w:cs="宋体"/>
                <w:i w:val="0"/>
                <w:iCs w:val="0"/>
                <w:color w:val="auto"/>
                <w:sz w:val="22"/>
                <w:szCs w:val="22"/>
                <w:highlight w:val="none"/>
                <w:u w:val="none"/>
              </w:rPr>
            </w:pPr>
          </w:p>
        </w:tc>
      </w:tr>
      <w:tr w14:paraId="08ABBA6B">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5F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BE6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铝合金槽铝</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CC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F18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21F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1344.68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110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85A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40652">
            <w:pPr>
              <w:jc w:val="center"/>
              <w:rPr>
                <w:rFonts w:hint="eastAsia" w:ascii="宋体" w:hAnsi="宋体" w:eastAsia="宋体" w:cs="宋体"/>
                <w:i w:val="0"/>
                <w:iCs w:val="0"/>
                <w:color w:val="auto"/>
                <w:sz w:val="22"/>
                <w:szCs w:val="22"/>
                <w:highlight w:val="none"/>
                <w:u w:val="none"/>
              </w:rPr>
            </w:pPr>
          </w:p>
        </w:tc>
      </w:tr>
      <w:tr w14:paraId="1F79D80A">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AE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600B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顶板加固件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D2B5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T型铝、吊杆吊件、膨胀螺栓、花兰</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4E8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457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196.80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BC17">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AB7C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4F82">
            <w:pPr>
              <w:jc w:val="center"/>
              <w:rPr>
                <w:rFonts w:hint="eastAsia" w:ascii="宋体" w:hAnsi="宋体" w:eastAsia="宋体" w:cs="宋体"/>
                <w:i w:val="0"/>
                <w:iCs w:val="0"/>
                <w:color w:val="auto"/>
                <w:sz w:val="22"/>
                <w:szCs w:val="22"/>
                <w:highlight w:val="none"/>
                <w:u w:val="none"/>
              </w:rPr>
            </w:pPr>
          </w:p>
        </w:tc>
      </w:tr>
      <w:tr w14:paraId="1DB37C9C">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C49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5BC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铝合金内圆弧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278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30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EBE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790.40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8497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45E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98DE">
            <w:pPr>
              <w:jc w:val="center"/>
              <w:rPr>
                <w:rFonts w:hint="eastAsia" w:ascii="宋体" w:hAnsi="宋体" w:eastAsia="宋体" w:cs="宋体"/>
                <w:i w:val="0"/>
                <w:iCs w:val="0"/>
                <w:color w:val="auto"/>
                <w:sz w:val="22"/>
                <w:szCs w:val="22"/>
                <w:highlight w:val="none"/>
                <w:u w:val="none"/>
              </w:rPr>
            </w:pPr>
          </w:p>
        </w:tc>
      </w:tr>
      <w:tr w14:paraId="2921CA21">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F4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AB8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内圆弧底座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70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45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05F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790.40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A57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F9CE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5C2F">
            <w:pPr>
              <w:jc w:val="center"/>
              <w:rPr>
                <w:rFonts w:hint="eastAsia" w:ascii="宋体" w:hAnsi="宋体" w:eastAsia="宋体" w:cs="宋体"/>
                <w:i w:val="0"/>
                <w:iCs w:val="0"/>
                <w:color w:val="auto"/>
                <w:sz w:val="22"/>
                <w:szCs w:val="22"/>
                <w:highlight w:val="none"/>
                <w:u w:val="none"/>
              </w:rPr>
            </w:pPr>
          </w:p>
        </w:tc>
      </w:tr>
      <w:tr w14:paraId="3824AED3">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02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17D1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铝合金外圆弧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5CA4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85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963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A39">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492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3285">
            <w:pPr>
              <w:jc w:val="center"/>
              <w:rPr>
                <w:rFonts w:hint="eastAsia" w:ascii="宋体" w:hAnsi="宋体" w:eastAsia="宋体" w:cs="宋体"/>
                <w:i w:val="0"/>
                <w:iCs w:val="0"/>
                <w:color w:val="auto"/>
                <w:sz w:val="22"/>
                <w:szCs w:val="22"/>
                <w:highlight w:val="none"/>
                <w:u w:val="none"/>
              </w:rPr>
            </w:pPr>
          </w:p>
        </w:tc>
      </w:tr>
      <w:tr w14:paraId="2B16C698">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C6C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AF9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铝合金门封头</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E5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16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A1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554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807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43A20">
            <w:pPr>
              <w:jc w:val="center"/>
              <w:rPr>
                <w:rFonts w:hint="eastAsia" w:ascii="宋体" w:hAnsi="宋体" w:eastAsia="宋体" w:cs="宋体"/>
                <w:i w:val="0"/>
                <w:iCs w:val="0"/>
                <w:color w:val="auto"/>
                <w:sz w:val="22"/>
                <w:szCs w:val="22"/>
                <w:highlight w:val="none"/>
                <w:u w:val="none"/>
              </w:rPr>
            </w:pPr>
          </w:p>
        </w:tc>
      </w:tr>
      <w:tr w14:paraId="111D3978">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B58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270E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铝合金内三通</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04D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4F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C1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5711D">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7BE2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BD80">
            <w:pPr>
              <w:jc w:val="center"/>
              <w:rPr>
                <w:rFonts w:hint="eastAsia" w:ascii="宋体" w:hAnsi="宋体" w:eastAsia="宋体" w:cs="宋体"/>
                <w:i w:val="0"/>
                <w:iCs w:val="0"/>
                <w:color w:val="auto"/>
                <w:sz w:val="22"/>
                <w:szCs w:val="22"/>
                <w:highlight w:val="none"/>
                <w:u w:val="none"/>
              </w:rPr>
            </w:pPr>
          </w:p>
        </w:tc>
      </w:tr>
      <w:tr w14:paraId="119833FD">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982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FAB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铝合金外圆封两通</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F72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F3B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232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FBF9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88D7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3672">
            <w:pPr>
              <w:jc w:val="center"/>
              <w:rPr>
                <w:rFonts w:hint="eastAsia" w:ascii="宋体" w:hAnsi="宋体" w:eastAsia="宋体" w:cs="宋体"/>
                <w:i w:val="0"/>
                <w:iCs w:val="0"/>
                <w:color w:val="auto"/>
                <w:sz w:val="22"/>
                <w:szCs w:val="22"/>
                <w:highlight w:val="none"/>
                <w:u w:val="none"/>
              </w:rPr>
            </w:pPr>
          </w:p>
        </w:tc>
      </w:tr>
      <w:tr w14:paraId="7330CFC0">
        <w:trPr>
          <w:trHeight w:val="782"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6E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B18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钢制成品密闭单开门</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871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800×2100（含观察窗，门锁、门碰、升降扫地条）</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8A3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8B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838B">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A78C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41CD5">
            <w:pPr>
              <w:jc w:val="center"/>
              <w:rPr>
                <w:rFonts w:hint="eastAsia" w:ascii="宋体" w:hAnsi="宋体" w:eastAsia="宋体" w:cs="宋体"/>
                <w:i w:val="0"/>
                <w:iCs w:val="0"/>
                <w:color w:val="auto"/>
                <w:sz w:val="22"/>
                <w:szCs w:val="22"/>
                <w:highlight w:val="none"/>
                <w:u w:val="none"/>
              </w:rPr>
            </w:pPr>
          </w:p>
        </w:tc>
      </w:tr>
      <w:tr w14:paraId="06487698">
        <w:trPr>
          <w:trHeight w:val="782"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348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3D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钢制成品密闭单开门</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4B0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1000×2100（含观察窗，门锁、门碰、升降扫地条）</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F2A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B7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9B3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EC01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631E">
            <w:pPr>
              <w:jc w:val="center"/>
              <w:rPr>
                <w:rFonts w:hint="eastAsia" w:ascii="宋体" w:hAnsi="宋体" w:eastAsia="宋体" w:cs="宋体"/>
                <w:i w:val="0"/>
                <w:iCs w:val="0"/>
                <w:color w:val="auto"/>
                <w:sz w:val="22"/>
                <w:szCs w:val="22"/>
                <w:highlight w:val="none"/>
                <w:u w:val="none"/>
              </w:rPr>
            </w:pPr>
          </w:p>
        </w:tc>
      </w:tr>
      <w:tr w14:paraId="1B1D6B19">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2A1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29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逃生门</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21EB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1000×2100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BB0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30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61F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0F7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13DD5">
            <w:pPr>
              <w:jc w:val="center"/>
              <w:rPr>
                <w:rFonts w:hint="eastAsia" w:ascii="宋体" w:hAnsi="宋体" w:eastAsia="宋体" w:cs="宋体"/>
                <w:i w:val="0"/>
                <w:iCs w:val="0"/>
                <w:color w:val="auto"/>
                <w:sz w:val="22"/>
                <w:szCs w:val="22"/>
                <w:highlight w:val="none"/>
                <w:u w:val="none"/>
              </w:rPr>
            </w:pPr>
          </w:p>
        </w:tc>
      </w:tr>
      <w:tr w14:paraId="26014C75">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519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0736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成品密闭窗</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BE5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1800×1100（中空双层钢化玻璃）</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86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A7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3A2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0B5D">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DD59C">
            <w:pPr>
              <w:jc w:val="center"/>
              <w:rPr>
                <w:rFonts w:hint="eastAsia" w:ascii="宋体" w:hAnsi="宋体" w:eastAsia="宋体" w:cs="宋体"/>
                <w:i w:val="0"/>
                <w:iCs w:val="0"/>
                <w:color w:val="auto"/>
                <w:sz w:val="22"/>
                <w:szCs w:val="22"/>
                <w:highlight w:val="none"/>
                <w:u w:val="none"/>
              </w:rPr>
            </w:pPr>
          </w:p>
        </w:tc>
      </w:tr>
      <w:tr w14:paraId="2AA3E68F">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C1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02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五金件配件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CD2A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铆钉、螺栓、扎线、2X3角铝</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0D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13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672.34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F3B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5B5DD">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DCF9">
            <w:pPr>
              <w:jc w:val="center"/>
              <w:rPr>
                <w:rFonts w:hint="eastAsia" w:ascii="宋体" w:hAnsi="宋体" w:eastAsia="宋体" w:cs="宋体"/>
                <w:i w:val="0"/>
                <w:iCs w:val="0"/>
                <w:color w:val="auto"/>
                <w:sz w:val="22"/>
                <w:szCs w:val="22"/>
                <w:highlight w:val="none"/>
                <w:u w:val="none"/>
              </w:rPr>
            </w:pPr>
          </w:p>
        </w:tc>
      </w:tr>
      <w:tr w14:paraId="2B5BDE3E">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067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E6A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密封件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DE1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密封胶、密封垫</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2F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BE6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672.34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2EC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3C3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E67B4">
            <w:pPr>
              <w:jc w:val="center"/>
              <w:rPr>
                <w:rFonts w:hint="eastAsia" w:ascii="宋体" w:hAnsi="宋体" w:eastAsia="宋体" w:cs="宋体"/>
                <w:i w:val="0"/>
                <w:iCs w:val="0"/>
                <w:color w:val="auto"/>
                <w:sz w:val="22"/>
                <w:szCs w:val="22"/>
                <w:highlight w:val="none"/>
                <w:u w:val="none"/>
              </w:rPr>
            </w:pPr>
          </w:p>
        </w:tc>
      </w:tr>
      <w:tr w14:paraId="19054DE1">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7A0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6B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地面处理</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1B22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自流坪找平</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20C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A0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196.80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C6A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F58E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93320">
            <w:pPr>
              <w:jc w:val="center"/>
              <w:rPr>
                <w:rFonts w:hint="eastAsia" w:ascii="宋体" w:hAnsi="宋体" w:eastAsia="宋体" w:cs="宋体"/>
                <w:i w:val="0"/>
                <w:iCs w:val="0"/>
                <w:color w:val="auto"/>
                <w:sz w:val="22"/>
                <w:szCs w:val="22"/>
                <w:highlight w:val="none"/>
                <w:u w:val="none"/>
              </w:rPr>
            </w:pPr>
          </w:p>
        </w:tc>
      </w:tr>
      <w:tr w14:paraId="56D0CF59">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AB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D1F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2mm塑胶地板</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31B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厚2mm、重量2850g/m³ 、耐磨等级T级，热压玻纤基卷材</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0C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7CA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190.80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072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8976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B464">
            <w:pPr>
              <w:jc w:val="center"/>
              <w:rPr>
                <w:rFonts w:hint="eastAsia" w:ascii="宋体" w:hAnsi="宋体" w:eastAsia="宋体" w:cs="宋体"/>
                <w:i w:val="0"/>
                <w:iCs w:val="0"/>
                <w:color w:val="auto"/>
                <w:sz w:val="22"/>
                <w:szCs w:val="22"/>
                <w:highlight w:val="none"/>
                <w:u w:val="none"/>
              </w:rPr>
            </w:pPr>
          </w:p>
        </w:tc>
      </w:tr>
      <w:tr w14:paraId="24B3CA0A">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465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80C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空气压差表</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6B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0～60Pa</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B13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A3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1231C">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F59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631B">
            <w:pPr>
              <w:jc w:val="center"/>
              <w:rPr>
                <w:rFonts w:hint="eastAsia" w:ascii="宋体" w:hAnsi="宋体" w:eastAsia="宋体" w:cs="宋体"/>
                <w:i w:val="0"/>
                <w:iCs w:val="0"/>
                <w:color w:val="auto"/>
                <w:sz w:val="22"/>
                <w:szCs w:val="22"/>
                <w:highlight w:val="none"/>
                <w:u w:val="none"/>
              </w:rPr>
            </w:pPr>
          </w:p>
        </w:tc>
      </w:tr>
      <w:tr w14:paraId="2BAC80A7">
        <w:trPr>
          <w:trHeight w:val="713"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34C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82B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不锈钢单层传递窗</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C93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600×600×600，304不锈钢材质，紫外线杀菌消毒，电子互锁设置</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4E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8F1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1351A">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D0BC">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1A26">
            <w:pPr>
              <w:jc w:val="center"/>
              <w:rPr>
                <w:rFonts w:hint="eastAsia" w:ascii="宋体" w:hAnsi="宋体" w:eastAsia="宋体" w:cs="宋体"/>
                <w:i w:val="0"/>
                <w:iCs w:val="0"/>
                <w:color w:val="auto"/>
                <w:sz w:val="22"/>
                <w:szCs w:val="22"/>
                <w:highlight w:val="none"/>
                <w:u w:val="none"/>
              </w:rPr>
            </w:pPr>
          </w:p>
        </w:tc>
      </w:tr>
      <w:tr w14:paraId="41B5352B">
        <w:trPr>
          <w:trHeight w:val="73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76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BBA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不锈钢双层传递窗</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B81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800×800×1200，304不锈钢材质，紫外线杀菌消毒，电子互锁设置（定制）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52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05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44A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1DDE">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13F0">
            <w:pPr>
              <w:jc w:val="center"/>
              <w:rPr>
                <w:rFonts w:hint="eastAsia" w:ascii="宋体" w:hAnsi="宋体" w:eastAsia="宋体" w:cs="宋体"/>
                <w:i w:val="0"/>
                <w:iCs w:val="0"/>
                <w:color w:val="auto"/>
                <w:sz w:val="22"/>
                <w:szCs w:val="22"/>
                <w:highlight w:val="none"/>
                <w:u w:val="none"/>
              </w:rPr>
            </w:pPr>
          </w:p>
        </w:tc>
      </w:tr>
      <w:tr w14:paraId="1BAD70F8">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90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2F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干手器</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86A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AK2030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6D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3A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4A1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A22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0177">
            <w:pPr>
              <w:jc w:val="center"/>
              <w:rPr>
                <w:rFonts w:hint="eastAsia" w:ascii="宋体" w:hAnsi="宋体" w:eastAsia="宋体" w:cs="宋体"/>
                <w:i w:val="0"/>
                <w:iCs w:val="0"/>
                <w:color w:val="auto"/>
                <w:sz w:val="22"/>
                <w:szCs w:val="22"/>
                <w:highlight w:val="none"/>
                <w:u w:val="none"/>
              </w:rPr>
            </w:pPr>
          </w:p>
        </w:tc>
      </w:tr>
      <w:tr w14:paraId="26830644">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30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8232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手消毒器</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679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AK3137</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9A6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465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424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7CC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0A1A4">
            <w:pPr>
              <w:jc w:val="center"/>
              <w:rPr>
                <w:rFonts w:hint="eastAsia" w:ascii="宋体" w:hAnsi="宋体" w:eastAsia="宋体" w:cs="宋体"/>
                <w:i w:val="0"/>
                <w:iCs w:val="0"/>
                <w:color w:val="auto"/>
                <w:sz w:val="22"/>
                <w:szCs w:val="22"/>
                <w:highlight w:val="none"/>
                <w:u w:val="none"/>
              </w:rPr>
            </w:pPr>
          </w:p>
        </w:tc>
      </w:tr>
      <w:tr w14:paraId="178DB9D9">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14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F312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62B4">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27F8">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3F26B">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404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CAAE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4856">
            <w:pPr>
              <w:jc w:val="center"/>
              <w:rPr>
                <w:rFonts w:hint="eastAsia" w:ascii="宋体" w:hAnsi="宋体" w:eastAsia="宋体" w:cs="宋体"/>
                <w:i w:val="0"/>
                <w:iCs w:val="0"/>
                <w:color w:val="auto"/>
                <w:sz w:val="22"/>
                <w:szCs w:val="22"/>
                <w:highlight w:val="none"/>
                <w:u w:val="none"/>
              </w:rPr>
            </w:pPr>
          </w:p>
        </w:tc>
      </w:tr>
      <w:tr w14:paraId="675E84B5">
        <w:trPr>
          <w:trHeight w:val="59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5D3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1268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119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暖通部分</w:t>
            </w:r>
          </w:p>
        </w:tc>
      </w:tr>
      <w:tr w14:paraId="7D43CC97">
        <w:trPr>
          <w:trHeight w:val="1198"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07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9D1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恒温恒湿组合式空调机组</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06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风量：12200，新风量：3000，制冷量：80kw，电加热：40kW，电极加湿：20kW；变频电机</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7E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FDC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EC5BA">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D9C2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894E">
            <w:pPr>
              <w:jc w:val="center"/>
              <w:rPr>
                <w:rFonts w:hint="eastAsia" w:ascii="宋体" w:hAnsi="宋体" w:eastAsia="宋体" w:cs="宋体"/>
                <w:i w:val="0"/>
                <w:iCs w:val="0"/>
                <w:color w:val="auto"/>
                <w:sz w:val="22"/>
                <w:szCs w:val="22"/>
                <w:highlight w:val="none"/>
                <w:u w:val="none"/>
              </w:rPr>
            </w:pPr>
          </w:p>
        </w:tc>
      </w:tr>
      <w:tr w14:paraId="7D8760CA">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9A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71F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排风机</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90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风量9050-17500m3/h,压力750Pa</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BD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AF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B6A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924D">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34226">
            <w:pPr>
              <w:jc w:val="center"/>
              <w:rPr>
                <w:rFonts w:hint="eastAsia" w:ascii="宋体" w:hAnsi="宋体" w:eastAsia="宋体" w:cs="宋体"/>
                <w:i w:val="0"/>
                <w:iCs w:val="0"/>
                <w:color w:val="auto"/>
                <w:sz w:val="22"/>
                <w:szCs w:val="22"/>
                <w:highlight w:val="none"/>
                <w:u w:val="none"/>
              </w:rPr>
            </w:pPr>
          </w:p>
        </w:tc>
      </w:tr>
      <w:tr w14:paraId="1C74CB90">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AD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A23E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空调控制箱</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175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风阀控制面板</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BBF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1F3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A9ED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4525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AACCB">
            <w:pPr>
              <w:jc w:val="center"/>
              <w:rPr>
                <w:rFonts w:hint="eastAsia" w:ascii="宋体" w:hAnsi="宋体" w:eastAsia="宋体" w:cs="宋体"/>
                <w:i w:val="0"/>
                <w:iCs w:val="0"/>
                <w:color w:val="auto"/>
                <w:sz w:val="22"/>
                <w:szCs w:val="22"/>
                <w:highlight w:val="none"/>
                <w:u w:val="none"/>
              </w:rPr>
            </w:pPr>
          </w:p>
        </w:tc>
      </w:tr>
      <w:tr w14:paraId="5146065F">
        <w:trPr>
          <w:trHeight w:val="68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0B3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B4D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铜管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2D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1.材质:磷脱氧铜管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2.规格:Φ15.88，含保温管</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CBC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430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1CCD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E448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072D">
            <w:pPr>
              <w:jc w:val="center"/>
              <w:rPr>
                <w:rFonts w:hint="eastAsia" w:ascii="宋体" w:hAnsi="宋体" w:eastAsia="宋体" w:cs="宋体"/>
                <w:i w:val="0"/>
                <w:iCs w:val="0"/>
                <w:color w:val="auto"/>
                <w:sz w:val="22"/>
                <w:szCs w:val="22"/>
                <w:highlight w:val="none"/>
                <w:u w:val="none"/>
              </w:rPr>
            </w:pPr>
          </w:p>
        </w:tc>
      </w:tr>
      <w:tr w14:paraId="2EB215F0">
        <w:trPr>
          <w:trHeight w:val="68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AE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8EA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铜管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54E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1.材质:磷脱氧铜管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2.规格:Φ28.8，含保温管</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F52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580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5AA8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52C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BDFF1">
            <w:pPr>
              <w:jc w:val="center"/>
              <w:rPr>
                <w:rFonts w:hint="eastAsia" w:ascii="宋体" w:hAnsi="宋体" w:eastAsia="宋体" w:cs="宋体"/>
                <w:i w:val="0"/>
                <w:iCs w:val="0"/>
                <w:color w:val="auto"/>
                <w:sz w:val="22"/>
                <w:szCs w:val="22"/>
                <w:highlight w:val="none"/>
                <w:u w:val="none"/>
              </w:rPr>
            </w:pPr>
          </w:p>
        </w:tc>
      </w:tr>
      <w:tr w14:paraId="52076684">
        <w:trPr>
          <w:trHeight w:val="68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01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435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冷凝水管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94CB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1.材质:PVC-U</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2.规格:Φ25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2F6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4A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0DA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8C3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3D72">
            <w:pPr>
              <w:jc w:val="center"/>
              <w:rPr>
                <w:rFonts w:hint="eastAsia" w:ascii="宋体" w:hAnsi="宋体" w:eastAsia="宋体" w:cs="宋体"/>
                <w:i w:val="0"/>
                <w:iCs w:val="0"/>
                <w:color w:val="auto"/>
                <w:sz w:val="22"/>
                <w:szCs w:val="22"/>
                <w:highlight w:val="none"/>
                <w:u w:val="none"/>
              </w:rPr>
            </w:pPr>
          </w:p>
        </w:tc>
      </w:tr>
      <w:tr w14:paraId="76F75433">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A6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FE3D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工程保温管扎带</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5DA3">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BA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卷</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FC0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74F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7F7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21A1">
            <w:pPr>
              <w:jc w:val="center"/>
              <w:rPr>
                <w:rFonts w:hint="eastAsia" w:ascii="宋体" w:hAnsi="宋体" w:eastAsia="宋体" w:cs="宋体"/>
                <w:i w:val="0"/>
                <w:iCs w:val="0"/>
                <w:color w:val="auto"/>
                <w:sz w:val="22"/>
                <w:szCs w:val="22"/>
                <w:highlight w:val="none"/>
                <w:u w:val="none"/>
              </w:rPr>
            </w:pPr>
          </w:p>
        </w:tc>
      </w:tr>
      <w:tr w14:paraId="1A66E721">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E24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9EB0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制冷剂</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451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R410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92A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桶</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D2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1232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2C6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2883F">
            <w:pPr>
              <w:jc w:val="center"/>
              <w:rPr>
                <w:rFonts w:hint="eastAsia" w:ascii="宋体" w:hAnsi="宋体" w:eastAsia="宋体" w:cs="宋体"/>
                <w:i w:val="0"/>
                <w:iCs w:val="0"/>
                <w:color w:val="auto"/>
                <w:sz w:val="22"/>
                <w:szCs w:val="22"/>
                <w:highlight w:val="none"/>
                <w:u w:val="none"/>
              </w:rPr>
            </w:pPr>
          </w:p>
        </w:tc>
      </w:tr>
      <w:tr w14:paraId="6E76544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4EA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7E21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设备减震件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C34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橡胶减震垫</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95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D8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70B4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F5EF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6B56">
            <w:pPr>
              <w:jc w:val="center"/>
              <w:rPr>
                <w:rFonts w:hint="eastAsia" w:ascii="宋体" w:hAnsi="宋体" w:eastAsia="宋体" w:cs="宋体"/>
                <w:i w:val="0"/>
                <w:iCs w:val="0"/>
                <w:color w:val="auto"/>
                <w:sz w:val="22"/>
                <w:szCs w:val="22"/>
                <w:highlight w:val="none"/>
                <w:u w:val="none"/>
              </w:rPr>
            </w:pPr>
          </w:p>
        </w:tc>
      </w:tr>
      <w:tr w14:paraId="049814EF">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97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A028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设备底座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7D0E3">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CD3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E1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E98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A5B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3DA80">
            <w:pPr>
              <w:jc w:val="center"/>
              <w:rPr>
                <w:rFonts w:hint="eastAsia" w:ascii="宋体" w:hAnsi="宋体" w:eastAsia="宋体" w:cs="宋体"/>
                <w:i w:val="0"/>
                <w:iCs w:val="0"/>
                <w:color w:val="auto"/>
                <w:sz w:val="22"/>
                <w:szCs w:val="22"/>
                <w:highlight w:val="none"/>
                <w:u w:val="none"/>
              </w:rPr>
            </w:pPr>
          </w:p>
        </w:tc>
      </w:tr>
      <w:tr w14:paraId="69F108B0">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CC5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6FB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分体式高效送风口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185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320*320*90，含静压箱、铝板扩散板、高效过滤器</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20F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0E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2475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B370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3076">
            <w:pPr>
              <w:jc w:val="center"/>
              <w:rPr>
                <w:rFonts w:hint="eastAsia" w:ascii="宋体" w:hAnsi="宋体" w:eastAsia="宋体" w:cs="宋体"/>
                <w:i w:val="0"/>
                <w:iCs w:val="0"/>
                <w:color w:val="auto"/>
                <w:sz w:val="22"/>
                <w:szCs w:val="22"/>
                <w:highlight w:val="none"/>
                <w:u w:val="none"/>
              </w:rPr>
            </w:pPr>
          </w:p>
        </w:tc>
      </w:tr>
      <w:tr w14:paraId="7466BAB6">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67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C52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分体式高效送风口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A3F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484*484*90，含静压箱、铝板扩散板、高效过滤器</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8F5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F7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D1A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D4D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FAD9">
            <w:pPr>
              <w:jc w:val="center"/>
              <w:rPr>
                <w:rFonts w:hint="eastAsia" w:ascii="宋体" w:hAnsi="宋体" w:eastAsia="宋体" w:cs="宋体"/>
                <w:i w:val="0"/>
                <w:iCs w:val="0"/>
                <w:color w:val="auto"/>
                <w:sz w:val="22"/>
                <w:szCs w:val="22"/>
                <w:highlight w:val="none"/>
                <w:u w:val="none"/>
              </w:rPr>
            </w:pPr>
          </w:p>
        </w:tc>
      </w:tr>
      <w:tr w14:paraId="382E171D">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26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9E76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分体式高效送风口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793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630*630*90，含静压箱、铝板扩散板、高效过滤器</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851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986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44AD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AC0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CAA90">
            <w:pPr>
              <w:jc w:val="center"/>
              <w:rPr>
                <w:rFonts w:hint="eastAsia" w:ascii="宋体" w:hAnsi="宋体" w:eastAsia="宋体" w:cs="宋体"/>
                <w:i w:val="0"/>
                <w:iCs w:val="0"/>
                <w:color w:val="auto"/>
                <w:sz w:val="22"/>
                <w:szCs w:val="22"/>
                <w:highlight w:val="none"/>
                <w:u w:val="none"/>
              </w:rPr>
            </w:pPr>
          </w:p>
        </w:tc>
      </w:tr>
      <w:tr w14:paraId="43516E58">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78C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C8A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DE7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250×250(带过滤网，调节阀，可开式）</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306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BA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0F11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50F5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0EF3">
            <w:pPr>
              <w:jc w:val="center"/>
              <w:rPr>
                <w:rFonts w:hint="eastAsia" w:ascii="宋体" w:hAnsi="宋体" w:eastAsia="宋体" w:cs="宋体"/>
                <w:i w:val="0"/>
                <w:iCs w:val="0"/>
                <w:color w:val="auto"/>
                <w:sz w:val="22"/>
                <w:szCs w:val="22"/>
                <w:highlight w:val="none"/>
                <w:u w:val="none"/>
              </w:rPr>
            </w:pPr>
          </w:p>
        </w:tc>
      </w:tr>
      <w:tr w14:paraId="6F431B9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E9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03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1CA2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400×250(带过滤网，调节阀，可开式）</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5A1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03A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1DB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4D5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D114A">
            <w:pPr>
              <w:jc w:val="center"/>
              <w:rPr>
                <w:rFonts w:hint="eastAsia" w:ascii="宋体" w:hAnsi="宋体" w:eastAsia="宋体" w:cs="宋体"/>
                <w:i w:val="0"/>
                <w:iCs w:val="0"/>
                <w:color w:val="auto"/>
                <w:sz w:val="22"/>
                <w:szCs w:val="22"/>
                <w:highlight w:val="none"/>
                <w:u w:val="none"/>
              </w:rPr>
            </w:pPr>
          </w:p>
        </w:tc>
      </w:tr>
      <w:tr w14:paraId="52391EBD">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57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157D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C85F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400×320(带过滤网，调节阀，可开式）</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EA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1C8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F84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3F0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36A5C">
            <w:pPr>
              <w:jc w:val="center"/>
              <w:rPr>
                <w:rFonts w:hint="eastAsia" w:ascii="宋体" w:hAnsi="宋体" w:eastAsia="宋体" w:cs="宋体"/>
                <w:i w:val="0"/>
                <w:iCs w:val="0"/>
                <w:color w:val="auto"/>
                <w:sz w:val="22"/>
                <w:szCs w:val="22"/>
                <w:highlight w:val="none"/>
                <w:u w:val="none"/>
              </w:rPr>
            </w:pPr>
          </w:p>
        </w:tc>
      </w:tr>
      <w:tr w14:paraId="446EC4CB">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60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3BDF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A26F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500×320(带过滤网，调节阀，可开式）</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F0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C0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4AA1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5FA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E749F">
            <w:pPr>
              <w:jc w:val="center"/>
              <w:rPr>
                <w:rFonts w:hint="eastAsia" w:ascii="宋体" w:hAnsi="宋体" w:eastAsia="宋体" w:cs="宋体"/>
                <w:i w:val="0"/>
                <w:iCs w:val="0"/>
                <w:color w:val="auto"/>
                <w:sz w:val="22"/>
                <w:szCs w:val="22"/>
                <w:highlight w:val="none"/>
                <w:u w:val="none"/>
              </w:rPr>
            </w:pPr>
          </w:p>
        </w:tc>
      </w:tr>
      <w:tr w14:paraId="796097B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566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053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防雨百叶风口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065E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1200×630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175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B09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F86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F26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DCEC">
            <w:pPr>
              <w:jc w:val="center"/>
              <w:rPr>
                <w:rFonts w:hint="eastAsia" w:ascii="宋体" w:hAnsi="宋体" w:eastAsia="宋体" w:cs="宋体"/>
                <w:i w:val="0"/>
                <w:iCs w:val="0"/>
                <w:color w:val="auto"/>
                <w:sz w:val="22"/>
                <w:szCs w:val="22"/>
                <w:highlight w:val="none"/>
                <w:u w:val="none"/>
              </w:rPr>
            </w:pPr>
          </w:p>
        </w:tc>
      </w:tr>
      <w:tr w14:paraId="39001ADD">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FEC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EFA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电动密闭阀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043D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400×250，电压24v，含执行器</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13E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F5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CE569">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92E2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5AD49">
            <w:pPr>
              <w:jc w:val="center"/>
              <w:rPr>
                <w:rFonts w:hint="eastAsia" w:ascii="宋体" w:hAnsi="宋体" w:eastAsia="宋体" w:cs="宋体"/>
                <w:i w:val="0"/>
                <w:iCs w:val="0"/>
                <w:color w:val="auto"/>
                <w:sz w:val="22"/>
                <w:szCs w:val="22"/>
                <w:highlight w:val="none"/>
                <w:u w:val="none"/>
              </w:rPr>
            </w:pPr>
          </w:p>
        </w:tc>
      </w:tr>
      <w:tr w14:paraId="5682B1BD">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2A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2A52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电动密闭阀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E58D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1000×400，电压24v，含执行器</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40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73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DD8B">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1277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12D28">
            <w:pPr>
              <w:jc w:val="center"/>
              <w:rPr>
                <w:rFonts w:hint="eastAsia" w:ascii="宋体" w:hAnsi="宋体" w:eastAsia="宋体" w:cs="宋体"/>
                <w:i w:val="0"/>
                <w:iCs w:val="0"/>
                <w:color w:val="auto"/>
                <w:sz w:val="22"/>
                <w:szCs w:val="22"/>
                <w:highlight w:val="none"/>
                <w:u w:val="none"/>
              </w:rPr>
            </w:pPr>
          </w:p>
        </w:tc>
      </w:tr>
      <w:tr w14:paraId="0018EF84">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FDD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E0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防火阀（70℃）</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E902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500×320，70℃熔断，矩形钢制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622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BF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32AF9">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C03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51CF">
            <w:pPr>
              <w:jc w:val="center"/>
              <w:rPr>
                <w:rFonts w:hint="eastAsia" w:ascii="宋体" w:hAnsi="宋体" w:eastAsia="宋体" w:cs="宋体"/>
                <w:i w:val="0"/>
                <w:iCs w:val="0"/>
                <w:color w:val="auto"/>
                <w:sz w:val="22"/>
                <w:szCs w:val="22"/>
                <w:highlight w:val="none"/>
                <w:u w:val="none"/>
              </w:rPr>
            </w:pPr>
          </w:p>
        </w:tc>
      </w:tr>
      <w:tr w14:paraId="1906E9CF">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98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851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88D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200×200，矩形钢制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49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5AA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18.00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A98B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060E">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BA12">
            <w:pPr>
              <w:jc w:val="center"/>
              <w:rPr>
                <w:rFonts w:hint="eastAsia" w:ascii="宋体" w:hAnsi="宋体" w:eastAsia="宋体" w:cs="宋体"/>
                <w:i w:val="0"/>
                <w:iCs w:val="0"/>
                <w:color w:val="auto"/>
                <w:sz w:val="22"/>
                <w:szCs w:val="22"/>
                <w:highlight w:val="none"/>
                <w:u w:val="none"/>
              </w:rPr>
            </w:pPr>
          </w:p>
        </w:tc>
      </w:tr>
      <w:tr w14:paraId="6B9D29D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955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0D2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5E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250×200，矩形钢制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12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AB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CDC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43F0">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43E1">
            <w:pPr>
              <w:jc w:val="center"/>
              <w:rPr>
                <w:rFonts w:hint="eastAsia" w:ascii="宋体" w:hAnsi="宋体" w:eastAsia="宋体" w:cs="宋体"/>
                <w:i w:val="0"/>
                <w:iCs w:val="0"/>
                <w:color w:val="auto"/>
                <w:sz w:val="22"/>
                <w:szCs w:val="22"/>
                <w:highlight w:val="none"/>
                <w:u w:val="none"/>
              </w:rPr>
            </w:pPr>
          </w:p>
        </w:tc>
      </w:tr>
      <w:tr w14:paraId="2630F5F3">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435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8123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BFB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320×200，矩形钢制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654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6B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440D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1C0C7">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FABDE">
            <w:pPr>
              <w:jc w:val="center"/>
              <w:rPr>
                <w:rFonts w:hint="eastAsia" w:ascii="宋体" w:hAnsi="宋体" w:eastAsia="宋体" w:cs="宋体"/>
                <w:i w:val="0"/>
                <w:iCs w:val="0"/>
                <w:color w:val="auto"/>
                <w:sz w:val="22"/>
                <w:szCs w:val="22"/>
                <w:highlight w:val="none"/>
                <w:u w:val="none"/>
              </w:rPr>
            </w:pPr>
          </w:p>
        </w:tc>
      </w:tr>
      <w:tr w14:paraId="1D3FB311">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E0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331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8A6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320×250，矩形钢制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77C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868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FF2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0774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B41FB">
            <w:pPr>
              <w:jc w:val="center"/>
              <w:rPr>
                <w:rFonts w:hint="eastAsia" w:ascii="宋体" w:hAnsi="宋体" w:eastAsia="宋体" w:cs="宋体"/>
                <w:i w:val="0"/>
                <w:iCs w:val="0"/>
                <w:color w:val="auto"/>
                <w:sz w:val="22"/>
                <w:szCs w:val="22"/>
                <w:highlight w:val="none"/>
                <w:u w:val="none"/>
              </w:rPr>
            </w:pPr>
          </w:p>
        </w:tc>
      </w:tr>
      <w:tr w14:paraId="2B3CAE61">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98F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1D2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50C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400×200，矩形钢制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21F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EFF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7CE25">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5282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D109">
            <w:pPr>
              <w:jc w:val="center"/>
              <w:rPr>
                <w:rFonts w:hint="eastAsia" w:ascii="宋体" w:hAnsi="宋体" w:eastAsia="宋体" w:cs="宋体"/>
                <w:i w:val="0"/>
                <w:iCs w:val="0"/>
                <w:color w:val="auto"/>
                <w:sz w:val="22"/>
                <w:szCs w:val="22"/>
                <w:highlight w:val="none"/>
                <w:u w:val="none"/>
              </w:rPr>
            </w:pPr>
          </w:p>
        </w:tc>
      </w:tr>
      <w:tr w14:paraId="76EC3D2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8EB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5DB5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0E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400×250，矩形钢制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263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767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02BF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14A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7986">
            <w:pPr>
              <w:jc w:val="center"/>
              <w:rPr>
                <w:rFonts w:hint="eastAsia" w:ascii="宋体" w:hAnsi="宋体" w:eastAsia="宋体" w:cs="宋体"/>
                <w:i w:val="0"/>
                <w:iCs w:val="0"/>
                <w:color w:val="auto"/>
                <w:sz w:val="22"/>
                <w:szCs w:val="22"/>
                <w:highlight w:val="none"/>
                <w:u w:val="none"/>
              </w:rPr>
            </w:pPr>
          </w:p>
        </w:tc>
      </w:tr>
      <w:tr w14:paraId="54F166D6">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24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0E2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319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1000×400，矩形钢制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89C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51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8BC4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68F3E">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7CA1">
            <w:pPr>
              <w:jc w:val="center"/>
              <w:rPr>
                <w:rFonts w:hint="eastAsia" w:ascii="宋体" w:hAnsi="宋体" w:eastAsia="宋体" w:cs="宋体"/>
                <w:i w:val="0"/>
                <w:iCs w:val="0"/>
                <w:color w:val="auto"/>
                <w:sz w:val="22"/>
                <w:szCs w:val="22"/>
                <w:highlight w:val="none"/>
                <w:u w:val="none"/>
              </w:rPr>
            </w:pPr>
          </w:p>
        </w:tc>
      </w:tr>
      <w:tr w14:paraId="1C90E480">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86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A70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微孔消声器</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E8C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1000×400×1000,微孔板直径1.0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69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94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B462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F9BF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3215">
            <w:pPr>
              <w:jc w:val="center"/>
              <w:rPr>
                <w:rFonts w:hint="eastAsia" w:ascii="宋体" w:hAnsi="宋体" w:eastAsia="宋体" w:cs="宋体"/>
                <w:i w:val="0"/>
                <w:iCs w:val="0"/>
                <w:color w:val="auto"/>
                <w:sz w:val="22"/>
                <w:szCs w:val="22"/>
                <w:highlight w:val="none"/>
                <w:u w:val="none"/>
              </w:rPr>
            </w:pPr>
          </w:p>
        </w:tc>
      </w:tr>
      <w:tr w14:paraId="14A18191">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F3E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482B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静压箱</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BE3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厚度=1.0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782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C7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5C6F5">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437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9D82">
            <w:pPr>
              <w:jc w:val="center"/>
              <w:rPr>
                <w:rFonts w:hint="eastAsia" w:ascii="宋体" w:hAnsi="宋体" w:eastAsia="宋体" w:cs="宋体"/>
                <w:i w:val="0"/>
                <w:iCs w:val="0"/>
                <w:color w:val="auto"/>
                <w:sz w:val="22"/>
                <w:szCs w:val="22"/>
                <w:highlight w:val="none"/>
                <w:u w:val="none"/>
              </w:rPr>
            </w:pPr>
          </w:p>
        </w:tc>
      </w:tr>
      <w:tr w14:paraId="4FBA2E35">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484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A87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镀锌铁皮</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A5E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09B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815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47.50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3A6F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ED0D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76F4">
            <w:pPr>
              <w:jc w:val="center"/>
              <w:rPr>
                <w:rFonts w:hint="eastAsia" w:ascii="宋体" w:hAnsi="宋体" w:eastAsia="宋体" w:cs="宋体"/>
                <w:i w:val="0"/>
                <w:iCs w:val="0"/>
                <w:color w:val="auto"/>
                <w:sz w:val="22"/>
                <w:szCs w:val="22"/>
                <w:highlight w:val="none"/>
                <w:u w:val="none"/>
              </w:rPr>
            </w:pPr>
          </w:p>
        </w:tc>
      </w:tr>
      <w:tr w14:paraId="78E1017E">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D6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DA5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镀锌铁皮</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F5E3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d=0.75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A6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9C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4840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9A9A0">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0E795">
            <w:pPr>
              <w:jc w:val="center"/>
              <w:rPr>
                <w:rFonts w:hint="eastAsia" w:ascii="宋体" w:hAnsi="宋体" w:eastAsia="宋体" w:cs="宋体"/>
                <w:i w:val="0"/>
                <w:iCs w:val="0"/>
                <w:color w:val="auto"/>
                <w:sz w:val="22"/>
                <w:szCs w:val="22"/>
                <w:highlight w:val="none"/>
                <w:u w:val="none"/>
              </w:rPr>
            </w:pPr>
          </w:p>
        </w:tc>
      </w:tr>
      <w:tr w14:paraId="0A9DAE09">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1A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ED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镀锌铁皮</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C308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d=0.6</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BF6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628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332.50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04D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D75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B9D2">
            <w:pPr>
              <w:jc w:val="center"/>
              <w:rPr>
                <w:rFonts w:hint="eastAsia" w:ascii="宋体" w:hAnsi="宋体" w:eastAsia="宋体" w:cs="宋体"/>
                <w:i w:val="0"/>
                <w:iCs w:val="0"/>
                <w:color w:val="auto"/>
                <w:sz w:val="22"/>
                <w:szCs w:val="22"/>
                <w:highlight w:val="none"/>
                <w:u w:val="none"/>
              </w:rPr>
            </w:pPr>
          </w:p>
        </w:tc>
      </w:tr>
      <w:tr w14:paraId="69D370F7">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79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444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软接口</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75AA">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60F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9C9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E989">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0BCA">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336C">
            <w:pPr>
              <w:jc w:val="center"/>
              <w:rPr>
                <w:rFonts w:hint="eastAsia" w:ascii="宋体" w:hAnsi="宋体" w:eastAsia="宋体" w:cs="宋体"/>
                <w:i w:val="0"/>
                <w:iCs w:val="0"/>
                <w:color w:val="auto"/>
                <w:sz w:val="22"/>
                <w:szCs w:val="22"/>
                <w:highlight w:val="none"/>
                <w:u w:val="none"/>
              </w:rPr>
            </w:pPr>
          </w:p>
        </w:tc>
      </w:tr>
      <w:tr w14:paraId="6F4ADF97">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A7B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2F5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法兰型钢</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F928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材质：Q235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9F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吨</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D5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1.43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E13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5A0D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08AD9">
            <w:pPr>
              <w:jc w:val="center"/>
              <w:rPr>
                <w:rFonts w:hint="eastAsia" w:ascii="宋体" w:hAnsi="宋体" w:eastAsia="宋体" w:cs="宋体"/>
                <w:i w:val="0"/>
                <w:iCs w:val="0"/>
                <w:color w:val="auto"/>
                <w:sz w:val="22"/>
                <w:szCs w:val="22"/>
                <w:highlight w:val="none"/>
                <w:u w:val="none"/>
              </w:rPr>
            </w:pPr>
          </w:p>
        </w:tc>
      </w:tr>
      <w:tr w14:paraId="310D4837">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CA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C0EF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吊杆吊件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88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φ10、φ8（含膨胀螺栓、花兰）</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FBB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5A2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280.00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D5B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A12C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99F3">
            <w:pPr>
              <w:jc w:val="center"/>
              <w:rPr>
                <w:rFonts w:hint="eastAsia" w:ascii="宋体" w:hAnsi="宋体" w:eastAsia="宋体" w:cs="宋体"/>
                <w:i w:val="0"/>
                <w:iCs w:val="0"/>
                <w:color w:val="auto"/>
                <w:sz w:val="22"/>
                <w:szCs w:val="22"/>
                <w:highlight w:val="none"/>
                <w:u w:val="none"/>
              </w:rPr>
            </w:pPr>
          </w:p>
        </w:tc>
      </w:tr>
      <w:tr w14:paraId="40496A90">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B80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F0A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五金件及密封</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0C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螺栓、铆钉、扎线</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218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13D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A94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ED4C">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8BE4B">
            <w:pPr>
              <w:jc w:val="center"/>
              <w:rPr>
                <w:rFonts w:hint="eastAsia" w:ascii="宋体" w:hAnsi="宋体" w:eastAsia="宋体" w:cs="宋体"/>
                <w:i w:val="0"/>
                <w:iCs w:val="0"/>
                <w:color w:val="auto"/>
                <w:sz w:val="22"/>
                <w:szCs w:val="22"/>
                <w:highlight w:val="none"/>
                <w:u w:val="none"/>
              </w:rPr>
            </w:pPr>
          </w:p>
        </w:tc>
      </w:tr>
      <w:tr w14:paraId="21CAE4D3">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613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465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风管保温</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17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δ=20 mm,B1级</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65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9E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EED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3230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5494">
            <w:pPr>
              <w:jc w:val="center"/>
              <w:rPr>
                <w:rFonts w:hint="eastAsia" w:ascii="宋体" w:hAnsi="宋体" w:eastAsia="宋体" w:cs="宋体"/>
                <w:i w:val="0"/>
                <w:iCs w:val="0"/>
                <w:color w:val="auto"/>
                <w:sz w:val="22"/>
                <w:szCs w:val="22"/>
                <w:highlight w:val="none"/>
                <w:u w:val="none"/>
              </w:rPr>
            </w:pPr>
          </w:p>
        </w:tc>
      </w:tr>
      <w:tr w14:paraId="68ACCB7B">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67F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A094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保温用胶水</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8B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10Kg/桶</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B91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677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9DD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8F12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DE7C">
            <w:pPr>
              <w:jc w:val="center"/>
              <w:rPr>
                <w:rFonts w:hint="eastAsia" w:ascii="宋体" w:hAnsi="宋体" w:eastAsia="宋体" w:cs="宋体"/>
                <w:i w:val="0"/>
                <w:iCs w:val="0"/>
                <w:color w:val="auto"/>
                <w:sz w:val="22"/>
                <w:szCs w:val="22"/>
                <w:highlight w:val="none"/>
                <w:u w:val="none"/>
              </w:rPr>
            </w:pPr>
          </w:p>
        </w:tc>
      </w:tr>
      <w:tr w14:paraId="4D87C4E2">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A08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429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87CEC">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9EE6">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0399">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09245">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C31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7C434">
            <w:pPr>
              <w:jc w:val="center"/>
              <w:rPr>
                <w:rFonts w:hint="eastAsia" w:ascii="宋体" w:hAnsi="宋体" w:eastAsia="宋体" w:cs="宋体"/>
                <w:i w:val="0"/>
                <w:iCs w:val="0"/>
                <w:color w:val="auto"/>
                <w:sz w:val="22"/>
                <w:szCs w:val="22"/>
                <w:highlight w:val="none"/>
                <w:u w:val="none"/>
              </w:rPr>
            </w:pPr>
          </w:p>
        </w:tc>
      </w:tr>
      <w:tr w14:paraId="6024E2F6">
        <w:trPr>
          <w:trHeight w:val="42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0FDA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1268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22A2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电气部分</w:t>
            </w:r>
          </w:p>
        </w:tc>
      </w:tr>
      <w:tr w14:paraId="053FB225">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827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937C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LED净化专用洁净灯</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D93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900*300,36W</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45B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5B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9CBE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0DD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2D955">
            <w:pPr>
              <w:jc w:val="center"/>
              <w:rPr>
                <w:rFonts w:hint="eastAsia" w:ascii="宋体" w:hAnsi="宋体" w:eastAsia="宋体" w:cs="宋体"/>
                <w:i w:val="0"/>
                <w:iCs w:val="0"/>
                <w:color w:val="auto"/>
                <w:sz w:val="22"/>
                <w:szCs w:val="22"/>
                <w:highlight w:val="none"/>
                <w:u w:val="none"/>
              </w:rPr>
            </w:pPr>
          </w:p>
        </w:tc>
      </w:tr>
      <w:tr w14:paraId="46D5EA2D">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A4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FCAF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LED净化专用洁净灯</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625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1200*300,48W</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6E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FE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C86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CB34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FC08">
            <w:pPr>
              <w:jc w:val="center"/>
              <w:rPr>
                <w:rFonts w:hint="eastAsia" w:ascii="宋体" w:hAnsi="宋体" w:eastAsia="宋体" w:cs="宋体"/>
                <w:i w:val="0"/>
                <w:iCs w:val="0"/>
                <w:color w:val="auto"/>
                <w:sz w:val="22"/>
                <w:szCs w:val="22"/>
                <w:highlight w:val="none"/>
                <w:u w:val="none"/>
              </w:rPr>
            </w:pPr>
          </w:p>
        </w:tc>
      </w:tr>
      <w:tr w14:paraId="67EFF1AA">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6D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0CD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应急电源装置</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7B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r>
              <w:rPr>
                <w:rStyle w:val="474"/>
                <w:rFonts w:hint="eastAsia" w:ascii="宋体" w:hAnsi="宋体" w:eastAsia="宋体" w:cs="宋体"/>
                <w:color w:val="auto"/>
                <w:highlight w:val="none"/>
                <w:lang w:val="en-US" w:eastAsia="zh-CN" w:bidi="ar"/>
              </w:rPr>
              <w:t>0V/3.7V，应急90min</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41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C93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85B1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E659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B8F3">
            <w:pPr>
              <w:jc w:val="center"/>
              <w:rPr>
                <w:rFonts w:hint="eastAsia" w:ascii="宋体" w:hAnsi="宋体" w:eastAsia="宋体" w:cs="宋体"/>
                <w:i w:val="0"/>
                <w:iCs w:val="0"/>
                <w:color w:val="auto"/>
                <w:sz w:val="22"/>
                <w:szCs w:val="22"/>
                <w:highlight w:val="none"/>
                <w:u w:val="none"/>
              </w:rPr>
            </w:pPr>
          </w:p>
        </w:tc>
      </w:tr>
      <w:tr w14:paraId="0DAC68E3">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43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2B7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安全出口灯</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CBA5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暗装</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6B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C9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491A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120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FE35">
            <w:pPr>
              <w:jc w:val="center"/>
              <w:rPr>
                <w:rFonts w:hint="eastAsia" w:ascii="宋体" w:hAnsi="宋体" w:eastAsia="宋体" w:cs="宋体"/>
                <w:i w:val="0"/>
                <w:iCs w:val="0"/>
                <w:color w:val="auto"/>
                <w:sz w:val="22"/>
                <w:szCs w:val="22"/>
                <w:highlight w:val="none"/>
                <w:u w:val="none"/>
              </w:rPr>
            </w:pPr>
          </w:p>
        </w:tc>
      </w:tr>
      <w:tr w14:paraId="17A69C88">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EA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9F35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单向疏散指示灯</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562F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暗装</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2F8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D9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CB3A">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711CC">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44BBD">
            <w:pPr>
              <w:jc w:val="center"/>
              <w:rPr>
                <w:rFonts w:hint="eastAsia" w:ascii="宋体" w:hAnsi="宋体" w:eastAsia="宋体" w:cs="宋体"/>
                <w:i w:val="0"/>
                <w:iCs w:val="0"/>
                <w:color w:val="auto"/>
                <w:sz w:val="22"/>
                <w:szCs w:val="22"/>
                <w:highlight w:val="none"/>
                <w:u w:val="none"/>
              </w:rPr>
            </w:pPr>
          </w:p>
        </w:tc>
      </w:tr>
      <w:tr w14:paraId="6CE74B6D">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3A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97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紫外线灭菌灯</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BC5A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A3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7D9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85DB">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F73A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AC316">
            <w:pPr>
              <w:jc w:val="center"/>
              <w:rPr>
                <w:rFonts w:hint="eastAsia" w:ascii="宋体" w:hAnsi="宋体" w:eastAsia="宋体" w:cs="宋体"/>
                <w:i w:val="0"/>
                <w:iCs w:val="0"/>
                <w:color w:val="auto"/>
                <w:sz w:val="22"/>
                <w:szCs w:val="22"/>
                <w:highlight w:val="none"/>
                <w:u w:val="none"/>
              </w:rPr>
            </w:pPr>
          </w:p>
        </w:tc>
      </w:tr>
      <w:tr w14:paraId="7E22C0E7">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01C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C8A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F91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BV-2.5mm</w:t>
            </w:r>
            <w:r>
              <w:rPr>
                <w:rStyle w:val="475"/>
                <w:rFonts w:hint="eastAsia" w:ascii="宋体" w:hAnsi="宋体" w:eastAsia="宋体" w:cs="宋体"/>
                <w:color w:val="auto"/>
                <w:highlight w:val="none"/>
                <w:lang w:val="en-US" w:eastAsia="zh-CN" w:bidi="ar"/>
              </w:rPr>
              <w:t>2</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CD3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DA3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1300.00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29A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6F57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12AFB">
            <w:pPr>
              <w:jc w:val="center"/>
              <w:rPr>
                <w:rFonts w:hint="eastAsia" w:ascii="宋体" w:hAnsi="宋体" w:eastAsia="宋体" w:cs="宋体"/>
                <w:i w:val="0"/>
                <w:iCs w:val="0"/>
                <w:color w:val="auto"/>
                <w:sz w:val="22"/>
                <w:szCs w:val="22"/>
                <w:highlight w:val="none"/>
                <w:u w:val="none"/>
              </w:rPr>
            </w:pPr>
          </w:p>
        </w:tc>
      </w:tr>
      <w:tr w14:paraId="34AD967F">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4C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E30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D90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BV-4mm2</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B9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75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4BA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684E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5383">
            <w:pPr>
              <w:jc w:val="center"/>
              <w:rPr>
                <w:rFonts w:hint="eastAsia" w:ascii="宋体" w:hAnsi="宋体" w:eastAsia="宋体" w:cs="宋体"/>
                <w:i w:val="0"/>
                <w:iCs w:val="0"/>
                <w:color w:val="auto"/>
                <w:sz w:val="22"/>
                <w:szCs w:val="22"/>
                <w:highlight w:val="none"/>
                <w:u w:val="none"/>
              </w:rPr>
            </w:pPr>
          </w:p>
        </w:tc>
      </w:tr>
      <w:tr w14:paraId="0F324622">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84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595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63AE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BV-6mm2</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6A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52A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8A4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DF6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4037D">
            <w:pPr>
              <w:jc w:val="center"/>
              <w:rPr>
                <w:rFonts w:hint="eastAsia" w:ascii="宋体" w:hAnsi="宋体" w:eastAsia="宋体" w:cs="宋体"/>
                <w:i w:val="0"/>
                <w:iCs w:val="0"/>
                <w:color w:val="auto"/>
                <w:sz w:val="22"/>
                <w:szCs w:val="22"/>
                <w:highlight w:val="none"/>
                <w:u w:val="none"/>
              </w:rPr>
            </w:pPr>
          </w:p>
        </w:tc>
      </w:tr>
      <w:tr w14:paraId="02D4975E">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866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29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49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YJV-5×</w:t>
            </w:r>
            <w:r>
              <w:rPr>
                <w:rStyle w:val="476"/>
                <w:rFonts w:hint="eastAsia" w:ascii="宋体" w:hAnsi="宋体" w:eastAsia="宋体" w:cs="宋体"/>
                <w:color w:val="auto"/>
                <w:highlight w:val="none"/>
                <w:lang w:val="en-US" w:eastAsia="zh-CN" w:bidi="ar"/>
              </w:rPr>
              <w:t>4</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43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5A3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CB64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CF80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8496">
            <w:pPr>
              <w:jc w:val="center"/>
              <w:rPr>
                <w:rFonts w:hint="eastAsia" w:ascii="宋体" w:hAnsi="宋体" w:eastAsia="宋体" w:cs="宋体"/>
                <w:i w:val="0"/>
                <w:iCs w:val="0"/>
                <w:color w:val="auto"/>
                <w:sz w:val="22"/>
                <w:szCs w:val="22"/>
                <w:highlight w:val="none"/>
                <w:u w:val="none"/>
              </w:rPr>
            </w:pPr>
          </w:p>
        </w:tc>
      </w:tr>
      <w:tr w14:paraId="2FEA0021">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8A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C3E7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F8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YJV-5×16</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1C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25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454B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65BDA">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661B">
            <w:pPr>
              <w:jc w:val="center"/>
              <w:rPr>
                <w:rFonts w:hint="eastAsia" w:ascii="宋体" w:hAnsi="宋体" w:eastAsia="宋体" w:cs="宋体"/>
                <w:i w:val="0"/>
                <w:iCs w:val="0"/>
                <w:color w:val="auto"/>
                <w:sz w:val="22"/>
                <w:szCs w:val="22"/>
                <w:highlight w:val="none"/>
                <w:u w:val="none"/>
              </w:rPr>
            </w:pPr>
          </w:p>
        </w:tc>
      </w:tr>
      <w:tr w14:paraId="6A2D5543">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2E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1C0F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D6C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YJV-4×</w:t>
            </w:r>
            <w:r>
              <w:rPr>
                <w:rStyle w:val="476"/>
                <w:rFonts w:hint="eastAsia" w:ascii="宋体" w:hAnsi="宋体" w:eastAsia="宋体" w:cs="宋体"/>
                <w:color w:val="auto"/>
                <w:highlight w:val="none"/>
                <w:lang w:val="en-US" w:eastAsia="zh-CN" w:bidi="ar"/>
              </w:rPr>
              <w:t>35+1×16</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DCE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27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872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287A">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E65D7">
            <w:pPr>
              <w:jc w:val="center"/>
              <w:rPr>
                <w:rFonts w:hint="eastAsia" w:ascii="宋体" w:hAnsi="宋体" w:eastAsia="宋体" w:cs="宋体"/>
                <w:i w:val="0"/>
                <w:iCs w:val="0"/>
                <w:color w:val="auto"/>
                <w:sz w:val="22"/>
                <w:szCs w:val="22"/>
                <w:highlight w:val="none"/>
                <w:u w:val="none"/>
              </w:rPr>
            </w:pPr>
          </w:p>
        </w:tc>
      </w:tr>
      <w:tr w14:paraId="18172F94">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14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823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711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YJV-4×</w:t>
            </w:r>
            <w:r>
              <w:rPr>
                <w:rStyle w:val="476"/>
                <w:rFonts w:hint="eastAsia" w:ascii="宋体" w:hAnsi="宋体" w:eastAsia="宋体" w:cs="宋体"/>
                <w:color w:val="auto"/>
                <w:highlight w:val="none"/>
                <w:lang w:val="en-US" w:eastAsia="zh-CN" w:bidi="ar"/>
              </w:rPr>
              <w:t>70+1×35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45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8DF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5CE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C72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F451">
            <w:pPr>
              <w:jc w:val="center"/>
              <w:rPr>
                <w:rFonts w:hint="eastAsia" w:ascii="宋体" w:hAnsi="宋体" w:eastAsia="宋体" w:cs="宋体"/>
                <w:i w:val="0"/>
                <w:iCs w:val="0"/>
                <w:color w:val="auto"/>
                <w:sz w:val="22"/>
                <w:szCs w:val="22"/>
                <w:highlight w:val="none"/>
                <w:u w:val="none"/>
              </w:rPr>
            </w:pPr>
          </w:p>
        </w:tc>
      </w:tr>
      <w:tr w14:paraId="5C821B1C">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79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38A7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开关</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C09A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86系列，单开单控</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97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49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AB28C">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E95A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4A1AB">
            <w:pPr>
              <w:jc w:val="center"/>
              <w:rPr>
                <w:rFonts w:hint="eastAsia" w:ascii="宋体" w:hAnsi="宋体" w:eastAsia="宋体" w:cs="宋体"/>
                <w:i w:val="0"/>
                <w:iCs w:val="0"/>
                <w:color w:val="auto"/>
                <w:sz w:val="22"/>
                <w:szCs w:val="22"/>
                <w:highlight w:val="none"/>
                <w:u w:val="none"/>
              </w:rPr>
            </w:pPr>
          </w:p>
        </w:tc>
      </w:tr>
      <w:tr w14:paraId="128BBDFF">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DF2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AC9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开关</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AB85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86系列，双开单控</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9B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A8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985E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663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D8F8">
            <w:pPr>
              <w:jc w:val="center"/>
              <w:rPr>
                <w:rFonts w:hint="eastAsia" w:ascii="宋体" w:hAnsi="宋体" w:eastAsia="宋体" w:cs="宋体"/>
                <w:i w:val="0"/>
                <w:iCs w:val="0"/>
                <w:color w:val="auto"/>
                <w:sz w:val="22"/>
                <w:szCs w:val="22"/>
                <w:highlight w:val="none"/>
                <w:u w:val="none"/>
              </w:rPr>
            </w:pPr>
          </w:p>
        </w:tc>
      </w:tr>
      <w:tr w14:paraId="6AD76E6D">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0E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48F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定时开关</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79EB">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FE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2AC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7228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3E5EA">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1BF83">
            <w:pPr>
              <w:jc w:val="center"/>
              <w:rPr>
                <w:rFonts w:hint="eastAsia" w:ascii="宋体" w:hAnsi="宋体" w:eastAsia="宋体" w:cs="宋体"/>
                <w:i w:val="0"/>
                <w:iCs w:val="0"/>
                <w:color w:val="auto"/>
                <w:sz w:val="22"/>
                <w:szCs w:val="22"/>
                <w:highlight w:val="none"/>
                <w:u w:val="none"/>
              </w:rPr>
            </w:pPr>
          </w:p>
        </w:tc>
      </w:tr>
      <w:tr w14:paraId="36494CE9">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52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BFE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单相插座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19F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86系列、五孔</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CF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C5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0D57">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334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7F14">
            <w:pPr>
              <w:jc w:val="center"/>
              <w:rPr>
                <w:rFonts w:hint="eastAsia" w:ascii="宋体" w:hAnsi="宋体" w:eastAsia="宋体" w:cs="宋体"/>
                <w:i w:val="0"/>
                <w:iCs w:val="0"/>
                <w:color w:val="auto"/>
                <w:sz w:val="22"/>
                <w:szCs w:val="22"/>
                <w:highlight w:val="none"/>
                <w:u w:val="none"/>
              </w:rPr>
            </w:pPr>
          </w:p>
        </w:tc>
      </w:tr>
      <w:tr w14:paraId="2F267F48">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3A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9D0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网络插座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6D0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C6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EB4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694D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A359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ABA1">
            <w:pPr>
              <w:jc w:val="center"/>
              <w:rPr>
                <w:rFonts w:hint="eastAsia" w:ascii="宋体" w:hAnsi="宋体" w:eastAsia="宋体" w:cs="宋体"/>
                <w:i w:val="0"/>
                <w:iCs w:val="0"/>
                <w:color w:val="auto"/>
                <w:sz w:val="22"/>
                <w:szCs w:val="22"/>
                <w:highlight w:val="none"/>
                <w:u w:val="none"/>
              </w:rPr>
            </w:pPr>
          </w:p>
        </w:tc>
      </w:tr>
      <w:tr w14:paraId="0E710C7C">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4E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452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终端控制箱</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9DB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实验室内大型仪器配置</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53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E9A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3B93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2E1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CF83E">
            <w:pPr>
              <w:jc w:val="center"/>
              <w:rPr>
                <w:rFonts w:hint="eastAsia" w:ascii="宋体" w:hAnsi="宋体" w:eastAsia="宋体" w:cs="宋体"/>
                <w:i w:val="0"/>
                <w:iCs w:val="0"/>
                <w:color w:val="auto"/>
                <w:sz w:val="22"/>
                <w:szCs w:val="22"/>
                <w:highlight w:val="none"/>
                <w:u w:val="none"/>
              </w:rPr>
            </w:pPr>
          </w:p>
        </w:tc>
      </w:tr>
      <w:tr w14:paraId="6324B439">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0E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ABD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控制配电箱</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5E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满足实验室配置要求，含断路器、电流互感器等</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89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01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2F8C">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95B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D63D">
            <w:pPr>
              <w:jc w:val="center"/>
              <w:rPr>
                <w:rFonts w:hint="eastAsia" w:ascii="宋体" w:hAnsi="宋体" w:eastAsia="宋体" w:cs="宋体"/>
                <w:i w:val="0"/>
                <w:iCs w:val="0"/>
                <w:color w:val="auto"/>
                <w:sz w:val="22"/>
                <w:szCs w:val="22"/>
                <w:highlight w:val="none"/>
                <w:u w:val="none"/>
              </w:rPr>
            </w:pPr>
          </w:p>
        </w:tc>
      </w:tr>
      <w:tr w14:paraId="68CD1D39">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DB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E9FE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空调插座箱</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E3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满足实验室配置要求</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9C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7A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C3BA">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5EAF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098F8">
            <w:pPr>
              <w:jc w:val="center"/>
              <w:rPr>
                <w:rFonts w:hint="eastAsia" w:ascii="宋体" w:hAnsi="宋体" w:eastAsia="宋体" w:cs="宋体"/>
                <w:i w:val="0"/>
                <w:iCs w:val="0"/>
                <w:color w:val="auto"/>
                <w:sz w:val="22"/>
                <w:szCs w:val="22"/>
                <w:highlight w:val="none"/>
                <w:u w:val="none"/>
              </w:rPr>
            </w:pPr>
          </w:p>
        </w:tc>
      </w:tr>
      <w:tr w14:paraId="31A0F01A">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2B3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36F8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照明插座箱</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FDB4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满足实验室配置要求</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7E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6A8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6A51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F20B1">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F70E">
            <w:pPr>
              <w:jc w:val="center"/>
              <w:rPr>
                <w:rFonts w:hint="eastAsia" w:ascii="宋体" w:hAnsi="宋体" w:eastAsia="宋体" w:cs="宋体"/>
                <w:i w:val="0"/>
                <w:iCs w:val="0"/>
                <w:color w:val="auto"/>
                <w:sz w:val="22"/>
                <w:szCs w:val="22"/>
                <w:highlight w:val="none"/>
                <w:u w:val="none"/>
              </w:rPr>
            </w:pPr>
          </w:p>
        </w:tc>
      </w:tr>
      <w:tr w14:paraId="6ED10BD3">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FC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1A2B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控制屏蔽电缆</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995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RVVP-2*1.0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51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47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8717">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5156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EBA7D">
            <w:pPr>
              <w:jc w:val="center"/>
              <w:rPr>
                <w:rFonts w:hint="eastAsia" w:ascii="宋体" w:hAnsi="宋体" w:eastAsia="宋体" w:cs="宋体"/>
                <w:i w:val="0"/>
                <w:iCs w:val="0"/>
                <w:color w:val="auto"/>
                <w:sz w:val="22"/>
                <w:szCs w:val="22"/>
                <w:highlight w:val="none"/>
                <w:u w:val="none"/>
              </w:rPr>
            </w:pPr>
          </w:p>
        </w:tc>
      </w:tr>
      <w:tr w14:paraId="60B215F0">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EE0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45B2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控制屏蔽电缆</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3C15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RVVP-3*1.0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D4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3F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D14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278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F6756">
            <w:pPr>
              <w:jc w:val="center"/>
              <w:rPr>
                <w:rFonts w:hint="eastAsia" w:ascii="宋体" w:hAnsi="宋体" w:eastAsia="宋体" w:cs="宋体"/>
                <w:i w:val="0"/>
                <w:iCs w:val="0"/>
                <w:color w:val="auto"/>
                <w:sz w:val="22"/>
                <w:szCs w:val="22"/>
                <w:highlight w:val="none"/>
                <w:u w:val="none"/>
              </w:rPr>
            </w:pPr>
          </w:p>
        </w:tc>
      </w:tr>
      <w:tr w14:paraId="69B3F35A">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F07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CC55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网络线</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06C3">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40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37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5C8A">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80BA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6D26">
            <w:pPr>
              <w:jc w:val="center"/>
              <w:rPr>
                <w:rFonts w:hint="eastAsia" w:ascii="宋体" w:hAnsi="宋体" w:eastAsia="宋体" w:cs="宋体"/>
                <w:i w:val="0"/>
                <w:iCs w:val="0"/>
                <w:color w:val="auto"/>
                <w:sz w:val="22"/>
                <w:szCs w:val="22"/>
                <w:highlight w:val="none"/>
                <w:u w:val="none"/>
              </w:rPr>
            </w:pPr>
          </w:p>
        </w:tc>
      </w:tr>
      <w:tr w14:paraId="29233684">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88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9C83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槽式桥架</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584E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200*100*1.0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FFA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C92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F75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C2E4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4AEE">
            <w:pPr>
              <w:jc w:val="center"/>
              <w:rPr>
                <w:rFonts w:hint="eastAsia" w:ascii="宋体" w:hAnsi="宋体" w:eastAsia="宋体" w:cs="宋体"/>
                <w:i w:val="0"/>
                <w:iCs w:val="0"/>
                <w:color w:val="auto"/>
                <w:sz w:val="22"/>
                <w:szCs w:val="22"/>
                <w:highlight w:val="none"/>
                <w:u w:val="none"/>
              </w:rPr>
            </w:pPr>
          </w:p>
        </w:tc>
      </w:tr>
      <w:tr w14:paraId="08F5DF63">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D6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C23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阻燃PVC管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E73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Φ25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E7C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618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18C0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4F9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E953">
            <w:pPr>
              <w:jc w:val="center"/>
              <w:rPr>
                <w:rFonts w:hint="eastAsia" w:ascii="宋体" w:hAnsi="宋体" w:eastAsia="宋体" w:cs="宋体"/>
                <w:i w:val="0"/>
                <w:iCs w:val="0"/>
                <w:color w:val="auto"/>
                <w:sz w:val="22"/>
                <w:szCs w:val="22"/>
                <w:highlight w:val="none"/>
                <w:u w:val="none"/>
              </w:rPr>
            </w:pPr>
          </w:p>
        </w:tc>
      </w:tr>
      <w:tr w14:paraId="3DF7601F">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6D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49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阻燃PVC管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AA5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Φ20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CE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CF4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3F33E">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E78C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56F6">
            <w:pPr>
              <w:jc w:val="center"/>
              <w:rPr>
                <w:rFonts w:hint="eastAsia" w:ascii="宋体" w:hAnsi="宋体" w:eastAsia="宋体" w:cs="宋体"/>
                <w:i w:val="0"/>
                <w:iCs w:val="0"/>
                <w:color w:val="auto"/>
                <w:sz w:val="22"/>
                <w:szCs w:val="22"/>
                <w:highlight w:val="none"/>
                <w:u w:val="none"/>
              </w:rPr>
            </w:pPr>
          </w:p>
        </w:tc>
      </w:tr>
      <w:tr w14:paraId="58E08B3F">
        <w:trPr>
          <w:trHeight w:val="66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69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6E1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6F23">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1D83">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1538C">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1202">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DA4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7FA2D">
            <w:pPr>
              <w:jc w:val="center"/>
              <w:rPr>
                <w:rFonts w:hint="eastAsia" w:ascii="宋体" w:hAnsi="宋体" w:eastAsia="宋体" w:cs="宋体"/>
                <w:i w:val="0"/>
                <w:iCs w:val="0"/>
                <w:color w:val="auto"/>
                <w:sz w:val="22"/>
                <w:szCs w:val="22"/>
                <w:highlight w:val="none"/>
                <w:u w:val="none"/>
              </w:rPr>
            </w:pPr>
          </w:p>
        </w:tc>
      </w:tr>
      <w:tr w14:paraId="38EDA203">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BA0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1268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C11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给排水部分</w:t>
            </w:r>
          </w:p>
        </w:tc>
      </w:tr>
      <w:tr w14:paraId="469CF338">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99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2B9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不锈钢洗手池</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9667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304不锈钢材质，550×550×800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071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79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37B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EAFF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E700">
            <w:pPr>
              <w:jc w:val="center"/>
              <w:rPr>
                <w:rFonts w:hint="eastAsia" w:ascii="宋体" w:hAnsi="宋体" w:eastAsia="宋体" w:cs="宋体"/>
                <w:i w:val="0"/>
                <w:iCs w:val="0"/>
                <w:color w:val="auto"/>
                <w:sz w:val="22"/>
                <w:szCs w:val="22"/>
                <w:highlight w:val="none"/>
                <w:u w:val="none"/>
              </w:rPr>
            </w:pPr>
          </w:p>
        </w:tc>
      </w:tr>
      <w:tr w14:paraId="694F2F05">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003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E2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不锈钢感应龙头</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78F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220v，带托盘</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CA9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ED4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6EE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B08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2DDC">
            <w:pPr>
              <w:jc w:val="center"/>
              <w:rPr>
                <w:rFonts w:hint="eastAsia" w:ascii="宋体" w:hAnsi="宋体" w:eastAsia="宋体" w:cs="宋体"/>
                <w:i w:val="0"/>
                <w:iCs w:val="0"/>
                <w:color w:val="auto"/>
                <w:sz w:val="22"/>
                <w:szCs w:val="22"/>
                <w:highlight w:val="none"/>
                <w:u w:val="none"/>
              </w:rPr>
            </w:pPr>
          </w:p>
        </w:tc>
      </w:tr>
      <w:tr w14:paraId="36EE6CA0">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609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CB73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不锈钢拖把池</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4B1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550×500×600,304不锈钢材质，配龙头</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F35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85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4DFC">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8A529">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8FF0F">
            <w:pPr>
              <w:jc w:val="center"/>
              <w:rPr>
                <w:rFonts w:hint="eastAsia" w:ascii="宋体" w:hAnsi="宋体" w:eastAsia="宋体" w:cs="宋体"/>
                <w:i w:val="0"/>
                <w:iCs w:val="0"/>
                <w:color w:val="auto"/>
                <w:sz w:val="22"/>
                <w:szCs w:val="22"/>
                <w:highlight w:val="none"/>
                <w:u w:val="none"/>
              </w:rPr>
            </w:pPr>
          </w:p>
        </w:tc>
      </w:tr>
      <w:tr w14:paraId="6981AE8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92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D12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不锈钢洁净地漏</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707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φ75，材质不锈钢</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12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959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F2A47">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B6B0">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66B7">
            <w:pPr>
              <w:jc w:val="center"/>
              <w:rPr>
                <w:rFonts w:hint="eastAsia" w:ascii="宋体" w:hAnsi="宋体" w:eastAsia="宋体" w:cs="宋体"/>
                <w:i w:val="0"/>
                <w:iCs w:val="0"/>
                <w:color w:val="auto"/>
                <w:sz w:val="22"/>
                <w:szCs w:val="22"/>
                <w:highlight w:val="none"/>
                <w:u w:val="none"/>
              </w:rPr>
            </w:pPr>
          </w:p>
        </w:tc>
      </w:tr>
      <w:tr w14:paraId="57A8ABAB">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B7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9B4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给排水</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B26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弯头、专用胶水、直接、生丝带等</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D9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C4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790B">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474D">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9C0EF">
            <w:pPr>
              <w:jc w:val="center"/>
              <w:rPr>
                <w:rFonts w:hint="eastAsia" w:ascii="宋体" w:hAnsi="宋体" w:eastAsia="宋体" w:cs="宋体"/>
                <w:i w:val="0"/>
                <w:iCs w:val="0"/>
                <w:color w:val="auto"/>
                <w:sz w:val="22"/>
                <w:szCs w:val="22"/>
                <w:highlight w:val="none"/>
                <w:u w:val="none"/>
              </w:rPr>
            </w:pPr>
          </w:p>
        </w:tc>
      </w:tr>
      <w:tr w14:paraId="4937AAE2">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A6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4C75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PVC-U管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A23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DN110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A0C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80E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E08D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DC22">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E1332">
            <w:pPr>
              <w:jc w:val="center"/>
              <w:rPr>
                <w:rFonts w:hint="eastAsia" w:ascii="宋体" w:hAnsi="宋体" w:eastAsia="宋体" w:cs="宋体"/>
                <w:i w:val="0"/>
                <w:iCs w:val="0"/>
                <w:color w:val="auto"/>
                <w:sz w:val="22"/>
                <w:szCs w:val="22"/>
                <w:highlight w:val="none"/>
                <w:u w:val="none"/>
              </w:rPr>
            </w:pPr>
          </w:p>
        </w:tc>
      </w:tr>
      <w:tr w14:paraId="41353312">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2D4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073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PVC-U管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1C13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DN75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47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1D8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75.00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06D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47F7C">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431F">
            <w:pPr>
              <w:jc w:val="center"/>
              <w:rPr>
                <w:rFonts w:hint="eastAsia" w:ascii="宋体" w:hAnsi="宋体" w:eastAsia="宋体" w:cs="宋体"/>
                <w:i w:val="0"/>
                <w:iCs w:val="0"/>
                <w:color w:val="auto"/>
                <w:sz w:val="22"/>
                <w:szCs w:val="22"/>
                <w:highlight w:val="none"/>
                <w:u w:val="none"/>
              </w:rPr>
            </w:pPr>
          </w:p>
        </w:tc>
      </w:tr>
      <w:tr w14:paraId="6A760F8C">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E6A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000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PVC-U管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8E0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DN50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A4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3D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26E0">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97E2C">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0884">
            <w:pPr>
              <w:jc w:val="center"/>
              <w:rPr>
                <w:rFonts w:hint="eastAsia" w:ascii="宋体" w:hAnsi="宋体" w:eastAsia="宋体" w:cs="宋体"/>
                <w:i w:val="0"/>
                <w:iCs w:val="0"/>
                <w:color w:val="auto"/>
                <w:sz w:val="22"/>
                <w:szCs w:val="22"/>
                <w:highlight w:val="none"/>
                <w:u w:val="none"/>
              </w:rPr>
            </w:pPr>
          </w:p>
        </w:tc>
      </w:tr>
      <w:tr w14:paraId="09271E8D">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BB5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0EC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PPR管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C0DE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DN32</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79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9C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45AC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BC8A">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F89D2">
            <w:pPr>
              <w:jc w:val="center"/>
              <w:rPr>
                <w:rFonts w:hint="eastAsia" w:ascii="宋体" w:hAnsi="宋体" w:eastAsia="宋体" w:cs="宋体"/>
                <w:i w:val="0"/>
                <w:iCs w:val="0"/>
                <w:color w:val="auto"/>
                <w:sz w:val="22"/>
                <w:szCs w:val="22"/>
                <w:highlight w:val="none"/>
                <w:u w:val="none"/>
              </w:rPr>
            </w:pPr>
          </w:p>
        </w:tc>
      </w:tr>
      <w:tr w14:paraId="481EDEC1">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AE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68CD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PPR管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F4D4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DN25</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4F5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A4C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409D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5C26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E485E">
            <w:pPr>
              <w:jc w:val="center"/>
              <w:rPr>
                <w:rFonts w:hint="eastAsia" w:ascii="宋体" w:hAnsi="宋体" w:eastAsia="宋体" w:cs="宋体"/>
                <w:i w:val="0"/>
                <w:iCs w:val="0"/>
                <w:color w:val="auto"/>
                <w:sz w:val="22"/>
                <w:szCs w:val="22"/>
                <w:highlight w:val="none"/>
                <w:u w:val="none"/>
              </w:rPr>
            </w:pPr>
          </w:p>
        </w:tc>
      </w:tr>
      <w:tr w14:paraId="0FF1BC06">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2B1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622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PPR管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582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DN20</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91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DC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27D33">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E2E56">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76E17">
            <w:pPr>
              <w:jc w:val="center"/>
              <w:rPr>
                <w:rFonts w:hint="eastAsia" w:ascii="宋体" w:hAnsi="宋体" w:eastAsia="宋体" w:cs="宋体"/>
                <w:i w:val="0"/>
                <w:iCs w:val="0"/>
                <w:color w:val="auto"/>
                <w:sz w:val="22"/>
                <w:szCs w:val="22"/>
                <w:highlight w:val="none"/>
                <w:u w:val="none"/>
              </w:rPr>
            </w:pPr>
          </w:p>
        </w:tc>
      </w:tr>
      <w:tr w14:paraId="05450E1A">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72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5AD7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地面开槽</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18C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地面开槽预埋排水管，再恢复</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017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7A9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67C8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B4F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2FB4">
            <w:pPr>
              <w:jc w:val="center"/>
              <w:rPr>
                <w:rFonts w:hint="eastAsia" w:ascii="宋体" w:hAnsi="宋体" w:eastAsia="宋体" w:cs="宋体"/>
                <w:i w:val="0"/>
                <w:iCs w:val="0"/>
                <w:color w:val="auto"/>
                <w:sz w:val="22"/>
                <w:szCs w:val="22"/>
                <w:highlight w:val="none"/>
                <w:u w:val="none"/>
              </w:rPr>
            </w:pPr>
          </w:p>
        </w:tc>
      </w:tr>
      <w:tr w14:paraId="21EF16E9">
        <w:trPr>
          <w:trHeight w:val="574"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B6B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16D7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B42F4">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39504">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8844">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DCF3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AF3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694C6">
            <w:pPr>
              <w:jc w:val="center"/>
              <w:rPr>
                <w:rFonts w:hint="eastAsia" w:ascii="宋体" w:hAnsi="宋体" w:eastAsia="宋体" w:cs="宋体"/>
                <w:i w:val="0"/>
                <w:iCs w:val="0"/>
                <w:color w:val="auto"/>
                <w:sz w:val="22"/>
                <w:szCs w:val="22"/>
                <w:highlight w:val="none"/>
                <w:u w:val="none"/>
              </w:rPr>
            </w:pPr>
          </w:p>
        </w:tc>
      </w:tr>
      <w:tr w14:paraId="409DC56D">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BAE1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1268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3793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台柜部分</w:t>
            </w:r>
          </w:p>
        </w:tc>
      </w:tr>
      <w:tr w14:paraId="44B3BF43">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225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376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转角台</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B8D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1000×1000×800 钢木结构，默认黑色</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DB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组</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1D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9061">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98284">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D6984">
            <w:pPr>
              <w:jc w:val="center"/>
              <w:rPr>
                <w:rFonts w:hint="eastAsia" w:ascii="宋体" w:hAnsi="宋体" w:eastAsia="宋体" w:cs="宋体"/>
                <w:i w:val="0"/>
                <w:iCs w:val="0"/>
                <w:color w:val="auto"/>
                <w:sz w:val="22"/>
                <w:szCs w:val="22"/>
                <w:highlight w:val="none"/>
                <w:u w:val="none"/>
              </w:rPr>
            </w:pPr>
          </w:p>
        </w:tc>
      </w:tr>
      <w:tr w14:paraId="01F60951">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2D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CCD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水槽套装</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96A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550×450×310，PP材质，全铜三联化验水咀</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C8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B4D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59FC8">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8F14B">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236C">
            <w:pPr>
              <w:jc w:val="center"/>
              <w:rPr>
                <w:rFonts w:hint="eastAsia" w:ascii="宋体" w:hAnsi="宋体" w:eastAsia="宋体" w:cs="宋体"/>
                <w:i w:val="0"/>
                <w:iCs w:val="0"/>
                <w:color w:val="auto"/>
                <w:sz w:val="22"/>
                <w:szCs w:val="22"/>
                <w:highlight w:val="none"/>
                <w:u w:val="none"/>
              </w:rPr>
            </w:pPr>
          </w:p>
        </w:tc>
      </w:tr>
      <w:tr w14:paraId="3B9085BF">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063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5E85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单口洗眼器</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D7D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桌面抽取式</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EC9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2D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EA2B">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F22D">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0EA66">
            <w:pPr>
              <w:jc w:val="center"/>
              <w:rPr>
                <w:rFonts w:hint="eastAsia" w:ascii="宋体" w:hAnsi="宋体" w:eastAsia="宋体" w:cs="宋体"/>
                <w:i w:val="0"/>
                <w:iCs w:val="0"/>
                <w:color w:val="auto"/>
                <w:sz w:val="22"/>
                <w:szCs w:val="22"/>
                <w:highlight w:val="none"/>
                <w:u w:val="none"/>
              </w:rPr>
            </w:pPr>
          </w:p>
        </w:tc>
      </w:tr>
      <w:tr w14:paraId="65088B81">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F7F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AA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岛式插座</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CE2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双位十孔，含4平方接线</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75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9F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7813F">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F514F">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E2B0">
            <w:pPr>
              <w:jc w:val="center"/>
              <w:rPr>
                <w:rFonts w:hint="eastAsia" w:ascii="宋体" w:hAnsi="宋体" w:eastAsia="宋体" w:cs="宋体"/>
                <w:i w:val="0"/>
                <w:iCs w:val="0"/>
                <w:color w:val="auto"/>
                <w:sz w:val="22"/>
                <w:szCs w:val="22"/>
                <w:highlight w:val="none"/>
                <w:u w:val="none"/>
              </w:rPr>
            </w:pPr>
          </w:p>
        </w:tc>
      </w:tr>
      <w:tr w14:paraId="2B1D7764">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156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561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实验台</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5A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长×750×800 钢木结构，默认黑色台面，空位</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73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D1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44.00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34FFC">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06AC">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81B8F">
            <w:pPr>
              <w:jc w:val="center"/>
              <w:rPr>
                <w:rFonts w:hint="eastAsia" w:ascii="宋体" w:hAnsi="宋体" w:eastAsia="宋体" w:cs="宋体"/>
                <w:i w:val="0"/>
                <w:iCs w:val="0"/>
                <w:color w:val="auto"/>
                <w:sz w:val="22"/>
                <w:szCs w:val="22"/>
                <w:highlight w:val="none"/>
                <w:u w:val="none"/>
              </w:rPr>
            </w:pPr>
          </w:p>
        </w:tc>
      </w:tr>
      <w:tr w14:paraId="01801997">
        <w:trPr>
          <w:trHeight w:val="6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3A9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95D4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中央台</w:t>
            </w:r>
          </w:p>
        </w:tc>
        <w:tc>
          <w:tcPr>
            <w:tcW w:w="4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E4A7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长×1500×800 钢木结构，默认黑色台面，空位</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8D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C6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B0A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D3E48">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13912">
            <w:pPr>
              <w:jc w:val="center"/>
              <w:rPr>
                <w:rFonts w:hint="eastAsia" w:ascii="宋体" w:hAnsi="宋体" w:eastAsia="宋体" w:cs="宋体"/>
                <w:i w:val="0"/>
                <w:iCs w:val="0"/>
                <w:color w:val="auto"/>
                <w:sz w:val="22"/>
                <w:szCs w:val="22"/>
                <w:highlight w:val="none"/>
                <w:u w:val="none"/>
              </w:rPr>
            </w:pPr>
          </w:p>
        </w:tc>
      </w:tr>
      <w:tr w14:paraId="3968D52F">
        <w:trPr>
          <w:trHeight w:val="711"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601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4155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6213A">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B3EF">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5256A">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41C6">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1245">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2C3D">
            <w:pPr>
              <w:jc w:val="center"/>
              <w:rPr>
                <w:rFonts w:hint="eastAsia" w:ascii="宋体" w:hAnsi="宋体" w:eastAsia="宋体" w:cs="宋体"/>
                <w:i w:val="0"/>
                <w:iCs w:val="0"/>
                <w:color w:val="auto"/>
                <w:sz w:val="22"/>
                <w:szCs w:val="22"/>
                <w:highlight w:val="none"/>
                <w:u w:val="none"/>
              </w:rPr>
            </w:pPr>
          </w:p>
        </w:tc>
      </w:tr>
      <w:tr w14:paraId="15F527D2">
        <w:trPr>
          <w:trHeight w:val="711"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0B5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9321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039A">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A4FEA">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CCAD3">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4968D">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67DC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78F0F">
            <w:pPr>
              <w:jc w:val="center"/>
              <w:rPr>
                <w:rFonts w:hint="eastAsia" w:ascii="宋体" w:hAnsi="宋体" w:eastAsia="宋体" w:cs="宋体"/>
                <w:i w:val="0"/>
                <w:iCs w:val="0"/>
                <w:color w:val="auto"/>
                <w:sz w:val="22"/>
                <w:szCs w:val="22"/>
                <w:highlight w:val="none"/>
                <w:u w:val="none"/>
              </w:rPr>
            </w:pPr>
          </w:p>
        </w:tc>
      </w:tr>
      <w:tr w14:paraId="2F3B3F17">
        <w:trPr>
          <w:trHeight w:val="711"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3E8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EE6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总计报价：</w:t>
            </w:r>
          </w:p>
        </w:tc>
        <w:tc>
          <w:tcPr>
            <w:tcW w:w="4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A895">
            <w:pPr>
              <w:rPr>
                <w:rFonts w:hint="eastAsia" w:ascii="宋体" w:hAnsi="宋体" w:eastAsia="宋体" w:cs="宋体"/>
                <w:i w:val="0"/>
                <w:iCs w:val="0"/>
                <w:color w:val="auto"/>
                <w:sz w:val="22"/>
                <w:szCs w:val="22"/>
                <w:highlight w:val="none"/>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91F6">
            <w:pPr>
              <w:jc w:val="center"/>
              <w:rPr>
                <w:rFonts w:hint="eastAsia" w:ascii="宋体" w:hAnsi="宋体" w:eastAsia="宋体" w:cs="宋体"/>
                <w:i w:val="0"/>
                <w:iCs w:val="0"/>
                <w:color w:val="auto"/>
                <w:sz w:val="22"/>
                <w:szCs w:val="22"/>
                <w:highlight w:val="none"/>
                <w:u w:val="none"/>
              </w:rPr>
            </w:pP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6A69">
            <w:pPr>
              <w:jc w:val="center"/>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A934">
            <w:pPr>
              <w:jc w:val="right"/>
              <w:rPr>
                <w:rFonts w:hint="eastAsia" w:ascii="宋体" w:hAnsi="宋体" w:eastAsia="宋体" w:cs="宋体"/>
                <w:i w:val="0"/>
                <w:iCs w:val="0"/>
                <w:color w:val="auto"/>
                <w:sz w:val="22"/>
                <w:szCs w:val="22"/>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2593">
            <w:pPr>
              <w:jc w:val="right"/>
              <w:rPr>
                <w:rFonts w:hint="eastAsia" w:ascii="宋体" w:hAnsi="宋体" w:eastAsia="宋体" w:cs="宋体"/>
                <w:i w:val="0"/>
                <w:iCs w:val="0"/>
                <w:color w:val="auto"/>
                <w:sz w:val="22"/>
                <w:szCs w:val="22"/>
                <w:highlight w:val="none"/>
                <w:u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C096">
            <w:pPr>
              <w:jc w:val="center"/>
              <w:rPr>
                <w:rFonts w:hint="eastAsia" w:ascii="宋体" w:hAnsi="宋体" w:eastAsia="宋体" w:cs="宋体"/>
                <w:i w:val="0"/>
                <w:iCs w:val="0"/>
                <w:color w:val="auto"/>
                <w:sz w:val="22"/>
                <w:szCs w:val="22"/>
                <w:highlight w:val="none"/>
                <w:u w:val="none"/>
              </w:rPr>
            </w:pPr>
          </w:p>
        </w:tc>
      </w:tr>
    </w:tbl>
    <w:p w14:paraId="04FFD733">
      <w:pPr>
        <w:rPr>
          <w:rFonts w:hint="eastAsia" w:ascii="宋体" w:hAnsi="宋体" w:eastAsia="宋体" w:cs="宋体"/>
          <w:color w:val="auto"/>
          <w:szCs w:val="21"/>
          <w:highlight w:val="none"/>
        </w:rPr>
      </w:pPr>
    </w:p>
    <w:p w14:paraId="39EC26F9">
      <w:pPr>
        <w:rPr>
          <w:rFonts w:hint="eastAsia" w:ascii="宋体" w:hAnsi="宋体" w:eastAsia="宋体" w:cs="宋体"/>
          <w:color w:val="auto"/>
          <w:highlight w:val="none"/>
        </w:rPr>
      </w:pPr>
    </w:p>
    <w:p w14:paraId="28D86569">
      <w:pPr>
        <w:numPr>
          <w:ilvl w:val="0"/>
          <w:numId w:val="0"/>
        </w:numPr>
        <w:rPr>
          <w:rFonts w:hint="eastAsia" w:ascii="宋体" w:hAnsi="宋体" w:eastAsia="宋体" w:cs="宋体"/>
          <w:color w:val="auto"/>
          <w:kern w:val="0"/>
          <w:szCs w:val="21"/>
          <w:highlight w:val="none"/>
          <w:lang w:bidi="ar"/>
        </w:rPr>
      </w:pPr>
    </w:p>
    <w:p w14:paraId="3F535A24">
      <w:pPr>
        <w:numPr>
          <w:ilvl w:val="0"/>
          <w:numId w:val="0"/>
        </w:numPr>
        <w:rPr>
          <w:rFonts w:hint="eastAsia" w:ascii="宋体" w:hAnsi="宋体" w:eastAsia="宋体" w:cs="宋体"/>
          <w:color w:val="auto"/>
          <w:kern w:val="0"/>
          <w:szCs w:val="21"/>
          <w:highlight w:val="none"/>
          <w:lang w:bidi="ar"/>
        </w:rPr>
      </w:pPr>
    </w:p>
    <w:p w14:paraId="3929E200">
      <w:pPr>
        <w:numPr>
          <w:ilvl w:val="0"/>
          <w:numId w:val="0"/>
        </w:numPr>
        <w:rPr>
          <w:rFonts w:hint="eastAsia" w:ascii="宋体" w:hAnsi="宋体" w:eastAsia="宋体" w:cs="宋体"/>
          <w:color w:val="auto"/>
          <w:kern w:val="0"/>
          <w:szCs w:val="21"/>
          <w:highlight w:val="none"/>
          <w:lang w:bidi="ar"/>
        </w:rPr>
      </w:pPr>
    </w:p>
    <w:p w14:paraId="390DECB1">
      <w:pPr>
        <w:numPr>
          <w:ilvl w:val="0"/>
          <w:numId w:val="0"/>
        </w:numPr>
        <w:rPr>
          <w:rFonts w:hint="eastAsia" w:ascii="宋体" w:hAnsi="宋体" w:eastAsia="宋体" w:cs="宋体"/>
          <w:color w:val="auto"/>
          <w:kern w:val="0"/>
          <w:szCs w:val="21"/>
          <w:highlight w:val="none"/>
          <w:lang w:bidi="ar"/>
        </w:rPr>
      </w:pPr>
    </w:p>
    <w:p w14:paraId="1B84B55E">
      <w:pPr>
        <w:numPr>
          <w:ilvl w:val="0"/>
          <w:numId w:val="0"/>
        </w:numP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注：1.工程量清单中“总计（投标报价）元”必须与磋商报价一览表</w:t>
      </w:r>
      <w:r>
        <w:rPr>
          <w:rFonts w:hint="eastAsia" w:ascii="宋体" w:hAnsi="宋体" w:eastAsia="宋体" w:cs="宋体"/>
          <w:color w:val="auto"/>
          <w:kern w:val="0"/>
          <w:szCs w:val="21"/>
          <w:highlight w:val="none"/>
          <w:lang w:val="en-US" w:eastAsia="zh-CN" w:bidi="ar"/>
        </w:rPr>
        <w:t>中</w:t>
      </w:r>
      <w:r>
        <w:rPr>
          <w:rFonts w:hint="eastAsia" w:ascii="宋体" w:hAnsi="宋体" w:eastAsia="宋体" w:cs="宋体"/>
          <w:color w:val="auto"/>
          <w:kern w:val="0"/>
          <w:szCs w:val="21"/>
          <w:highlight w:val="none"/>
          <w:lang w:bidi="ar"/>
        </w:rPr>
        <w:t>“磋商总报价一致”</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表格可自行增加</w:t>
      </w:r>
      <w:r>
        <w:rPr>
          <w:rFonts w:hint="eastAsia" w:ascii="宋体" w:hAnsi="宋体" w:eastAsia="宋体" w:cs="宋体"/>
          <w:color w:val="auto"/>
          <w:kern w:val="0"/>
          <w:szCs w:val="21"/>
          <w:highlight w:val="none"/>
          <w:lang w:bidi="ar"/>
        </w:rPr>
        <w:t>。</w:t>
      </w:r>
    </w:p>
    <w:p w14:paraId="38D445C8">
      <w:pPr>
        <w:numPr>
          <w:ilvl w:val="0"/>
          <w:numId w:val="0"/>
        </w:numPr>
        <w:ind w:firstLine="420" w:firstLineChars="20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2.已标价分项报价清单必须标明拟投入设备品牌及详细设备参数。</w:t>
      </w:r>
    </w:p>
    <w:p w14:paraId="4E17E158">
      <w:pPr>
        <w:numPr>
          <w:ilvl w:val="0"/>
          <w:numId w:val="0"/>
        </w:numPr>
        <w:ind w:firstLine="420" w:firstLineChars="200"/>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3.本次采购预算（拦标价）为</w:t>
      </w:r>
      <w:r>
        <w:rPr>
          <w:rFonts w:hint="eastAsia" w:ascii="宋体" w:hAnsi="宋体" w:eastAsia="宋体" w:cs="宋体"/>
          <w:color w:val="auto"/>
          <w:kern w:val="0"/>
          <w:szCs w:val="21"/>
          <w:highlight w:val="none"/>
          <w:lang w:val="en-US" w:eastAsia="zh-CN" w:bidi="ar"/>
        </w:rPr>
        <w:t>7</w:t>
      </w:r>
      <w:r>
        <w:rPr>
          <w:rFonts w:hint="eastAsia" w:ascii="宋体" w:hAnsi="宋体" w:eastAsia="宋体" w:cs="宋体"/>
          <w:color w:val="auto"/>
          <w:kern w:val="0"/>
          <w:szCs w:val="21"/>
          <w:highlight w:val="none"/>
          <w:lang w:bidi="ar"/>
        </w:rPr>
        <w:t>00000.00元，已包括该项目所需设备费、运输费、安装、售后培训服务费、人工成本差旅费等、缺陷修复费，合同明示或暗示的风险、责任和义务等)，以及管理费、利润、税金等完成该项目所需全部费用，</w:t>
      </w:r>
      <w:r>
        <w:rPr>
          <w:rFonts w:hint="eastAsia" w:ascii="宋体" w:hAnsi="宋体" w:eastAsia="宋体" w:cs="宋体"/>
          <w:color w:val="auto"/>
          <w:kern w:val="0"/>
          <w:szCs w:val="21"/>
          <w:highlight w:val="none"/>
          <w:lang w:val="en-US" w:eastAsia="zh-CN" w:bidi="ar"/>
        </w:rPr>
        <w:t>供应商</w:t>
      </w:r>
      <w:r>
        <w:rPr>
          <w:rFonts w:hint="eastAsia" w:ascii="宋体" w:hAnsi="宋体" w:eastAsia="宋体" w:cs="宋体"/>
          <w:color w:val="auto"/>
          <w:kern w:val="0"/>
          <w:szCs w:val="21"/>
          <w:highlight w:val="none"/>
          <w:lang w:bidi="ar"/>
        </w:rPr>
        <w:t>应充分结合自身情况后报出合理报价</w:t>
      </w:r>
      <w:r>
        <w:rPr>
          <w:rFonts w:hint="eastAsia" w:ascii="宋体" w:hAnsi="宋体" w:eastAsia="宋体" w:cs="宋体"/>
          <w:color w:val="auto"/>
          <w:kern w:val="0"/>
          <w:szCs w:val="21"/>
          <w:highlight w:val="none"/>
          <w:lang w:eastAsia="zh-CN" w:bidi="ar"/>
        </w:rPr>
        <w:t>。</w:t>
      </w:r>
    </w:p>
    <w:p w14:paraId="5934465E">
      <w:pPr>
        <w:pStyle w:val="3"/>
        <w:rPr>
          <w:rFonts w:hint="eastAsia" w:ascii="宋体" w:hAnsi="宋体" w:eastAsia="宋体" w:cs="宋体"/>
          <w:color w:val="auto"/>
          <w:kern w:val="0"/>
          <w:szCs w:val="21"/>
          <w:highlight w:val="none"/>
          <w:lang w:eastAsia="zh-CN" w:bidi="ar"/>
        </w:rPr>
      </w:pPr>
    </w:p>
    <w:p w14:paraId="5FAA761C">
      <w:pPr>
        <w:rPr>
          <w:rFonts w:hint="eastAsia" w:ascii="宋体" w:hAnsi="宋体" w:eastAsia="宋体" w:cs="宋体"/>
          <w:color w:val="auto"/>
          <w:kern w:val="0"/>
          <w:szCs w:val="21"/>
          <w:highlight w:val="none"/>
          <w:lang w:eastAsia="zh-CN" w:bidi="ar"/>
        </w:rPr>
      </w:pPr>
    </w:p>
    <w:p w14:paraId="0B6753CD">
      <w:pPr>
        <w:pStyle w:val="23"/>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法定代表人或其委托代理人（签名或签章）</w:t>
      </w:r>
      <w:r>
        <w:rPr>
          <w:rFonts w:hint="eastAsia" w:ascii="宋体" w:hAnsi="宋体" w:eastAsia="宋体" w:cs="宋体"/>
          <w:b/>
          <w:color w:val="auto"/>
          <w:highlight w:val="none"/>
        </w:rPr>
        <w:t>：</w:t>
      </w:r>
    </w:p>
    <w:p w14:paraId="7A85383A">
      <w:pPr>
        <w:pStyle w:val="23"/>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加盖供应商公章</w:t>
      </w:r>
      <w:r>
        <w:rPr>
          <w:rFonts w:hint="eastAsia" w:ascii="宋体" w:hAnsi="宋体" w:eastAsia="宋体" w:cs="宋体"/>
          <w:b/>
          <w:color w:val="auto"/>
          <w:highlight w:val="none"/>
        </w:rPr>
        <w:t>）：</w:t>
      </w:r>
    </w:p>
    <w:p w14:paraId="37638495">
      <w:pPr>
        <w:tabs>
          <w:tab w:val="left" w:pos="4860"/>
        </w:tabs>
        <w:spacing w:line="360" w:lineRule="auto"/>
        <w:ind w:right="1560"/>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日 期：</w:t>
      </w:r>
    </w:p>
    <w:p w14:paraId="12A1D5BF">
      <w:pPr>
        <w:pStyle w:val="3"/>
        <w:rPr>
          <w:rFonts w:hint="eastAsia" w:ascii="宋体" w:hAnsi="宋体" w:eastAsia="宋体" w:cs="宋体"/>
          <w:color w:val="auto"/>
          <w:highlight w:val="none"/>
          <w:lang w:eastAsia="zh-CN"/>
        </w:rPr>
        <w:sectPr>
          <w:pgSz w:w="16838" w:h="11906" w:orient="landscape"/>
          <w:pgMar w:top="1418" w:right="1418" w:bottom="1417" w:left="1418" w:header="851" w:footer="904" w:gutter="0"/>
          <w:pgBorders>
            <w:top w:val="none" w:sz="0" w:space="0"/>
            <w:left w:val="none" w:sz="0" w:space="0"/>
            <w:bottom w:val="none" w:sz="0" w:space="0"/>
            <w:right w:val="none" w:sz="0" w:space="0"/>
          </w:pgBorders>
          <w:cols w:space="720" w:num="1"/>
          <w:docGrid w:linePitch="312" w:charSpace="0"/>
        </w:sectPr>
      </w:pPr>
    </w:p>
    <w:p w14:paraId="461C5E7C">
      <w:pPr>
        <w:numPr>
          <w:ilvl w:val="0"/>
          <w:numId w:val="0"/>
        </w:numPr>
        <w:rPr>
          <w:rFonts w:hint="eastAsia" w:ascii="宋体" w:hAnsi="宋体" w:eastAsia="宋体" w:cs="宋体"/>
          <w:color w:val="auto"/>
          <w:kern w:val="0"/>
          <w:szCs w:val="21"/>
          <w:highlight w:val="none"/>
          <w:lang w:bidi="ar"/>
        </w:rPr>
      </w:pPr>
    </w:p>
    <w:p w14:paraId="6632DFA8">
      <w:pPr>
        <w:pStyle w:val="3"/>
        <w:rPr>
          <w:rFonts w:hint="eastAsia" w:ascii="宋体" w:hAnsi="宋体" w:eastAsia="宋体" w:cs="宋体"/>
          <w:color w:val="auto"/>
          <w:highlight w:val="none"/>
        </w:rPr>
      </w:pPr>
      <w:bookmarkStart w:id="957" w:name="_Toc80867963"/>
      <w:bookmarkStart w:id="958" w:name="_Toc502909059"/>
      <w:bookmarkStart w:id="959" w:name="_Toc34335336"/>
      <w:bookmarkStart w:id="960" w:name="_Toc733402399"/>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、商务文件</w:t>
      </w:r>
      <w:bookmarkEnd w:id="957"/>
      <w:bookmarkEnd w:id="958"/>
      <w:bookmarkEnd w:id="959"/>
      <w:bookmarkEnd w:id="960"/>
    </w:p>
    <w:p w14:paraId="72C763F0">
      <w:pPr>
        <w:rPr>
          <w:rFonts w:hint="eastAsia" w:ascii="宋体" w:hAnsi="宋体" w:eastAsia="宋体" w:cs="宋体"/>
          <w:color w:val="auto"/>
          <w:highlight w:val="none"/>
        </w:rPr>
      </w:pPr>
    </w:p>
    <w:p w14:paraId="180C83DA">
      <w:pPr>
        <w:tabs>
          <w:tab w:val="left" w:pos="0"/>
        </w:tabs>
        <w:rPr>
          <w:rFonts w:hint="eastAsia" w:ascii="宋体" w:hAnsi="宋体" w:eastAsia="宋体" w:cs="宋体"/>
          <w:color w:val="auto"/>
          <w:highlight w:val="none"/>
        </w:rPr>
      </w:pPr>
      <w:bookmarkStart w:id="961" w:name="_Toc34335337"/>
      <w:bookmarkStart w:id="962" w:name="_Toc80867964"/>
      <w:bookmarkStart w:id="963" w:name="_Toc502909056"/>
      <w:bookmarkStart w:id="964" w:name="_Toc502909055"/>
      <w:bookmarkStart w:id="965" w:name="_Toc502909060"/>
      <w:bookmarkStart w:id="966" w:name="_Toc482092697"/>
      <w:bookmarkStart w:id="967" w:name="_Toc469035632"/>
      <w:bookmarkStart w:id="968" w:name="_Toc478978902"/>
    </w:p>
    <w:p w14:paraId="3F2334C2">
      <w:pPr>
        <w:pStyle w:val="4"/>
        <w:rPr>
          <w:rFonts w:hint="eastAsia" w:ascii="宋体" w:hAnsi="宋体" w:eastAsia="宋体" w:cs="宋体"/>
          <w:color w:val="auto"/>
          <w:highlight w:val="none"/>
        </w:rPr>
      </w:pPr>
      <w:bookmarkStart w:id="969" w:name="_Toc1885469860"/>
      <w:r>
        <w:rPr>
          <w:rFonts w:hint="eastAsia" w:ascii="宋体" w:hAnsi="宋体" w:eastAsia="宋体" w:cs="宋体"/>
          <w:color w:val="auto"/>
          <w:highlight w:val="none"/>
        </w:rPr>
        <w:t>法定代表人身份证明书</w:t>
      </w:r>
      <w:bookmarkEnd w:id="969"/>
    </w:p>
    <w:p w14:paraId="665F7F15">
      <w:pPr>
        <w:spacing w:line="360" w:lineRule="auto"/>
        <w:jc w:val="center"/>
        <w:rPr>
          <w:rFonts w:hint="eastAsia" w:ascii="宋体" w:hAnsi="宋体" w:eastAsia="宋体" w:cs="宋体"/>
          <w:b/>
          <w:color w:val="auto"/>
          <w:sz w:val="30"/>
          <w:szCs w:val="30"/>
          <w:highlight w:val="none"/>
        </w:rPr>
      </w:pPr>
    </w:p>
    <w:p w14:paraId="2A61B3C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p>
    <w:p w14:paraId="007107B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单位性质：</w:t>
      </w:r>
    </w:p>
    <w:p w14:paraId="12F4FB3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  年  月  日</w:t>
      </w:r>
    </w:p>
    <w:p w14:paraId="2755996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经营期限：</w:t>
      </w:r>
    </w:p>
    <w:p w14:paraId="7610408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     性别：    年龄：     职务：</w:t>
      </w:r>
    </w:p>
    <w:p w14:paraId="0A9D78B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系（供应商名称）的法定代表人。</w:t>
      </w:r>
    </w:p>
    <w:p w14:paraId="1F954A27">
      <w:pPr>
        <w:spacing w:line="360" w:lineRule="auto"/>
        <w:ind w:firstLine="420" w:firstLineChars="200"/>
        <w:rPr>
          <w:rFonts w:hint="eastAsia" w:ascii="宋体" w:hAnsi="宋体" w:eastAsia="宋体" w:cs="宋体"/>
          <w:color w:val="auto"/>
          <w:szCs w:val="21"/>
          <w:highlight w:val="none"/>
        </w:rPr>
      </w:pPr>
    </w:p>
    <w:p w14:paraId="44D77B9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14:paraId="5C130649">
      <w:pPr>
        <w:spacing w:line="360" w:lineRule="auto"/>
        <w:rPr>
          <w:rFonts w:hint="eastAsia" w:ascii="宋体" w:hAnsi="宋体" w:eastAsia="宋体" w:cs="宋体"/>
          <w:b/>
          <w:bCs/>
          <w:color w:val="auto"/>
          <w:szCs w:val="21"/>
          <w:highlight w:val="none"/>
        </w:rPr>
      </w:pPr>
    </w:p>
    <w:p w14:paraId="29795B6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附：法定代表人身份证</w:t>
      </w:r>
      <w:r>
        <w:rPr>
          <w:rFonts w:hint="eastAsia" w:ascii="宋体" w:hAnsi="宋体" w:eastAsia="宋体" w:cs="宋体"/>
          <w:b/>
          <w:bCs/>
          <w:color w:val="auto"/>
          <w:szCs w:val="21"/>
          <w:highlight w:val="none"/>
          <w:lang w:eastAsia="zh-CN"/>
        </w:rPr>
        <w:t>扫描件</w:t>
      </w:r>
      <w:r>
        <w:rPr>
          <w:rFonts w:hint="eastAsia" w:ascii="宋体" w:hAnsi="宋体" w:eastAsia="宋体" w:cs="宋体"/>
          <w:b/>
          <w:bCs/>
          <w:color w:val="auto"/>
          <w:szCs w:val="21"/>
          <w:highlight w:val="none"/>
        </w:rPr>
        <w:t>。</w:t>
      </w:r>
    </w:p>
    <w:p w14:paraId="1AA765FA">
      <w:pPr>
        <w:spacing w:line="360" w:lineRule="auto"/>
        <w:rPr>
          <w:rFonts w:hint="eastAsia" w:ascii="宋体" w:hAnsi="宋体" w:eastAsia="宋体" w:cs="宋体"/>
          <w:b/>
          <w:bCs/>
          <w:color w:val="auto"/>
          <w:sz w:val="24"/>
          <w:highlight w:val="none"/>
        </w:rPr>
      </w:pPr>
    </w:p>
    <w:p w14:paraId="72CFEFAB">
      <w:pPr>
        <w:spacing w:line="360" w:lineRule="auto"/>
        <w:rPr>
          <w:rFonts w:hint="eastAsia" w:ascii="宋体" w:hAnsi="宋体" w:eastAsia="宋体" w:cs="宋体"/>
          <w:b/>
          <w:bCs/>
          <w:color w:val="auto"/>
          <w:sz w:val="24"/>
          <w:highlight w:val="none"/>
        </w:rPr>
      </w:pPr>
    </w:p>
    <w:p w14:paraId="3F65D8E9">
      <w:pPr>
        <w:spacing w:line="360" w:lineRule="auto"/>
        <w:rPr>
          <w:rFonts w:hint="eastAsia" w:ascii="宋体" w:hAnsi="宋体" w:eastAsia="宋体" w:cs="宋体"/>
          <w:b/>
          <w:bCs/>
          <w:color w:val="auto"/>
          <w:sz w:val="24"/>
          <w:highlight w:val="none"/>
        </w:rPr>
      </w:pPr>
    </w:p>
    <w:p w14:paraId="15E7B85B">
      <w:pPr>
        <w:spacing w:line="360" w:lineRule="auto"/>
        <w:rPr>
          <w:rFonts w:hint="eastAsia" w:ascii="宋体" w:hAnsi="宋体" w:eastAsia="宋体" w:cs="宋体"/>
          <w:color w:val="auto"/>
          <w:szCs w:val="21"/>
          <w:highlight w:val="none"/>
        </w:rPr>
      </w:pPr>
    </w:p>
    <w:p w14:paraId="03D562B9">
      <w:pPr>
        <w:spacing w:line="360" w:lineRule="auto"/>
        <w:rPr>
          <w:rFonts w:hint="eastAsia" w:ascii="宋体" w:hAnsi="宋体" w:eastAsia="宋体" w:cs="宋体"/>
          <w:color w:val="auto"/>
          <w:szCs w:val="21"/>
          <w:highlight w:val="none"/>
        </w:rPr>
      </w:pPr>
    </w:p>
    <w:p w14:paraId="0DD21F4C">
      <w:pPr>
        <w:spacing w:line="360" w:lineRule="auto"/>
        <w:ind w:left="3780" w:leftChars="18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lang w:eastAsia="zh-CN"/>
        </w:rPr>
        <w:t>加盖供应商公章</w:t>
      </w:r>
      <w:r>
        <w:rPr>
          <w:rFonts w:hint="eastAsia" w:ascii="宋体" w:hAnsi="宋体" w:eastAsia="宋体" w:cs="宋体"/>
          <w:color w:val="auto"/>
          <w:szCs w:val="21"/>
          <w:highlight w:val="none"/>
        </w:rPr>
        <w:t>）</w:t>
      </w:r>
    </w:p>
    <w:p w14:paraId="617DD56D">
      <w:pPr>
        <w:spacing w:line="360" w:lineRule="auto"/>
        <w:ind w:left="3780" w:leftChars="18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  月  日</w:t>
      </w:r>
    </w:p>
    <w:p w14:paraId="57D8505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842E6E0">
      <w:pPr>
        <w:tabs>
          <w:tab w:val="left" w:pos="0"/>
        </w:tabs>
        <w:rPr>
          <w:rFonts w:hint="eastAsia" w:ascii="宋体" w:hAnsi="宋体" w:eastAsia="宋体" w:cs="宋体"/>
          <w:color w:val="auto"/>
          <w:highlight w:val="none"/>
        </w:rPr>
      </w:pPr>
    </w:p>
    <w:p w14:paraId="25EAEC72">
      <w:pPr>
        <w:pStyle w:val="4"/>
        <w:rPr>
          <w:rFonts w:hint="eastAsia" w:ascii="宋体" w:hAnsi="宋体" w:eastAsia="宋体" w:cs="宋体"/>
          <w:color w:val="auto"/>
          <w:highlight w:val="none"/>
        </w:rPr>
      </w:pPr>
      <w:bookmarkStart w:id="970" w:name="_Toc823241888"/>
      <w:r>
        <w:rPr>
          <w:rFonts w:hint="eastAsia" w:ascii="宋体" w:hAnsi="宋体" w:eastAsia="宋体" w:cs="宋体"/>
          <w:color w:val="auto"/>
          <w:highlight w:val="none"/>
        </w:rPr>
        <w:t>法定代表人授权委托书</w:t>
      </w:r>
      <w:bookmarkEnd w:id="961"/>
      <w:bookmarkEnd w:id="962"/>
      <w:bookmarkEnd w:id="963"/>
      <w:bookmarkEnd w:id="970"/>
    </w:p>
    <w:p w14:paraId="33E4E692">
      <w:pPr>
        <w:spacing w:line="360" w:lineRule="auto"/>
        <w:rPr>
          <w:rFonts w:hint="eastAsia" w:ascii="宋体" w:hAnsi="宋体" w:eastAsia="宋体" w:cs="宋体"/>
          <w:color w:val="auto"/>
          <w:szCs w:val="21"/>
          <w:highlight w:val="none"/>
        </w:rPr>
      </w:pPr>
    </w:p>
    <w:p w14:paraId="17E498E6">
      <w:pPr>
        <w:spacing w:line="360" w:lineRule="auto"/>
        <w:ind w:firstLine="420" w:firstLineChars="200"/>
        <w:rPr>
          <w:rFonts w:hint="eastAsia" w:ascii="宋体" w:hAnsi="宋体" w:eastAsia="宋体" w:cs="宋体"/>
          <w:color w:val="auto"/>
          <w:szCs w:val="21"/>
          <w:highlight w:val="none"/>
        </w:rPr>
      </w:pPr>
    </w:p>
    <w:p w14:paraId="190AA8C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本授权书声明：</w:t>
      </w:r>
      <w:r>
        <w:rPr>
          <w:rFonts w:hint="eastAsia" w:ascii="宋体" w:hAnsi="宋体" w:eastAsia="宋体" w:cs="宋体"/>
          <w:color w:val="auto"/>
          <w:szCs w:val="21"/>
          <w:highlight w:val="none"/>
          <w:u w:val="single"/>
        </w:rPr>
        <w:t xml:space="preserve">       （供应商全称）     </w:t>
      </w:r>
      <w:r>
        <w:rPr>
          <w:rFonts w:hint="eastAsia" w:ascii="宋体" w:hAnsi="宋体" w:eastAsia="宋体" w:cs="宋体"/>
          <w:color w:val="auto"/>
          <w:szCs w:val="21"/>
          <w:highlight w:val="none"/>
        </w:rPr>
        <w:t>的法定代表人代表本公司授权</w:t>
      </w:r>
      <w:r>
        <w:rPr>
          <w:rFonts w:hint="eastAsia" w:ascii="宋体" w:hAnsi="宋体" w:eastAsia="宋体" w:cs="宋体"/>
          <w:color w:val="auto"/>
          <w:szCs w:val="21"/>
          <w:highlight w:val="none"/>
          <w:u w:val="single"/>
        </w:rPr>
        <w:t xml:space="preserve">   （委托代理人姓名）   </w:t>
      </w:r>
      <w:r>
        <w:rPr>
          <w:rFonts w:hint="eastAsia" w:ascii="宋体" w:hAnsi="宋体" w:eastAsia="宋体" w:cs="宋体"/>
          <w:color w:val="auto"/>
          <w:szCs w:val="21"/>
          <w:highlight w:val="none"/>
        </w:rPr>
        <w:t>为本公司合法代理人，以本单位名义亲自出席参加贵方组织的</w:t>
      </w:r>
      <w:r>
        <w:rPr>
          <w:rFonts w:hint="eastAsia" w:ascii="宋体" w:hAnsi="宋体" w:eastAsia="宋体" w:cs="宋体"/>
          <w:color w:val="auto"/>
          <w:szCs w:val="21"/>
          <w:highlight w:val="none"/>
          <w:u w:val="single"/>
        </w:rPr>
        <w:t xml:space="preserve">    （采购项目名称）    </w:t>
      </w:r>
      <w:r>
        <w:rPr>
          <w:rFonts w:hint="eastAsia" w:ascii="宋体" w:hAnsi="宋体" w:eastAsia="宋体" w:cs="宋体"/>
          <w:color w:val="auto"/>
          <w:szCs w:val="21"/>
          <w:highlight w:val="none"/>
        </w:rPr>
        <w:t>项目（项目编号：）的磋商采购。代理人在本项目磋商过程中所签署的一切文件和处理与之有关的一切事务，我方均予承认。</w:t>
      </w:r>
    </w:p>
    <w:p w14:paraId="49EBE4B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代理人无转委托权。</w:t>
      </w:r>
    </w:p>
    <w:p w14:paraId="575A0CF4">
      <w:pPr>
        <w:spacing w:line="360" w:lineRule="auto"/>
        <w:ind w:firstLine="420" w:firstLineChars="200"/>
        <w:rPr>
          <w:rFonts w:hint="eastAsia" w:ascii="宋体" w:hAnsi="宋体" w:eastAsia="宋体" w:cs="宋体"/>
          <w:color w:val="auto"/>
          <w:szCs w:val="21"/>
          <w:highlight w:val="none"/>
        </w:rPr>
      </w:pPr>
    </w:p>
    <w:p w14:paraId="512DB2FA">
      <w:pPr>
        <w:spacing w:line="500" w:lineRule="exact"/>
        <w:ind w:firstLine="3599" w:firstLineChars="171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lang w:eastAsia="zh-CN"/>
        </w:rPr>
        <w:t>签名或签章</w:t>
      </w:r>
      <w:r>
        <w:rPr>
          <w:rFonts w:hint="eastAsia" w:ascii="宋体" w:hAnsi="宋体" w:eastAsia="宋体" w:cs="宋体"/>
          <w:color w:val="auto"/>
          <w:szCs w:val="21"/>
          <w:highlight w:val="none"/>
        </w:rPr>
        <w:t>）</w:t>
      </w:r>
    </w:p>
    <w:p w14:paraId="2AFB2A51">
      <w:pPr>
        <w:spacing w:line="500" w:lineRule="exact"/>
        <w:ind w:firstLine="5399" w:firstLineChars="2571"/>
        <w:rPr>
          <w:rFonts w:hint="eastAsia" w:ascii="宋体" w:hAnsi="宋体" w:eastAsia="宋体" w:cs="宋体"/>
          <w:color w:val="auto"/>
          <w:szCs w:val="21"/>
          <w:highlight w:val="none"/>
        </w:rPr>
      </w:pPr>
    </w:p>
    <w:p w14:paraId="6978E086">
      <w:pPr>
        <w:spacing w:line="500" w:lineRule="exact"/>
        <w:ind w:firstLine="5399" w:firstLineChars="2571"/>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lang w:eastAsia="zh-CN"/>
        </w:rPr>
        <w:t>加盖供应商公章</w:t>
      </w:r>
      <w:r>
        <w:rPr>
          <w:rFonts w:hint="eastAsia" w:ascii="宋体" w:hAnsi="宋体" w:eastAsia="宋体" w:cs="宋体"/>
          <w:color w:val="auto"/>
          <w:szCs w:val="21"/>
          <w:highlight w:val="none"/>
        </w:rPr>
        <w:t>）</w:t>
      </w:r>
    </w:p>
    <w:p w14:paraId="29D3A20B">
      <w:pPr>
        <w:spacing w:line="500" w:lineRule="exact"/>
        <w:ind w:firstLine="5399" w:firstLineChars="2571"/>
        <w:rPr>
          <w:rFonts w:hint="eastAsia" w:ascii="宋体" w:hAnsi="宋体" w:eastAsia="宋体" w:cs="宋体"/>
          <w:color w:val="auto"/>
          <w:szCs w:val="21"/>
          <w:highlight w:val="none"/>
        </w:rPr>
      </w:pPr>
    </w:p>
    <w:p w14:paraId="702F80AE">
      <w:pPr>
        <w:pBdr>
          <w:bottom w:val="single" w:color="auto" w:sz="12" w:space="1"/>
        </w:pBdr>
        <w:spacing w:line="500" w:lineRule="exact"/>
        <w:ind w:firstLine="5399" w:firstLineChars="2571"/>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签发日期：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6BB1160">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p>
    <w:p w14:paraId="681B6B48">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委托代理人姓名：</w:t>
      </w:r>
    </w:p>
    <w:p w14:paraId="703492AF">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p w14:paraId="1620BCF6">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w:t>
      </w:r>
    </w:p>
    <w:p w14:paraId="27FAFE2D">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详细地址：</w:t>
      </w:r>
    </w:p>
    <w:p w14:paraId="5116CE7A">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p w14:paraId="2F71180D">
      <w:pPr>
        <w:spacing w:line="500" w:lineRule="exact"/>
        <w:rPr>
          <w:rFonts w:hint="eastAsia" w:ascii="宋体" w:hAnsi="宋体" w:eastAsia="宋体" w:cs="宋体"/>
          <w:color w:val="auto"/>
          <w:szCs w:val="21"/>
          <w:highlight w:val="none"/>
        </w:rPr>
      </w:pPr>
    </w:p>
    <w:p w14:paraId="695125F3">
      <w:pPr>
        <w:pStyle w:val="23"/>
        <w:spacing w:line="600" w:lineRule="exact"/>
        <w:rPr>
          <w:rFonts w:hint="eastAsia" w:ascii="宋体" w:hAnsi="宋体" w:eastAsia="宋体" w:cs="宋体"/>
          <w:color w:val="auto"/>
          <w:highlight w:val="none"/>
        </w:rPr>
      </w:pPr>
      <w:r>
        <w:rPr>
          <w:rFonts w:hint="eastAsia" w:ascii="宋体" w:hAnsi="宋体" w:eastAsia="宋体" w:cs="宋体"/>
          <w:b/>
          <w:bCs/>
          <w:color w:val="auto"/>
          <w:highlight w:val="none"/>
        </w:rPr>
        <w:t>注: 委托代理人身份证</w:t>
      </w:r>
      <w:r>
        <w:rPr>
          <w:rFonts w:hint="eastAsia" w:ascii="宋体" w:hAnsi="宋体" w:eastAsia="宋体" w:cs="宋体"/>
          <w:b/>
          <w:bCs/>
          <w:color w:val="auto"/>
          <w:highlight w:val="none"/>
          <w:lang w:eastAsia="zh-CN"/>
        </w:rPr>
        <w:t>扫描件</w:t>
      </w:r>
      <w:r>
        <w:rPr>
          <w:rFonts w:hint="eastAsia" w:ascii="宋体" w:hAnsi="宋体" w:eastAsia="宋体" w:cs="宋体"/>
          <w:b/>
          <w:bCs/>
          <w:color w:val="auto"/>
          <w:highlight w:val="none"/>
        </w:rPr>
        <w:t>附在此页。</w:t>
      </w:r>
    </w:p>
    <w:p w14:paraId="00A489A6">
      <w:pPr>
        <w:pStyle w:val="23"/>
        <w:spacing w:line="600" w:lineRule="exact"/>
        <w:rPr>
          <w:rFonts w:hint="eastAsia" w:ascii="宋体" w:hAnsi="宋体" w:eastAsia="宋体" w:cs="宋体"/>
          <w:b/>
          <w:color w:val="auto"/>
          <w:sz w:val="28"/>
          <w:szCs w:val="28"/>
          <w:highlight w:val="none"/>
        </w:rPr>
      </w:pPr>
    </w:p>
    <w:p w14:paraId="2BFB5B53">
      <w:pPr>
        <w:tabs>
          <w:tab w:val="left" w:pos="0"/>
        </w:tabs>
        <w:rPr>
          <w:rFonts w:hint="eastAsia" w:ascii="宋体" w:hAnsi="宋体" w:eastAsia="宋体" w:cs="宋体"/>
          <w:color w:val="auto"/>
          <w:kern w:val="0"/>
          <w:sz w:val="20"/>
          <w:highlight w:val="none"/>
        </w:rPr>
      </w:pPr>
      <w:r>
        <w:rPr>
          <w:rFonts w:hint="eastAsia" w:ascii="宋体" w:hAnsi="宋体" w:eastAsia="宋体" w:cs="宋体"/>
          <w:color w:val="auto"/>
          <w:highlight w:val="none"/>
        </w:rPr>
        <w:br w:type="page"/>
      </w:r>
      <w:bookmarkEnd w:id="964"/>
      <w:bookmarkStart w:id="971" w:name="_Toc347849252"/>
      <w:bookmarkStart w:id="972" w:name="_Toc502909052"/>
      <w:bookmarkStart w:id="973" w:name="_Toc383175515"/>
      <w:bookmarkStart w:id="974" w:name="_Toc80867966"/>
      <w:bookmarkStart w:id="975" w:name="_Toc34335339"/>
    </w:p>
    <w:p w14:paraId="17178137">
      <w:pPr>
        <w:tabs>
          <w:tab w:val="left" w:pos="0"/>
        </w:tabs>
        <w:rPr>
          <w:rFonts w:hint="eastAsia" w:ascii="宋体" w:hAnsi="宋体" w:eastAsia="宋体" w:cs="宋体"/>
          <w:color w:val="auto"/>
          <w:kern w:val="0"/>
          <w:sz w:val="20"/>
          <w:highlight w:val="none"/>
        </w:rPr>
      </w:pPr>
    </w:p>
    <w:p w14:paraId="7F916648">
      <w:pPr>
        <w:pStyle w:val="4"/>
        <w:rPr>
          <w:rFonts w:hint="eastAsia" w:ascii="宋体" w:hAnsi="宋体" w:eastAsia="宋体" w:cs="宋体"/>
          <w:color w:val="auto"/>
          <w:highlight w:val="none"/>
        </w:rPr>
      </w:pPr>
      <w:bookmarkStart w:id="976" w:name="_Toc2136757642"/>
      <w:r>
        <w:rPr>
          <w:rFonts w:hint="eastAsia" w:ascii="宋体" w:hAnsi="宋体" w:eastAsia="宋体" w:cs="宋体"/>
          <w:color w:val="auto"/>
          <w:highlight w:val="none"/>
        </w:rPr>
        <w:t>磋商申请</w:t>
      </w:r>
      <w:bookmarkEnd w:id="971"/>
      <w:r>
        <w:rPr>
          <w:rFonts w:hint="eastAsia" w:ascii="宋体" w:hAnsi="宋体" w:eastAsia="宋体" w:cs="宋体"/>
          <w:color w:val="auto"/>
          <w:highlight w:val="none"/>
        </w:rPr>
        <w:t>函</w:t>
      </w:r>
      <w:bookmarkEnd w:id="972"/>
      <w:bookmarkEnd w:id="973"/>
      <w:bookmarkEnd w:id="974"/>
      <w:bookmarkEnd w:id="975"/>
      <w:bookmarkEnd w:id="976"/>
    </w:p>
    <w:p w14:paraId="67DE151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（采购人名称）</w:t>
      </w:r>
    </w:p>
    <w:p w14:paraId="1D2E529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我方仔细研究了</w:t>
      </w:r>
      <w:r>
        <w:rPr>
          <w:rFonts w:hint="eastAsia" w:ascii="宋体" w:hAnsi="宋体" w:eastAsia="宋体" w:cs="宋体"/>
          <w:color w:val="auto"/>
          <w:szCs w:val="21"/>
          <w:highlight w:val="none"/>
          <w:u w:val="single"/>
        </w:rPr>
        <w:t xml:space="preserve">（采购项目名称）   </w:t>
      </w:r>
      <w:r>
        <w:rPr>
          <w:rFonts w:hint="eastAsia" w:ascii="宋体" w:hAnsi="宋体" w:eastAsia="宋体" w:cs="宋体"/>
          <w:color w:val="auto"/>
          <w:szCs w:val="21"/>
          <w:highlight w:val="none"/>
        </w:rPr>
        <w:t>（项目编号：        ）项目竞争性磋商文件的全部内容，我方正式授权下述签字人</w:t>
      </w:r>
      <w:r>
        <w:rPr>
          <w:rFonts w:hint="eastAsia" w:ascii="宋体" w:hAnsi="宋体" w:eastAsia="宋体" w:cs="宋体"/>
          <w:color w:val="auto"/>
          <w:szCs w:val="21"/>
          <w:highlight w:val="none"/>
          <w:u w:val="single"/>
        </w:rPr>
        <w:t xml:space="preserve">   （姓名和职务）     </w:t>
      </w:r>
      <w:r>
        <w:rPr>
          <w:rFonts w:hint="eastAsia" w:ascii="宋体" w:hAnsi="宋体" w:eastAsia="宋体" w:cs="宋体"/>
          <w:color w:val="auto"/>
          <w:szCs w:val="21"/>
          <w:highlight w:val="none"/>
        </w:rPr>
        <w:t>全权代表</w:t>
      </w:r>
      <w:r>
        <w:rPr>
          <w:rFonts w:hint="eastAsia" w:ascii="宋体" w:hAnsi="宋体" w:eastAsia="宋体" w:cs="宋体"/>
          <w:color w:val="auto"/>
          <w:szCs w:val="21"/>
          <w:highlight w:val="none"/>
          <w:u w:val="single"/>
        </w:rPr>
        <w:t xml:space="preserve">  （供应商全称）   </w:t>
      </w:r>
      <w:r>
        <w:rPr>
          <w:rFonts w:hint="eastAsia" w:ascii="宋体" w:hAnsi="宋体" w:eastAsia="宋体" w:cs="宋体"/>
          <w:color w:val="auto"/>
          <w:szCs w:val="21"/>
          <w:highlight w:val="none"/>
        </w:rPr>
        <w:t>参加磋商，并提交</w:t>
      </w:r>
      <w:r>
        <w:rPr>
          <w:rFonts w:hint="eastAsia" w:ascii="宋体" w:hAnsi="宋体" w:eastAsia="宋体" w:cs="宋体"/>
          <w:color w:val="auto"/>
          <w:szCs w:val="21"/>
          <w:highlight w:val="none"/>
          <w:lang w:val="en-US" w:eastAsia="zh-CN"/>
        </w:rPr>
        <w:t>电子响应文件一份</w:t>
      </w:r>
      <w:r>
        <w:rPr>
          <w:rFonts w:hint="eastAsia" w:ascii="宋体" w:hAnsi="宋体" w:eastAsia="宋体" w:cs="宋体"/>
          <w:color w:val="auto"/>
          <w:szCs w:val="21"/>
          <w:highlight w:val="none"/>
        </w:rPr>
        <w:t>。</w:t>
      </w:r>
    </w:p>
    <w:p w14:paraId="1521F91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据此申请书，签字人兹宣布同意如下：</w:t>
      </w:r>
    </w:p>
    <w:p w14:paraId="032D21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1.按竞争性磋商文件要求，我单位磋商总报价详见“报价一览表”及“</w:t>
      </w:r>
      <w:r>
        <w:rPr>
          <w:rFonts w:hint="eastAsia" w:ascii="宋体" w:hAnsi="宋体" w:eastAsia="宋体" w:cs="宋体"/>
          <w:color w:val="auto"/>
          <w:szCs w:val="21"/>
          <w:highlight w:val="none"/>
          <w:lang w:eastAsia="zh-CN"/>
        </w:rPr>
        <w:t>竞争性磋商最终报价表及承诺书</w:t>
      </w:r>
      <w:r>
        <w:rPr>
          <w:rFonts w:hint="eastAsia" w:ascii="宋体" w:hAnsi="宋体" w:eastAsia="宋体" w:cs="宋体"/>
          <w:color w:val="auto"/>
          <w:szCs w:val="21"/>
          <w:highlight w:val="none"/>
        </w:rPr>
        <w:t>”中磋商总报价。</w:t>
      </w:r>
    </w:p>
    <w:p w14:paraId="1D958A4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bookmarkStart w:id="977" w:name="_Hlk502068773"/>
      <w:r>
        <w:rPr>
          <w:rFonts w:hint="eastAsia" w:ascii="宋体" w:hAnsi="宋体" w:eastAsia="宋体" w:cs="宋体"/>
          <w:color w:val="auto"/>
          <w:szCs w:val="21"/>
          <w:highlight w:val="none"/>
        </w:rPr>
        <w:t>我方同意在磋商文件规定的递交响应文件截止日期起遵循本磋商文件，并在规定的响应文件有效期满之前均具有约束力。如果我方报价被接受，则至合同履行完毕、质保期满为止，本承诺书保持有效。如果在磋商文件有效期内撤回磋商申请或者有其他违约行为，我方的保证金可被贵方全部或部分没收</w:t>
      </w:r>
      <w:bookmarkEnd w:id="977"/>
      <w:r>
        <w:rPr>
          <w:rFonts w:hint="eastAsia" w:ascii="宋体" w:hAnsi="宋体" w:eastAsia="宋体" w:cs="宋体"/>
          <w:color w:val="auto"/>
          <w:szCs w:val="21"/>
          <w:highlight w:val="none"/>
        </w:rPr>
        <w:t>。</w:t>
      </w:r>
    </w:p>
    <w:p w14:paraId="5982A69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3.我方已详细审查全部竞争性磋商文件，包括修改文件以及全部参考资料和所有附件。我们完全理解并认为该磋商文件公平公正，不存在倾向性，且同意放弃对这方面有不明及误解的权利。</w:t>
      </w:r>
    </w:p>
    <w:p w14:paraId="053C195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bookmarkStart w:id="978" w:name="_Hlk502068818"/>
      <w:r>
        <w:rPr>
          <w:rFonts w:hint="eastAsia" w:ascii="宋体" w:hAnsi="宋体" w:eastAsia="宋体" w:cs="宋体"/>
          <w:color w:val="auto"/>
          <w:szCs w:val="21"/>
          <w:highlight w:val="none"/>
        </w:rPr>
        <w:t>同意应贵方要求提供与本次磋商有关的任何数据和资料，并保证数据和资料的完整性和真实性，若有违反，我方愿意承担一切后果。若贵方需要，我方愿意提供我方作出的一切承诺的证明材料</w:t>
      </w:r>
      <w:bookmarkEnd w:id="978"/>
      <w:r>
        <w:rPr>
          <w:rFonts w:hint="eastAsia" w:ascii="宋体" w:hAnsi="宋体" w:eastAsia="宋体" w:cs="宋体"/>
          <w:color w:val="auto"/>
          <w:szCs w:val="21"/>
          <w:highlight w:val="none"/>
        </w:rPr>
        <w:t>。</w:t>
      </w:r>
    </w:p>
    <w:p w14:paraId="064E199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5.我方完全理解贵方不一定要接受最低报价的供应商为成交供应商的行为。</w:t>
      </w:r>
    </w:p>
    <w:p w14:paraId="31FD6423">
      <w:pPr>
        <w:spacing w:line="360" w:lineRule="auto"/>
        <w:ind w:firstLine="420" w:firstLineChars="200"/>
        <w:jc w:val="left"/>
        <w:rPr>
          <w:rFonts w:hint="eastAsia" w:ascii="宋体" w:hAnsi="宋体" w:eastAsia="宋体" w:cs="宋体"/>
          <w:color w:val="auto"/>
          <w:szCs w:val="21"/>
          <w:highlight w:val="none"/>
        </w:rPr>
      </w:pPr>
    </w:p>
    <w:p w14:paraId="53F2993C">
      <w:pPr>
        <w:spacing w:line="360" w:lineRule="auto"/>
        <w:ind w:firstLine="420" w:firstLineChars="200"/>
        <w:jc w:val="left"/>
        <w:rPr>
          <w:rFonts w:hint="eastAsia" w:ascii="宋体" w:hAnsi="宋体" w:eastAsia="宋体" w:cs="宋体"/>
          <w:color w:val="auto"/>
          <w:szCs w:val="21"/>
          <w:highlight w:val="none"/>
        </w:rPr>
      </w:pPr>
    </w:p>
    <w:p w14:paraId="740C74B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与本次磋商有关的正式通讯地址为：</w:t>
      </w:r>
    </w:p>
    <w:p w14:paraId="435D80A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           邮政编码：</w:t>
      </w:r>
    </w:p>
    <w:p w14:paraId="0F65DE6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           传    真：</w:t>
      </w:r>
      <w:r>
        <w:rPr>
          <w:rFonts w:hint="eastAsia" w:ascii="宋体" w:hAnsi="宋体" w:eastAsia="宋体" w:cs="宋体"/>
          <w:color w:val="auto"/>
          <w:szCs w:val="21"/>
          <w:highlight w:val="none"/>
          <w:u w:val="single"/>
        </w:rPr>
        <w:t>　　　　　　　　</w:t>
      </w:r>
    </w:p>
    <w:p w14:paraId="6C644E30">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开户名称：</w:t>
      </w:r>
    </w:p>
    <w:p w14:paraId="2214401C">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开户银行：</w:t>
      </w:r>
    </w:p>
    <w:p w14:paraId="21342A7A">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帐    号：</w:t>
      </w:r>
    </w:p>
    <w:p w14:paraId="04026C8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u w:val="single"/>
        </w:rPr>
        <w:t xml:space="preserve">              （全称）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加盖供应商公章</w:t>
      </w:r>
      <w:r>
        <w:rPr>
          <w:rFonts w:hint="eastAsia" w:ascii="宋体" w:hAnsi="宋体" w:eastAsia="宋体" w:cs="宋体"/>
          <w:color w:val="auto"/>
          <w:szCs w:val="21"/>
          <w:highlight w:val="none"/>
        </w:rPr>
        <w:t>）</w:t>
      </w:r>
    </w:p>
    <w:p w14:paraId="747A26B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法定代表人或其委托代理人（签名或签章）</w:t>
      </w:r>
      <w:r>
        <w:rPr>
          <w:rFonts w:hint="eastAsia" w:ascii="宋体" w:hAnsi="宋体" w:eastAsia="宋体" w:cs="宋体"/>
          <w:color w:val="auto"/>
          <w:szCs w:val="21"/>
          <w:highlight w:val="none"/>
        </w:rPr>
        <w:t>：</w:t>
      </w:r>
    </w:p>
    <w:p w14:paraId="410D92D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6B2EB385">
      <w:pPr>
        <w:tabs>
          <w:tab w:val="left" w:pos="0"/>
        </w:tabs>
        <w:rPr>
          <w:rFonts w:hint="eastAsia" w:ascii="宋体" w:hAnsi="宋体" w:eastAsia="宋体" w:cs="宋体"/>
          <w:color w:val="auto"/>
          <w:szCs w:val="21"/>
          <w:highlight w:val="none"/>
        </w:rPr>
      </w:pPr>
      <w:r>
        <w:rPr>
          <w:rFonts w:hint="eastAsia" w:ascii="宋体" w:hAnsi="宋体" w:eastAsia="宋体" w:cs="宋体"/>
          <w:color w:val="auto"/>
          <w:sz w:val="24"/>
          <w:highlight w:val="none"/>
        </w:rPr>
        <w:br w:type="page"/>
      </w:r>
      <w:bookmarkEnd w:id="965"/>
      <w:bookmarkEnd w:id="966"/>
      <w:bookmarkEnd w:id="967"/>
      <w:bookmarkEnd w:id="968"/>
      <w:bookmarkStart w:id="979" w:name="_Toc34335350"/>
      <w:bookmarkStart w:id="980" w:name="_Toc478114551"/>
      <w:bookmarkStart w:id="981" w:name="_Toc502909069"/>
      <w:bookmarkStart w:id="982" w:name="_Toc80867970"/>
      <w:bookmarkStart w:id="983" w:name="_Hlk502068441"/>
    </w:p>
    <w:p w14:paraId="4BA54E40">
      <w:pPr>
        <w:pStyle w:val="4"/>
        <w:rPr>
          <w:rFonts w:hint="eastAsia" w:ascii="宋体" w:hAnsi="宋体" w:eastAsia="宋体" w:cs="宋体"/>
          <w:color w:val="auto"/>
          <w:highlight w:val="none"/>
        </w:rPr>
      </w:pPr>
      <w:bookmarkStart w:id="984" w:name="_Toc116660313"/>
      <w:r>
        <w:rPr>
          <w:rFonts w:hint="eastAsia" w:ascii="宋体" w:hAnsi="宋体" w:eastAsia="宋体" w:cs="宋体"/>
          <w:color w:val="auto"/>
          <w:highlight w:val="none"/>
        </w:rPr>
        <w:t>商务条款偏离表</w:t>
      </w:r>
      <w:bookmarkEnd w:id="979"/>
      <w:bookmarkEnd w:id="980"/>
      <w:bookmarkEnd w:id="981"/>
      <w:bookmarkEnd w:id="982"/>
      <w:bookmarkEnd w:id="984"/>
    </w:p>
    <w:p w14:paraId="6E64687C">
      <w:pPr>
        <w:pStyle w:val="23"/>
        <w:spacing w:line="360" w:lineRule="auto"/>
        <w:ind w:firstLine="420" w:firstLineChars="200"/>
        <w:rPr>
          <w:rFonts w:hint="eastAsia" w:ascii="宋体" w:hAnsi="宋体" w:eastAsia="宋体" w:cs="宋体"/>
          <w:color w:val="auto"/>
          <w:highlight w:val="none"/>
        </w:rPr>
      </w:pPr>
      <w:bookmarkStart w:id="985" w:name="_Hlk478972650"/>
      <w:r>
        <w:rPr>
          <w:rFonts w:hint="eastAsia" w:ascii="宋体" w:hAnsi="宋体" w:eastAsia="宋体" w:cs="宋体"/>
          <w:color w:val="auto"/>
          <w:highlight w:val="none"/>
        </w:rPr>
        <w:t>请对应磋商文件的</w:t>
      </w:r>
      <w:r>
        <w:rPr>
          <w:rFonts w:hint="eastAsia" w:ascii="宋体" w:hAnsi="宋体" w:eastAsia="宋体" w:cs="宋体"/>
          <w:b/>
          <w:color w:val="auto"/>
          <w:highlight w:val="none"/>
        </w:rPr>
        <w:t>“ 供应商须知前附表”、“技术要求”</w:t>
      </w:r>
      <w:r>
        <w:rPr>
          <w:rFonts w:hint="eastAsia" w:ascii="宋体" w:hAnsi="宋体" w:eastAsia="宋体" w:cs="宋体"/>
          <w:color w:val="auto"/>
          <w:highlight w:val="none"/>
        </w:rPr>
        <w:t>和</w:t>
      </w:r>
      <w:r>
        <w:rPr>
          <w:rFonts w:hint="eastAsia" w:ascii="宋体" w:hAnsi="宋体" w:eastAsia="宋体" w:cs="宋体"/>
          <w:b/>
          <w:color w:val="auto"/>
          <w:highlight w:val="none"/>
        </w:rPr>
        <w:t>“</w:t>
      </w:r>
      <w:r>
        <w:rPr>
          <w:rFonts w:hint="eastAsia" w:ascii="宋体" w:hAnsi="宋体" w:eastAsia="宋体" w:cs="宋体"/>
          <w:b/>
          <w:bCs/>
          <w:color w:val="auto"/>
          <w:highlight w:val="none"/>
        </w:rPr>
        <w:t>合同书样式及主要条款</w:t>
      </w:r>
      <w:r>
        <w:rPr>
          <w:rFonts w:hint="eastAsia" w:ascii="宋体" w:hAnsi="宋体" w:eastAsia="宋体" w:cs="宋体"/>
          <w:b/>
          <w:color w:val="auto"/>
          <w:highlight w:val="none"/>
        </w:rPr>
        <w:t>”</w:t>
      </w:r>
      <w:r>
        <w:rPr>
          <w:rFonts w:hint="eastAsia" w:ascii="宋体" w:hAnsi="宋体" w:eastAsia="宋体" w:cs="宋体"/>
          <w:color w:val="auto"/>
          <w:highlight w:val="none"/>
        </w:rPr>
        <w:t>中要求的主要商务条件（项目实施地点、</w:t>
      </w:r>
      <w:r>
        <w:rPr>
          <w:rFonts w:hint="eastAsia" w:ascii="宋体" w:hAnsi="宋体" w:eastAsia="宋体" w:cs="宋体"/>
          <w:color w:val="auto"/>
          <w:highlight w:val="none"/>
          <w:lang w:val="en-US"/>
        </w:rPr>
        <w:t>施工工期</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付款方式、质保期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合同履行期限、</w:t>
      </w:r>
      <w:r>
        <w:rPr>
          <w:rFonts w:hint="eastAsia" w:ascii="宋体" w:hAnsi="宋体" w:eastAsia="宋体" w:cs="宋体"/>
          <w:color w:val="auto"/>
          <w:highlight w:val="none"/>
          <w:lang w:eastAsia="zh-CN"/>
        </w:rPr>
        <w:t>技术标准、质量要求、</w:t>
      </w:r>
      <w:r>
        <w:rPr>
          <w:rFonts w:hint="eastAsia" w:ascii="宋体" w:hAnsi="宋体" w:eastAsia="宋体" w:cs="宋体"/>
          <w:color w:val="auto"/>
          <w:highlight w:val="none"/>
        </w:rPr>
        <w:t>履约保证金、违约责任）等要求，请认真填写该表</w:t>
      </w:r>
      <w:bookmarkEnd w:id="985"/>
      <w:r>
        <w:rPr>
          <w:rFonts w:hint="eastAsia" w:ascii="宋体" w:hAnsi="宋体" w:eastAsia="宋体" w:cs="宋体"/>
          <w:color w:val="auto"/>
          <w:highlight w:val="none"/>
        </w:rPr>
        <w:t>。</w:t>
      </w:r>
    </w:p>
    <w:p w14:paraId="6DAC5A0F">
      <w:pPr>
        <w:pStyle w:val="23"/>
        <w:rPr>
          <w:rFonts w:hint="eastAsia" w:ascii="宋体" w:hAnsi="宋体" w:eastAsia="宋体" w:cs="宋体"/>
          <w:b/>
          <w:color w:val="auto"/>
          <w:highlight w:val="none"/>
        </w:rPr>
      </w:pPr>
    </w:p>
    <w:p w14:paraId="2347F1B9">
      <w:pPr>
        <w:pStyle w:val="23"/>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项目名称：                                             项目编号：</w:t>
      </w:r>
    </w:p>
    <w:tbl>
      <w:tblPr>
        <w:tblStyle w:val="47"/>
        <w:tblW w:w="907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05"/>
        <w:gridCol w:w="1721"/>
        <w:gridCol w:w="2274"/>
        <w:gridCol w:w="2256"/>
        <w:gridCol w:w="2315"/>
      </w:tblGrid>
      <w:tr w14:paraId="764577F7">
        <w:tc>
          <w:tcPr>
            <w:tcW w:w="505" w:type="dxa"/>
            <w:vAlign w:val="center"/>
          </w:tcPr>
          <w:p w14:paraId="68894CC6">
            <w:pPr>
              <w:pStyle w:val="23"/>
              <w:spacing w:line="6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721" w:type="dxa"/>
            <w:vAlign w:val="center"/>
          </w:tcPr>
          <w:p w14:paraId="458E43A0">
            <w:pPr>
              <w:pStyle w:val="23"/>
              <w:spacing w:line="6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磋商文件条目号</w:t>
            </w:r>
          </w:p>
        </w:tc>
        <w:tc>
          <w:tcPr>
            <w:tcW w:w="2274" w:type="dxa"/>
            <w:vAlign w:val="center"/>
          </w:tcPr>
          <w:p w14:paraId="52421421">
            <w:pPr>
              <w:pStyle w:val="23"/>
              <w:spacing w:line="6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磋商文件的商务条款</w:t>
            </w:r>
          </w:p>
        </w:tc>
        <w:tc>
          <w:tcPr>
            <w:tcW w:w="2256" w:type="dxa"/>
            <w:vAlign w:val="center"/>
          </w:tcPr>
          <w:p w14:paraId="21E63824">
            <w:pPr>
              <w:pStyle w:val="23"/>
              <w:spacing w:line="6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响应文件的商务条款</w:t>
            </w:r>
          </w:p>
        </w:tc>
        <w:tc>
          <w:tcPr>
            <w:tcW w:w="2315" w:type="dxa"/>
            <w:vAlign w:val="center"/>
          </w:tcPr>
          <w:p w14:paraId="5DC6153A">
            <w:pPr>
              <w:pStyle w:val="23"/>
              <w:spacing w:line="6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偏离说明</w:t>
            </w:r>
          </w:p>
        </w:tc>
      </w:tr>
      <w:tr w14:paraId="114F940C">
        <w:tc>
          <w:tcPr>
            <w:tcW w:w="505" w:type="dxa"/>
          </w:tcPr>
          <w:p w14:paraId="5FDD3812">
            <w:pPr>
              <w:pStyle w:val="23"/>
              <w:spacing w:line="600" w:lineRule="exact"/>
              <w:rPr>
                <w:rFonts w:hint="eastAsia" w:ascii="宋体" w:hAnsi="宋体" w:eastAsia="宋体" w:cs="宋体"/>
                <w:color w:val="auto"/>
                <w:highlight w:val="none"/>
              </w:rPr>
            </w:pPr>
          </w:p>
        </w:tc>
        <w:tc>
          <w:tcPr>
            <w:tcW w:w="1721" w:type="dxa"/>
          </w:tcPr>
          <w:p w14:paraId="5F281229">
            <w:pPr>
              <w:pStyle w:val="23"/>
              <w:spacing w:line="600" w:lineRule="exact"/>
              <w:rPr>
                <w:rFonts w:hint="eastAsia" w:ascii="宋体" w:hAnsi="宋体" w:eastAsia="宋体" w:cs="宋体"/>
                <w:color w:val="auto"/>
                <w:highlight w:val="none"/>
              </w:rPr>
            </w:pPr>
          </w:p>
        </w:tc>
        <w:tc>
          <w:tcPr>
            <w:tcW w:w="2274" w:type="dxa"/>
          </w:tcPr>
          <w:p w14:paraId="021B09C7">
            <w:pPr>
              <w:pStyle w:val="23"/>
              <w:spacing w:line="600" w:lineRule="exact"/>
              <w:rPr>
                <w:rFonts w:hint="eastAsia" w:ascii="宋体" w:hAnsi="宋体" w:eastAsia="宋体" w:cs="宋体"/>
                <w:color w:val="auto"/>
                <w:highlight w:val="none"/>
              </w:rPr>
            </w:pPr>
          </w:p>
        </w:tc>
        <w:tc>
          <w:tcPr>
            <w:tcW w:w="2256" w:type="dxa"/>
          </w:tcPr>
          <w:p w14:paraId="45B98B1B">
            <w:pPr>
              <w:pStyle w:val="23"/>
              <w:spacing w:line="600" w:lineRule="exact"/>
              <w:rPr>
                <w:rFonts w:hint="eastAsia" w:ascii="宋体" w:hAnsi="宋体" w:eastAsia="宋体" w:cs="宋体"/>
                <w:color w:val="auto"/>
                <w:highlight w:val="none"/>
              </w:rPr>
            </w:pPr>
          </w:p>
        </w:tc>
        <w:tc>
          <w:tcPr>
            <w:tcW w:w="2315" w:type="dxa"/>
          </w:tcPr>
          <w:p w14:paraId="3268BA77">
            <w:pPr>
              <w:pStyle w:val="23"/>
              <w:spacing w:line="600" w:lineRule="exact"/>
              <w:rPr>
                <w:rFonts w:hint="eastAsia" w:ascii="宋体" w:hAnsi="宋体" w:eastAsia="宋体" w:cs="宋体"/>
                <w:color w:val="auto"/>
                <w:highlight w:val="none"/>
              </w:rPr>
            </w:pPr>
          </w:p>
        </w:tc>
      </w:tr>
      <w:tr w14:paraId="0D66C54F">
        <w:tc>
          <w:tcPr>
            <w:tcW w:w="505" w:type="dxa"/>
          </w:tcPr>
          <w:p w14:paraId="0F1AE9A9">
            <w:pPr>
              <w:pStyle w:val="23"/>
              <w:spacing w:line="600" w:lineRule="exact"/>
              <w:rPr>
                <w:rFonts w:hint="eastAsia" w:ascii="宋体" w:hAnsi="宋体" w:eastAsia="宋体" w:cs="宋体"/>
                <w:color w:val="auto"/>
                <w:highlight w:val="none"/>
              </w:rPr>
            </w:pPr>
          </w:p>
        </w:tc>
        <w:tc>
          <w:tcPr>
            <w:tcW w:w="1721" w:type="dxa"/>
          </w:tcPr>
          <w:p w14:paraId="35CFC658">
            <w:pPr>
              <w:pStyle w:val="23"/>
              <w:spacing w:line="600" w:lineRule="exact"/>
              <w:rPr>
                <w:rFonts w:hint="eastAsia" w:ascii="宋体" w:hAnsi="宋体" w:eastAsia="宋体" w:cs="宋体"/>
                <w:color w:val="auto"/>
                <w:highlight w:val="none"/>
              </w:rPr>
            </w:pPr>
          </w:p>
        </w:tc>
        <w:tc>
          <w:tcPr>
            <w:tcW w:w="2274" w:type="dxa"/>
          </w:tcPr>
          <w:p w14:paraId="3D100255">
            <w:pPr>
              <w:pStyle w:val="23"/>
              <w:spacing w:line="600" w:lineRule="exact"/>
              <w:rPr>
                <w:rFonts w:hint="eastAsia" w:ascii="宋体" w:hAnsi="宋体" w:eastAsia="宋体" w:cs="宋体"/>
                <w:color w:val="auto"/>
                <w:highlight w:val="none"/>
              </w:rPr>
            </w:pPr>
          </w:p>
        </w:tc>
        <w:tc>
          <w:tcPr>
            <w:tcW w:w="2256" w:type="dxa"/>
          </w:tcPr>
          <w:p w14:paraId="296A8795">
            <w:pPr>
              <w:pStyle w:val="23"/>
              <w:spacing w:line="600" w:lineRule="exact"/>
              <w:rPr>
                <w:rFonts w:hint="eastAsia" w:ascii="宋体" w:hAnsi="宋体" w:eastAsia="宋体" w:cs="宋体"/>
                <w:color w:val="auto"/>
                <w:highlight w:val="none"/>
              </w:rPr>
            </w:pPr>
          </w:p>
        </w:tc>
        <w:tc>
          <w:tcPr>
            <w:tcW w:w="2315" w:type="dxa"/>
          </w:tcPr>
          <w:p w14:paraId="1DBBC931">
            <w:pPr>
              <w:pStyle w:val="23"/>
              <w:spacing w:line="600" w:lineRule="exact"/>
              <w:rPr>
                <w:rFonts w:hint="eastAsia" w:ascii="宋体" w:hAnsi="宋体" w:eastAsia="宋体" w:cs="宋体"/>
                <w:color w:val="auto"/>
                <w:highlight w:val="none"/>
              </w:rPr>
            </w:pPr>
          </w:p>
        </w:tc>
      </w:tr>
      <w:tr w14:paraId="14AD9E37">
        <w:tc>
          <w:tcPr>
            <w:tcW w:w="505" w:type="dxa"/>
          </w:tcPr>
          <w:p w14:paraId="5711DD43">
            <w:pPr>
              <w:pStyle w:val="23"/>
              <w:spacing w:line="600" w:lineRule="exact"/>
              <w:rPr>
                <w:rFonts w:hint="eastAsia" w:ascii="宋体" w:hAnsi="宋体" w:eastAsia="宋体" w:cs="宋体"/>
                <w:color w:val="auto"/>
                <w:highlight w:val="none"/>
              </w:rPr>
            </w:pPr>
          </w:p>
        </w:tc>
        <w:tc>
          <w:tcPr>
            <w:tcW w:w="1721" w:type="dxa"/>
          </w:tcPr>
          <w:p w14:paraId="30EE4A3B">
            <w:pPr>
              <w:pStyle w:val="23"/>
              <w:spacing w:line="600" w:lineRule="exact"/>
              <w:rPr>
                <w:rFonts w:hint="eastAsia" w:ascii="宋体" w:hAnsi="宋体" w:eastAsia="宋体" w:cs="宋体"/>
                <w:color w:val="auto"/>
                <w:highlight w:val="none"/>
              </w:rPr>
            </w:pPr>
          </w:p>
        </w:tc>
        <w:tc>
          <w:tcPr>
            <w:tcW w:w="2274" w:type="dxa"/>
          </w:tcPr>
          <w:p w14:paraId="56054B79">
            <w:pPr>
              <w:pStyle w:val="23"/>
              <w:spacing w:line="600" w:lineRule="exact"/>
              <w:rPr>
                <w:rFonts w:hint="eastAsia" w:ascii="宋体" w:hAnsi="宋体" w:eastAsia="宋体" w:cs="宋体"/>
                <w:color w:val="auto"/>
                <w:highlight w:val="none"/>
              </w:rPr>
            </w:pPr>
          </w:p>
        </w:tc>
        <w:tc>
          <w:tcPr>
            <w:tcW w:w="2256" w:type="dxa"/>
          </w:tcPr>
          <w:p w14:paraId="1BC0F2CA">
            <w:pPr>
              <w:pStyle w:val="23"/>
              <w:spacing w:line="600" w:lineRule="exact"/>
              <w:rPr>
                <w:rFonts w:hint="eastAsia" w:ascii="宋体" w:hAnsi="宋体" w:eastAsia="宋体" w:cs="宋体"/>
                <w:color w:val="auto"/>
                <w:highlight w:val="none"/>
              </w:rPr>
            </w:pPr>
          </w:p>
        </w:tc>
        <w:tc>
          <w:tcPr>
            <w:tcW w:w="2315" w:type="dxa"/>
          </w:tcPr>
          <w:p w14:paraId="4DB5380B">
            <w:pPr>
              <w:pStyle w:val="23"/>
              <w:spacing w:line="600" w:lineRule="exact"/>
              <w:rPr>
                <w:rFonts w:hint="eastAsia" w:ascii="宋体" w:hAnsi="宋体" w:eastAsia="宋体" w:cs="宋体"/>
                <w:color w:val="auto"/>
                <w:highlight w:val="none"/>
              </w:rPr>
            </w:pPr>
          </w:p>
        </w:tc>
      </w:tr>
      <w:tr w14:paraId="1978E7D0">
        <w:tc>
          <w:tcPr>
            <w:tcW w:w="505" w:type="dxa"/>
          </w:tcPr>
          <w:p w14:paraId="6CB178A5">
            <w:pPr>
              <w:pStyle w:val="23"/>
              <w:spacing w:line="600" w:lineRule="exact"/>
              <w:rPr>
                <w:rFonts w:hint="eastAsia" w:ascii="宋体" w:hAnsi="宋体" w:eastAsia="宋体" w:cs="宋体"/>
                <w:color w:val="auto"/>
                <w:highlight w:val="none"/>
              </w:rPr>
            </w:pPr>
          </w:p>
        </w:tc>
        <w:tc>
          <w:tcPr>
            <w:tcW w:w="1721" w:type="dxa"/>
          </w:tcPr>
          <w:p w14:paraId="56FA7E35">
            <w:pPr>
              <w:pStyle w:val="23"/>
              <w:spacing w:line="600" w:lineRule="exact"/>
              <w:rPr>
                <w:rFonts w:hint="eastAsia" w:ascii="宋体" w:hAnsi="宋体" w:eastAsia="宋体" w:cs="宋体"/>
                <w:color w:val="auto"/>
                <w:highlight w:val="none"/>
              </w:rPr>
            </w:pPr>
          </w:p>
        </w:tc>
        <w:tc>
          <w:tcPr>
            <w:tcW w:w="2274" w:type="dxa"/>
          </w:tcPr>
          <w:p w14:paraId="0671D881">
            <w:pPr>
              <w:pStyle w:val="23"/>
              <w:spacing w:line="600" w:lineRule="exact"/>
              <w:rPr>
                <w:rFonts w:hint="eastAsia" w:ascii="宋体" w:hAnsi="宋体" w:eastAsia="宋体" w:cs="宋体"/>
                <w:color w:val="auto"/>
                <w:highlight w:val="none"/>
              </w:rPr>
            </w:pPr>
          </w:p>
        </w:tc>
        <w:tc>
          <w:tcPr>
            <w:tcW w:w="2256" w:type="dxa"/>
          </w:tcPr>
          <w:p w14:paraId="478BC3B4">
            <w:pPr>
              <w:pStyle w:val="23"/>
              <w:spacing w:line="600" w:lineRule="exact"/>
              <w:rPr>
                <w:rFonts w:hint="eastAsia" w:ascii="宋体" w:hAnsi="宋体" w:eastAsia="宋体" w:cs="宋体"/>
                <w:color w:val="auto"/>
                <w:highlight w:val="none"/>
              </w:rPr>
            </w:pPr>
          </w:p>
        </w:tc>
        <w:tc>
          <w:tcPr>
            <w:tcW w:w="2315" w:type="dxa"/>
          </w:tcPr>
          <w:p w14:paraId="5E4BF39B">
            <w:pPr>
              <w:pStyle w:val="23"/>
              <w:spacing w:line="600" w:lineRule="exact"/>
              <w:rPr>
                <w:rFonts w:hint="eastAsia" w:ascii="宋体" w:hAnsi="宋体" w:eastAsia="宋体" w:cs="宋体"/>
                <w:color w:val="auto"/>
                <w:highlight w:val="none"/>
              </w:rPr>
            </w:pPr>
          </w:p>
        </w:tc>
      </w:tr>
      <w:tr w14:paraId="1F03414B">
        <w:tc>
          <w:tcPr>
            <w:tcW w:w="505" w:type="dxa"/>
          </w:tcPr>
          <w:p w14:paraId="194EF757">
            <w:pPr>
              <w:pStyle w:val="23"/>
              <w:spacing w:line="600" w:lineRule="exact"/>
              <w:rPr>
                <w:rFonts w:hint="eastAsia" w:ascii="宋体" w:hAnsi="宋体" w:eastAsia="宋体" w:cs="宋体"/>
                <w:color w:val="auto"/>
                <w:highlight w:val="none"/>
              </w:rPr>
            </w:pPr>
          </w:p>
        </w:tc>
        <w:tc>
          <w:tcPr>
            <w:tcW w:w="1721" w:type="dxa"/>
          </w:tcPr>
          <w:p w14:paraId="2BEAA51F">
            <w:pPr>
              <w:pStyle w:val="23"/>
              <w:spacing w:line="600" w:lineRule="exact"/>
              <w:rPr>
                <w:rFonts w:hint="eastAsia" w:ascii="宋体" w:hAnsi="宋体" w:eastAsia="宋体" w:cs="宋体"/>
                <w:color w:val="auto"/>
                <w:highlight w:val="none"/>
              </w:rPr>
            </w:pPr>
          </w:p>
        </w:tc>
        <w:tc>
          <w:tcPr>
            <w:tcW w:w="2274" w:type="dxa"/>
          </w:tcPr>
          <w:p w14:paraId="09F7A735">
            <w:pPr>
              <w:pStyle w:val="23"/>
              <w:spacing w:line="600" w:lineRule="exact"/>
              <w:rPr>
                <w:rFonts w:hint="eastAsia" w:ascii="宋体" w:hAnsi="宋体" w:eastAsia="宋体" w:cs="宋体"/>
                <w:color w:val="auto"/>
                <w:highlight w:val="none"/>
              </w:rPr>
            </w:pPr>
          </w:p>
        </w:tc>
        <w:tc>
          <w:tcPr>
            <w:tcW w:w="2256" w:type="dxa"/>
          </w:tcPr>
          <w:p w14:paraId="36A95713">
            <w:pPr>
              <w:pStyle w:val="23"/>
              <w:spacing w:line="600" w:lineRule="exact"/>
              <w:rPr>
                <w:rFonts w:hint="eastAsia" w:ascii="宋体" w:hAnsi="宋体" w:eastAsia="宋体" w:cs="宋体"/>
                <w:color w:val="auto"/>
                <w:highlight w:val="none"/>
              </w:rPr>
            </w:pPr>
          </w:p>
        </w:tc>
        <w:tc>
          <w:tcPr>
            <w:tcW w:w="2315" w:type="dxa"/>
          </w:tcPr>
          <w:p w14:paraId="51977AF0">
            <w:pPr>
              <w:pStyle w:val="23"/>
              <w:spacing w:line="600" w:lineRule="exact"/>
              <w:rPr>
                <w:rFonts w:hint="eastAsia" w:ascii="宋体" w:hAnsi="宋体" w:eastAsia="宋体" w:cs="宋体"/>
                <w:color w:val="auto"/>
                <w:highlight w:val="none"/>
              </w:rPr>
            </w:pPr>
          </w:p>
        </w:tc>
      </w:tr>
      <w:tr w14:paraId="1CDC621A">
        <w:tc>
          <w:tcPr>
            <w:tcW w:w="505" w:type="dxa"/>
          </w:tcPr>
          <w:p w14:paraId="1C6FFB95">
            <w:pPr>
              <w:pStyle w:val="23"/>
              <w:spacing w:line="600" w:lineRule="exact"/>
              <w:rPr>
                <w:rFonts w:hint="eastAsia" w:ascii="宋体" w:hAnsi="宋体" w:eastAsia="宋体" w:cs="宋体"/>
                <w:color w:val="auto"/>
                <w:highlight w:val="none"/>
              </w:rPr>
            </w:pPr>
          </w:p>
        </w:tc>
        <w:tc>
          <w:tcPr>
            <w:tcW w:w="1721" w:type="dxa"/>
          </w:tcPr>
          <w:p w14:paraId="440DE9BB">
            <w:pPr>
              <w:pStyle w:val="23"/>
              <w:spacing w:line="600" w:lineRule="exact"/>
              <w:rPr>
                <w:rFonts w:hint="eastAsia" w:ascii="宋体" w:hAnsi="宋体" w:eastAsia="宋体" w:cs="宋体"/>
                <w:color w:val="auto"/>
                <w:highlight w:val="none"/>
              </w:rPr>
            </w:pPr>
          </w:p>
        </w:tc>
        <w:tc>
          <w:tcPr>
            <w:tcW w:w="2274" w:type="dxa"/>
          </w:tcPr>
          <w:p w14:paraId="449DAB1F">
            <w:pPr>
              <w:pStyle w:val="23"/>
              <w:spacing w:line="600" w:lineRule="exact"/>
              <w:rPr>
                <w:rFonts w:hint="eastAsia" w:ascii="宋体" w:hAnsi="宋体" w:eastAsia="宋体" w:cs="宋体"/>
                <w:color w:val="auto"/>
                <w:highlight w:val="none"/>
              </w:rPr>
            </w:pPr>
          </w:p>
        </w:tc>
        <w:tc>
          <w:tcPr>
            <w:tcW w:w="2256" w:type="dxa"/>
          </w:tcPr>
          <w:p w14:paraId="7BD05B00">
            <w:pPr>
              <w:pStyle w:val="23"/>
              <w:spacing w:line="600" w:lineRule="exact"/>
              <w:rPr>
                <w:rFonts w:hint="eastAsia" w:ascii="宋体" w:hAnsi="宋体" w:eastAsia="宋体" w:cs="宋体"/>
                <w:color w:val="auto"/>
                <w:highlight w:val="none"/>
              </w:rPr>
            </w:pPr>
          </w:p>
        </w:tc>
        <w:tc>
          <w:tcPr>
            <w:tcW w:w="2315" w:type="dxa"/>
          </w:tcPr>
          <w:p w14:paraId="1BD8492E">
            <w:pPr>
              <w:pStyle w:val="23"/>
              <w:spacing w:line="600" w:lineRule="exact"/>
              <w:rPr>
                <w:rFonts w:hint="eastAsia" w:ascii="宋体" w:hAnsi="宋体" w:eastAsia="宋体" w:cs="宋体"/>
                <w:color w:val="auto"/>
                <w:highlight w:val="none"/>
              </w:rPr>
            </w:pPr>
          </w:p>
        </w:tc>
      </w:tr>
      <w:tr w14:paraId="3F905FB8">
        <w:tc>
          <w:tcPr>
            <w:tcW w:w="505" w:type="dxa"/>
          </w:tcPr>
          <w:p w14:paraId="48BE8B69">
            <w:pPr>
              <w:pStyle w:val="23"/>
              <w:spacing w:line="600" w:lineRule="exact"/>
              <w:rPr>
                <w:rFonts w:hint="eastAsia" w:ascii="宋体" w:hAnsi="宋体" w:eastAsia="宋体" w:cs="宋体"/>
                <w:color w:val="auto"/>
                <w:highlight w:val="none"/>
              </w:rPr>
            </w:pPr>
          </w:p>
        </w:tc>
        <w:tc>
          <w:tcPr>
            <w:tcW w:w="1721" w:type="dxa"/>
          </w:tcPr>
          <w:p w14:paraId="7D52ECCB">
            <w:pPr>
              <w:pStyle w:val="23"/>
              <w:spacing w:line="600" w:lineRule="exact"/>
              <w:rPr>
                <w:rFonts w:hint="eastAsia" w:ascii="宋体" w:hAnsi="宋体" w:eastAsia="宋体" w:cs="宋体"/>
                <w:color w:val="auto"/>
                <w:highlight w:val="none"/>
              </w:rPr>
            </w:pPr>
          </w:p>
        </w:tc>
        <w:tc>
          <w:tcPr>
            <w:tcW w:w="2274" w:type="dxa"/>
          </w:tcPr>
          <w:p w14:paraId="4E82968C">
            <w:pPr>
              <w:pStyle w:val="23"/>
              <w:spacing w:line="600" w:lineRule="exact"/>
              <w:rPr>
                <w:rFonts w:hint="eastAsia" w:ascii="宋体" w:hAnsi="宋体" w:eastAsia="宋体" w:cs="宋体"/>
                <w:color w:val="auto"/>
                <w:highlight w:val="none"/>
              </w:rPr>
            </w:pPr>
          </w:p>
        </w:tc>
        <w:tc>
          <w:tcPr>
            <w:tcW w:w="2256" w:type="dxa"/>
          </w:tcPr>
          <w:p w14:paraId="2BB574D5">
            <w:pPr>
              <w:pStyle w:val="23"/>
              <w:spacing w:line="600" w:lineRule="exact"/>
              <w:rPr>
                <w:rFonts w:hint="eastAsia" w:ascii="宋体" w:hAnsi="宋体" w:eastAsia="宋体" w:cs="宋体"/>
                <w:color w:val="auto"/>
                <w:highlight w:val="none"/>
              </w:rPr>
            </w:pPr>
          </w:p>
        </w:tc>
        <w:tc>
          <w:tcPr>
            <w:tcW w:w="2315" w:type="dxa"/>
          </w:tcPr>
          <w:p w14:paraId="21810612">
            <w:pPr>
              <w:pStyle w:val="23"/>
              <w:spacing w:line="600" w:lineRule="exact"/>
              <w:rPr>
                <w:rFonts w:hint="eastAsia" w:ascii="宋体" w:hAnsi="宋体" w:eastAsia="宋体" w:cs="宋体"/>
                <w:color w:val="auto"/>
                <w:highlight w:val="none"/>
              </w:rPr>
            </w:pPr>
          </w:p>
        </w:tc>
      </w:tr>
      <w:tr w14:paraId="00E9EB1A">
        <w:tc>
          <w:tcPr>
            <w:tcW w:w="505" w:type="dxa"/>
          </w:tcPr>
          <w:p w14:paraId="1BBDC4A9">
            <w:pPr>
              <w:pStyle w:val="23"/>
              <w:spacing w:line="600" w:lineRule="exact"/>
              <w:rPr>
                <w:rFonts w:hint="eastAsia" w:ascii="宋体" w:hAnsi="宋体" w:eastAsia="宋体" w:cs="宋体"/>
                <w:color w:val="auto"/>
                <w:highlight w:val="none"/>
              </w:rPr>
            </w:pPr>
          </w:p>
        </w:tc>
        <w:tc>
          <w:tcPr>
            <w:tcW w:w="1721" w:type="dxa"/>
          </w:tcPr>
          <w:p w14:paraId="2C0FACF7">
            <w:pPr>
              <w:pStyle w:val="23"/>
              <w:spacing w:line="600" w:lineRule="exact"/>
              <w:rPr>
                <w:rFonts w:hint="eastAsia" w:ascii="宋体" w:hAnsi="宋体" w:eastAsia="宋体" w:cs="宋体"/>
                <w:color w:val="auto"/>
                <w:highlight w:val="none"/>
              </w:rPr>
            </w:pPr>
          </w:p>
        </w:tc>
        <w:tc>
          <w:tcPr>
            <w:tcW w:w="2274" w:type="dxa"/>
          </w:tcPr>
          <w:p w14:paraId="2DC92E6E">
            <w:pPr>
              <w:pStyle w:val="23"/>
              <w:spacing w:line="600" w:lineRule="exact"/>
              <w:rPr>
                <w:rFonts w:hint="eastAsia" w:ascii="宋体" w:hAnsi="宋体" w:eastAsia="宋体" w:cs="宋体"/>
                <w:color w:val="auto"/>
                <w:highlight w:val="none"/>
              </w:rPr>
            </w:pPr>
          </w:p>
        </w:tc>
        <w:tc>
          <w:tcPr>
            <w:tcW w:w="2256" w:type="dxa"/>
          </w:tcPr>
          <w:p w14:paraId="5230E234">
            <w:pPr>
              <w:pStyle w:val="23"/>
              <w:spacing w:line="600" w:lineRule="exact"/>
              <w:rPr>
                <w:rFonts w:hint="eastAsia" w:ascii="宋体" w:hAnsi="宋体" w:eastAsia="宋体" w:cs="宋体"/>
                <w:color w:val="auto"/>
                <w:highlight w:val="none"/>
              </w:rPr>
            </w:pPr>
          </w:p>
        </w:tc>
        <w:tc>
          <w:tcPr>
            <w:tcW w:w="2315" w:type="dxa"/>
          </w:tcPr>
          <w:p w14:paraId="164EEE49">
            <w:pPr>
              <w:pStyle w:val="23"/>
              <w:spacing w:line="600" w:lineRule="exact"/>
              <w:rPr>
                <w:rFonts w:hint="eastAsia" w:ascii="宋体" w:hAnsi="宋体" w:eastAsia="宋体" w:cs="宋体"/>
                <w:color w:val="auto"/>
                <w:highlight w:val="none"/>
              </w:rPr>
            </w:pPr>
          </w:p>
        </w:tc>
      </w:tr>
    </w:tbl>
    <w:p w14:paraId="48F3442A">
      <w:pPr>
        <w:pStyle w:val="23"/>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注：“偏离”系指“正偏离”、“负偏离”或“无偏离”。</w:t>
      </w:r>
    </w:p>
    <w:p w14:paraId="693F1275">
      <w:pPr>
        <w:pStyle w:val="23"/>
        <w:spacing w:line="600" w:lineRule="exact"/>
        <w:rPr>
          <w:rFonts w:hint="eastAsia" w:ascii="宋体" w:hAnsi="宋体" w:eastAsia="宋体" w:cs="宋体"/>
          <w:color w:val="auto"/>
          <w:highlight w:val="none"/>
        </w:rPr>
      </w:pPr>
      <w:r>
        <w:rPr>
          <w:rFonts w:hint="eastAsia" w:ascii="宋体" w:hAnsi="宋体" w:eastAsia="宋体" w:cs="宋体"/>
          <w:b/>
          <w:color w:val="auto"/>
          <w:highlight w:val="none"/>
        </w:rPr>
        <w:t>注：如无偏差，供应商不需要填表，但应声明：</w:t>
      </w:r>
      <w:r>
        <w:rPr>
          <w:rFonts w:hint="eastAsia" w:ascii="宋体" w:hAnsi="宋体" w:eastAsia="宋体" w:cs="宋体"/>
          <w:b/>
          <w:color w:val="auto"/>
          <w:sz w:val="32"/>
          <w:highlight w:val="none"/>
        </w:rPr>
        <w:t>“本响应文件完全响应磋商文件所有条款的要求，无偏差。”</w:t>
      </w:r>
      <w:bookmarkEnd w:id="983"/>
    </w:p>
    <w:p w14:paraId="498D83B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99DA250">
      <w:pPr>
        <w:tabs>
          <w:tab w:val="left" w:pos="0"/>
        </w:tabs>
        <w:rPr>
          <w:rFonts w:hint="eastAsia" w:ascii="宋体" w:hAnsi="宋体" w:eastAsia="宋体" w:cs="宋体"/>
          <w:color w:val="auto"/>
          <w:highlight w:val="none"/>
        </w:rPr>
      </w:pPr>
      <w:bookmarkStart w:id="986" w:name="_Toc34335351"/>
      <w:bookmarkStart w:id="987" w:name="_Toc80867971"/>
      <w:bookmarkStart w:id="988" w:name="_Toc502909070"/>
      <w:bookmarkStart w:id="989" w:name="_Hlk502068481"/>
    </w:p>
    <w:p w14:paraId="6C7B8C3E">
      <w:pPr>
        <w:pStyle w:val="4"/>
        <w:rPr>
          <w:rFonts w:hint="eastAsia" w:ascii="宋体" w:hAnsi="宋体" w:eastAsia="宋体" w:cs="宋体"/>
          <w:color w:val="auto"/>
          <w:highlight w:val="none"/>
        </w:rPr>
      </w:pPr>
      <w:bookmarkStart w:id="990" w:name="_Toc57310880"/>
      <w:r>
        <w:rPr>
          <w:rFonts w:hint="eastAsia" w:ascii="宋体" w:hAnsi="宋体" w:eastAsia="宋体" w:cs="宋体"/>
          <w:color w:val="auto"/>
          <w:highlight w:val="none"/>
        </w:rPr>
        <w:t>中小企业声明函（工程）</w:t>
      </w:r>
      <w:bookmarkEnd w:id="990"/>
    </w:p>
    <w:p w14:paraId="5AA60121">
      <w:pPr>
        <w:spacing w:line="360" w:lineRule="auto"/>
        <w:ind w:right="415" w:firstLine="412"/>
        <w:jc w:val="center"/>
        <w:rPr>
          <w:rFonts w:hint="eastAsia"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（供应商参与本项目不符合或不享受财库〔2020〕46号规定的中小企业扶持政策的，</w:t>
      </w:r>
      <w:r>
        <w:rPr>
          <w:rFonts w:hint="eastAsia" w:ascii="宋体" w:hAnsi="宋体" w:eastAsia="宋体" w:cs="宋体"/>
          <w:color w:val="auto"/>
          <w:sz w:val="18"/>
          <w:szCs w:val="18"/>
          <w:highlight w:val="none"/>
        </w:rPr>
        <w:t>无需填写及提供</w:t>
      </w:r>
      <w:r>
        <w:rPr>
          <w:rFonts w:hint="eastAsia" w:ascii="宋体" w:hAnsi="宋体" w:eastAsia="宋体" w:cs="宋体"/>
          <w:color w:val="auto"/>
          <w:spacing w:val="-2"/>
          <w:sz w:val="18"/>
          <w:szCs w:val="18"/>
          <w:highlight w:val="none"/>
        </w:rPr>
        <w:t>）</w:t>
      </w:r>
    </w:p>
    <w:p w14:paraId="607957E1">
      <w:pPr>
        <w:pStyle w:val="18"/>
        <w:spacing w:after="0" w:line="360" w:lineRule="auto"/>
        <w:ind w:right="415"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本</w:t>
      </w:r>
      <w:r>
        <w:rPr>
          <w:rFonts w:hint="eastAsia" w:ascii="宋体" w:hAnsi="宋体" w:eastAsia="宋体" w:cs="宋体"/>
          <w:color w:val="auto"/>
          <w:spacing w:val="-2"/>
          <w:sz w:val="21"/>
          <w:szCs w:val="21"/>
          <w:highlight w:val="none"/>
          <w:u w:val="single"/>
        </w:rPr>
        <w:t>公司</w:t>
      </w:r>
      <w:r>
        <w:rPr>
          <w:rFonts w:hint="eastAsia" w:ascii="宋体" w:hAnsi="宋体" w:eastAsia="宋体" w:cs="宋体"/>
          <w:color w:val="auto"/>
          <w:spacing w:val="-2"/>
          <w:sz w:val="21"/>
          <w:szCs w:val="21"/>
          <w:highlight w:val="none"/>
        </w:rPr>
        <w:t>郑重声明，根据《政府采购促进中小</w:t>
      </w:r>
      <w:r>
        <w:rPr>
          <w:rFonts w:hint="eastAsia" w:ascii="宋体" w:hAnsi="宋体" w:eastAsia="宋体" w:cs="宋体"/>
          <w:color w:val="auto"/>
          <w:spacing w:val="-18"/>
          <w:sz w:val="21"/>
          <w:szCs w:val="21"/>
          <w:highlight w:val="none"/>
        </w:rPr>
        <w:t>企业发展管理办法》</w:t>
      </w:r>
      <w:r>
        <w:rPr>
          <w:rFonts w:hint="eastAsia" w:ascii="宋体" w:hAnsi="宋体" w:eastAsia="宋体" w:cs="宋体"/>
          <w:color w:val="auto"/>
          <w:sz w:val="21"/>
          <w:szCs w:val="21"/>
          <w:highlight w:val="none"/>
        </w:rPr>
        <w:t>（</w:t>
      </w:r>
      <w:r>
        <w:rPr>
          <w:rFonts w:hint="eastAsia" w:ascii="宋体" w:hAnsi="宋体" w:eastAsia="宋体" w:cs="宋体"/>
          <w:color w:val="auto"/>
          <w:spacing w:val="5"/>
          <w:sz w:val="21"/>
          <w:szCs w:val="21"/>
          <w:highlight w:val="none"/>
        </w:rPr>
        <w:t>财库</w:t>
      </w:r>
      <w:r>
        <w:rPr>
          <w:rFonts w:hint="eastAsia" w:ascii="宋体" w:hAnsi="宋体" w:eastAsia="宋体" w:cs="宋体"/>
          <w:color w:val="auto"/>
          <w:sz w:val="21"/>
          <w:szCs w:val="21"/>
          <w:highlight w:val="none"/>
        </w:rPr>
        <w:t>﹝2020﹞46</w:t>
      </w:r>
      <w:r>
        <w:rPr>
          <w:rFonts w:hint="eastAsia" w:ascii="宋体" w:hAnsi="宋体" w:eastAsia="宋体" w:cs="宋体"/>
          <w:color w:val="auto"/>
          <w:spacing w:val="-38"/>
          <w:sz w:val="21"/>
          <w:szCs w:val="21"/>
          <w:highlight w:val="none"/>
        </w:rPr>
        <w:t xml:space="preserve"> 号</w:t>
      </w:r>
      <w:r>
        <w:rPr>
          <w:rFonts w:hint="eastAsia" w:ascii="宋体" w:hAnsi="宋体" w:eastAsia="宋体" w:cs="宋体"/>
          <w:color w:val="auto"/>
          <w:spacing w:val="5"/>
          <w:sz w:val="21"/>
          <w:szCs w:val="21"/>
          <w:highlight w:val="none"/>
        </w:rPr>
        <w:t>）</w:t>
      </w:r>
      <w:r>
        <w:rPr>
          <w:rFonts w:hint="eastAsia" w:ascii="宋体" w:hAnsi="宋体" w:eastAsia="宋体" w:cs="宋体"/>
          <w:color w:val="auto"/>
          <w:sz w:val="21"/>
          <w:szCs w:val="21"/>
          <w:highlight w:val="none"/>
        </w:rPr>
        <w:t>的规定，本</w:t>
      </w:r>
      <w:r>
        <w:rPr>
          <w:rFonts w:hint="eastAsia" w:ascii="宋体" w:hAnsi="宋体" w:eastAsia="宋体" w:cs="宋体"/>
          <w:color w:val="auto"/>
          <w:spacing w:val="-2"/>
          <w:sz w:val="21"/>
          <w:szCs w:val="21"/>
          <w:highlight w:val="none"/>
          <w:u w:val="single"/>
        </w:rPr>
        <w:t>公司</w:t>
      </w:r>
      <w:r>
        <w:rPr>
          <w:rFonts w:hint="eastAsia" w:ascii="宋体" w:hAnsi="宋体" w:eastAsia="宋体" w:cs="宋体"/>
          <w:color w:val="auto"/>
          <w:spacing w:val="-2"/>
          <w:sz w:val="21"/>
          <w:szCs w:val="21"/>
          <w:highlight w:val="none"/>
        </w:rPr>
        <w:t>参加</w:t>
      </w:r>
      <w:r>
        <w:rPr>
          <w:rFonts w:hint="eastAsia" w:ascii="宋体" w:hAnsi="宋体" w:eastAsia="宋体" w:cs="宋体"/>
          <w:b/>
          <w:color w:val="auto"/>
          <w:spacing w:val="-2"/>
          <w:sz w:val="21"/>
          <w:szCs w:val="21"/>
          <w:highlight w:val="none"/>
          <w:u w:val="single"/>
        </w:rPr>
        <w:t>（单位名称）</w:t>
      </w:r>
      <w:r>
        <w:rPr>
          <w:rFonts w:hint="eastAsia" w:ascii="宋体" w:hAnsi="宋体" w:eastAsia="宋体" w:cs="宋体"/>
          <w:color w:val="auto"/>
          <w:spacing w:val="-2"/>
          <w:sz w:val="21"/>
          <w:szCs w:val="21"/>
          <w:highlight w:val="none"/>
        </w:rPr>
        <w:t>的</w:t>
      </w:r>
      <w:r>
        <w:rPr>
          <w:rFonts w:hint="eastAsia" w:ascii="宋体" w:hAnsi="宋体" w:eastAsia="宋体" w:cs="宋体"/>
          <w:b/>
          <w:color w:val="auto"/>
          <w:spacing w:val="-2"/>
          <w:sz w:val="21"/>
          <w:szCs w:val="21"/>
          <w:highlight w:val="none"/>
          <w:u w:val="single"/>
        </w:rPr>
        <w:t>（项目名称）</w:t>
      </w:r>
      <w:r>
        <w:rPr>
          <w:rFonts w:hint="eastAsia" w:ascii="宋体" w:hAnsi="宋体" w:eastAsia="宋体" w:cs="宋体"/>
          <w:color w:val="auto"/>
          <w:spacing w:val="-2"/>
          <w:sz w:val="21"/>
          <w:szCs w:val="21"/>
          <w:highlight w:val="none"/>
        </w:rPr>
        <w:t>采购活动，工程的施工单位全部为符合政策要求的中小企业。相关企业的具体情况如下：</w:t>
      </w:r>
    </w:p>
    <w:p w14:paraId="73B6B999">
      <w:pPr>
        <w:pStyle w:val="18"/>
        <w:spacing w:after="0" w:line="360" w:lineRule="auto"/>
        <w:ind w:right="415" w:firstLine="412" w:firstLineChars="200"/>
        <w:rPr>
          <w:rFonts w:hint="eastAsia" w:ascii="宋体" w:hAnsi="宋体" w:eastAsia="宋体" w:cs="宋体"/>
          <w:color w:val="auto"/>
          <w:spacing w:val="5"/>
          <w:sz w:val="21"/>
          <w:szCs w:val="21"/>
          <w:highlight w:val="none"/>
        </w:rPr>
      </w:pPr>
      <w:r>
        <w:rPr>
          <w:rFonts w:hint="eastAsia" w:ascii="宋体" w:hAnsi="宋体" w:eastAsia="宋体" w:cs="宋体"/>
          <w:color w:val="auto"/>
          <w:spacing w:val="-2"/>
          <w:sz w:val="21"/>
          <w:szCs w:val="21"/>
          <w:highlight w:val="none"/>
        </w:rPr>
        <w:t>1.</w:t>
      </w:r>
      <w:r>
        <w:rPr>
          <w:rFonts w:hint="eastAsia" w:ascii="宋体" w:hAnsi="宋体" w:eastAsia="宋体" w:cs="宋体"/>
          <w:b/>
          <w:color w:val="auto"/>
          <w:spacing w:val="-2"/>
          <w:sz w:val="21"/>
          <w:szCs w:val="21"/>
          <w:highlight w:val="none"/>
          <w:u w:val="single"/>
        </w:rPr>
        <w:t>（标的名称）</w:t>
      </w:r>
      <w:r>
        <w:rPr>
          <w:rFonts w:hint="eastAsia" w:ascii="宋体" w:hAnsi="宋体" w:eastAsia="宋体" w:cs="宋体"/>
          <w:color w:val="auto"/>
          <w:spacing w:val="-2"/>
          <w:sz w:val="21"/>
          <w:szCs w:val="21"/>
          <w:highlight w:val="none"/>
        </w:rPr>
        <w:t>，属于</w:t>
      </w:r>
      <w:r>
        <w:rPr>
          <w:rFonts w:hint="eastAsia" w:ascii="宋体" w:hAnsi="宋体" w:eastAsia="宋体" w:cs="宋体"/>
          <w:b/>
          <w:color w:val="auto"/>
          <w:spacing w:val="-2"/>
          <w:sz w:val="21"/>
          <w:szCs w:val="21"/>
          <w:highlight w:val="none"/>
          <w:u w:val="single"/>
        </w:rPr>
        <w:t>建筑业</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5"/>
          <w:sz w:val="21"/>
          <w:szCs w:val="21"/>
          <w:highlight w:val="none"/>
        </w:rPr>
        <w:t>承建企业为</w:t>
      </w:r>
      <w:r>
        <w:rPr>
          <w:rFonts w:hint="eastAsia" w:ascii="宋体" w:hAnsi="宋体" w:eastAsia="宋体" w:cs="宋体"/>
          <w:b/>
          <w:color w:val="auto"/>
          <w:spacing w:val="5"/>
          <w:sz w:val="21"/>
          <w:szCs w:val="21"/>
          <w:highlight w:val="none"/>
          <w:u w:val="single"/>
        </w:rPr>
        <w:t>（企业名称）</w:t>
      </w:r>
      <w:r>
        <w:rPr>
          <w:rFonts w:hint="eastAsia" w:ascii="宋体" w:hAnsi="宋体" w:eastAsia="宋体" w:cs="宋体"/>
          <w:color w:val="auto"/>
          <w:spacing w:val="5"/>
          <w:sz w:val="21"/>
          <w:szCs w:val="21"/>
          <w:highlight w:val="none"/>
        </w:rPr>
        <w:t>，从业人员人，营业收入为万元，资产总额为万元，属于</w:t>
      </w:r>
      <w:r>
        <w:rPr>
          <w:rFonts w:hint="eastAsia" w:ascii="宋体" w:hAnsi="宋体" w:eastAsia="宋体" w:cs="宋体"/>
          <w:b/>
          <w:color w:val="auto"/>
          <w:spacing w:val="5"/>
          <w:sz w:val="21"/>
          <w:szCs w:val="21"/>
          <w:highlight w:val="none"/>
          <w:u w:val="single"/>
        </w:rPr>
        <w:t>（中型企业、小型企业、微型企业）</w:t>
      </w:r>
      <w:r>
        <w:rPr>
          <w:rFonts w:hint="eastAsia" w:ascii="宋体" w:hAnsi="宋体" w:eastAsia="宋体" w:cs="宋体"/>
          <w:color w:val="auto"/>
          <w:spacing w:val="5"/>
          <w:sz w:val="21"/>
          <w:szCs w:val="21"/>
          <w:highlight w:val="none"/>
        </w:rPr>
        <w:t>；</w:t>
      </w:r>
    </w:p>
    <w:p w14:paraId="6F25F91B">
      <w:pPr>
        <w:pStyle w:val="18"/>
        <w:spacing w:after="0" w:line="360" w:lineRule="auto"/>
        <w:ind w:right="415" w:firstLine="440" w:firstLineChars="200"/>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2.</w:t>
      </w:r>
      <w:r>
        <w:rPr>
          <w:rFonts w:hint="eastAsia" w:ascii="宋体" w:hAnsi="宋体" w:eastAsia="宋体" w:cs="宋体"/>
          <w:b/>
          <w:color w:val="auto"/>
          <w:spacing w:val="-2"/>
          <w:sz w:val="21"/>
          <w:szCs w:val="21"/>
          <w:highlight w:val="none"/>
          <w:u w:val="single"/>
        </w:rPr>
        <w:t xml:space="preserve"> （标的名称）</w:t>
      </w:r>
      <w:r>
        <w:rPr>
          <w:rFonts w:hint="eastAsia" w:ascii="宋体" w:hAnsi="宋体" w:eastAsia="宋体" w:cs="宋体"/>
          <w:color w:val="auto"/>
          <w:spacing w:val="-2"/>
          <w:sz w:val="21"/>
          <w:szCs w:val="21"/>
          <w:highlight w:val="none"/>
        </w:rPr>
        <w:t>，属于</w:t>
      </w:r>
      <w:r>
        <w:rPr>
          <w:rFonts w:hint="eastAsia" w:ascii="宋体" w:hAnsi="宋体" w:eastAsia="宋体" w:cs="宋体"/>
          <w:b/>
          <w:color w:val="auto"/>
          <w:spacing w:val="-2"/>
          <w:sz w:val="21"/>
          <w:szCs w:val="21"/>
          <w:highlight w:val="none"/>
          <w:u w:val="single"/>
        </w:rPr>
        <w:t>建筑业</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5"/>
          <w:sz w:val="21"/>
          <w:szCs w:val="21"/>
          <w:highlight w:val="none"/>
        </w:rPr>
        <w:t>承建企业为</w:t>
      </w:r>
      <w:r>
        <w:rPr>
          <w:rFonts w:hint="eastAsia" w:ascii="宋体" w:hAnsi="宋体" w:eastAsia="宋体" w:cs="宋体"/>
          <w:b/>
          <w:color w:val="auto"/>
          <w:spacing w:val="5"/>
          <w:sz w:val="21"/>
          <w:szCs w:val="21"/>
          <w:highlight w:val="none"/>
          <w:u w:val="single"/>
        </w:rPr>
        <w:t>（企业名称）</w:t>
      </w:r>
      <w:r>
        <w:rPr>
          <w:rFonts w:hint="eastAsia" w:ascii="宋体" w:hAnsi="宋体" w:eastAsia="宋体" w:cs="宋体"/>
          <w:color w:val="auto"/>
          <w:spacing w:val="5"/>
          <w:sz w:val="21"/>
          <w:szCs w:val="21"/>
          <w:highlight w:val="none"/>
        </w:rPr>
        <w:t>，从业人员人，营业收入为</w:t>
      </w:r>
      <w:r>
        <w:rPr>
          <w:rFonts w:hint="eastAsia" w:ascii="宋体" w:hAnsi="宋体" w:eastAsia="宋体" w:cs="宋体"/>
          <w:color w:val="auto"/>
          <w:spacing w:val="5"/>
          <w:sz w:val="21"/>
          <w:szCs w:val="21"/>
          <w:highlight w:val="none"/>
          <w:u w:val="single"/>
        </w:rPr>
        <w:tab/>
      </w:r>
      <w:r>
        <w:rPr>
          <w:rFonts w:hint="eastAsia" w:ascii="宋体" w:hAnsi="宋体" w:eastAsia="宋体" w:cs="宋体"/>
          <w:color w:val="auto"/>
          <w:spacing w:val="5"/>
          <w:sz w:val="21"/>
          <w:szCs w:val="21"/>
          <w:highlight w:val="none"/>
        </w:rPr>
        <w:t>万元，资产总额为万元，属于</w:t>
      </w:r>
      <w:r>
        <w:rPr>
          <w:rFonts w:hint="eastAsia" w:ascii="宋体" w:hAnsi="宋体" w:eastAsia="宋体" w:cs="宋体"/>
          <w:b/>
          <w:color w:val="auto"/>
          <w:spacing w:val="5"/>
          <w:sz w:val="21"/>
          <w:szCs w:val="21"/>
          <w:highlight w:val="none"/>
          <w:u w:val="single"/>
        </w:rPr>
        <w:t>（中型企业、小型企业、微型企业）</w:t>
      </w:r>
      <w:r>
        <w:rPr>
          <w:rFonts w:hint="eastAsia" w:ascii="宋体" w:hAnsi="宋体" w:eastAsia="宋体" w:cs="宋体"/>
          <w:color w:val="auto"/>
          <w:spacing w:val="5"/>
          <w:sz w:val="21"/>
          <w:szCs w:val="21"/>
          <w:highlight w:val="none"/>
        </w:rPr>
        <w:t>；</w:t>
      </w:r>
    </w:p>
    <w:p w14:paraId="22253578">
      <w:pPr>
        <w:tabs>
          <w:tab w:val="left" w:pos="1806"/>
          <w:tab w:val="left" w:pos="5005"/>
          <w:tab w:val="left" w:pos="7227"/>
        </w:tabs>
        <w:spacing w:line="360" w:lineRule="auto"/>
        <w:ind w:left="205" w:right="236" w:firstLine="440" w:firstLineChars="200"/>
        <w:rPr>
          <w:rFonts w:hint="eastAsia" w:ascii="宋体" w:hAnsi="宋体" w:eastAsia="宋体" w:cs="宋体"/>
          <w:color w:val="auto"/>
          <w:spacing w:val="5"/>
          <w:szCs w:val="21"/>
          <w:highlight w:val="none"/>
        </w:rPr>
      </w:pPr>
      <w:r>
        <w:rPr>
          <w:rFonts w:hint="eastAsia" w:ascii="宋体" w:hAnsi="宋体" w:eastAsia="宋体" w:cs="宋体"/>
          <w:color w:val="auto"/>
          <w:spacing w:val="5"/>
          <w:szCs w:val="21"/>
          <w:highlight w:val="none"/>
        </w:rPr>
        <w:t>……</w:t>
      </w:r>
    </w:p>
    <w:p w14:paraId="55F8FEA1">
      <w:pPr>
        <w:pStyle w:val="18"/>
        <w:spacing w:after="0" w:line="360" w:lineRule="auto"/>
        <w:ind w:right="417" w:firstLine="408"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以上企业，不属于大企业的分支机构，不存在控股股东</w:t>
      </w:r>
      <w:r>
        <w:rPr>
          <w:rFonts w:hint="eastAsia" w:ascii="宋体" w:hAnsi="宋体" w:eastAsia="宋体" w:cs="宋体"/>
          <w:color w:val="auto"/>
          <w:spacing w:val="-5"/>
          <w:sz w:val="21"/>
          <w:szCs w:val="21"/>
          <w:highlight w:val="none"/>
        </w:rPr>
        <w:t>为大企业的情形，也不存在与大企业的负责人为同一人的情形。</w:t>
      </w:r>
    </w:p>
    <w:p w14:paraId="20777382">
      <w:pPr>
        <w:pStyle w:val="41"/>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6558A48B">
      <w:pPr>
        <w:spacing w:line="360" w:lineRule="auto"/>
        <w:rPr>
          <w:rFonts w:hint="eastAsia" w:ascii="宋体" w:hAnsi="宋体" w:eastAsia="宋体" w:cs="宋体"/>
          <w:color w:val="auto"/>
          <w:szCs w:val="21"/>
          <w:highlight w:val="none"/>
        </w:rPr>
      </w:pPr>
    </w:p>
    <w:p w14:paraId="3BF7D3A1">
      <w:pPr>
        <w:pStyle w:val="23"/>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法定代表人或其委托代理人（签名或签章）</w:t>
      </w:r>
      <w:r>
        <w:rPr>
          <w:rFonts w:hint="eastAsia" w:ascii="宋体" w:hAnsi="宋体" w:eastAsia="宋体" w:cs="宋体"/>
          <w:b/>
          <w:color w:val="auto"/>
          <w:highlight w:val="none"/>
        </w:rPr>
        <w:t>：</w:t>
      </w:r>
    </w:p>
    <w:p w14:paraId="0E148020">
      <w:pPr>
        <w:pStyle w:val="23"/>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加盖供应商公章</w:t>
      </w:r>
      <w:r>
        <w:rPr>
          <w:rFonts w:hint="eastAsia" w:ascii="宋体" w:hAnsi="宋体" w:eastAsia="宋体" w:cs="宋体"/>
          <w:b/>
          <w:color w:val="auto"/>
          <w:highlight w:val="none"/>
        </w:rPr>
        <w:t>）：</w:t>
      </w:r>
    </w:p>
    <w:p w14:paraId="00F92A36">
      <w:pPr>
        <w:tabs>
          <w:tab w:val="left" w:pos="4860"/>
        </w:tabs>
        <w:spacing w:line="360" w:lineRule="auto"/>
        <w:ind w:right="1560"/>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日 期：</w:t>
      </w:r>
    </w:p>
    <w:p w14:paraId="00B43B11">
      <w:pPr>
        <w:spacing w:line="360" w:lineRule="auto"/>
        <w:rPr>
          <w:rFonts w:hint="eastAsia" w:ascii="宋体" w:hAnsi="宋体" w:eastAsia="宋体" w:cs="宋体"/>
          <w:b/>
          <w:color w:val="auto"/>
          <w:szCs w:val="21"/>
          <w:highlight w:val="none"/>
          <w:u w:val="single"/>
        </w:rPr>
      </w:pPr>
    </w:p>
    <w:p w14:paraId="7B5EDF6F">
      <w:pPr>
        <w:spacing w:line="360" w:lineRule="auto"/>
        <w:rPr>
          <w:rFonts w:hint="eastAsia" w:ascii="宋体" w:hAnsi="宋体" w:eastAsia="宋体" w:cs="宋体"/>
          <w:b/>
          <w:color w:val="auto"/>
          <w:szCs w:val="21"/>
          <w:highlight w:val="none"/>
          <w:u w:val="single"/>
        </w:rPr>
      </w:pPr>
    </w:p>
    <w:p w14:paraId="301BBA82">
      <w:pPr>
        <w:spacing w:line="360" w:lineRule="auto"/>
        <w:rPr>
          <w:rFonts w:hint="eastAsia" w:ascii="宋体" w:hAnsi="宋体" w:eastAsia="宋体" w:cs="宋体"/>
          <w:b/>
          <w:bCs/>
          <w:color w:val="auto"/>
          <w:szCs w:val="21"/>
          <w:highlight w:val="none"/>
        </w:rPr>
      </w:pPr>
      <w:bookmarkStart w:id="991" w:name="_Hlk478972813"/>
      <w:r>
        <w:rPr>
          <w:rFonts w:hint="eastAsia" w:ascii="宋体" w:hAnsi="宋体" w:eastAsia="宋体" w:cs="宋体"/>
          <w:b/>
          <w:color w:val="auto"/>
          <w:szCs w:val="21"/>
          <w:highlight w:val="none"/>
        </w:rPr>
        <w:t>注:1、</w:t>
      </w:r>
      <w:r>
        <w:rPr>
          <w:rFonts w:hint="eastAsia" w:ascii="宋体" w:hAnsi="宋体" w:eastAsia="宋体" w:cs="宋体"/>
          <w:b/>
          <w:bCs/>
          <w:color w:val="auto"/>
          <w:szCs w:val="21"/>
          <w:highlight w:val="none"/>
        </w:rPr>
        <w:t>供应商应按上述格式如实填写并出具《中小企业声明函》。</w:t>
      </w:r>
      <w:bookmarkEnd w:id="991"/>
    </w:p>
    <w:p w14:paraId="22B20B2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2、供应商按照本办法规定提供声明函内容不实的，属于提供虚假材料谋取中标、成交，依照《中华人民共和国政府采购法》等国家有关规定追究相应责任。</w:t>
      </w:r>
    </w:p>
    <w:p w14:paraId="7FFCB096">
      <w:pPr>
        <w:spacing w:line="360" w:lineRule="auto"/>
        <w:rPr>
          <w:rFonts w:hint="eastAsia" w:ascii="宋体" w:hAnsi="宋体" w:eastAsia="宋体" w:cs="宋体"/>
          <w:color w:val="auto"/>
          <w:szCs w:val="21"/>
          <w:highlight w:val="none"/>
          <w:u w:val="single"/>
        </w:rPr>
      </w:pPr>
    </w:p>
    <w:p w14:paraId="1D881D31">
      <w:pPr>
        <w:widowControl/>
        <w:jc w:val="left"/>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r>
    </w:p>
    <w:p w14:paraId="1FAC3E13">
      <w:pPr>
        <w:tabs>
          <w:tab w:val="left" w:pos="0"/>
        </w:tabs>
        <w:rPr>
          <w:rFonts w:hint="eastAsia" w:ascii="宋体" w:hAnsi="宋体" w:eastAsia="宋体" w:cs="宋体"/>
          <w:color w:val="auto"/>
          <w:highlight w:val="none"/>
        </w:rPr>
      </w:pPr>
      <w:bookmarkStart w:id="992" w:name="_Toc80867968"/>
      <w:bookmarkStart w:id="993" w:name="_Toc478978903"/>
      <w:bookmarkStart w:id="994" w:name="_Toc502909065"/>
      <w:bookmarkStart w:id="995" w:name="_Toc34335345"/>
    </w:p>
    <w:p w14:paraId="349FDC92">
      <w:pPr>
        <w:pStyle w:val="4"/>
        <w:rPr>
          <w:rFonts w:hint="eastAsia" w:ascii="宋体" w:hAnsi="宋体" w:eastAsia="宋体" w:cs="宋体"/>
          <w:color w:val="auto"/>
          <w:highlight w:val="none"/>
        </w:rPr>
      </w:pPr>
      <w:bookmarkStart w:id="996" w:name="_Toc1151286304"/>
      <w:r>
        <w:rPr>
          <w:rFonts w:hint="eastAsia" w:ascii="宋体" w:hAnsi="宋体" w:eastAsia="宋体" w:cs="宋体"/>
          <w:color w:val="auto"/>
          <w:highlight w:val="none"/>
        </w:rPr>
        <w:t>监狱企业声明函</w:t>
      </w:r>
      <w:bookmarkEnd w:id="992"/>
      <w:bookmarkEnd w:id="993"/>
      <w:bookmarkEnd w:id="994"/>
      <w:bookmarkEnd w:id="995"/>
      <w:bookmarkEnd w:id="996"/>
    </w:p>
    <w:p w14:paraId="4556F24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（不属于监狱企业的无需填写）</w:t>
      </w:r>
    </w:p>
    <w:p w14:paraId="28D82CB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328899">
      <w:pPr>
        <w:spacing w:line="360" w:lineRule="auto"/>
        <w:ind w:firstLine="420" w:firstLineChars="200"/>
        <w:rPr>
          <w:rStyle w:val="386"/>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监狱企业参加政府采购活动时，应当提供由省级以上监狱管理局、戒毒管理局（含新疆生产建设兵团）出具的属于监狱企业的证明文件。</w:t>
      </w:r>
    </w:p>
    <w:p w14:paraId="1DDF6681">
      <w:pPr>
        <w:spacing w:line="360" w:lineRule="auto"/>
        <w:ind w:firstLine="480" w:firstLineChars="200"/>
        <w:rPr>
          <w:rStyle w:val="386"/>
          <w:rFonts w:hint="eastAsia" w:ascii="宋体" w:hAnsi="宋体" w:eastAsia="宋体" w:cs="宋体"/>
          <w:color w:val="auto"/>
          <w:highlight w:val="none"/>
        </w:rPr>
      </w:pPr>
    </w:p>
    <w:p w14:paraId="74E99FF9">
      <w:pPr>
        <w:spacing w:line="360" w:lineRule="auto"/>
        <w:rPr>
          <w:rFonts w:hint="eastAsia" w:ascii="宋体" w:hAnsi="宋体" w:eastAsia="宋体" w:cs="宋体"/>
          <w:color w:val="auto"/>
          <w:szCs w:val="21"/>
          <w:highlight w:val="none"/>
          <w:u w:val="single"/>
        </w:rPr>
      </w:pPr>
    </w:p>
    <w:p w14:paraId="56F76911">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注：</w:t>
      </w:r>
      <w:r>
        <w:rPr>
          <w:rFonts w:hint="eastAsia" w:ascii="宋体" w:hAnsi="宋体" w:eastAsia="宋体" w:cs="宋体"/>
          <w:b/>
          <w:color w:val="auto"/>
          <w:szCs w:val="21"/>
          <w:highlight w:val="none"/>
        </w:rPr>
        <w:t>符合条件的监狱企业在参加政府采购活动时，应当按《财政部 司法部关于政府采购支持监狱企业发展有关问题的通知》（财库[2014]68号）提供规定的《监狱企业证明文件》，并对提供的证明文件真实性负责。</w:t>
      </w:r>
    </w:p>
    <w:p w14:paraId="72A884E8">
      <w:pPr>
        <w:spacing w:line="360" w:lineRule="auto"/>
        <w:rPr>
          <w:rFonts w:hint="eastAsia" w:ascii="宋体" w:hAnsi="宋体" w:eastAsia="宋体" w:cs="宋体"/>
          <w:color w:val="auto"/>
          <w:szCs w:val="21"/>
          <w:highlight w:val="none"/>
          <w:u w:val="single"/>
        </w:rPr>
      </w:pPr>
    </w:p>
    <w:p w14:paraId="4210D931">
      <w:pPr>
        <w:spacing w:line="360" w:lineRule="auto"/>
        <w:rPr>
          <w:rFonts w:hint="eastAsia" w:ascii="宋体" w:hAnsi="宋体" w:eastAsia="宋体" w:cs="宋体"/>
          <w:color w:val="auto"/>
          <w:szCs w:val="21"/>
          <w:highlight w:val="none"/>
          <w:u w:val="single"/>
        </w:rPr>
      </w:pPr>
    </w:p>
    <w:p w14:paraId="0D6CEE7B">
      <w:pPr>
        <w:rPr>
          <w:rFonts w:hint="eastAsia" w:ascii="宋体" w:hAnsi="宋体" w:eastAsia="宋体" w:cs="宋体"/>
          <w:color w:val="auto"/>
          <w:highlight w:val="none"/>
        </w:rPr>
      </w:pPr>
      <w:bookmarkStart w:id="997" w:name="_Toc80867969"/>
      <w:bookmarkStart w:id="998" w:name="_Toc34335346"/>
      <w:bookmarkStart w:id="999" w:name="OLE_LINK14"/>
      <w:bookmarkStart w:id="1000" w:name="OLE_LINK13"/>
      <w:r>
        <w:rPr>
          <w:rFonts w:hint="eastAsia" w:ascii="宋体" w:hAnsi="宋体" w:eastAsia="宋体" w:cs="宋体"/>
          <w:color w:val="auto"/>
          <w:highlight w:val="none"/>
        </w:rPr>
        <w:br w:type="page"/>
      </w:r>
    </w:p>
    <w:p w14:paraId="68B37D02">
      <w:pPr>
        <w:tabs>
          <w:tab w:val="left" w:pos="0"/>
        </w:tabs>
        <w:rPr>
          <w:rFonts w:hint="eastAsia" w:ascii="宋体" w:hAnsi="宋体" w:eastAsia="宋体" w:cs="宋体"/>
          <w:color w:val="auto"/>
          <w:highlight w:val="none"/>
        </w:rPr>
      </w:pPr>
    </w:p>
    <w:p w14:paraId="6467CA7D">
      <w:pPr>
        <w:pStyle w:val="4"/>
        <w:rPr>
          <w:rFonts w:hint="eastAsia" w:ascii="宋体" w:hAnsi="宋体" w:eastAsia="宋体" w:cs="宋体"/>
          <w:color w:val="auto"/>
          <w:highlight w:val="none"/>
        </w:rPr>
      </w:pPr>
      <w:bookmarkStart w:id="1001" w:name="_Toc841251858"/>
      <w:r>
        <w:rPr>
          <w:rFonts w:hint="eastAsia" w:ascii="宋体" w:hAnsi="宋体" w:eastAsia="宋体" w:cs="宋体"/>
          <w:color w:val="auto"/>
          <w:highlight w:val="none"/>
        </w:rPr>
        <w:t>残疾人福利性单位声明函</w:t>
      </w:r>
      <w:bookmarkEnd w:id="997"/>
      <w:bookmarkEnd w:id="998"/>
      <w:bookmarkEnd w:id="1001"/>
    </w:p>
    <w:bookmarkEnd w:id="999"/>
    <w:bookmarkEnd w:id="1000"/>
    <w:p w14:paraId="0924096C">
      <w:pPr>
        <w:spacing w:line="440" w:lineRule="exact"/>
        <w:jc w:val="center"/>
        <w:rPr>
          <w:rFonts w:hint="eastAsia" w:ascii="宋体" w:hAnsi="宋体" w:eastAsia="宋体" w:cs="宋体"/>
          <w:b/>
          <w:color w:val="auto"/>
          <w:spacing w:val="6"/>
          <w:sz w:val="30"/>
          <w:szCs w:val="30"/>
          <w:highlight w:val="none"/>
        </w:rPr>
      </w:pPr>
      <w:r>
        <w:rPr>
          <w:rFonts w:hint="eastAsia" w:ascii="宋体" w:hAnsi="宋体" w:eastAsia="宋体" w:cs="宋体"/>
          <w:color w:val="auto"/>
          <w:highlight w:val="none"/>
        </w:rPr>
        <w:t>（不属于残疾人福利性单位的无需填写）</w:t>
      </w:r>
    </w:p>
    <w:p w14:paraId="69B79751">
      <w:pPr>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auto"/>
          <w:szCs w:val="21"/>
          <w:highlight w:val="none"/>
        </w:rPr>
        <w:t>〔2017〕 141</w:t>
      </w:r>
      <w:r>
        <w:rPr>
          <w:rFonts w:hint="eastAsia" w:ascii="宋体" w:hAnsi="宋体" w:eastAsia="宋体" w:cs="宋体"/>
          <w:color w:val="auto"/>
          <w:spacing w:val="6"/>
          <w:szCs w:val="21"/>
          <w:highlight w:val="none"/>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35C514F">
      <w:pPr>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55740C0D">
      <w:pPr>
        <w:spacing w:line="360" w:lineRule="auto"/>
        <w:ind w:firstLine="444" w:firstLineChars="200"/>
        <w:rPr>
          <w:rFonts w:hint="eastAsia" w:ascii="宋体" w:hAnsi="宋体" w:eastAsia="宋体" w:cs="宋体"/>
          <w:color w:val="auto"/>
          <w:spacing w:val="6"/>
          <w:szCs w:val="21"/>
          <w:highlight w:val="none"/>
        </w:rPr>
      </w:pPr>
    </w:p>
    <w:p w14:paraId="7D6B0636">
      <w:pPr>
        <w:spacing w:line="360" w:lineRule="auto"/>
        <w:ind w:firstLine="444" w:firstLineChars="200"/>
        <w:rPr>
          <w:rFonts w:hint="eastAsia" w:ascii="宋体" w:hAnsi="宋体" w:eastAsia="宋体" w:cs="宋体"/>
          <w:color w:val="auto"/>
          <w:spacing w:val="6"/>
          <w:szCs w:val="21"/>
          <w:highlight w:val="none"/>
        </w:rPr>
      </w:pPr>
    </w:p>
    <w:p w14:paraId="2D4FAE09">
      <w:pPr>
        <w:pStyle w:val="23"/>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法定代表人或其委托代理人（签名或签章）</w:t>
      </w:r>
      <w:r>
        <w:rPr>
          <w:rFonts w:hint="eastAsia" w:ascii="宋体" w:hAnsi="宋体" w:eastAsia="宋体" w:cs="宋体"/>
          <w:b/>
          <w:color w:val="auto"/>
          <w:highlight w:val="none"/>
        </w:rPr>
        <w:t>：</w:t>
      </w:r>
    </w:p>
    <w:p w14:paraId="3CFBECCF">
      <w:pPr>
        <w:pStyle w:val="23"/>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加盖供应商公章</w:t>
      </w:r>
      <w:r>
        <w:rPr>
          <w:rFonts w:hint="eastAsia" w:ascii="宋体" w:hAnsi="宋体" w:eastAsia="宋体" w:cs="宋体"/>
          <w:b/>
          <w:color w:val="auto"/>
          <w:highlight w:val="none"/>
        </w:rPr>
        <w:t>）：</w:t>
      </w:r>
    </w:p>
    <w:p w14:paraId="4FC37257">
      <w:pPr>
        <w:tabs>
          <w:tab w:val="left" w:pos="4860"/>
        </w:tabs>
        <w:spacing w:line="360" w:lineRule="auto"/>
        <w:ind w:right="1560"/>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日 期：</w:t>
      </w:r>
    </w:p>
    <w:p w14:paraId="608E8BD6">
      <w:pPr>
        <w:tabs>
          <w:tab w:val="left" w:pos="4860"/>
        </w:tabs>
        <w:spacing w:line="360" w:lineRule="auto"/>
        <w:ind w:right="1560"/>
        <w:jc w:val="left"/>
        <w:rPr>
          <w:rFonts w:hint="eastAsia" w:ascii="宋体" w:hAnsi="宋体" w:eastAsia="宋体" w:cs="宋体"/>
          <w:color w:val="auto"/>
          <w:spacing w:val="6"/>
          <w:szCs w:val="21"/>
          <w:highlight w:val="none"/>
        </w:rPr>
      </w:pPr>
    </w:p>
    <w:p w14:paraId="55294C4F">
      <w:pPr>
        <w:spacing w:line="360" w:lineRule="auto"/>
        <w:rPr>
          <w:rFonts w:hint="eastAsia" w:ascii="宋体" w:hAnsi="宋体" w:eastAsia="宋体" w:cs="宋体"/>
          <w:color w:val="auto"/>
          <w:szCs w:val="21"/>
          <w:highlight w:val="none"/>
        </w:rPr>
      </w:pPr>
      <w:r>
        <w:rPr>
          <w:rFonts w:hint="eastAsia" w:ascii="宋体" w:hAnsi="宋体" w:eastAsia="宋体" w:cs="宋体"/>
          <w:b/>
          <w:color w:val="auto"/>
          <w:spacing w:val="6"/>
          <w:szCs w:val="21"/>
          <w:highlight w:val="none"/>
        </w:rPr>
        <w:t>注：符合条件的残疾人福利性单位在参加政府采购活动时，应当</w:t>
      </w:r>
      <w:r>
        <w:rPr>
          <w:rFonts w:hint="eastAsia" w:ascii="宋体" w:hAnsi="宋体" w:eastAsia="宋体" w:cs="宋体"/>
          <w:b/>
          <w:color w:val="auto"/>
          <w:szCs w:val="21"/>
          <w:highlight w:val="none"/>
        </w:rPr>
        <w:t>按《三部门联合发布关于促进残疾人就业政府采购政策的通知》（财库〔2017〕141号）</w:t>
      </w:r>
      <w:r>
        <w:rPr>
          <w:rFonts w:hint="eastAsia" w:ascii="宋体" w:hAnsi="宋体" w:eastAsia="宋体" w:cs="宋体"/>
          <w:b/>
          <w:color w:val="auto"/>
          <w:spacing w:val="6"/>
          <w:szCs w:val="21"/>
          <w:highlight w:val="none"/>
        </w:rPr>
        <w:t>提供规定的《残疾人福利性单位声明函》，并对声明的真实性负责。采购代理机构在随中标、成交结果同时公告其《残疾人福利性单位声明函》，接受社会监督。供应商提供的《残疾人福利性单位声明函》与事实不符的，依照《政府采购法》第七十七条第一款的规定追究法律责任。</w:t>
      </w:r>
    </w:p>
    <w:p w14:paraId="7EED0FD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9C00D20">
      <w:pPr>
        <w:pStyle w:val="4"/>
        <w:rPr>
          <w:rFonts w:hint="eastAsia" w:ascii="宋体" w:hAnsi="宋体" w:eastAsia="宋体" w:cs="宋体"/>
          <w:color w:val="auto"/>
          <w:highlight w:val="none"/>
        </w:rPr>
      </w:pPr>
      <w:bookmarkStart w:id="1002" w:name="_Toc2035129205"/>
      <w:r>
        <w:rPr>
          <w:rFonts w:hint="eastAsia" w:ascii="宋体" w:hAnsi="宋体" w:eastAsia="宋体" w:cs="宋体"/>
          <w:color w:val="auto"/>
          <w:highlight w:val="none"/>
        </w:rPr>
        <w:t>其它商务资料</w:t>
      </w:r>
      <w:bookmarkEnd w:id="986"/>
      <w:bookmarkEnd w:id="987"/>
      <w:bookmarkEnd w:id="988"/>
      <w:bookmarkEnd w:id="1002"/>
    </w:p>
    <w:p w14:paraId="3842B912">
      <w:pPr>
        <w:pStyle w:val="23"/>
        <w:rPr>
          <w:rFonts w:hint="eastAsia" w:ascii="宋体" w:hAnsi="宋体" w:eastAsia="宋体" w:cs="宋体"/>
          <w:color w:val="auto"/>
          <w:highlight w:val="none"/>
        </w:rPr>
      </w:pPr>
    </w:p>
    <w:p w14:paraId="535AF08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 施工项目管理机构配置情况；（格式附后）</w:t>
      </w:r>
    </w:p>
    <w:p w14:paraId="204FE0A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 质量承诺及保证措施；</w:t>
      </w:r>
    </w:p>
    <w:p w14:paraId="0B1E52B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 供应商企业类似项目业绩；（业绩证明材料为合同（合同首页、标的及金额所在页及合同签字盖章页）。无证明材料或证明材料不明确、无法体现业绩内容的，不予认可。格式自拟）</w:t>
      </w:r>
    </w:p>
    <w:p w14:paraId="05E64D3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4. 磋商文件要求及供应商认为有必要提供的其它商务资料。</w:t>
      </w:r>
      <w:bookmarkEnd w:id="989"/>
    </w:p>
    <w:p w14:paraId="39D2F5A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C16E966">
      <w:pPr>
        <w:pStyle w:val="4"/>
        <w:rPr>
          <w:rFonts w:hint="eastAsia" w:ascii="宋体" w:hAnsi="宋体" w:eastAsia="宋体" w:cs="宋体"/>
          <w:color w:val="auto"/>
          <w:highlight w:val="none"/>
        </w:rPr>
      </w:pPr>
      <w:bookmarkStart w:id="1003" w:name="_Toc80867973"/>
      <w:bookmarkStart w:id="1004" w:name="_Toc1444502666"/>
      <w:r>
        <w:rPr>
          <w:rFonts w:hint="eastAsia" w:ascii="宋体" w:hAnsi="宋体" w:eastAsia="宋体" w:cs="宋体"/>
          <w:color w:val="auto"/>
          <w:highlight w:val="none"/>
        </w:rPr>
        <w:t>施工项目管理机构配置情况</w:t>
      </w:r>
      <w:bookmarkEnd w:id="1003"/>
      <w:bookmarkEnd w:id="1004"/>
    </w:p>
    <w:p w14:paraId="25AAA11F">
      <w:pPr>
        <w:jc w:val="center"/>
        <w:outlineLvl w:val="3"/>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1.项目经理简历</w:t>
      </w:r>
    </w:p>
    <w:p w14:paraId="1573D416">
      <w:pPr>
        <w:ind w:right="420" w:firstLine="444" w:firstLineChars="202"/>
        <w:jc w:val="right"/>
        <w:rPr>
          <w:rFonts w:hint="eastAsia" w:ascii="宋体" w:hAnsi="宋体" w:eastAsia="宋体" w:cs="宋体"/>
          <w:color w:val="auto"/>
          <w:sz w:val="22"/>
          <w:szCs w:val="28"/>
          <w:highlight w:val="none"/>
        </w:rPr>
      </w:pPr>
    </w:p>
    <w:tbl>
      <w:tblPr>
        <w:tblStyle w:val="47"/>
        <w:tblW w:w="907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591"/>
        <w:gridCol w:w="1420"/>
        <w:gridCol w:w="1421"/>
        <w:gridCol w:w="1420"/>
        <w:gridCol w:w="710"/>
        <w:gridCol w:w="711"/>
        <w:gridCol w:w="1697"/>
      </w:tblGrid>
      <w:tr w14:paraId="66F6BDA5">
        <w:trPr>
          <w:trHeight w:val="567" w:hRule="atLeast"/>
          <w:jc w:val="center"/>
        </w:trPr>
        <w:tc>
          <w:tcPr>
            <w:tcW w:w="1697" w:type="dxa"/>
            <w:gridSpan w:val="2"/>
            <w:tcBorders>
              <w:tl2br w:val="nil"/>
              <w:tr2bl w:val="nil"/>
            </w:tcBorders>
            <w:vAlign w:val="center"/>
          </w:tcPr>
          <w:p w14:paraId="2CFB8551">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职  务</w:t>
            </w:r>
          </w:p>
        </w:tc>
        <w:tc>
          <w:tcPr>
            <w:tcW w:w="1420" w:type="dxa"/>
            <w:tcBorders>
              <w:tl2br w:val="nil"/>
              <w:tr2bl w:val="nil"/>
            </w:tcBorders>
            <w:vAlign w:val="center"/>
          </w:tcPr>
          <w:p w14:paraId="0B079C0E">
            <w:pPr>
              <w:jc w:val="center"/>
              <w:rPr>
                <w:rFonts w:hint="eastAsia" w:ascii="宋体" w:hAnsi="宋体" w:eastAsia="宋体" w:cs="宋体"/>
                <w:color w:val="auto"/>
                <w:highlight w:val="none"/>
              </w:rPr>
            </w:pPr>
          </w:p>
        </w:tc>
        <w:tc>
          <w:tcPr>
            <w:tcW w:w="1421" w:type="dxa"/>
            <w:tcBorders>
              <w:tl2br w:val="nil"/>
              <w:tr2bl w:val="nil"/>
            </w:tcBorders>
            <w:vAlign w:val="center"/>
          </w:tcPr>
          <w:p w14:paraId="208CDF41">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姓  名</w:t>
            </w:r>
          </w:p>
        </w:tc>
        <w:tc>
          <w:tcPr>
            <w:tcW w:w="1420" w:type="dxa"/>
            <w:tcBorders>
              <w:tl2br w:val="nil"/>
              <w:tr2bl w:val="nil"/>
            </w:tcBorders>
            <w:vAlign w:val="center"/>
          </w:tcPr>
          <w:p w14:paraId="6355B9F5">
            <w:pPr>
              <w:jc w:val="center"/>
              <w:rPr>
                <w:rFonts w:hint="eastAsia" w:ascii="宋体" w:hAnsi="宋体" w:eastAsia="宋体" w:cs="宋体"/>
                <w:color w:val="auto"/>
                <w:highlight w:val="none"/>
              </w:rPr>
            </w:pPr>
          </w:p>
        </w:tc>
        <w:tc>
          <w:tcPr>
            <w:tcW w:w="1421" w:type="dxa"/>
            <w:gridSpan w:val="2"/>
            <w:tcBorders>
              <w:tl2br w:val="nil"/>
              <w:tr2bl w:val="nil"/>
            </w:tcBorders>
            <w:vAlign w:val="center"/>
          </w:tcPr>
          <w:p w14:paraId="6C53F23C">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性  别</w:t>
            </w:r>
          </w:p>
        </w:tc>
        <w:tc>
          <w:tcPr>
            <w:tcW w:w="1697" w:type="dxa"/>
            <w:tcBorders>
              <w:tl2br w:val="nil"/>
              <w:tr2bl w:val="nil"/>
            </w:tcBorders>
            <w:vAlign w:val="center"/>
          </w:tcPr>
          <w:p w14:paraId="7D761A6C">
            <w:pPr>
              <w:jc w:val="center"/>
              <w:rPr>
                <w:rFonts w:hint="eastAsia" w:ascii="宋体" w:hAnsi="宋体" w:eastAsia="宋体" w:cs="宋体"/>
                <w:color w:val="auto"/>
                <w:highlight w:val="none"/>
              </w:rPr>
            </w:pPr>
          </w:p>
        </w:tc>
      </w:tr>
      <w:tr w14:paraId="50F59516">
        <w:trPr>
          <w:trHeight w:val="567" w:hRule="atLeast"/>
          <w:jc w:val="center"/>
        </w:trPr>
        <w:tc>
          <w:tcPr>
            <w:tcW w:w="1697" w:type="dxa"/>
            <w:gridSpan w:val="2"/>
            <w:tcBorders>
              <w:tl2br w:val="nil"/>
              <w:tr2bl w:val="nil"/>
            </w:tcBorders>
            <w:vAlign w:val="center"/>
          </w:tcPr>
          <w:p w14:paraId="682A43A8">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年  龄</w:t>
            </w:r>
          </w:p>
        </w:tc>
        <w:tc>
          <w:tcPr>
            <w:tcW w:w="1420" w:type="dxa"/>
            <w:tcBorders>
              <w:tl2br w:val="nil"/>
              <w:tr2bl w:val="nil"/>
            </w:tcBorders>
            <w:vAlign w:val="center"/>
          </w:tcPr>
          <w:p w14:paraId="5F2988F4">
            <w:pPr>
              <w:jc w:val="center"/>
              <w:rPr>
                <w:rFonts w:hint="eastAsia" w:ascii="宋体" w:hAnsi="宋体" w:eastAsia="宋体" w:cs="宋体"/>
                <w:color w:val="auto"/>
                <w:highlight w:val="none"/>
              </w:rPr>
            </w:pPr>
          </w:p>
        </w:tc>
        <w:tc>
          <w:tcPr>
            <w:tcW w:w="1421" w:type="dxa"/>
            <w:tcBorders>
              <w:tl2br w:val="nil"/>
              <w:tr2bl w:val="nil"/>
            </w:tcBorders>
            <w:vAlign w:val="center"/>
          </w:tcPr>
          <w:p w14:paraId="422ECA1C">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学  历</w:t>
            </w:r>
          </w:p>
        </w:tc>
        <w:tc>
          <w:tcPr>
            <w:tcW w:w="1420" w:type="dxa"/>
            <w:tcBorders>
              <w:tl2br w:val="nil"/>
              <w:tr2bl w:val="nil"/>
            </w:tcBorders>
            <w:vAlign w:val="center"/>
          </w:tcPr>
          <w:p w14:paraId="28AAFBD5">
            <w:pPr>
              <w:jc w:val="center"/>
              <w:rPr>
                <w:rFonts w:hint="eastAsia" w:ascii="宋体" w:hAnsi="宋体" w:eastAsia="宋体" w:cs="宋体"/>
                <w:color w:val="auto"/>
                <w:highlight w:val="none"/>
              </w:rPr>
            </w:pPr>
          </w:p>
        </w:tc>
        <w:tc>
          <w:tcPr>
            <w:tcW w:w="1421" w:type="dxa"/>
            <w:gridSpan w:val="2"/>
            <w:tcBorders>
              <w:tl2br w:val="nil"/>
              <w:tr2bl w:val="nil"/>
            </w:tcBorders>
            <w:vAlign w:val="center"/>
          </w:tcPr>
          <w:p w14:paraId="6D3DE5B7">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职  称</w:t>
            </w:r>
          </w:p>
        </w:tc>
        <w:tc>
          <w:tcPr>
            <w:tcW w:w="1697" w:type="dxa"/>
            <w:tcBorders>
              <w:tl2br w:val="nil"/>
              <w:tr2bl w:val="nil"/>
            </w:tcBorders>
            <w:vAlign w:val="center"/>
          </w:tcPr>
          <w:p w14:paraId="234C4CBF">
            <w:pPr>
              <w:jc w:val="center"/>
              <w:rPr>
                <w:rFonts w:hint="eastAsia" w:ascii="宋体" w:hAnsi="宋体" w:eastAsia="宋体" w:cs="宋体"/>
                <w:color w:val="auto"/>
                <w:highlight w:val="none"/>
              </w:rPr>
            </w:pPr>
          </w:p>
        </w:tc>
      </w:tr>
      <w:tr w14:paraId="61D3C45E">
        <w:trPr>
          <w:trHeight w:val="567" w:hRule="atLeast"/>
          <w:jc w:val="center"/>
        </w:trPr>
        <w:tc>
          <w:tcPr>
            <w:tcW w:w="9076" w:type="dxa"/>
            <w:gridSpan w:val="8"/>
            <w:tcBorders>
              <w:tl2br w:val="nil"/>
              <w:tr2bl w:val="nil"/>
            </w:tcBorders>
            <w:vAlign w:val="center"/>
          </w:tcPr>
          <w:p w14:paraId="261EB6F8">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个  人  业  绩</w:t>
            </w:r>
          </w:p>
        </w:tc>
      </w:tr>
      <w:tr w14:paraId="345CAED7">
        <w:trPr>
          <w:trHeight w:val="567" w:hRule="atLeast"/>
          <w:jc w:val="center"/>
        </w:trPr>
        <w:tc>
          <w:tcPr>
            <w:tcW w:w="1106" w:type="dxa"/>
            <w:tcBorders>
              <w:tl2br w:val="nil"/>
              <w:tr2bl w:val="nil"/>
            </w:tcBorders>
            <w:vAlign w:val="center"/>
          </w:tcPr>
          <w:p w14:paraId="48758F9E">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3432" w:type="dxa"/>
            <w:gridSpan w:val="3"/>
            <w:tcBorders>
              <w:tl2br w:val="nil"/>
              <w:tr2bl w:val="nil"/>
            </w:tcBorders>
            <w:vAlign w:val="center"/>
          </w:tcPr>
          <w:p w14:paraId="07AD06E9">
            <w:pPr>
              <w:ind w:firstLine="841" w:firstLineChars="40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工 程 名 称</w:t>
            </w:r>
          </w:p>
        </w:tc>
        <w:tc>
          <w:tcPr>
            <w:tcW w:w="2130" w:type="dxa"/>
            <w:gridSpan w:val="2"/>
            <w:tcBorders>
              <w:tl2br w:val="nil"/>
              <w:tr2bl w:val="nil"/>
            </w:tcBorders>
            <w:vAlign w:val="center"/>
          </w:tcPr>
          <w:p w14:paraId="6D2A099E">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担 任 职 务</w:t>
            </w:r>
          </w:p>
        </w:tc>
        <w:tc>
          <w:tcPr>
            <w:tcW w:w="2408" w:type="dxa"/>
            <w:gridSpan w:val="2"/>
            <w:tcBorders>
              <w:tl2br w:val="nil"/>
              <w:tr2bl w:val="nil"/>
            </w:tcBorders>
            <w:vAlign w:val="center"/>
          </w:tcPr>
          <w:p w14:paraId="530D4827">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实 施 时 间</w:t>
            </w:r>
          </w:p>
        </w:tc>
      </w:tr>
      <w:tr w14:paraId="43D48595">
        <w:trPr>
          <w:trHeight w:val="567" w:hRule="atLeast"/>
          <w:jc w:val="center"/>
        </w:trPr>
        <w:tc>
          <w:tcPr>
            <w:tcW w:w="1106" w:type="dxa"/>
            <w:tcBorders>
              <w:tl2br w:val="nil"/>
              <w:tr2bl w:val="nil"/>
            </w:tcBorders>
            <w:vAlign w:val="center"/>
          </w:tcPr>
          <w:p w14:paraId="506E9585">
            <w:pPr>
              <w:spacing w:before="120" w:beforeLines="50" w:after="120" w:afterLines="5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432" w:type="dxa"/>
            <w:gridSpan w:val="3"/>
            <w:tcBorders>
              <w:tl2br w:val="nil"/>
              <w:tr2bl w:val="nil"/>
            </w:tcBorders>
            <w:vAlign w:val="center"/>
          </w:tcPr>
          <w:p w14:paraId="25DE22E1">
            <w:pPr>
              <w:spacing w:before="120" w:beforeLines="50" w:after="120" w:afterLines="50"/>
              <w:jc w:val="center"/>
              <w:rPr>
                <w:rFonts w:hint="eastAsia" w:ascii="宋体" w:hAnsi="宋体" w:eastAsia="宋体" w:cs="宋体"/>
                <w:color w:val="auto"/>
                <w:highlight w:val="none"/>
              </w:rPr>
            </w:pPr>
          </w:p>
        </w:tc>
        <w:tc>
          <w:tcPr>
            <w:tcW w:w="2130" w:type="dxa"/>
            <w:gridSpan w:val="2"/>
            <w:tcBorders>
              <w:tl2br w:val="nil"/>
              <w:tr2bl w:val="nil"/>
            </w:tcBorders>
            <w:vAlign w:val="center"/>
          </w:tcPr>
          <w:p w14:paraId="3FF6885D">
            <w:pPr>
              <w:spacing w:before="120" w:beforeLines="50" w:after="120" w:afterLines="50"/>
              <w:jc w:val="center"/>
              <w:rPr>
                <w:rFonts w:hint="eastAsia" w:ascii="宋体" w:hAnsi="宋体" w:eastAsia="宋体" w:cs="宋体"/>
                <w:color w:val="auto"/>
                <w:highlight w:val="none"/>
              </w:rPr>
            </w:pPr>
          </w:p>
        </w:tc>
        <w:tc>
          <w:tcPr>
            <w:tcW w:w="2408" w:type="dxa"/>
            <w:gridSpan w:val="2"/>
            <w:tcBorders>
              <w:tl2br w:val="nil"/>
              <w:tr2bl w:val="nil"/>
            </w:tcBorders>
            <w:vAlign w:val="center"/>
          </w:tcPr>
          <w:p w14:paraId="79DA9E1D">
            <w:pPr>
              <w:spacing w:before="120" w:beforeLines="50" w:after="120" w:afterLines="50"/>
              <w:jc w:val="center"/>
              <w:rPr>
                <w:rFonts w:hint="eastAsia" w:ascii="宋体" w:hAnsi="宋体" w:eastAsia="宋体" w:cs="宋体"/>
                <w:color w:val="auto"/>
                <w:highlight w:val="none"/>
              </w:rPr>
            </w:pPr>
          </w:p>
        </w:tc>
      </w:tr>
      <w:tr w14:paraId="444C42E2">
        <w:trPr>
          <w:trHeight w:val="567" w:hRule="atLeast"/>
          <w:jc w:val="center"/>
        </w:trPr>
        <w:tc>
          <w:tcPr>
            <w:tcW w:w="1106" w:type="dxa"/>
            <w:tcBorders>
              <w:tl2br w:val="nil"/>
              <w:tr2bl w:val="nil"/>
            </w:tcBorders>
            <w:vAlign w:val="center"/>
          </w:tcPr>
          <w:p w14:paraId="19923A5A">
            <w:pPr>
              <w:spacing w:before="120" w:beforeLines="50" w:after="120" w:afterLines="5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432" w:type="dxa"/>
            <w:gridSpan w:val="3"/>
            <w:tcBorders>
              <w:tl2br w:val="nil"/>
              <w:tr2bl w:val="nil"/>
            </w:tcBorders>
            <w:vAlign w:val="center"/>
          </w:tcPr>
          <w:p w14:paraId="531900A8">
            <w:pPr>
              <w:spacing w:before="120" w:beforeLines="50" w:after="120" w:afterLines="50"/>
              <w:jc w:val="center"/>
              <w:rPr>
                <w:rFonts w:hint="eastAsia" w:ascii="宋体" w:hAnsi="宋体" w:eastAsia="宋体" w:cs="宋体"/>
                <w:color w:val="auto"/>
                <w:highlight w:val="none"/>
              </w:rPr>
            </w:pPr>
          </w:p>
        </w:tc>
        <w:tc>
          <w:tcPr>
            <w:tcW w:w="2130" w:type="dxa"/>
            <w:gridSpan w:val="2"/>
            <w:tcBorders>
              <w:tl2br w:val="nil"/>
              <w:tr2bl w:val="nil"/>
            </w:tcBorders>
            <w:vAlign w:val="center"/>
          </w:tcPr>
          <w:p w14:paraId="3EDE42AE">
            <w:pPr>
              <w:spacing w:before="120" w:beforeLines="50" w:after="120" w:afterLines="50"/>
              <w:jc w:val="center"/>
              <w:rPr>
                <w:rFonts w:hint="eastAsia" w:ascii="宋体" w:hAnsi="宋体" w:eastAsia="宋体" w:cs="宋体"/>
                <w:color w:val="auto"/>
                <w:highlight w:val="none"/>
              </w:rPr>
            </w:pPr>
          </w:p>
        </w:tc>
        <w:tc>
          <w:tcPr>
            <w:tcW w:w="2408" w:type="dxa"/>
            <w:gridSpan w:val="2"/>
            <w:tcBorders>
              <w:tl2br w:val="nil"/>
              <w:tr2bl w:val="nil"/>
            </w:tcBorders>
            <w:vAlign w:val="center"/>
          </w:tcPr>
          <w:p w14:paraId="62D05B2B">
            <w:pPr>
              <w:spacing w:before="120" w:beforeLines="50" w:after="120" w:afterLines="50"/>
              <w:jc w:val="center"/>
              <w:rPr>
                <w:rFonts w:hint="eastAsia" w:ascii="宋体" w:hAnsi="宋体" w:eastAsia="宋体" w:cs="宋体"/>
                <w:color w:val="auto"/>
                <w:highlight w:val="none"/>
              </w:rPr>
            </w:pPr>
          </w:p>
        </w:tc>
      </w:tr>
      <w:tr w14:paraId="49050A04">
        <w:trPr>
          <w:trHeight w:val="567" w:hRule="atLeast"/>
          <w:jc w:val="center"/>
        </w:trPr>
        <w:tc>
          <w:tcPr>
            <w:tcW w:w="1106" w:type="dxa"/>
            <w:tcBorders>
              <w:tl2br w:val="nil"/>
              <w:tr2bl w:val="nil"/>
            </w:tcBorders>
            <w:vAlign w:val="center"/>
          </w:tcPr>
          <w:p w14:paraId="05A35868">
            <w:pPr>
              <w:spacing w:before="120" w:beforeLines="50" w:after="120" w:afterLines="5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432" w:type="dxa"/>
            <w:gridSpan w:val="3"/>
            <w:tcBorders>
              <w:tl2br w:val="nil"/>
              <w:tr2bl w:val="nil"/>
            </w:tcBorders>
            <w:vAlign w:val="center"/>
          </w:tcPr>
          <w:p w14:paraId="189D86C5">
            <w:pPr>
              <w:spacing w:before="120" w:beforeLines="50" w:after="120" w:afterLines="50"/>
              <w:jc w:val="center"/>
              <w:rPr>
                <w:rFonts w:hint="eastAsia" w:ascii="宋体" w:hAnsi="宋体" w:eastAsia="宋体" w:cs="宋体"/>
                <w:color w:val="auto"/>
                <w:highlight w:val="none"/>
              </w:rPr>
            </w:pPr>
          </w:p>
        </w:tc>
        <w:tc>
          <w:tcPr>
            <w:tcW w:w="2130" w:type="dxa"/>
            <w:gridSpan w:val="2"/>
            <w:tcBorders>
              <w:tl2br w:val="nil"/>
              <w:tr2bl w:val="nil"/>
            </w:tcBorders>
            <w:vAlign w:val="center"/>
          </w:tcPr>
          <w:p w14:paraId="4A854647">
            <w:pPr>
              <w:spacing w:before="120" w:beforeLines="50" w:after="120" w:afterLines="50"/>
              <w:jc w:val="center"/>
              <w:rPr>
                <w:rFonts w:hint="eastAsia" w:ascii="宋体" w:hAnsi="宋体" w:eastAsia="宋体" w:cs="宋体"/>
                <w:color w:val="auto"/>
                <w:highlight w:val="none"/>
              </w:rPr>
            </w:pPr>
          </w:p>
        </w:tc>
        <w:tc>
          <w:tcPr>
            <w:tcW w:w="2408" w:type="dxa"/>
            <w:gridSpan w:val="2"/>
            <w:tcBorders>
              <w:tl2br w:val="nil"/>
              <w:tr2bl w:val="nil"/>
            </w:tcBorders>
            <w:vAlign w:val="center"/>
          </w:tcPr>
          <w:p w14:paraId="253EF0D3">
            <w:pPr>
              <w:spacing w:before="120" w:beforeLines="50" w:after="120" w:afterLines="50"/>
              <w:jc w:val="center"/>
              <w:rPr>
                <w:rFonts w:hint="eastAsia" w:ascii="宋体" w:hAnsi="宋体" w:eastAsia="宋体" w:cs="宋体"/>
                <w:color w:val="auto"/>
                <w:highlight w:val="none"/>
              </w:rPr>
            </w:pPr>
          </w:p>
        </w:tc>
      </w:tr>
      <w:tr w14:paraId="3195C627">
        <w:trPr>
          <w:trHeight w:val="567" w:hRule="atLeast"/>
          <w:jc w:val="center"/>
        </w:trPr>
        <w:tc>
          <w:tcPr>
            <w:tcW w:w="1106" w:type="dxa"/>
            <w:tcBorders>
              <w:tl2br w:val="nil"/>
              <w:tr2bl w:val="nil"/>
            </w:tcBorders>
            <w:vAlign w:val="center"/>
          </w:tcPr>
          <w:p w14:paraId="502BEBE1">
            <w:pPr>
              <w:spacing w:before="120" w:beforeLines="50" w:after="120" w:afterLines="50"/>
              <w:jc w:val="center"/>
              <w:rPr>
                <w:rFonts w:hint="eastAsia" w:ascii="宋体" w:hAnsi="宋体" w:eastAsia="宋体" w:cs="宋体"/>
                <w:color w:val="auto"/>
                <w:highlight w:val="none"/>
              </w:rPr>
            </w:pPr>
          </w:p>
        </w:tc>
        <w:tc>
          <w:tcPr>
            <w:tcW w:w="3432" w:type="dxa"/>
            <w:gridSpan w:val="3"/>
            <w:tcBorders>
              <w:tl2br w:val="nil"/>
              <w:tr2bl w:val="nil"/>
            </w:tcBorders>
            <w:vAlign w:val="center"/>
          </w:tcPr>
          <w:p w14:paraId="4A5A577D">
            <w:pPr>
              <w:spacing w:before="120" w:beforeLines="50" w:after="120" w:afterLines="50"/>
              <w:jc w:val="center"/>
              <w:rPr>
                <w:rFonts w:hint="eastAsia" w:ascii="宋体" w:hAnsi="宋体" w:eastAsia="宋体" w:cs="宋体"/>
                <w:color w:val="auto"/>
                <w:highlight w:val="none"/>
              </w:rPr>
            </w:pPr>
          </w:p>
        </w:tc>
        <w:tc>
          <w:tcPr>
            <w:tcW w:w="2130" w:type="dxa"/>
            <w:gridSpan w:val="2"/>
            <w:tcBorders>
              <w:tl2br w:val="nil"/>
              <w:tr2bl w:val="nil"/>
            </w:tcBorders>
            <w:vAlign w:val="center"/>
          </w:tcPr>
          <w:p w14:paraId="43F0F13A">
            <w:pPr>
              <w:spacing w:before="120" w:beforeLines="50" w:after="120" w:afterLines="50"/>
              <w:jc w:val="center"/>
              <w:rPr>
                <w:rFonts w:hint="eastAsia" w:ascii="宋体" w:hAnsi="宋体" w:eastAsia="宋体" w:cs="宋体"/>
                <w:color w:val="auto"/>
                <w:highlight w:val="none"/>
              </w:rPr>
            </w:pPr>
          </w:p>
        </w:tc>
        <w:tc>
          <w:tcPr>
            <w:tcW w:w="2408" w:type="dxa"/>
            <w:gridSpan w:val="2"/>
            <w:tcBorders>
              <w:tl2br w:val="nil"/>
              <w:tr2bl w:val="nil"/>
            </w:tcBorders>
            <w:vAlign w:val="center"/>
          </w:tcPr>
          <w:p w14:paraId="67BCB8E8">
            <w:pPr>
              <w:spacing w:before="120" w:beforeLines="50" w:after="120" w:afterLines="50"/>
              <w:jc w:val="center"/>
              <w:rPr>
                <w:rFonts w:hint="eastAsia" w:ascii="宋体" w:hAnsi="宋体" w:eastAsia="宋体" w:cs="宋体"/>
                <w:color w:val="auto"/>
                <w:highlight w:val="none"/>
              </w:rPr>
            </w:pPr>
          </w:p>
        </w:tc>
      </w:tr>
    </w:tbl>
    <w:p w14:paraId="628B04F2">
      <w:pPr>
        <w:spacing w:line="360" w:lineRule="auto"/>
        <w:ind w:left="142" w:right="63"/>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后附：</w:t>
      </w:r>
    </w:p>
    <w:p w14:paraId="5D678D40">
      <w:pPr>
        <w:spacing w:line="360" w:lineRule="auto"/>
        <w:ind w:right="63"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b/>
          <w:bCs/>
          <w:color w:val="auto"/>
          <w:kern w:val="0"/>
          <w:szCs w:val="21"/>
          <w:highlight w:val="none"/>
        </w:rPr>
        <w:t>身份证</w:t>
      </w:r>
      <w:r>
        <w:rPr>
          <w:rFonts w:hint="eastAsia" w:ascii="宋体" w:hAnsi="宋体" w:eastAsia="宋体" w:cs="宋体"/>
          <w:b/>
          <w:color w:val="auto"/>
          <w:kern w:val="0"/>
          <w:szCs w:val="21"/>
          <w:highlight w:val="none"/>
        </w:rPr>
        <w:t>、学历证、资格证书、职称证（如有）、劳动合同、</w:t>
      </w:r>
      <w:r>
        <w:rPr>
          <w:rFonts w:hint="eastAsia" w:ascii="宋体" w:hAnsi="宋体" w:eastAsia="宋体" w:cs="宋体"/>
          <w:b/>
          <w:bCs/>
          <w:color w:val="auto"/>
          <w:szCs w:val="21"/>
          <w:highlight w:val="none"/>
        </w:rPr>
        <w:t>养老保险</w:t>
      </w:r>
      <w:r>
        <w:rPr>
          <w:rFonts w:hint="eastAsia" w:ascii="宋体" w:hAnsi="宋体" w:eastAsia="宋体" w:cs="宋体"/>
          <w:b/>
          <w:color w:val="auto"/>
          <w:kern w:val="0"/>
          <w:szCs w:val="21"/>
          <w:highlight w:val="none"/>
        </w:rPr>
        <w:t>等相关证照</w:t>
      </w:r>
      <w:r>
        <w:rPr>
          <w:rFonts w:hint="eastAsia" w:ascii="宋体" w:hAnsi="宋体" w:eastAsia="宋体" w:cs="宋体"/>
          <w:b/>
          <w:color w:val="auto"/>
          <w:kern w:val="0"/>
          <w:szCs w:val="21"/>
          <w:highlight w:val="none"/>
          <w:lang w:eastAsia="zh-CN"/>
        </w:rPr>
        <w:t>扫描件</w:t>
      </w:r>
      <w:r>
        <w:rPr>
          <w:rFonts w:hint="eastAsia" w:ascii="宋体" w:hAnsi="宋体" w:eastAsia="宋体" w:cs="宋体"/>
          <w:b/>
          <w:color w:val="auto"/>
          <w:kern w:val="0"/>
          <w:szCs w:val="21"/>
          <w:highlight w:val="none"/>
        </w:rPr>
        <w:t>。</w:t>
      </w:r>
    </w:p>
    <w:p w14:paraId="4638E900">
      <w:pPr>
        <w:pStyle w:val="46"/>
        <w:ind w:left="0" w:leftChars="0" w:firstLine="0" w:firstLineChars="0"/>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page"/>
      </w:r>
    </w:p>
    <w:p w14:paraId="7850C4D6">
      <w:pPr>
        <w:jc w:val="center"/>
        <w:outlineLvl w:val="3"/>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2.施工项目管理团队组成表</w:t>
      </w:r>
    </w:p>
    <w:p w14:paraId="6F72CC97">
      <w:pPr>
        <w:pStyle w:val="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（格式自拟）</w:t>
      </w:r>
    </w:p>
    <w:p w14:paraId="1E45E310">
      <w:pPr>
        <w:spacing w:line="360" w:lineRule="auto"/>
        <w:ind w:right="2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单位：人</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
        <w:gridCol w:w="1441"/>
        <w:gridCol w:w="1177"/>
        <w:gridCol w:w="1177"/>
        <w:gridCol w:w="1177"/>
        <w:gridCol w:w="1177"/>
        <w:gridCol w:w="1177"/>
        <w:gridCol w:w="1193"/>
      </w:tblGrid>
      <w:tr w14:paraId="55253876">
        <w:tc>
          <w:tcPr>
            <w:tcW w:w="483" w:type="pct"/>
            <w:noWrap w:val="0"/>
            <w:vAlign w:val="center"/>
          </w:tcPr>
          <w:p w14:paraId="334E667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工种</w:t>
            </w:r>
          </w:p>
        </w:tc>
        <w:tc>
          <w:tcPr>
            <w:tcW w:w="4516" w:type="pct"/>
            <w:gridSpan w:val="7"/>
            <w:noWrap w:val="0"/>
            <w:vAlign w:val="center"/>
          </w:tcPr>
          <w:p w14:paraId="1479B0A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按工程施工阶段投入劳动力情况</w:t>
            </w:r>
          </w:p>
        </w:tc>
      </w:tr>
      <w:tr w14:paraId="2E70EFB9">
        <w:tc>
          <w:tcPr>
            <w:tcW w:w="483" w:type="pct"/>
            <w:noWrap w:val="0"/>
            <w:vAlign w:val="center"/>
          </w:tcPr>
          <w:p w14:paraId="01DA996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center"/>
          </w:tcPr>
          <w:p w14:paraId="20DD92F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7772B5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70CD56C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5AA842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44ACAB9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30E49B1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center"/>
          </w:tcPr>
          <w:p w14:paraId="4B1E9A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91F10B3">
        <w:tc>
          <w:tcPr>
            <w:tcW w:w="483" w:type="pct"/>
            <w:noWrap w:val="0"/>
            <w:vAlign w:val="center"/>
          </w:tcPr>
          <w:p w14:paraId="19B4E1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center"/>
          </w:tcPr>
          <w:p w14:paraId="0E1CA9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33DBCB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7A5EBFD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5DCA06B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2483A0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197904C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center"/>
          </w:tcPr>
          <w:p w14:paraId="662FFAE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E571616">
        <w:tc>
          <w:tcPr>
            <w:tcW w:w="483" w:type="pct"/>
            <w:noWrap w:val="0"/>
            <w:vAlign w:val="top"/>
          </w:tcPr>
          <w:p w14:paraId="1B8376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69FB503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5DA56C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91C482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DF365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4F7BD5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90EC5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3F0243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3616164">
        <w:tc>
          <w:tcPr>
            <w:tcW w:w="483" w:type="pct"/>
            <w:noWrap w:val="0"/>
            <w:vAlign w:val="top"/>
          </w:tcPr>
          <w:p w14:paraId="05E5E1C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6DE792D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F35F11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6C82F2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4A5732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1E2B1A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8DDE08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10E3AD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A3DE820">
        <w:tc>
          <w:tcPr>
            <w:tcW w:w="483" w:type="pct"/>
            <w:noWrap w:val="0"/>
            <w:vAlign w:val="top"/>
          </w:tcPr>
          <w:p w14:paraId="38BCEB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32D2149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3335C7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F9446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BD0E1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93C7B6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66EDCF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1F6FC67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8F9B0D1">
        <w:tc>
          <w:tcPr>
            <w:tcW w:w="483" w:type="pct"/>
            <w:noWrap w:val="0"/>
            <w:vAlign w:val="top"/>
          </w:tcPr>
          <w:p w14:paraId="36F4DAD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6E7F629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31AB9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22091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4A8A0C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96A97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AA3C90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294108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3B129D7A">
        <w:tc>
          <w:tcPr>
            <w:tcW w:w="483" w:type="pct"/>
            <w:noWrap w:val="0"/>
            <w:vAlign w:val="top"/>
          </w:tcPr>
          <w:p w14:paraId="42FBF6C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54D902E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1610B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E1D9DE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70BC15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A44522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A1435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29A0A6F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69E7C3CE">
        <w:tc>
          <w:tcPr>
            <w:tcW w:w="483" w:type="pct"/>
            <w:noWrap w:val="0"/>
            <w:vAlign w:val="top"/>
          </w:tcPr>
          <w:p w14:paraId="091B53A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405F012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5D0EEB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19D43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5124E4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A9944F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9EC67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3EEAD24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9FB4717">
        <w:tc>
          <w:tcPr>
            <w:tcW w:w="483" w:type="pct"/>
            <w:noWrap w:val="0"/>
            <w:vAlign w:val="top"/>
          </w:tcPr>
          <w:p w14:paraId="38FC56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16E9C98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10B73E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0CBDB1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128895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88420F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4BFFC2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06EBBD7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BAB3B06">
        <w:tc>
          <w:tcPr>
            <w:tcW w:w="483" w:type="pct"/>
            <w:noWrap w:val="0"/>
            <w:vAlign w:val="top"/>
          </w:tcPr>
          <w:p w14:paraId="40A8D1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5C4541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6B3E2F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10A88E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E32AC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1570B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1F1BD7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4FA5C5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7A2E47A">
        <w:tc>
          <w:tcPr>
            <w:tcW w:w="483" w:type="pct"/>
            <w:noWrap w:val="0"/>
            <w:vAlign w:val="top"/>
          </w:tcPr>
          <w:p w14:paraId="6BAB0E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70FB480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4510EF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DFB773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0ABE9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E3FB1A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269F1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670586F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55472932">
        <w:tc>
          <w:tcPr>
            <w:tcW w:w="483" w:type="pct"/>
            <w:noWrap w:val="0"/>
            <w:vAlign w:val="top"/>
          </w:tcPr>
          <w:p w14:paraId="77B34A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66D3C51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F5E758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8A4EE6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7A355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FB15D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F9E2C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4005C93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E59B00F">
        <w:tc>
          <w:tcPr>
            <w:tcW w:w="483" w:type="pct"/>
            <w:noWrap w:val="0"/>
            <w:vAlign w:val="top"/>
          </w:tcPr>
          <w:p w14:paraId="5AEC122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6F6190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519FE1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1B7642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FD0BC0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B8AD0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F36E3F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55166D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CA870E9">
        <w:tc>
          <w:tcPr>
            <w:tcW w:w="483" w:type="pct"/>
            <w:noWrap w:val="0"/>
            <w:vAlign w:val="top"/>
          </w:tcPr>
          <w:p w14:paraId="53869DA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701D70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BA857C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2FDDD5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A6D2FA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4540E6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38DAB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61C8479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56A6D28A">
        <w:tc>
          <w:tcPr>
            <w:tcW w:w="483" w:type="pct"/>
            <w:noWrap w:val="0"/>
            <w:vAlign w:val="top"/>
          </w:tcPr>
          <w:p w14:paraId="6A45698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09CD571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FFCD9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D39B2D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8A6E72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855586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47AB9A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2154206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478006A">
        <w:tc>
          <w:tcPr>
            <w:tcW w:w="483" w:type="pct"/>
            <w:noWrap w:val="0"/>
            <w:vAlign w:val="top"/>
          </w:tcPr>
          <w:p w14:paraId="5437E5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294A5F8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734898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C269E0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27B831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70E9B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63DCE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7A5D57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5E3425CA">
        <w:tc>
          <w:tcPr>
            <w:tcW w:w="483" w:type="pct"/>
            <w:noWrap w:val="0"/>
            <w:vAlign w:val="top"/>
          </w:tcPr>
          <w:p w14:paraId="56776D2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0DAF76F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318342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29AAC2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BD2E6A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3E6FA5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A41060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20955E7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1B0646DB">
        <w:tc>
          <w:tcPr>
            <w:tcW w:w="483" w:type="pct"/>
            <w:noWrap w:val="0"/>
            <w:vAlign w:val="top"/>
          </w:tcPr>
          <w:p w14:paraId="5FD091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3908BD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2B093E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31A9A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F8E940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80664C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950FD7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3C07330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C4D6EE8">
        <w:tc>
          <w:tcPr>
            <w:tcW w:w="483" w:type="pct"/>
            <w:noWrap w:val="0"/>
            <w:vAlign w:val="top"/>
          </w:tcPr>
          <w:p w14:paraId="2841252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41BEFA0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6C09DC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A60CD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90D815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E16774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156CF5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31" w:type="pct"/>
            <w:noWrap w:val="0"/>
            <w:vAlign w:val="top"/>
          </w:tcPr>
          <w:p w14:paraId="7C31EE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bl>
    <w:p w14:paraId="086CD5BF">
      <w:pPr>
        <w:rPr>
          <w:rFonts w:hint="eastAsia" w:ascii="宋体" w:hAnsi="宋体" w:eastAsia="宋体" w:cs="宋体"/>
          <w:color w:val="auto"/>
          <w:highlight w:val="none"/>
          <w:lang w:eastAsia="zh-CN"/>
        </w:rPr>
      </w:pPr>
    </w:p>
    <w:p w14:paraId="179764D5">
      <w:pPr>
        <w:pStyle w:val="182"/>
        <w:spacing w:before="120" w:beforeLines="50" w:after="240" w:afterLines="10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附人员</w:t>
      </w:r>
      <w:r>
        <w:rPr>
          <w:rFonts w:hint="eastAsia" w:ascii="宋体" w:hAnsi="宋体" w:eastAsia="宋体" w:cs="宋体"/>
          <w:b/>
          <w:bCs/>
          <w:color w:val="auto"/>
          <w:szCs w:val="21"/>
          <w:highlight w:val="none"/>
        </w:rPr>
        <w:t>身份证、岗位证书（资格证书）、劳动合同、养老保险证明材料。</w:t>
      </w:r>
    </w:p>
    <w:p w14:paraId="4904A17C">
      <w:pPr>
        <w:rPr>
          <w:rFonts w:hint="eastAsia" w:ascii="宋体" w:hAnsi="宋体" w:eastAsia="宋体" w:cs="宋体"/>
          <w:color w:val="auto"/>
          <w:highlight w:val="none"/>
        </w:rPr>
      </w:pPr>
    </w:p>
    <w:p w14:paraId="11DD5983">
      <w:pPr>
        <w:pStyle w:val="182"/>
        <w:spacing w:line="360" w:lineRule="auto"/>
        <w:rPr>
          <w:rFonts w:hint="eastAsia" w:ascii="宋体" w:hAnsi="宋体" w:eastAsia="宋体" w:cs="宋体"/>
          <w:b/>
          <w:color w:val="auto"/>
          <w:szCs w:val="21"/>
          <w:highlight w:val="none"/>
        </w:rPr>
      </w:pPr>
    </w:p>
    <w:p w14:paraId="1803AA90">
      <w:pPr>
        <w:spacing w:before="120" w:beforeLines="50"/>
        <w:ind w:right="420" w:firstLine="647" w:firstLineChars="202"/>
        <w:jc w:val="center"/>
        <w:rPr>
          <w:rFonts w:hint="eastAsia" w:ascii="宋体" w:hAnsi="宋体" w:eastAsia="宋体" w:cs="宋体"/>
          <w:b/>
          <w:color w:val="auto"/>
          <w:sz w:val="32"/>
          <w:szCs w:val="28"/>
          <w:highlight w:val="none"/>
        </w:rPr>
      </w:pPr>
    </w:p>
    <w:p w14:paraId="02BDBCBA">
      <w:pPr>
        <w:rPr>
          <w:rFonts w:hint="eastAsia" w:ascii="宋体" w:hAnsi="宋体" w:eastAsia="宋体" w:cs="宋体"/>
          <w:b/>
          <w:color w:val="auto"/>
          <w:kern w:val="0"/>
          <w:sz w:val="22"/>
          <w:szCs w:val="22"/>
          <w:highlight w:val="none"/>
        </w:rPr>
      </w:pPr>
    </w:p>
    <w:p w14:paraId="678D645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D08A873">
      <w:pPr>
        <w:pStyle w:val="3"/>
        <w:rPr>
          <w:rFonts w:hint="eastAsia" w:ascii="宋体" w:hAnsi="宋体" w:eastAsia="宋体" w:cs="宋体"/>
          <w:color w:val="auto"/>
          <w:highlight w:val="none"/>
        </w:rPr>
      </w:pPr>
      <w:bookmarkStart w:id="1005" w:name="_Toc502909071"/>
      <w:bookmarkStart w:id="1006" w:name="_Toc453678127"/>
      <w:bookmarkStart w:id="1007" w:name="_Toc34335352"/>
      <w:bookmarkStart w:id="1008" w:name="_Toc80867974"/>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、技术文件</w:t>
      </w:r>
      <w:bookmarkEnd w:id="1005"/>
      <w:bookmarkEnd w:id="1006"/>
      <w:bookmarkEnd w:id="1007"/>
      <w:bookmarkEnd w:id="1008"/>
    </w:p>
    <w:p w14:paraId="1F55D7EC">
      <w:pPr>
        <w:pStyle w:val="4"/>
        <w:rPr>
          <w:rFonts w:hint="eastAsia" w:ascii="宋体" w:hAnsi="宋体" w:eastAsia="宋体" w:cs="宋体"/>
          <w:color w:val="auto"/>
          <w:highlight w:val="none"/>
        </w:rPr>
      </w:pPr>
      <w:bookmarkStart w:id="1009" w:name="_Toc27635"/>
      <w:bookmarkStart w:id="1010" w:name="_Toc15304"/>
      <w:bookmarkStart w:id="1011" w:name="_Toc80867976"/>
      <w:bookmarkStart w:id="1012" w:name="_Toc1401333639"/>
      <w:r>
        <w:rPr>
          <w:rFonts w:hint="eastAsia" w:ascii="宋体" w:hAnsi="宋体" w:eastAsia="宋体" w:cs="宋体"/>
          <w:color w:val="auto"/>
          <w:highlight w:val="none"/>
        </w:rPr>
        <w:t>施工</w:t>
      </w:r>
      <w:bookmarkEnd w:id="1009"/>
      <w:bookmarkEnd w:id="1010"/>
      <w:bookmarkEnd w:id="1011"/>
      <w:r>
        <w:rPr>
          <w:rFonts w:hint="eastAsia" w:ascii="宋体" w:hAnsi="宋体" w:eastAsia="宋体" w:cs="宋体"/>
          <w:color w:val="auto"/>
          <w:highlight w:val="none"/>
        </w:rPr>
        <w:t>组织设计</w:t>
      </w:r>
      <w:bookmarkEnd w:id="1012"/>
    </w:p>
    <w:p w14:paraId="67AC77F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编制施工组织设计的要求：编制时应采用文字并结合图表形式说明施工方法、拟投入本项目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46EE2D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施工组织设计应包括以下内容：</w:t>
      </w:r>
    </w:p>
    <w:p w14:paraId="2F753D1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（1）施工技术方案；</w:t>
      </w:r>
    </w:p>
    <w:p w14:paraId="4471F89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（2）施工主要工序；</w:t>
      </w:r>
    </w:p>
    <w:p w14:paraId="0185E8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（3）安全文明施工保证措施；</w:t>
      </w:r>
    </w:p>
    <w:p w14:paraId="293743B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（4）施工进度计划及工期保证措施；</w:t>
      </w:r>
    </w:p>
    <w:p w14:paraId="6001B03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（5）应急措施及应急预案；</w:t>
      </w:r>
    </w:p>
    <w:p w14:paraId="124A84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（6）劳动力计划安排；</w:t>
      </w:r>
    </w:p>
    <w:p w14:paraId="1A74CB3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（7）材料投入计划；</w:t>
      </w:r>
    </w:p>
    <w:p w14:paraId="22C3738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（8）工程拟投入的主要施工机械设备情况；</w:t>
      </w:r>
    </w:p>
    <w:p w14:paraId="69E46D0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（9）其他需说明的内容。</w:t>
      </w:r>
    </w:p>
    <w:p w14:paraId="6D2226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2.施工组织设计除采用文字表述外可参考附下列图表，图表及格式，供应商根据其施工组织设计的要求可自行把下列图表添加到相应的项目中。</w:t>
      </w:r>
    </w:p>
    <w:p w14:paraId="179FE7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附表一 拟投入本项目的主要施工设备表</w:t>
      </w:r>
    </w:p>
    <w:p w14:paraId="6F52172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附表二 拟配备本项目的试验和检测仪器设备表</w:t>
      </w:r>
    </w:p>
    <w:p w14:paraId="50C03DB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附表三 劳动力计划表</w:t>
      </w:r>
    </w:p>
    <w:p w14:paraId="11DCFCA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附表四 计划开、竣工日期和施工进度网络图</w:t>
      </w:r>
    </w:p>
    <w:p w14:paraId="17564122">
      <w:pPr>
        <w:pStyle w:val="46"/>
        <w:ind w:firstLine="400"/>
        <w:rPr>
          <w:rFonts w:hint="eastAsia" w:ascii="宋体" w:hAnsi="宋体" w:eastAsia="宋体" w:cs="宋体"/>
          <w:color w:val="auto"/>
          <w:highlight w:val="none"/>
        </w:rPr>
      </w:pPr>
    </w:p>
    <w:p w14:paraId="20251CD3">
      <w:pPr>
        <w:jc w:val="center"/>
        <w:outlineLvl w:val="3"/>
        <w:rPr>
          <w:rFonts w:hint="eastAsia" w:ascii="宋体" w:hAnsi="宋体" w:eastAsia="宋体" w:cs="宋体"/>
          <w:b/>
          <w:bCs/>
          <w:color w:val="auto"/>
          <w:kern w:val="0"/>
          <w:highlight w:val="none"/>
        </w:rPr>
      </w:pPr>
      <w:r>
        <w:rPr>
          <w:rFonts w:hint="eastAsia" w:ascii="宋体" w:hAnsi="宋体" w:eastAsia="宋体" w:cs="宋体"/>
          <w:color w:val="auto"/>
          <w:highlight w:val="none"/>
        </w:rPr>
        <w:br w:type="page"/>
      </w:r>
      <w:r>
        <w:rPr>
          <w:rFonts w:hint="eastAsia" w:ascii="宋体" w:hAnsi="宋体" w:eastAsia="宋体" w:cs="宋体"/>
          <w:b/>
          <w:bCs/>
          <w:color w:val="auto"/>
          <w:kern w:val="0"/>
          <w:sz w:val="24"/>
          <w:highlight w:val="none"/>
        </w:rPr>
        <w:t>附表一：拟投入本项目的主要施工设备表</w:t>
      </w:r>
    </w:p>
    <w:p w14:paraId="5D470172">
      <w:pPr>
        <w:autoSpaceDE w:val="0"/>
        <w:autoSpaceDN w:val="0"/>
        <w:adjustRightInd w:val="0"/>
        <w:spacing w:line="520" w:lineRule="exact"/>
        <w:jc w:val="left"/>
        <w:rPr>
          <w:rFonts w:hint="eastAsia" w:ascii="宋体" w:hAnsi="宋体" w:eastAsia="宋体" w:cs="宋体"/>
          <w:color w:val="auto"/>
          <w:kern w:val="0"/>
          <w:highlight w:val="none"/>
        </w:rPr>
      </w:pPr>
    </w:p>
    <w:tbl>
      <w:tblPr>
        <w:tblStyle w:val="47"/>
        <w:tblW w:w="94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56"/>
        <w:gridCol w:w="785"/>
        <w:gridCol w:w="834"/>
        <w:gridCol w:w="737"/>
        <w:gridCol w:w="848"/>
        <w:gridCol w:w="862"/>
        <w:gridCol w:w="1116"/>
        <w:gridCol w:w="806"/>
        <w:gridCol w:w="1165"/>
        <w:gridCol w:w="1221"/>
      </w:tblGrid>
      <w:tr w14:paraId="1F91A7DA">
        <w:trPr>
          <w:jc w:val="center"/>
        </w:trPr>
        <w:tc>
          <w:tcPr>
            <w:tcW w:w="1056" w:type="dxa"/>
            <w:vAlign w:val="center"/>
          </w:tcPr>
          <w:p w14:paraId="0CB01D48">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序号</w:t>
            </w:r>
          </w:p>
        </w:tc>
        <w:tc>
          <w:tcPr>
            <w:tcW w:w="785" w:type="dxa"/>
            <w:vAlign w:val="center"/>
          </w:tcPr>
          <w:p w14:paraId="0B584715">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设备</w:t>
            </w:r>
          </w:p>
          <w:p w14:paraId="0AAB633B">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名称</w:t>
            </w:r>
          </w:p>
        </w:tc>
        <w:tc>
          <w:tcPr>
            <w:tcW w:w="834" w:type="dxa"/>
            <w:vAlign w:val="center"/>
          </w:tcPr>
          <w:p w14:paraId="3A946F46">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型号</w:t>
            </w:r>
          </w:p>
          <w:p w14:paraId="7F0BF145">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规格</w:t>
            </w:r>
          </w:p>
        </w:tc>
        <w:tc>
          <w:tcPr>
            <w:tcW w:w="737" w:type="dxa"/>
            <w:vAlign w:val="center"/>
          </w:tcPr>
          <w:p w14:paraId="094A82C4">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数量</w:t>
            </w:r>
          </w:p>
        </w:tc>
        <w:tc>
          <w:tcPr>
            <w:tcW w:w="848" w:type="dxa"/>
            <w:vAlign w:val="center"/>
          </w:tcPr>
          <w:p w14:paraId="6BCC8E89">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国别</w:t>
            </w:r>
          </w:p>
          <w:p w14:paraId="1CBAAE02">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产地</w:t>
            </w:r>
          </w:p>
        </w:tc>
        <w:tc>
          <w:tcPr>
            <w:tcW w:w="862" w:type="dxa"/>
            <w:vAlign w:val="center"/>
          </w:tcPr>
          <w:p w14:paraId="22B667CD">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制造</w:t>
            </w:r>
          </w:p>
          <w:p w14:paraId="335AA5E8">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年份</w:t>
            </w:r>
          </w:p>
        </w:tc>
        <w:tc>
          <w:tcPr>
            <w:tcW w:w="1116" w:type="dxa"/>
            <w:vAlign w:val="center"/>
          </w:tcPr>
          <w:p w14:paraId="5ED11069">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额定功率</w:t>
            </w:r>
          </w:p>
          <w:p w14:paraId="26A41FC3">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（kw）</w:t>
            </w:r>
          </w:p>
        </w:tc>
        <w:tc>
          <w:tcPr>
            <w:tcW w:w="806" w:type="dxa"/>
            <w:vAlign w:val="center"/>
          </w:tcPr>
          <w:p w14:paraId="6336F8EE">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生产</w:t>
            </w:r>
          </w:p>
          <w:p w14:paraId="22DF82D7">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能力</w:t>
            </w:r>
          </w:p>
        </w:tc>
        <w:tc>
          <w:tcPr>
            <w:tcW w:w="1165" w:type="dxa"/>
            <w:vAlign w:val="center"/>
          </w:tcPr>
          <w:p w14:paraId="6F440FD6">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用于施工部位</w:t>
            </w:r>
          </w:p>
        </w:tc>
        <w:tc>
          <w:tcPr>
            <w:tcW w:w="1221" w:type="dxa"/>
            <w:vAlign w:val="center"/>
          </w:tcPr>
          <w:p w14:paraId="58988B60">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备注</w:t>
            </w:r>
          </w:p>
        </w:tc>
      </w:tr>
      <w:tr w14:paraId="3CAD6E2E">
        <w:trPr>
          <w:jc w:val="center"/>
        </w:trPr>
        <w:tc>
          <w:tcPr>
            <w:tcW w:w="1056" w:type="dxa"/>
            <w:vAlign w:val="center"/>
          </w:tcPr>
          <w:p w14:paraId="23E84EB5">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67D958EC">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655FECA5">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593B77B7">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396F5B81">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0ED84CF3">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68E95E8D">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010DEB2F">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08EF9089">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0BB99564">
            <w:pPr>
              <w:autoSpaceDE w:val="0"/>
              <w:autoSpaceDN w:val="0"/>
              <w:adjustRightInd w:val="0"/>
              <w:spacing w:line="520" w:lineRule="exact"/>
              <w:jc w:val="center"/>
              <w:rPr>
                <w:rFonts w:hint="eastAsia" w:ascii="宋体" w:hAnsi="宋体" w:eastAsia="宋体" w:cs="宋体"/>
                <w:color w:val="auto"/>
                <w:kern w:val="0"/>
                <w:highlight w:val="none"/>
              </w:rPr>
            </w:pPr>
          </w:p>
        </w:tc>
      </w:tr>
      <w:tr w14:paraId="6F0CDAFA">
        <w:trPr>
          <w:jc w:val="center"/>
        </w:trPr>
        <w:tc>
          <w:tcPr>
            <w:tcW w:w="1056" w:type="dxa"/>
            <w:vAlign w:val="center"/>
          </w:tcPr>
          <w:p w14:paraId="721589F0">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1A346E63">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77DCCF0F">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08DE418E">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28D94824">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6D3034B0">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526A81BB">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4D740B3E">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5D7C340E">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18079788">
            <w:pPr>
              <w:autoSpaceDE w:val="0"/>
              <w:autoSpaceDN w:val="0"/>
              <w:adjustRightInd w:val="0"/>
              <w:spacing w:line="520" w:lineRule="exact"/>
              <w:jc w:val="center"/>
              <w:rPr>
                <w:rFonts w:hint="eastAsia" w:ascii="宋体" w:hAnsi="宋体" w:eastAsia="宋体" w:cs="宋体"/>
                <w:color w:val="auto"/>
                <w:kern w:val="0"/>
                <w:highlight w:val="none"/>
              </w:rPr>
            </w:pPr>
          </w:p>
        </w:tc>
      </w:tr>
      <w:tr w14:paraId="7FDBD4D1">
        <w:trPr>
          <w:jc w:val="center"/>
        </w:trPr>
        <w:tc>
          <w:tcPr>
            <w:tcW w:w="1056" w:type="dxa"/>
            <w:vAlign w:val="center"/>
          </w:tcPr>
          <w:p w14:paraId="30B0B430">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2D99AE2A">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6965259C">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35451978">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7C2B13FA">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59201872">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5C0EEFBB">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02268678">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18669CDB">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0C42DFBD">
            <w:pPr>
              <w:autoSpaceDE w:val="0"/>
              <w:autoSpaceDN w:val="0"/>
              <w:adjustRightInd w:val="0"/>
              <w:spacing w:line="520" w:lineRule="exact"/>
              <w:jc w:val="center"/>
              <w:rPr>
                <w:rFonts w:hint="eastAsia" w:ascii="宋体" w:hAnsi="宋体" w:eastAsia="宋体" w:cs="宋体"/>
                <w:color w:val="auto"/>
                <w:kern w:val="0"/>
                <w:highlight w:val="none"/>
              </w:rPr>
            </w:pPr>
          </w:p>
        </w:tc>
      </w:tr>
      <w:tr w14:paraId="1F3535E5">
        <w:trPr>
          <w:jc w:val="center"/>
        </w:trPr>
        <w:tc>
          <w:tcPr>
            <w:tcW w:w="1056" w:type="dxa"/>
            <w:vAlign w:val="center"/>
          </w:tcPr>
          <w:p w14:paraId="5FFCD1CD">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7C4D584C">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2411B49E">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364059B6">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7DD6C8C1">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3CD3909E">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0FDFE51A">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7CED0E37">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4607DDDC">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07F75E1D">
            <w:pPr>
              <w:autoSpaceDE w:val="0"/>
              <w:autoSpaceDN w:val="0"/>
              <w:adjustRightInd w:val="0"/>
              <w:spacing w:line="520" w:lineRule="exact"/>
              <w:jc w:val="center"/>
              <w:rPr>
                <w:rFonts w:hint="eastAsia" w:ascii="宋体" w:hAnsi="宋体" w:eastAsia="宋体" w:cs="宋体"/>
                <w:color w:val="auto"/>
                <w:kern w:val="0"/>
                <w:highlight w:val="none"/>
              </w:rPr>
            </w:pPr>
          </w:p>
        </w:tc>
      </w:tr>
      <w:tr w14:paraId="3949FEF4">
        <w:trPr>
          <w:jc w:val="center"/>
        </w:trPr>
        <w:tc>
          <w:tcPr>
            <w:tcW w:w="1056" w:type="dxa"/>
            <w:vAlign w:val="center"/>
          </w:tcPr>
          <w:p w14:paraId="3F073274">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6257B08D">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03B621D7">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7C3D3F0C">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50A8EB55">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6C165A79">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5F87215C">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4747C336">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EBCA62D">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07995D3B">
            <w:pPr>
              <w:autoSpaceDE w:val="0"/>
              <w:autoSpaceDN w:val="0"/>
              <w:adjustRightInd w:val="0"/>
              <w:spacing w:line="520" w:lineRule="exact"/>
              <w:jc w:val="center"/>
              <w:rPr>
                <w:rFonts w:hint="eastAsia" w:ascii="宋体" w:hAnsi="宋体" w:eastAsia="宋体" w:cs="宋体"/>
                <w:color w:val="auto"/>
                <w:kern w:val="0"/>
                <w:highlight w:val="none"/>
              </w:rPr>
            </w:pPr>
          </w:p>
        </w:tc>
      </w:tr>
      <w:tr w14:paraId="0F7CBDC3">
        <w:trPr>
          <w:jc w:val="center"/>
        </w:trPr>
        <w:tc>
          <w:tcPr>
            <w:tcW w:w="1056" w:type="dxa"/>
            <w:vAlign w:val="center"/>
          </w:tcPr>
          <w:p w14:paraId="7EDDCCA7">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18DADCCC">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6F65330F">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51E3B129">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2D11770A">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6105C47C">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4192F0D2">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082CF8B3">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08F3640">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5851B5F9">
            <w:pPr>
              <w:autoSpaceDE w:val="0"/>
              <w:autoSpaceDN w:val="0"/>
              <w:adjustRightInd w:val="0"/>
              <w:spacing w:line="520" w:lineRule="exact"/>
              <w:jc w:val="center"/>
              <w:rPr>
                <w:rFonts w:hint="eastAsia" w:ascii="宋体" w:hAnsi="宋体" w:eastAsia="宋体" w:cs="宋体"/>
                <w:color w:val="auto"/>
                <w:kern w:val="0"/>
                <w:highlight w:val="none"/>
              </w:rPr>
            </w:pPr>
          </w:p>
        </w:tc>
      </w:tr>
      <w:tr w14:paraId="050F0B6C">
        <w:trPr>
          <w:jc w:val="center"/>
        </w:trPr>
        <w:tc>
          <w:tcPr>
            <w:tcW w:w="1056" w:type="dxa"/>
            <w:vAlign w:val="center"/>
          </w:tcPr>
          <w:p w14:paraId="7E8E4CDE">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6273FF38">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68858C49">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00F3F882">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05BB1092">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5B4E172F">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7025FDB4">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09ADA454">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187B0614">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2C97B30D">
            <w:pPr>
              <w:autoSpaceDE w:val="0"/>
              <w:autoSpaceDN w:val="0"/>
              <w:adjustRightInd w:val="0"/>
              <w:spacing w:line="520" w:lineRule="exact"/>
              <w:jc w:val="center"/>
              <w:rPr>
                <w:rFonts w:hint="eastAsia" w:ascii="宋体" w:hAnsi="宋体" w:eastAsia="宋体" w:cs="宋体"/>
                <w:color w:val="auto"/>
                <w:kern w:val="0"/>
                <w:highlight w:val="none"/>
              </w:rPr>
            </w:pPr>
          </w:p>
        </w:tc>
      </w:tr>
      <w:tr w14:paraId="13F43C73">
        <w:trPr>
          <w:jc w:val="center"/>
        </w:trPr>
        <w:tc>
          <w:tcPr>
            <w:tcW w:w="1056" w:type="dxa"/>
            <w:vAlign w:val="center"/>
          </w:tcPr>
          <w:p w14:paraId="5E8641FA">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50962E5E">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18C642B4">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1575C185">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0C1C86D7">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397BA9C6">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016E9AEE">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4F174B8B">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10F4579">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4A268C28">
            <w:pPr>
              <w:autoSpaceDE w:val="0"/>
              <w:autoSpaceDN w:val="0"/>
              <w:adjustRightInd w:val="0"/>
              <w:spacing w:line="520" w:lineRule="exact"/>
              <w:jc w:val="center"/>
              <w:rPr>
                <w:rFonts w:hint="eastAsia" w:ascii="宋体" w:hAnsi="宋体" w:eastAsia="宋体" w:cs="宋体"/>
                <w:color w:val="auto"/>
                <w:kern w:val="0"/>
                <w:highlight w:val="none"/>
              </w:rPr>
            </w:pPr>
          </w:p>
        </w:tc>
      </w:tr>
      <w:tr w14:paraId="65E1B555">
        <w:trPr>
          <w:jc w:val="center"/>
        </w:trPr>
        <w:tc>
          <w:tcPr>
            <w:tcW w:w="1056" w:type="dxa"/>
            <w:vAlign w:val="center"/>
          </w:tcPr>
          <w:p w14:paraId="5BD70290">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628BD570">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472E4EF2">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4A80287F">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38776C53">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0671ACF7">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7FDA7A2C">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17748677">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43B02ED">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32E96B7E">
            <w:pPr>
              <w:autoSpaceDE w:val="0"/>
              <w:autoSpaceDN w:val="0"/>
              <w:adjustRightInd w:val="0"/>
              <w:spacing w:line="520" w:lineRule="exact"/>
              <w:jc w:val="center"/>
              <w:rPr>
                <w:rFonts w:hint="eastAsia" w:ascii="宋体" w:hAnsi="宋体" w:eastAsia="宋体" w:cs="宋体"/>
                <w:color w:val="auto"/>
                <w:kern w:val="0"/>
                <w:highlight w:val="none"/>
              </w:rPr>
            </w:pPr>
          </w:p>
        </w:tc>
      </w:tr>
      <w:tr w14:paraId="600CD315">
        <w:trPr>
          <w:jc w:val="center"/>
        </w:trPr>
        <w:tc>
          <w:tcPr>
            <w:tcW w:w="1056" w:type="dxa"/>
            <w:vAlign w:val="center"/>
          </w:tcPr>
          <w:p w14:paraId="45F407CE">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2A328063">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78521CFD">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1C908456">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0C8448B2">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484C7A6F">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291E6A13">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3F59E1CD">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7406219C">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6007C365">
            <w:pPr>
              <w:autoSpaceDE w:val="0"/>
              <w:autoSpaceDN w:val="0"/>
              <w:adjustRightInd w:val="0"/>
              <w:spacing w:line="520" w:lineRule="exact"/>
              <w:jc w:val="center"/>
              <w:rPr>
                <w:rFonts w:hint="eastAsia" w:ascii="宋体" w:hAnsi="宋体" w:eastAsia="宋体" w:cs="宋体"/>
                <w:color w:val="auto"/>
                <w:kern w:val="0"/>
                <w:highlight w:val="none"/>
              </w:rPr>
            </w:pPr>
          </w:p>
        </w:tc>
      </w:tr>
      <w:tr w14:paraId="7D02038C">
        <w:trPr>
          <w:jc w:val="center"/>
        </w:trPr>
        <w:tc>
          <w:tcPr>
            <w:tcW w:w="1056" w:type="dxa"/>
            <w:vAlign w:val="center"/>
          </w:tcPr>
          <w:p w14:paraId="47DFA916">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105E4C84">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70D1EE56">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4C37656B">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12EE4D0E">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27EE47C3">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223251C5">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2F8EB55E">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D5614C6">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372AFB99">
            <w:pPr>
              <w:autoSpaceDE w:val="0"/>
              <w:autoSpaceDN w:val="0"/>
              <w:adjustRightInd w:val="0"/>
              <w:spacing w:line="520" w:lineRule="exact"/>
              <w:jc w:val="center"/>
              <w:rPr>
                <w:rFonts w:hint="eastAsia" w:ascii="宋体" w:hAnsi="宋体" w:eastAsia="宋体" w:cs="宋体"/>
                <w:color w:val="auto"/>
                <w:kern w:val="0"/>
                <w:highlight w:val="none"/>
              </w:rPr>
            </w:pPr>
          </w:p>
        </w:tc>
      </w:tr>
      <w:tr w14:paraId="2332893B">
        <w:trPr>
          <w:jc w:val="center"/>
        </w:trPr>
        <w:tc>
          <w:tcPr>
            <w:tcW w:w="1056" w:type="dxa"/>
            <w:vAlign w:val="center"/>
          </w:tcPr>
          <w:p w14:paraId="6D28A50F">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58B301C9">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57F86F3E">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294B372C">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0F651AD9">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48E319E1">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360003DA">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7E05D8FA">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B7C5324">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438CBB95">
            <w:pPr>
              <w:autoSpaceDE w:val="0"/>
              <w:autoSpaceDN w:val="0"/>
              <w:adjustRightInd w:val="0"/>
              <w:spacing w:line="520" w:lineRule="exact"/>
              <w:jc w:val="center"/>
              <w:rPr>
                <w:rFonts w:hint="eastAsia" w:ascii="宋体" w:hAnsi="宋体" w:eastAsia="宋体" w:cs="宋体"/>
                <w:color w:val="auto"/>
                <w:kern w:val="0"/>
                <w:highlight w:val="none"/>
              </w:rPr>
            </w:pPr>
          </w:p>
        </w:tc>
      </w:tr>
      <w:tr w14:paraId="69CB8031">
        <w:trPr>
          <w:jc w:val="center"/>
        </w:trPr>
        <w:tc>
          <w:tcPr>
            <w:tcW w:w="1056" w:type="dxa"/>
            <w:vAlign w:val="center"/>
          </w:tcPr>
          <w:p w14:paraId="7C5EECDE">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3923B972">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57645D47">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04020078">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27B30533">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5EB7AE8D">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46EBB8C3">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5B462B06">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4C9618D4">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4F346B0B">
            <w:pPr>
              <w:autoSpaceDE w:val="0"/>
              <w:autoSpaceDN w:val="0"/>
              <w:adjustRightInd w:val="0"/>
              <w:spacing w:line="520" w:lineRule="exact"/>
              <w:jc w:val="center"/>
              <w:rPr>
                <w:rFonts w:hint="eastAsia" w:ascii="宋体" w:hAnsi="宋体" w:eastAsia="宋体" w:cs="宋体"/>
                <w:color w:val="auto"/>
                <w:kern w:val="0"/>
                <w:highlight w:val="none"/>
              </w:rPr>
            </w:pPr>
          </w:p>
        </w:tc>
      </w:tr>
      <w:tr w14:paraId="4C24D606">
        <w:trPr>
          <w:jc w:val="center"/>
        </w:trPr>
        <w:tc>
          <w:tcPr>
            <w:tcW w:w="1056" w:type="dxa"/>
            <w:vAlign w:val="center"/>
          </w:tcPr>
          <w:p w14:paraId="45EC6B25">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04BBD22F">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2C444A2E">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0D0E9C76">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26080AEF">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228FC070">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6CA27150">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1FD651CB">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130680E0">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3352FD96">
            <w:pPr>
              <w:autoSpaceDE w:val="0"/>
              <w:autoSpaceDN w:val="0"/>
              <w:adjustRightInd w:val="0"/>
              <w:spacing w:line="520" w:lineRule="exact"/>
              <w:jc w:val="center"/>
              <w:rPr>
                <w:rFonts w:hint="eastAsia" w:ascii="宋体" w:hAnsi="宋体" w:eastAsia="宋体" w:cs="宋体"/>
                <w:color w:val="auto"/>
                <w:kern w:val="0"/>
                <w:highlight w:val="none"/>
              </w:rPr>
            </w:pPr>
          </w:p>
        </w:tc>
      </w:tr>
      <w:tr w14:paraId="152CCA86">
        <w:trPr>
          <w:jc w:val="center"/>
        </w:trPr>
        <w:tc>
          <w:tcPr>
            <w:tcW w:w="1056" w:type="dxa"/>
            <w:vAlign w:val="center"/>
          </w:tcPr>
          <w:p w14:paraId="382C1EA8">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7C649BF3">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4EC2C9D7">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562A720F">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06023D57">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052BF98B">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43972770">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10CC5799">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40990E09">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751DBCA9">
            <w:pPr>
              <w:autoSpaceDE w:val="0"/>
              <w:autoSpaceDN w:val="0"/>
              <w:adjustRightInd w:val="0"/>
              <w:spacing w:line="520" w:lineRule="exact"/>
              <w:jc w:val="center"/>
              <w:rPr>
                <w:rFonts w:hint="eastAsia" w:ascii="宋体" w:hAnsi="宋体" w:eastAsia="宋体" w:cs="宋体"/>
                <w:color w:val="auto"/>
                <w:kern w:val="0"/>
                <w:highlight w:val="none"/>
              </w:rPr>
            </w:pPr>
          </w:p>
        </w:tc>
      </w:tr>
      <w:tr w14:paraId="645D727E">
        <w:trPr>
          <w:jc w:val="center"/>
        </w:trPr>
        <w:tc>
          <w:tcPr>
            <w:tcW w:w="1056" w:type="dxa"/>
            <w:vAlign w:val="center"/>
          </w:tcPr>
          <w:p w14:paraId="37038DCB">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252B4B3B">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77645C95">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2B2A7BF0">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7DB74A9D">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571D6082">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1CE993B1">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4792E1F1">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1EC72DD2">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55C58935">
            <w:pPr>
              <w:autoSpaceDE w:val="0"/>
              <w:autoSpaceDN w:val="0"/>
              <w:adjustRightInd w:val="0"/>
              <w:spacing w:line="520" w:lineRule="exact"/>
              <w:jc w:val="center"/>
              <w:rPr>
                <w:rFonts w:hint="eastAsia" w:ascii="宋体" w:hAnsi="宋体" w:eastAsia="宋体" w:cs="宋体"/>
                <w:color w:val="auto"/>
                <w:kern w:val="0"/>
                <w:highlight w:val="none"/>
              </w:rPr>
            </w:pPr>
          </w:p>
        </w:tc>
      </w:tr>
      <w:tr w14:paraId="521DE6E2">
        <w:trPr>
          <w:jc w:val="center"/>
        </w:trPr>
        <w:tc>
          <w:tcPr>
            <w:tcW w:w="1056" w:type="dxa"/>
            <w:vAlign w:val="center"/>
          </w:tcPr>
          <w:p w14:paraId="15CEEAD0">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4C70920E">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7007951E">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38E5E7FE">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754A7578">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7D3F3683">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7C996732">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4EB5D0C4">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715246F6">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3558A8C5">
            <w:pPr>
              <w:autoSpaceDE w:val="0"/>
              <w:autoSpaceDN w:val="0"/>
              <w:adjustRightInd w:val="0"/>
              <w:spacing w:line="520" w:lineRule="exact"/>
              <w:jc w:val="center"/>
              <w:rPr>
                <w:rFonts w:hint="eastAsia" w:ascii="宋体" w:hAnsi="宋体" w:eastAsia="宋体" w:cs="宋体"/>
                <w:color w:val="auto"/>
                <w:kern w:val="0"/>
                <w:highlight w:val="none"/>
              </w:rPr>
            </w:pPr>
          </w:p>
        </w:tc>
      </w:tr>
      <w:tr w14:paraId="3FE1A493">
        <w:trPr>
          <w:jc w:val="center"/>
        </w:trPr>
        <w:tc>
          <w:tcPr>
            <w:tcW w:w="1056" w:type="dxa"/>
            <w:vAlign w:val="center"/>
          </w:tcPr>
          <w:p w14:paraId="5C53DB3A">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19F43334">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270DC931">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49862668">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105FF780">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6B9F1276">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02630284">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1B0CDF6C">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1C0D4D89">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7B971AF9">
            <w:pPr>
              <w:autoSpaceDE w:val="0"/>
              <w:autoSpaceDN w:val="0"/>
              <w:adjustRightInd w:val="0"/>
              <w:spacing w:line="520" w:lineRule="exact"/>
              <w:jc w:val="center"/>
              <w:rPr>
                <w:rFonts w:hint="eastAsia" w:ascii="宋体" w:hAnsi="宋体" w:eastAsia="宋体" w:cs="宋体"/>
                <w:color w:val="auto"/>
                <w:kern w:val="0"/>
                <w:highlight w:val="none"/>
              </w:rPr>
            </w:pPr>
          </w:p>
        </w:tc>
      </w:tr>
      <w:tr w14:paraId="122E6338">
        <w:trPr>
          <w:jc w:val="center"/>
        </w:trPr>
        <w:tc>
          <w:tcPr>
            <w:tcW w:w="1056" w:type="dxa"/>
            <w:vAlign w:val="center"/>
          </w:tcPr>
          <w:p w14:paraId="211A3B87">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5F384A91">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010C9123">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03F5A847">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16EDD6C7">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2F6F8C9B">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55737D8F">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2E407DC6">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0B462D45">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055C854A">
            <w:pPr>
              <w:autoSpaceDE w:val="0"/>
              <w:autoSpaceDN w:val="0"/>
              <w:adjustRightInd w:val="0"/>
              <w:spacing w:line="520" w:lineRule="exact"/>
              <w:jc w:val="center"/>
              <w:rPr>
                <w:rFonts w:hint="eastAsia" w:ascii="宋体" w:hAnsi="宋体" w:eastAsia="宋体" w:cs="宋体"/>
                <w:color w:val="auto"/>
                <w:kern w:val="0"/>
                <w:highlight w:val="none"/>
              </w:rPr>
            </w:pPr>
          </w:p>
        </w:tc>
      </w:tr>
      <w:tr w14:paraId="5D12501B">
        <w:trPr>
          <w:jc w:val="center"/>
        </w:trPr>
        <w:tc>
          <w:tcPr>
            <w:tcW w:w="1056" w:type="dxa"/>
            <w:vAlign w:val="center"/>
          </w:tcPr>
          <w:p w14:paraId="6E197AB5">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407E329C">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49A031AC">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47F3AF83">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5E80CD61">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6758CDDA">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1A1D0171">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4A433026">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347FE864">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152E5D33">
            <w:pPr>
              <w:autoSpaceDE w:val="0"/>
              <w:autoSpaceDN w:val="0"/>
              <w:adjustRightInd w:val="0"/>
              <w:spacing w:line="520" w:lineRule="exact"/>
              <w:jc w:val="center"/>
              <w:rPr>
                <w:rFonts w:hint="eastAsia" w:ascii="宋体" w:hAnsi="宋体" w:eastAsia="宋体" w:cs="宋体"/>
                <w:color w:val="auto"/>
                <w:kern w:val="0"/>
                <w:highlight w:val="none"/>
              </w:rPr>
            </w:pPr>
          </w:p>
        </w:tc>
      </w:tr>
      <w:tr w14:paraId="6189D19C">
        <w:trPr>
          <w:jc w:val="center"/>
        </w:trPr>
        <w:tc>
          <w:tcPr>
            <w:tcW w:w="1056" w:type="dxa"/>
            <w:vAlign w:val="center"/>
          </w:tcPr>
          <w:p w14:paraId="60954E9E">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31B21DD6">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0C37DF81">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1A710BFE">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62A1F243">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457C73C4">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13816607">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74B1DAEC">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21457F08">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615767B7">
            <w:pPr>
              <w:autoSpaceDE w:val="0"/>
              <w:autoSpaceDN w:val="0"/>
              <w:adjustRightInd w:val="0"/>
              <w:spacing w:line="520" w:lineRule="exact"/>
              <w:jc w:val="center"/>
              <w:rPr>
                <w:rFonts w:hint="eastAsia" w:ascii="宋体" w:hAnsi="宋体" w:eastAsia="宋体" w:cs="宋体"/>
                <w:color w:val="auto"/>
                <w:kern w:val="0"/>
                <w:highlight w:val="none"/>
              </w:rPr>
            </w:pPr>
          </w:p>
        </w:tc>
      </w:tr>
      <w:tr w14:paraId="553D9C44">
        <w:trPr>
          <w:jc w:val="center"/>
        </w:trPr>
        <w:tc>
          <w:tcPr>
            <w:tcW w:w="1056" w:type="dxa"/>
            <w:vAlign w:val="center"/>
          </w:tcPr>
          <w:p w14:paraId="04C42793">
            <w:pPr>
              <w:autoSpaceDE w:val="0"/>
              <w:autoSpaceDN w:val="0"/>
              <w:adjustRightInd w:val="0"/>
              <w:spacing w:line="520" w:lineRule="exact"/>
              <w:jc w:val="center"/>
              <w:rPr>
                <w:rFonts w:hint="eastAsia" w:ascii="宋体" w:hAnsi="宋体" w:eastAsia="宋体" w:cs="宋体"/>
                <w:color w:val="auto"/>
                <w:kern w:val="0"/>
                <w:highlight w:val="none"/>
              </w:rPr>
            </w:pPr>
          </w:p>
        </w:tc>
        <w:tc>
          <w:tcPr>
            <w:tcW w:w="785" w:type="dxa"/>
            <w:vAlign w:val="center"/>
          </w:tcPr>
          <w:p w14:paraId="730BEE61">
            <w:pPr>
              <w:autoSpaceDE w:val="0"/>
              <w:autoSpaceDN w:val="0"/>
              <w:adjustRightInd w:val="0"/>
              <w:spacing w:line="520" w:lineRule="exact"/>
              <w:jc w:val="center"/>
              <w:rPr>
                <w:rFonts w:hint="eastAsia" w:ascii="宋体" w:hAnsi="宋体" w:eastAsia="宋体" w:cs="宋体"/>
                <w:color w:val="auto"/>
                <w:kern w:val="0"/>
                <w:highlight w:val="none"/>
              </w:rPr>
            </w:pPr>
          </w:p>
        </w:tc>
        <w:tc>
          <w:tcPr>
            <w:tcW w:w="834" w:type="dxa"/>
            <w:vAlign w:val="center"/>
          </w:tcPr>
          <w:p w14:paraId="6B5104CE">
            <w:pPr>
              <w:autoSpaceDE w:val="0"/>
              <w:autoSpaceDN w:val="0"/>
              <w:adjustRightInd w:val="0"/>
              <w:spacing w:line="520" w:lineRule="exact"/>
              <w:jc w:val="center"/>
              <w:rPr>
                <w:rFonts w:hint="eastAsia" w:ascii="宋体" w:hAnsi="宋体" w:eastAsia="宋体" w:cs="宋体"/>
                <w:color w:val="auto"/>
                <w:kern w:val="0"/>
                <w:highlight w:val="none"/>
              </w:rPr>
            </w:pPr>
          </w:p>
        </w:tc>
        <w:tc>
          <w:tcPr>
            <w:tcW w:w="737" w:type="dxa"/>
            <w:vAlign w:val="center"/>
          </w:tcPr>
          <w:p w14:paraId="3420C3BE">
            <w:pPr>
              <w:autoSpaceDE w:val="0"/>
              <w:autoSpaceDN w:val="0"/>
              <w:adjustRightInd w:val="0"/>
              <w:spacing w:line="520" w:lineRule="exact"/>
              <w:jc w:val="center"/>
              <w:rPr>
                <w:rFonts w:hint="eastAsia" w:ascii="宋体" w:hAnsi="宋体" w:eastAsia="宋体" w:cs="宋体"/>
                <w:color w:val="auto"/>
                <w:kern w:val="0"/>
                <w:highlight w:val="none"/>
              </w:rPr>
            </w:pPr>
          </w:p>
        </w:tc>
        <w:tc>
          <w:tcPr>
            <w:tcW w:w="848" w:type="dxa"/>
            <w:vAlign w:val="center"/>
          </w:tcPr>
          <w:p w14:paraId="3D9ACCB6">
            <w:pPr>
              <w:autoSpaceDE w:val="0"/>
              <w:autoSpaceDN w:val="0"/>
              <w:adjustRightInd w:val="0"/>
              <w:spacing w:line="520" w:lineRule="exact"/>
              <w:jc w:val="center"/>
              <w:rPr>
                <w:rFonts w:hint="eastAsia" w:ascii="宋体" w:hAnsi="宋体" w:eastAsia="宋体" w:cs="宋体"/>
                <w:color w:val="auto"/>
                <w:kern w:val="0"/>
                <w:highlight w:val="none"/>
              </w:rPr>
            </w:pPr>
          </w:p>
        </w:tc>
        <w:tc>
          <w:tcPr>
            <w:tcW w:w="862" w:type="dxa"/>
            <w:vAlign w:val="center"/>
          </w:tcPr>
          <w:p w14:paraId="66650C32">
            <w:pPr>
              <w:autoSpaceDE w:val="0"/>
              <w:autoSpaceDN w:val="0"/>
              <w:adjustRightInd w:val="0"/>
              <w:spacing w:line="520" w:lineRule="exact"/>
              <w:jc w:val="center"/>
              <w:rPr>
                <w:rFonts w:hint="eastAsia" w:ascii="宋体" w:hAnsi="宋体" w:eastAsia="宋体" w:cs="宋体"/>
                <w:color w:val="auto"/>
                <w:kern w:val="0"/>
                <w:highlight w:val="none"/>
              </w:rPr>
            </w:pPr>
          </w:p>
        </w:tc>
        <w:tc>
          <w:tcPr>
            <w:tcW w:w="1116" w:type="dxa"/>
            <w:vAlign w:val="center"/>
          </w:tcPr>
          <w:p w14:paraId="1CD5003F">
            <w:pPr>
              <w:autoSpaceDE w:val="0"/>
              <w:autoSpaceDN w:val="0"/>
              <w:adjustRightInd w:val="0"/>
              <w:spacing w:line="520" w:lineRule="exact"/>
              <w:jc w:val="center"/>
              <w:rPr>
                <w:rFonts w:hint="eastAsia" w:ascii="宋体" w:hAnsi="宋体" w:eastAsia="宋体" w:cs="宋体"/>
                <w:color w:val="auto"/>
                <w:kern w:val="0"/>
                <w:highlight w:val="none"/>
              </w:rPr>
            </w:pPr>
          </w:p>
        </w:tc>
        <w:tc>
          <w:tcPr>
            <w:tcW w:w="806" w:type="dxa"/>
            <w:vAlign w:val="center"/>
          </w:tcPr>
          <w:p w14:paraId="181EE8D5">
            <w:pPr>
              <w:autoSpaceDE w:val="0"/>
              <w:autoSpaceDN w:val="0"/>
              <w:adjustRightInd w:val="0"/>
              <w:spacing w:line="520" w:lineRule="exact"/>
              <w:jc w:val="center"/>
              <w:rPr>
                <w:rFonts w:hint="eastAsia" w:ascii="宋体" w:hAnsi="宋体" w:eastAsia="宋体" w:cs="宋体"/>
                <w:color w:val="auto"/>
                <w:kern w:val="0"/>
                <w:highlight w:val="none"/>
              </w:rPr>
            </w:pPr>
          </w:p>
        </w:tc>
        <w:tc>
          <w:tcPr>
            <w:tcW w:w="1165" w:type="dxa"/>
            <w:vAlign w:val="center"/>
          </w:tcPr>
          <w:p w14:paraId="5120FA2E">
            <w:pPr>
              <w:autoSpaceDE w:val="0"/>
              <w:autoSpaceDN w:val="0"/>
              <w:adjustRightInd w:val="0"/>
              <w:spacing w:line="520" w:lineRule="exact"/>
              <w:jc w:val="center"/>
              <w:rPr>
                <w:rFonts w:hint="eastAsia" w:ascii="宋体" w:hAnsi="宋体" w:eastAsia="宋体" w:cs="宋体"/>
                <w:color w:val="auto"/>
                <w:kern w:val="0"/>
                <w:highlight w:val="none"/>
              </w:rPr>
            </w:pPr>
          </w:p>
        </w:tc>
        <w:tc>
          <w:tcPr>
            <w:tcW w:w="1221" w:type="dxa"/>
            <w:vAlign w:val="center"/>
          </w:tcPr>
          <w:p w14:paraId="5B2D1774">
            <w:pPr>
              <w:autoSpaceDE w:val="0"/>
              <w:autoSpaceDN w:val="0"/>
              <w:adjustRightInd w:val="0"/>
              <w:spacing w:line="520" w:lineRule="exact"/>
              <w:jc w:val="center"/>
              <w:rPr>
                <w:rFonts w:hint="eastAsia" w:ascii="宋体" w:hAnsi="宋体" w:eastAsia="宋体" w:cs="宋体"/>
                <w:color w:val="auto"/>
                <w:kern w:val="0"/>
                <w:highlight w:val="none"/>
              </w:rPr>
            </w:pPr>
          </w:p>
        </w:tc>
      </w:tr>
    </w:tbl>
    <w:p w14:paraId="6120166B">
      <w:pPr>
        <w:jc w:val="center"/>
        <w:outlineLvl w:val="3"/>
        <w:rPr>
          <w:rFonts w:hint="eastAsia" w:ascii="宋体" w:hAnsi="宋体" w:eastAsia="宋体" w:cs="宋体"/>
          <w:b/>
          <w:bCs/>
          <w:color w:val="auto"/>
          <w:kern w:val="0"/>
          <w:highlight w:val="none"/>
        </w:rPr>
      </w:pPr>
      <w:r>
        <w:rPr>
          <w:rFonts w:hint="eastAsia" w:ascii="宋体" w:hAnsi="宋体" w:eastAsia="宋体" w:cs="宋体"/>
          <w:color w:val="auto"/>
          <w:kern w:val="0"/>
          <w:highlight w:val="none"/>
        </w:rPr>
        <w:br w:type="page"/>
      </w:r>
      <w:r>
        <w:rPr>
          <w:rFonts w:hint="eastAsia" w:ascii="宋体" w:hAnsi="宋体" w:eastAsia="宋体" w:cs="宋体"/>
          <w:b/>
          <w:bCs/>
          <w:color w:val="auto"/>
          <w:kern w:val="0"/>
          <w:sz w:val="24"/>
          <w:highlight w:val="none"/>
        </w:rPr>
        <w:t>附表二：拟配备本项目的仪器设备表</w:t>
      </w:r>
    </w:p>
    <w:p w14:paraId="054DE01E">
      <w:pPr>
        <w:autoSpaceDE w:val="0"/>
        <w:autoSpaceDN w:val="0"/>
        <w:adjustRightInd w:val="0"/>
        <w:spacing w:line="520" w:lineRule="exact"/>
        <w:jc w:val="left"/>
        <w:rPr>
          <w:rFonts w:hint="eastAsia" w:ascii="宋体" w:hAnsi="宋体" w:eastAsia="宋体" w:cs="宋体"/>
          <w:b/>
          <w:bCs/>
          <w:color w:val="auto"/>
          <w:kern w:val="0"/>
          <w:highlight w:val="none"/>
        </w:rPr>
      </w:pPr>
    </w:p>
    <w:tbl>
      <w:tblPr>
        <w:tblStyle w:val="47"/>
        <w:tblW w:w="94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95"/>
        <w:gridCol w:w="1174"/>
        <w:gridCol w:w="759"/>
        <w:gridCol w:w="669"/>
        <w:gridCol w:w="738"/>
        <w:gridCol w:w="724"/>
        <w:gridCol w:w="932"/>
        <w:gridCol w:w="1736"/>
        <w:gridCol w:w="1303"/>
      </w:tblGrid>
      <w:tr w14:paraId="5F24CEAF">
        <w:trPr>
          <w:jc w:val="center"/>
        </w:trPr>
        <w:tc>
          <w:tcPr>
            <w:tcW w:w="1395" w:type="dxa"/>
            <w:vAlign w:val="center"/>
          </w:tcPr>
          <w:p w14:paraId="3EA0FB63">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序号</w:t>
            </w:r>
          </w:p>
        </w:tc>
        <w:tc>
          <w:tcPr>
            <w:tcW w:w="1174" w:type="dxa"/>
            <w:vAlign w:val="center"/>
          </w:tcPr>
          <w:p w14:paraId="1642C794">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仪器设备名称</w:t>
            </w:r>
          </w:p>
        </w:tc>
        <w:tc>
          <w:tcPr>
            <w:tcW w:w="759" w:type="dxa"/>
            <w:vAlign w:val="center"/>
          </w:tcPr>
          <w:p w14:paraId="742D6780">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型号规格</w:t>
            </w:r>
          </w:p>
        </w:tc>
        <w:tc>
          <w:tcPr>
            <w:tcW w:w="669" w:type="dxa"/>
            <w:vAlign w:val="center"/>
          </w:tcPr>
          <w:p w14:paraId="39155765">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数量</w:t>
            </w:r>
          </w:p>
        </w:tc>
        <w:tc>
          <w:tcPr>
            <w:tcW w:w="738" w:type="dxa"/>
            <w:vAlign w:val="center"/>
          </w:tcPr>
          <w:p w14:paraId="4C5D5707">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国别产地</w:t>
            </w:r>
          </w:p>
        </w:tc>
        <w:tc>
          <w:tcPr>
            <w:tcW w:w="724" w:type="dxa"/>
            <w:vAlign w:val="center"/>
          </w:tcPr>
          <w:p w14:paraId="1E8CA664">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制造年份</w:t>
            </w:r>
          </w:p>
        </w:tc>
        <w:tc>
          <w:tcPr>
            <w:tcW w:w="932" w:type="dxa"/>
            <w:vAlign w:val="center"/>
          </w:tcPr>
          <w:p w14:paraId="69EBE1D8">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已使用台时数</w:t>
            </w:r>
          </w:p>
        </w:tc>
        <w:tc>
          <w:tcPr>
            <w:tcW w:w="1736" w:type="dxa"/>
            <w:vAlign w:val="center"/>
          </w:tcPr>
          <w:p w14:paraId="02C00E46">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用途</w:t>
            </w:r>
          </w:p>
        </w:tc>
        <w:tc>
          <w:tcPr>
            <w:tcW w:w="1303" w:type="dxa"/>
            <w:vAlign w:val="center"/>
          </w:tcPr>
          <w:p w14:paraId="137EDCA8">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备注</w:t>
            </w:r>
          </w:p>
        </w:tc>
      </w:tr>
      <w:tr w14:paraId="01EB3C1E">
        <w:trPr>
          <w:jc w:val="center"/>
        </w:trPr>
        <w:tc>
          <w:tcPr>
            <w:tcW w:w="1395" w:type="dxa"/>
            <w:vAlign w:val="center"/>
          </w:tcPr>
          <w:p w14:paraId="0F5B3832">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4F565602">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64D44C4C">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2563CF6">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2DE17123">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77A6EDFA">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62B85808">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7B903875">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15041264">
            <w:pPr>
              <w:autoSpaceDE w:val="0"/>
              <w:autoSpaceDN w:val="0"/>
              <w:adjustRightInd w:val="0"/>
              <w:spacing w:line="520" w:lineRule="exact"/>
              <w:jc w:val="center"/>
              <w:rPr>
                <w:rFonts w:hint="eastAsia" w:ascii="宋体" w:hAnsi="宋体" w:eastAsia="宋体" w:cs="宋体"/>
                <w:color w:val="auto"/>
                <w:kern w:val="0"/>
                <w:highlight w:val="none"/>
              </w:rPr>
            </w:pPr>
          </w:p>
        </w:tc>
      </w:tr>
      <w:tr w14:paraId="34A0106E">
        <w:trPr>
          <w:jc w:val="center"/>
        </w:trPr>
        <w:tc>
          <w:tcPr>
            <w:tcW w:w="1395" w:type="dxa"/>
            <w:vAlign w:val="center"/>
          </w:tcPr>
          <w:p w14:paraId="496385A1">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3BD9ECE7">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65333D33">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CD0B564">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40B2A6D3">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55F61717">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5B983A98">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0F609DD9">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0CD458FE">
            <w:pPr>
              <w:autoSpaceDE w:val="0"/>
              <w:autoSpaceDN w:val="0"/>
              <w:adjustRightInd w:val="0"/>
              <w:spacing w:line="520" w:lineRule="exact"/>
              <w:jc w:val="center"/>
              <w:rPr>
                <w:rFonts w:hint="eastAsia" w:ascii="宋体" w:hAnsi="宋体" w:eastAsia="宋体" w:cs="宋体"/>
                <w:color w:val="auto"/>
                <w:kern w:val="0"/>
                <w:highlight w:val="none"/>
              </w:rPr>
            </w:pPr>
          </w:p>
        </w:tc>
      </w:tr>
      <w:tr w14:paraId="2E256F82">
        <w:trPr>
          <w:jc w:val="center"/>
        </w:trPr>
        <w:tc>
          <w:tcPr>
            <w:tcW w:w="1395" w:type="dxa"/>
            <w:vAlign w:val="center"/>
          </w:tcPr>
          <w:p w14:paraId="003AE85E">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3359CF71">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465B8704">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3BB5B93A">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6CFC07F9">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3ED18055">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4F38EFBD">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13939C7D">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40D3770C">
            <w:pPr>
              <w:autoSpaceDE w:val="0"/>
              <w:autoSpaceDN w:val="0"/>
              <w:adjustRightInd w:val="0"/>
              <w:spacing w:line="520" w:lineRule="exact"/>
              <w:jc w:val="center"/>
              <w:rPr>
                <w:rFonts w:hint="eastAsia" w:ascii="宋体" w:hAnsi="宋体" w:eastAsia="宋体" w:cs="宋体"/>
                <w:color w:val="auto"/>
                <w:kern w:val="0"/>
                <w:highlight w:val="none"/>
              </w:rPr>
            </w:pPr>
          </w:p>
        </w:tc>
      </w:tr>
      <w:tr w14:paraId="4B73F6D0">
        <w:trPr>
          <w:jc w:val="center"/>
        </w:trPr>
        <w:tc>
          <w:tcPr>
            <w:tcW w:w="1395" w:type="dxa"/>
            <w:vAlign w:val="center"/>
          </w:tcPr>
          <w:p w14:paraId="5189A40D">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55BDAE41">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2540C4D4">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2ED14768">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153D90FF">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28A05C13">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2D0224BE">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16F76AD3">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752152E6">
            <w:pPr>
              <w:autoSpaceDE w:val="0"/>
              <w:autoSpaceDN w:val="0"/>
              <w:adjustRightInd w:val="0"/>
              <w:spacing w:line="520" w:lineRule="exact"/>
              <w:jc w:val="center"/>
              <w:rPr>
                <w:rFonts w:hint="eastAsia" w:ascii="宋体" w:hAnsi="宋体" w:eastAsia="宋体" w:cs="宋体"/>
                <w:color w:val="auto"/>
                <w:kern w:val="0"/>
                <w:highlight w:val="none"/>
              </w:rPr>
            </w:pPr>
          </w:p>
        </w:tc>
      </w:tr>
      <w:tr w14:paraId="6A7DE103">
        <w:trPr>
          <w:jc w:val="center"/>
        </w:trPr>
        <w:tc>
          <w:tcPr>
            <w:tcW w:w="1395" w:type="dxa"/>
            <w:vAlign w:val="center"/>
          </w:tcPr>
          <w:p w14:paraId="0D3D6C87">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50962B12">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6321DBF8">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687C7166">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19EEB2F9">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7E999578">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5D1E44C4">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B4F9105">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64C9A3A5">
            <w:pPr>
              <w:autoSpaceDE w:val="0"/>
              <w:autoSpaceDN w:val="0"/>
              <w:adjustRightInd w:val="0"/>
              <w:spacing w:line="520" w:lineRule="exact"/>
              <w:jc w:val="center"/>
              <w:rPr>
                <w:rFonts w:hint="eastAsia" w:ascii="宋体" w:hAnsi="宋体" w:eastAsia="宋体" w:cs="宋体"/>
                <w:color w:val="auto"/>
                <w:kern w:val="0"/>
                <w:highlight w:val="none"/>
              </w:rPr>
            </w:pPr>
          </w:p>
        </w:tc>
      </w:tr>
      <w:tr w14:paraId="60824F1B">
        <w:trPr>
          <w:jc w:val="center"/>
        </w:trPr>
        <w:tc>
          <w:tcPr>
            <w:tcW w:w="1395" w:type="dxa"/>
            <w:vAlign w:val="center"/>
          </w:tcPr>
          <w:p w14:paraId="2FEBA863">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50E63996">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1E9460DE">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41FD17BE">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17263159">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6E8A87DF">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076FFB3D">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1BA4971B">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75160C3F">
            <w:pPr>
              <w:autoSpaceDE w:val="0"/>
              <w:autoSpaceDN w:val="0"/>
              <w:adjustRightInd w:val="0"/>
              <w:spacing w:line="520" w:lineRule="exact"/>
              <w:jc w:val="center"/>
              <w:rPr>
                <w:rFonts w:hint="eastAsia" w:ascii="宋体" w:hAnsi="宋体" w:eastAsia="宋体" w:cs="宋体"/>
                <w:color w:val="auto"/>
                <w:kern w:val="0"/>
                <w:highlight w:val="none"/>
              </w:rPr>
            </w:pPr>
          </w:p>
        </w:tc>
      </w:tr>
      <w:tr w14:paraId="77BA0AE2">
        <w:trPr>
          <w:jc w:val="center"/>
        </w:trPr>
        <w:tc>
          <w:tcPr>
            <w:tcW w:w="1395" w:type="dxa"/>
            <w:vAlign w:val="center"/>
          </w:tcPr>
          <w:p w14:paraId="4FE03955">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402F1B90">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270A0BAF">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61F4C99">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616055E3">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0925BBD7">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7250F4FE">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D76E53C">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56575ABC">
            <w:pPr>
              <w:autoSpaceDE w:val="0"/>
              <w:autoSpaceDN w:val="0"/>
              <w:adjustRightInd w:val="0"/>
              <w:spacing w:line="520" w:lineRule="exact"/>
              <w:jc w:val="center"/>
              <w:rPr>
                <w:rFonts w:hint="eastAsia" w:ascii="宋体" w:hAnsi="宋体" w:eastAsia="宋体" w:cs="宋体"/>
                <w:color w:val="auto"/>
                <w:kern w:val="0"/>
                <w:highlight w:val="none"/>
              </w:rPr>
            </w:pPr>
          </w:p>
        </w:tc>
      </w:tr>
      <w:tr w14:paraId="37EADF54">
        <w:trPr>
          <w:jc w:val="center"/>
        </w:trPr>
        <w:tc>
          <w:tcPr>
            <w:tcW w:w="1395" w:type="dxa"/>
            <w:vAlign w:val="center"/>
          </w:tcPr>
          <w:p w14:paraId="2A1ED2CD">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3C61569E">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2D853911">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D961D9B">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706F268C">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340705D3">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4CE8AD9B">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6C204AE">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35A9ECC5">
            <w:pPr>
              <w:autoSpaceDE w:val="0"/>
              <w:autoSpaceDN w:val="0"/>
              <w:adjustRightInd w:val="0"/>
              <w:spacing w:line="520" w:lineRule="exact"/>
              <w:jc w:val="center"/>
              <w:rPr>
                <w:rFonts w:hint="eastAsia" w:ascii="宋体" w:hAnsi="宋体" w:eastAsia="宋体" w:cs="宋体"/>
                <w:color w:val="auto"/>
                <w:kern w:val="0"/>
                <w:highlight w:val="none"/>
              </w:rPr>
            </w:pPr>
          </w:p>
        </w:tc>
      </w:tr>
      <w:tr w14:paraId="34A71A8E">
        <w:trPr>
          <w:jc w:val="center"/>
        </w:trPr>
        <w:tc>
          <w:tcPr>
            <w:tcW w:w="1395" w:type="dxa"/>
            <w:vAlign w:val="center"/>
          </w:tcPr>
          <w:p w14:paraId="62B3ED3C">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5813B851">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488B4A27">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3A2EF83E">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0D4C9BEB">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152D5DF2">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7470CD9C">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74442463">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79CDDF13">
            <w:pPr>
              <w:autoSpaceDE w:val="0"/>
              <w:autoSpaceDN w:val="0"/>
              <w:adjustRightInd w:val="0"/>
              <w:spacing w:line="520" w:lineRule="exact"/>
              <w:jc w:val="center"/>
              <w:rPr>
                <w:rFonts w:hint="eastAsia" w:ascii="宋体" w:hAnsi="宋体" w:eastAsia="宋体" w:cs="宋体"/>
                <w:color w:val="auto"/>
                <w:kern w:val="0"/>
                <w:highlight w:val="none"/>
              </w:rPr>
            </w:pPr>
          </w:p>
        </w:tc>
      </w:tr>
      <w:tr w14:paraId="47F6D94F">
        <w:trPr>
          <w:jc w:val="center"/>
        </w:trPr>
        <w:tc>
          <w:tcPr>
            <w:tcW w:w="1395" w:type="dxa"/>
            <w:vAlign w:val="center"/>
          </w:tcPr>
          <w:p w14:paraId="3F294239">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3639F5F8">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06261BDD">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1EC71AA">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09A565C4">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510EF907">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1E2C2C2B">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0D8A794">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6080CED0">
            <w:pPr>
              <w:autoSpaceDE w:val="0"/>
              <w:autoSpaceDN w:val="0"/>
              <w:adjustRightInd w:val="0"/>
              <w:spacing w:line="520" w:lineRule="exact"/>
              <w:jc w:val="center"/>
              <w:rPr>
                <w:rFonts w:hint="eastAsia" w:ascii="宋体" w:hAnsi="宋体" w:eastAsia="宋体" w:cs="宋体"/>
                <w:color w:val="auto"/>
                <w:kern w:val="0"/>
                <w:highlight w:val="none"/>
              </w:rPr>
            </w:pPr>
          </w:p>
        </w:tc>
      </w:tr>
      <w:tr w14:paraId="1FA5D56C">
        <w:trPr>
          <w:jc w:val="center"/>
        </w:trPr>
        <w:tc>
          <w:tcPr>
            <w:tcW w:w="1395" w:type="dxa"/>
            <w:vAlign w:val="center"/>
          </w:tcPr>
          <w:p w14:paraId="022426BA">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4E013B28">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02845360">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477DF14A">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3DCAD663">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4F41DD58">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41EB540E">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35827DF7">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4D2AC363">
            <w:pPr>
              <w:autoSpaceDE w:val="0"/>
              <w:autoSpaceDN w:val="0"/>
              <w:adjustRightInd w:val="0"/>
              <w:spacing w:line="520" w:lineRule="exact"/>
              <w:jc w:val="center"/>
              <w:rPr>
                <w:rFonts w:hint="eastAsia" w:ascii="宋体" w:hAnsi="宋体" w:eastAsia="宋体" w:cs="宋体"/>
                <w:color w:val="auto"/>
                <w:kern w:val="0"/>
                <w:highlight w:val="none"/>
              </w:rPr>
            </w:pPr>
          </w:p>
        </w:tc>
      </w:tr>
      <w:tr w14:paraId="74DB464D">
        <w:trPr>
          <w:jc w:val="center"/>
        </w:trPr>
        <w:tc>
          <w:tcPr>
            <w:tcW w:w="1395" w:type="dxa"/>
            <w:vAlign w:val="center"/>
          </w:tcPr>
          <w:p w14:paraId="3D1576E8">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763AACF3">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6F4484EA">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7DE7E5DB">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6EEAD1CA">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0F81272C">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544AF260">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1418FBB1">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145BAE6E">
            <w:pPr>
              <w:autoSpaceDE w:val="0"/>
              <w:autoSpaceDN w:val="0"/>
              <w:adjustRightInd w:val="0"/>
              <w:spacing w:line="520" w:lineRule="exact"/>
              <w:jc w:val="center"/>
              <w:rPr>
                <w:rFonts w:hint="eastAsia" w:ascii="宋体" w:hAnsi="宋体" w:eastAsia="宋体" w:cs="宋体"/>
                <w:color w:val="auto"/>
                <w:kern w:val="0"/>
                <w:highlight w:val="none"/>
              </w:rPr>
            </w:pPr>
          </w:p>
        </w:tc>
      </w:tr>
      <w:tr w14:paraId="22369187">
        <w:trPr>
          <w:jc w:val="center"/>
        </w:trPr>
        <w:tc>
          <w:tcPr>
            <w:tcW w:w="1395" w:type="dxa"/>
            <w:vAlign w:val="center"/>
          </w:tcPr>
          <w:p w14:paraId="4D1F6E05">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574ABDB2">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0D4149DF">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61F0903">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291A9356">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04144002">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06D77818">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946A6CA">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22417A5C">
            <w:pPr>
              <w:autoSpaceDE w:val="0"/>
              <w:autoSpaceDN w:val="0"/>
              <w:adjustRightInd w:val="0"/>
              <w:spacing w:line="520" w:lineRule="exact"/>
              <w:jc w:val="center"/>
              <w:rPr>
                <w:rFonts w:hint="eastAsia" w:ascii="宋体" w:hAnsi="宋体" w:eastAsia="宋体" w:cs="宋体"/>
                <w:color w:val="auto"/>
                <w:kern w:val="0"/>
                <w:highlight w:val="none"/>
              </w:rPr>
            </w:pPr>
          </w:p>
        </w:tc>
      </w:tr>
      <w:tr w14:paraId="501C87BA">
        <w:trPr>
          <w:jc w:val="center"/>
        </w:trPr>
        <w:tc>
          <w:tcPr>
            <w:tcW w:w="1395" w:type="dxa"/>
            <w:vAlign w:val="center"/>
          </w:tcPr>
          <w:p w14:paraId="3E3AB019">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3421237C">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67DC039C">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41A4297C">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734597CD">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3D425752">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1604816B">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563AE95">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2E8BB024">
            <w:pPr>
              <w:autoSpaceDE w:val="0"/>
              <w:autoSpaceDN w:val="0"/>
              <w:adjustRightInd w:val="0"/>
              <w:spacing w:line="520" w:lineRule="exact"/>
              <w:jc w:val="center"/>
              <w:rPr>
                <w:rFonts w:hint="eastAsia" w:ascii="宋体" w:hAnsi="宋体" w:eastAsia="宋体" w:cs="宋体"/>
                <w:color w:val="auto"/>
                <w:kern w:val="0"/>
                <w:highlight w:val="none"/>
              </w:rPr>
            </w:pPr>
          </w:p>
        </w:tc>
      </w:tr>
      <w:tr w14:paraId="15428B69">
        <w:trPr>
          <w:jc w:val="center"/>
        </w:trPr>
        <w:tc>
          <w:tcPr>
            <w:tcW w:w="1395" w:type="dxa"/>
            <w:vAlign w:val="center"/>
          </w:tcPr>
          <w:p w14:paraId="255252E8">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20A65004">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3AA64EBD">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3B9F8B56">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16BD7835">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158278D1">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252DC750">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1595AB11">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7700AC0F">
            <w:pPr>
              <w:autoSpaceDE w:val="0"/>
              <w:autoSpaceDN w:val="0"/>
              <w:adjustRightInd w:val="0"/>
              <w:spacing w:line="520" w:lineRule="exact"/>
              <w:jc w:val="center"/>
              <w:rPr>
                <w:rFonts w:hint="eastAsia" w:ascii="宋体" w:hAnsi="宋体" w:eastAsia="宋体" w:cs="宋体"/>
                <w:color w:val="auto"/>
                <w:kern w:val="0"/>
                <w:highlight w:val="none"/>
              </w:rPr>
            </w:pPr>
          </w:p>
        </w:tc>
      </w:tr>
      <w:tr w14:paraId="1DAC7595">
        <w:trPr>
          <w:jc w:val="center"/>
        </w:trPr>
        <w:tc>
          <w:tcPr>
            <w:tcW w:w="1395" w:type="dxa"/>
            <w:vAlign w:val="center"/>
          </w:tcPr>
          <w:p w14:paraId="31AEED9A">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0F24152C">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4FD0C1AE">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0D35F036">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29F41247">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6B1784B0">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341BED1D">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4BA90B32">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71BC6A85">
            <w:pPr>
              <w:autoSpaceDE w:val="0"/>
              <w:autoSpaceDN w:val="0"/>
              <w:adjustRightInd w:val="0"/>
              <w:spacing w:line="520" w:lineRule="exact"/>
              <w:jc w:val="center"/>
              <w:rPr>
                <w:rFonts w:hint="eastAsia" w:ascii="宋体" w:hAnsi="宋体" w:eastAsia="宋体" w:cs="宋体"/>
                <w:color w:val="auto"/>
                <w:kern w:val="0"/>
                <w:highlight w:val="none"/>
              </w:rPr>
            </w:pPr>
          </w:p>
        </w:tc>
      </w:tr>
      <w:tr w14:paraId="5274636B">
        <w:trPr>
          <w:jc w:val="center"/>
        </w:trPr>
        <w:tc>
          <w:tcPr>
            <w:tcW w:w="1395" w:type="dxa"/>
            <w:vAlign w:val="center"/>
          </w:tcPr>
          <w:p w14:paraId="3EB0D7AB">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1252A7BA">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1051C8C6">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79A252D7">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157DC49B">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7C339C1C">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033CDED8">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668958AF">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37992205">
            <w:pPr>
              <w:autoSpaceDE w:val="0"/>
              <w:autoSpaceDN w:val="0"/>
              <w:adjustRightInd w:val="0"/>
              <w:spacing w:line="520" w:lineRule="exact"/>
              <w:jc w:val="center"/>
              <w:rPr>
                <w:rFonts w:hint="eastAsia" w:ascii="宋体" w:hAnsi="宋体" w:eastAsia="宋体" w:cs="宋体"/>
                <w:color w:val="auto"/>
                <w:kern w:val="0"/>
                <w:highlight w:val="none"/>
              </w:rPr>
            </w:pPr>
          </w:p>
        </w:tc>
      </w:tr>
      <w:tr w14:paraId="33E6CF80">
        <w:trPr>
          <w:jc w:val="center"/>
        </w:trPr>
        <w:tc>
          <w:tcPr>
            <w:tcW w:w="1395" w:type="dxa"/>
            <w:vAlign w:val="center"/>
          </w:tcPr>
          <w:p w14:paraId="6E55DBE0">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775A9F13">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721FAA09">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1CA5B31A">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40EB0FF7">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6164F71D">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1D5CA86A">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589F0681">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64562B24">
            <w:pPr>
              <w:autoSpaceDE w:val="0"/>
              <w:autoSpaceDN w:val="0"/>
              <w:adjustRightInd w:val="0"/>
              <w:spacing w:line="520" w:lineRule="exact"/>
              <w:jc w:val="center"/>
              <w:rPr>
                <w:rFonts w:hint="eastAsia" w:ascii="宋体" w:hAnsi="宋体" w:eastAsia="宋体" w:cs="宋体"/>
                <w:color w:val="auto"/>
                <w:kern w:val="0"/>
                <w:highlight w:val="none"/>
              </w:rPr>
            </w:pPr>
          </w:p>
        </w:tc>
      </w:tr>
      <w:tr w14:paraId="7B27D2CE">
        <w:trPr>
          <w:jc w:val="center"/>
        </w:trPr>
        <w:tc>
          <w:tcPr>
            <w:tcW w:w="1395" w:type="dxa"/>
            <w:vAlign w:val="center"/>
          </w:tcPr>
          <w:p w14:paraId="26FC763C">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039E1398">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420D8B4C">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680E46FB">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31BB41E8">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18018385">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6E3A2A93">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5B59F620">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5D406587">
            <w:pPr>
              <w:autoSpaceDE w:val="0"/>
              <w:autoSpaceDN w:val="0"/>
              <w:adjustRightInd w:val="0"/>
              <w:spacing w:line="520" w:lineRule="exact"/>
              <w:jc w:val="center"/>
              <w:rPr>
                <w:rFonts w:hint="eastAsia" w:ascii="宋体" w:hAnsi="宋体" w:eastAsia="宋体" w:cs="宋体"/>
                <w:color w:val="auto"/>
                <w:kern w:val="0"/>
                <w:highlight w:val="none"/>
              </w:rPr>
            </w:pPr>
          </w:p>
        </w:tc>
      </w:tr>
      <w:tr w14:paraId="5BFCDB2C">
        <w:trPr>
          <w:jc w:val="center"/>
        </w:trPr>
        <w:tc>
          <w:tcPr>
            <w:tcW w:w="1395" w:type="dxa"/>
            <w:vAlign w:val="center"/>
          </w:tcPr>
          <w:p w14:paraId="646D1389">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65BC9DC7">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2D9E5C7F">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5FFAE73F">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20F11050">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32697448">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7A764132">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78A04BEE">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52AD7604">
            <w:pPr>
              <w:autoSpaceDE w:val="0"/>
              <w:autoSpaceDN w:val="0"/>
              <w:adjustRightInd w:val="0"/>
              <w:spacing w:line="520" w:lineRule="exact"/>
              <w:jc w:val="center"/>
              <w:rPr>
                <w:rFonts w:hint="eastAsia" w:ascii="宋体" w:hAnsi="宋体" w:eastAsia="宋体" w:cs="宋体"/>
                <w:color w:val="auto"/>
                <w:kern w:val="0"/>
                <w:highlight w:val="none"/>
              </w:rPr>
            </w:pPr>
          </w:p>
        </w:tc>
      </w:tr>
      <w:tr w14:paraId="0C9F270A">
        <w:trPr>
          <w:jc w:val="center"/>
        </w:trPr>
        <w:tc>
          <w:tcPr>
            <w:tcW w:w="1395" w:type="dxa"/>
            <w:vAlign w:val="center"/>
          </w:tcPr>
          <w:p w14:paraId="7FF11E8B">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15517D35">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6442DF0A">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0B6E9206">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3788F282">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5B696518">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4BEF7C31">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4106AB6F">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2DF1350A">
            <w:pPr>
              <w:autoSpaceDE w:val="0"/>
              <w:autoSpaceDN w:val="0"/>
              <w:adjustRightInd w:val="0"/>
              <w:spacing w:line="520" w:lineRule="exact"/>
              <w:jc w:val="center"/>
              <w:rPr>
                <w:rFonts w:hint="eastAsia" w:ascii="宋体" w:hAnsi="宋体" w:eastAsia="宋体" w:cs="宋体"/>
                <w:color w:val="auto"/>
                <w:kern w:val="0"/>
                <w:highlight w:val="none"/>
              </w:rPr>
            </w:pPr>
          </w:p>
        </w:tc>
      </w:tr>
      <w:tr w14:paraId="4851C448">
        <w:trPr>
          <w:jc w:val="center"/>
        </w:trPr>
        <w:tc>
          <w:tcPr>
            <w:tcW w:w="1395" w:type="dxa"/>
            <w:vAlign w:val="center"/>
          </w:tcPr>
          <w:p w14:paraId="564558CF">
            <w:pPr>
              <w:autoSpaceDE w:val="0"/>
              <w:autoSpaceDN w:val="0"/>
              <w:adjustRightInd w:val="0"/>
              <w:spacing w:line="520" w:lineRule="exact"/>
              <w:jc w:val="center"/>
              <w:rPr>
                <w:rFonts w:hint="eastAsia" w:ascii="宋体" w:hAnsi="宋体" w:eastAsia="宋体" w:cs="宋体"/>
                <w:color w:val="auto"/>
                <w:kern w:val="0"/>
                <w:highlight w:val="none"/>
              </w:rPr>
            </w:pPr>
          </w:p>
        </w:tc>
        <w:tc>
          <w:tcPr>
            <w:tcW w:w="1174" w:type="dxa"/>
            <w:vAlign w:val="center"/>
          </w:tcPr>
          <w:p w14:paraId="2524D0A5">
            <w:pPr>
              <w:autoSpaceDE w:val="0"/>
              <w:autoSpaceDN w:val="0"/>
              <w:adjustRightInd w:val="0"/>
              <w:spacing w:line="520" w:lineRule="exact"/>
              <w:jc w:val="center"/>
              <w:rPr>
                <w:rFonts w:hint="eastAsia" w:ascii="宋体" w:hAnsi="宋体" w:eastAsia="宋体" w:cs="宋体"/>
                <w:color w:val="auto"/>
                <w:kern w:val="0"/>
                <w:highlight w:val="none"/>
              </w:rPr>
            </w:pPr>
          </w:p>
        </w:tc>
        <w:tc>
          <w:tcPr>
            <w:tcW w:w="759" w:type="dxa"/>
            <w:vAlign w:val="center"/>
          </w:tcPr>
          <w:p w14:paraId="2F30B587">
            <w:pPr>
              <w:autoSpaceDE w:val="0"/>
              <w:autoSpaceDN w:val="0"/>
              <w:adjustRightInd w:val="0"/>
              <w:spacing w:line="520" w:lineRule="exact"/>
              <w:jc w:val="center"/>
              <w:rPr>
                <w:rFonts w:hint="eastAsia" w:ascii="宋体" w:hAnsi="宋体" w:eastAsia="宋体" w:cs="宋体"/>
                <w:color w:val="auto"/>
                <w:kern w:val="0"/>
                <w:highlight w:val="none"/>
              </w:rPr>
            </w:pPr>
          </w:p>
        </w:tc>
        <w:tc>
          <w:tcPr>
            <w:tcW w:w="669" w:type="dxa"/>
            <w:vAlign w:val="center"/>
          </w:tcPr>
          <w:p w14:paraId="35E82EB8">
            <w:pPr>
              <w:autoSpaceDE w:val="0"/>
              <w:autoSpaceDN w:val="0"/>
              <w:adjustRightInd w:val="0"/>
              <w:spacing w:line="520" w:lineRule="exact"/>
              <w:jc w:val="center"/>
              <w:rPr>
                <w:rFonts w:hint="eastAsia" w:ascii="宋体" w:hAnsi="宋体" w:eastAsia="宋体" w:cs="宋体"/>
                <w:color w:val="auto"/>
                <w:kern w:val="0"/>
                <w:highlight w:val="none"/>
              </w:rPr>
            </w:pPr>
          </w:p>
        </w:tc>
        <w:tc>
          <w:tcPr>
            <w:tcW w:w="738" w:type="dxa"/>
            <w:vAlign w:val="center"/>
          </w:tcPr>
          <w:p w14:paraId="50F11AE8">
            <w:pPr>
              <w:autoSpaceDE w:val="0"/>
              <w:autoSpaceDN w:val="0"/>
              <w:adjustRightInd w:val="0"/>
              <w:spacing w:line="520" w:lineRule="exact"/>
              <w:jc w:val="center"/>
              <w:rPr>
                <w:rFonts w:hint="eastAsia" w:ascii="宋体" w:hAnsi="宋体" w:eastAsia="宋体" w:cs="宋体"/>
                <w:color w:val="auto"/>
                <w:kern w:val="0"/>
                <w:highlight w:val="none"/>
              </w:rPr>
            </w:pPr>
          </w:p>
        </w:tc>
        <w:tc>
          <w:tcPr>
            <w:tcW w:w="724" w:type="dxa"/>
            <w:vAlign w:val="center"/>
          </w:tcPr>
          <w:p w14:paraId="529F9481">
            <w:pPr>
              <w:autoSpaceDE w:val="0"/>
              <w:autoSpaceDN w:val="0"/>
              <w:adjustRightInd w:val="0"/>
              <w:spacing w:line="520" w:lineRule="exact"/>
              <w:jc w:val="center"/>
              <w:rPr>
                <w:rFonts w:hint="eastAsia" w:ascii="宋体" w:hAnsi="宋体" w:eastAsia="宋体" w:cs="宋体"/>
                <w:color w:val="auto"/>
                <w:kern w:val="0"/>
                <w:highlight w:val="none"/>
              </w:rPr>
            </w:pPr>
          </w:p>
        </w:tc>
        <w:tc>
          <w:tcPr>
            <w:tcW w:w="932" w:type="dxa"/>
            <w:vAlign w:val="center"/>
          </w:tcPr>
          <w:p w14:paraId="0DCE29F7">
            <w:pPr>
              <w:autoSpaceDE w:val="0"/>
              <w:autoSpaceDN w:val="0"/>
              <w:adjustRightInd w:val="0"/>
              <w:spacing w:line="520" w:lineRule="exact"/>
              <w:jc w:val="center"/>
              <w:rPr>
                <w:rFonts w:hint="eastAsia" w:ascii="宋体" w:hAnsi="宋体" w:eastAsia="宋体" w:cs="宋体"/>
                <w:color w:val="auto"/>
                <w:kern w:val="0"/>
                <w:highlight w:val="none"/>
              </w:rPr>
            </w:pPr>
          </w:p>
        </w:tc>
        <w:tc>
          <w:tcPr>
            <w:tcW w:w="1736" w:type="dxa"/>
            <w:vAlign w:val="center"/>
          </w:tcPr>
          <w:p w14:paraId="06AA97B0">
            <w:pPr>
              <w:autoSpaceDE w:val="0"/>
              <w:autoSpaceDN w:val="0"/>
              <w:adjustRightInd w:val="0"/>
              <w:spacing w:line="520" w:lineRule="exact"/>
              <w:jc w:val="center"/>
              <w:rPr>
                <w:rFonts w:hint="eastAsia" w:ascii="宋体" w:hAnsi="宋体" w:eastAsia="宋体" w:cs="宋体"/>
                <w:color w:val="auto"/>
                <w:kern w:val="0"/>
                <w:highlight w:val="none"/>
              </w:rPr>
            </w:pPr>
          </w:p>
        </w:tc>
        <w:tc>
          <w:tcPr>
            <w:tcW w:w="1303" w:type="dxa"/>
            <w:vAlign w:val="center"/>
          </w:tcPr>
          <w:p w14:paraId="18C22630">
            <w:pPr>
              <w:autoSpaceDE w:val="0"/>
              <w:autoSpaceDN w:val="0"/>
              <w:adjustRightInd w:val="0"/>
              <w:spacing w:line="520" w:lineRule="exact"/>
              <w:jc w:val="center"/>
              <w:rPr>
                <w:rFonts w:hint="eastAsia" w:ascii="宋体" w:hAnsi="宋体" w:eastAsia="宋体" w:cs="宋体"/>
                <w:color w:val="auto"/>
                <w:kern w:val="0"/>
                <w:highlight w:val="none"/>
              </w:rPr>
            </w:pPr>
          </w:p>
        </w:tc>
      </w:tr>
    </w:tbl>
    <w:p w14:paraId="5D523A38">
      <w:pPr>
        <w:jc w:val="center"/>
        <w:outlineLvl w:val="3"/>
        <w:rPr>
          <w:rFonts w:hint="eastAsia" w:ascii="宋体" w:hAnsi="宋体" w:eastAsia="宋体" w:cs="宋体"/>
          <w:b/>
          <w:bCs/>
          <w:color w:val="auto"/>
          <w:kern w:val="0"/>
          <w:sz w:val="24"/>
          <w:highlight w:val="none"/>
        </w:rPr>
      </w:pPr>
      <w:r>
        <w:rPr>
          <w:rFonts w:hint="eastAsia" w:ascii="宋体" w:hAnsi="宋体" w:eastAsia="宋体" w:cs="宋体"/>
          <w:color w:val="auto"/>
          <w:kern w:val="0"/>
          <w:highlight w:val="none"/>
        </w:rPr>
        <w:br w:type="page"/>
      </w:r>
      <w:r>
        <w:rPr>
          <w:rFonts w:hint="eastAsia" w:ascii="宋体" w:hAnsi="宋体" w:eastAsia="宋体" w:cs="宋体"/>
          <w:b/>
          <w:bCs/>
          <w:color w:val="auto"/>
          <w:kern w:val="0"/>
          <w:sz w:val="24"/>
          <w:highlight w:val="none"/>
        </w:rPr>
        <w:t>附表三：劳动力计划表</w:t>
      </w:r>
    </w:p>
    <w:p w14:paraId="62E4BBF4">
      <w:pPr>
        <w:autoSpaceDE w:val="0"/>
        <w:autoSpaceDN w:val="0"/>
        <w:adjustRightInd w:val="0"/>
        <w:spacing w:line="520" w:lineRule="exact"/>
        <w:ind w:firstLine="7644" w:firstLineChars="3182"/>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单位：人</w:t>
      </w:r>
    </w:p>
    <w:tbl>
      <w:tblPr>
        <w:tblStyle w:val="47"/>
        <w:tblW w:w="94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92"/>
        <w:gridCol w:w="1065"/>
        <w:gridCol w:w="1065"/>
        <w:gridCol w:w="1065"/>
        <w:gridCol w:w="1065"/>
        <w:gridCol w:w="1065"/>
        <w:gridCol w:w="1066"/>
        <w:gridCol w:w="1346"/>
      </w:tblGrid>
      <w:tr w14:paraId="5B5C4995">
        <w:trPr>
          <w:trHeight w:val="521" w:hRule="atLeast"/>
          <w:jc w:val="center"/>
        </w:trPr>
        <w:tc>
          <w:tcPr>
            <w:tcW w:w="1692" w:type="dxa"/>
            <w:vAlign w:val="center"/>
          </w:tcPr>
          <w:p w14:paraId="1A4DDAA5">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工种</w:t>
            </w:r>
          </w:p>
        </w:tc>
        <w:tc>
          <w:tcPr>
            <w:tcW w:w="7737" w:type="dxa"/>
            <w:gridSpan w:val="7"/>
            <w:vAlign w:val="center"/>
          </w:tcPr>
          <w:p w14:paraId="7BD8D4BF">
            <w:pPr>
              <w:autoSpaceDE w:val="0"/>
              <w:autoSpaceDN w:val="0"/>
              <w:adjustRightInd w:val="0"/>
              <w:jc w:val="center"/>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按工程施工阶段投入劳动力情况</w:t>
            </w:r>
          </w:p>
        </w:tc>
      </w:tr>
      <w:tr w14:paraId="48BB92FA">
        <w:trPr>
          <w:jc w:val="center"/>
        </w:trPr>
        <w:tc>
          <w:tcPr>
            <w:tcW w:w="1692" w:type="dxa"/>
            <w:vAlign w:val="center"/>
          </w:tcPr>
          <w:p w14:paraId="5E534781">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C7FA58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E8F462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74903BB">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77FFA1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0B2CC08">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486806BB">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1AF79607">
            <w:pPr>
              <w:autoSpaceDE w:val="0"/>
              <w:autoSpaceDN w:val="0"/>
              <w:adjustRightInd w:val="0"/>
              <w:spacing w:line="520" w:lineRule="exact"/>
              <w:jc w:val="center"/>
              <w:rPr>
                <w:rFonts w:hint="eastAsia" w:ascii="宋体" w:hAnsi="宋体" w:eastAsia="宋体" w:cs="宋体"/>
                <w:color w:val="auto"/>
                <w:kern w:val="0"/>
                <w:highlight w:val="none"/>
              </w:rPr>
            </w:pPr>
          </w:p>
        </w:tc>
      </w:tr>
      <w:tr w14:paraId="3A4D1FBF">
        <w:trPr>
          <w:jc w:val="center"/>
        </w:trPr>
        <w:tc>
          <w:tcPr>
            <w:tcW w:w="1692" w:type="dxa"/>
            <w:vAlign w:val="center"/>
          </w:tcPr>
          <w:p w14:paraId="613BAF0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CDE8808">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0F858C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E39477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556956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4FB6834">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21EA827C">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2880A2CC">
            <w:pPr>
              <w:autoSpaceDE w:val="0"/>
              <w:autoSpaceDN w:val="0"/>
              <w:adjustRightInd w:val="0"/>
              <w:spacing w:line="520" w:lineRule="exact"/>
              <w:jc w:val="center"/>
              <w:rPr>
                <w:rFonts w:hint="eastAsia" w:ascii="宋体" w:hAnsi="宋体" w:eastAsia="宋体" w:cs="宋体"/>
                <w:color w:val="auto"/>
                <w:kern w:val="0"/>
                <w:highlight w:val="none"/>
              </w:rPr>
            </w:pPr>
          </w:p>
        </w:tc>
      </w:tr>
      <w:tr w14:paraId="288820FA">
        <w:trPr>
          <w:jc w:val="center"/>
        </w:trPr>
        <w:tc>
          <w:tcPr>
            <w:tcW w:w="1692" w:type="dxa"/>
            <w:vAlign w:val="center"/>
          </w:tcPr>
          <w:p w14:paraId="266F0672">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CC90D9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18245FB">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891255B">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1B7FA62">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A9A2941">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60F4C374">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03CD2C58">
            <w:pPr>
              <w:autoSpaceDE w:val="0"/>
              <w:autoSpaceDN w:val="0"/>
              <w:adjustRightInd w:val="0"/>
              <w:spacing w:line="520" w:lineRule="exact"/>
              <w:jc w:val="center"/>
              <w:rPr>
                <w:rFonts w:hint="eastAsia" w:ascii="宋体" w:hAnsi="宋体" w:eastAsia="宋体" w:cs="宋体"/>
                <w:color w:val="auto"/>
                <w:kern w:val="0"/>
                <w:highlight w:val="none"/>
              </w:rPr>
            </w:pPr>
          </w:p>
        </w:tc>
      </w:tr>
      <w:tr w14:paraId="21DD6404">
        <w:trPr>
          <w:jc w:val="center"/>
        </w:trPr>
        <w:tc>
          <w:tcPr>
            <w:tcW w:w="1692" w:type="dxa"/>
            <w:vAlign w:val="center"/>
          </w:tcPr>
          <w:p w14:paraId="76DE1D0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532B7D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5C9819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4BC037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5A247E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C9B812A">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39EE7883">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0147AABE">
            <w:pPr>
              <w:autoSpaceDE w:val="0"/>
              <w:autoSpaceDN w:val="0"/>
              <w:adjustRightInd w:val="0"/>
              <w:spacing w:line="520" w:lineRule="exact"/>
              <w:jc w:val="center"/>
              <w:rPr>
                <w:rFonts w:hint="eastAsia" w:ascii="宋体" w:hAnsi="宋体" w:eastAsia="宋体" w:cs="宋体"/>
                <w:color w:val="auto"/>
                <w:kern w:val="0"/>
                <w:highlight w:val="none"/>
              </w:rPr>
            </w:pPr>
          </w:p>
        </w:tc>
      </w:tr>
      <w:tr w14:paraId="375E4DAB">
        <w:trPr>
          <w:jc w:val="center"/>
        </w:trPr>
        <w:tc>
          <w:tcPr>
            <w:tcW w:w="1692" w:type="dxa"/>
            <w:vAlign w:val="center"/>
          </w:tcPr>
          <w:p w14:paraId="2D342F3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49B987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6C7EF3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5E4EF6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D10042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176E31D">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2454A7EA">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66B9FAE7">
            <w:pPr>
              <w:autoSpaceDE w:val="0"/>
              <w:autoSpaceDN w:val="0"/>
              <w:adjustRightInd w:val="0"/>
              <w:spacing w:line="520" w:lineRule="exact"/>
              <w:jc w:val="center"/>
              <w:rPr>
                <w:rFonts w:hint="eastAsia" w:ascii="宋体" w:hAnsi="宋体" w:eastAsia="宋体" w:cs="宋体"/>
                <w:color w:val="auto"/>
                <w:kern w:val="0"/>
                <w:highlight w:val="none"/>
              </w:rPr>
            </w:pPr>
          </w:p>
        </w:tc>
      </w:tr>
      <w:tr w14:paraId="4AC6EEE9">
        <w:trPr>
          <w:jc w:val="center"/>
        </w:trPr>
        <w:tc>
          <w:tcPr>
            <w:tcW w:w="1692" w:type="dxa"/>
            <w:vAlign w:val="center"/>
          </w:tcPr>
          <w:p w14:paraId="59A8A44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157F938">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D3D926B">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F133A77">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5D1644E">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99E6562">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2A0524E3">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48325CAE">
            <w:pPr>
              <w:autoSpaceDE w:val="0"/>
              <w:autoSpaceDN w:val="0"/>
              <w:adjustRightInd w:val="0"/>
              <w:spacing w:line="520" w:lineRule="exact"/>
              <w:jc w:val="center"/>
              <w:rPr>
                <w:rFonts w:hint="eastAsia" w:ascii="宋体" w:hAnsi="宋体" w:eastAsia="宋体" w:cs="宋体"/>
                <w:color w:val="auto"/>
                <w:kern w:val="0"/>
                <w:highlight w:val="none"/>
              </w:rPr>
            </w:pPr>
          </w:p>
        </w:tc>
      </w:tr>
      <w:tr w14:paraId="4911066B">
        <w:trPr>
          <w:jc w:val="center"/>
        </w:trPr>
        <w:tc>
          <w:tcPr>
            <w:tcW w:w="1692" w:type="dxa"/>
            <w:vAlign w:val="center"/>
          </w:tcPr>
          <w:p w14:paraId="5951749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5AFBA5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383A19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AC45AF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9838F1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4514949">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36246082">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626C0522">
            <w:pPr>
              <w:autoSpaceDE w:val="0"/>
              <w:autoSpaceDN w:val="0"/>
              <w:adjustRightInd w:val="0"/>
              <w:spacing w:line="520" w:lineRule="exact"/>
              <w:jc w:val="center"/>
              <w:rPr>
                <w:rFonts w:hint="eastAsia" w:ascii="宋体" w:hAnsi="宋体" w:eastAsia="宋体" w:cs="宋体"/>
                <w:color w:val="auto"/>
                <w:kern w:val="0"/>
                <w:highlight w:val="none"/>
              </w:rPr>
            </w:pPr>
          </w:p>
        </w:tc>
      </w:tr>
      <w:tr w14:paraId="707FEE9D">
        <w:trPr>
          <w:jc w:val="center"/>
        </w:trPr>
        <w:tc>
          <w:tcPr>
            <w:tcW w:w="1692" w:type="dxa"/>
            <w:vAlign w:val="center"/>
          </w:tcPr>
          <w:p w14:paraId="089B511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33B6A72">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D5BAA62">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42D2A4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34CF9E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A400CAE">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43E49E62">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535A2636">
            <w:pPr>
              <w:autoSpaceDE w:val="0"/>
              <w:autoSpaceDN w:val="0"/>
              <w:adjustRightInd w:val="0"/>
              <w:spacing w:line="520" w:lineRule="exact"/>
              <w:jc w:val="center"/>
              <w:rPr>
                <w:rFonts w:hint="eastAsia" w:ascii="宋体" w:hAnsi="宋体" w:eastAsia="宋体" w:cs="宋体"/>
                <w:color w:val="auto"/>
                <w:kern w:val="0"/>
                <w:highlight w:val="none"/>
              </w:rPr>
            </w:pPr>
          </w:p>
        </w:tc>
      </w:tr>
      <w:tr w14:paraId="628D9C35">
        <w:trPr>
          <w:jc w:val="center"/>
        </w:trPr>
        <w:tc>
          <w:tcPr>
            <w:tcW w:w="1692" w:type="dxa"/>
            <w:vAlign w:val="center"/>
          </w:tcPr>
          <w:p w14:paraId="11D55F0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3B2C851">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4D2717E">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311329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7320B9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40D844E">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6281DA59">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01E29416">
            <w:pPr>
              <w:autoSpaceDE w:val="0"/>
              <w:autoSpaceDN w:val="0"/>
              <w:adjustRightInd w:val="0"/>
              <w:spacing w:line="520" w:lineRule="exact"/>
              <w:jc w:val="center"/>
              <w:rPr>
                <w:rFonts w:hint="eastAsia" w:ascii="宋体" w:hAnsi="宋体" w:eastAsia="宋体" w:cs="宋体"/>
                <w:color w:val="auto"/>
                <w:kern w:val="0"/>
                <w:highlight w:val="none"/>
              </w:rPr>
            </w:pPr>
          </w:p>
        </w:tc>
      </w:tr>
      <w:tr w14:paraId="6470172A">
        <w:trPr>
          <w:jc w:val="center"/>
        </w:trPr>
        <w:tc>
          <w:tcPr>
            <w:tcW w:w="1692" w:type="dxa"/>
            <w:vAlign w:val="center"/>
          </w:tcPr>
          <w:p w14:paraId="3B529EF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FB9E9A2">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A76477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CA2C160">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02FFB0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A535A17">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0004F0F4">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09C1564E">
            <w:pPr>
              <w:autoSpaceDE w:val="0"/>
              <w:autoSpaceDN w:val="0"/>
              <w:adjustRightInd w:val="0"/>
              <w:spacing w:line="520" w:lineRule="exact"/>
              <w:jc w:val="center"/>
              <w:rPr>
                <w:rFonts w:hint="eastAsia" w:ascii="宋体" w:hAnsi="宋体" w:eastAsia="宋体" w:cs="宋体"/>
                <w:color w:val="auto"/>
                <w:kern w:val="0"/>
                <w:highlight w:val="none"/>
              </w:rPr>
            </w:pPr>
          </w:p>
        </w:tc>
      </w:tr>
      <w:tr w14:paraId="1046B153">
        <w:trPr>
          <w:jc w:val="center"/>
        </w:trPr>
        <w:tc>
          <w:tcPr>
            <w:tcW w:w="1692" w:type="dxa"/>
            <w:vAlign w:val="center"/>
          </w:tcPr>
          <w:p w14:paraId="70EA1C07">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CC745A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0B90738">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6327CE1">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DA545C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9FA8446">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5820D526">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49BE5F43">
            <w:pPr>
              <w:autoSpaceDE w:val="0"/>
              <w:autoSpaceDN w:val="0"/>
              <w:adjustRightInd w:val="0"/>
              <w:spacing w:line="520" w:lineRule="exact"/>
              <w:jc w:val="center"/>
              <w:rPr>
                <w:rFonts w:hint="eastAsia" w:ascii="宋体" w:hAnsi="宋体" w:eastAsia="宋体" w:cs="宋体"/>
                <w:color w:val="auto"/>
                <w:kern w:val="0"/>
                <w:highlight w:val="none"/>
              </w:rPr>
            </w:pPr>
          </w:p>
        </w:tc>
      </w:tr>
      <w:tr w14:paraId="06C404E9">
        <w:trPr>
          <w:jc w:val="center"/>
        </w:trPr>
        <w:tc>
          <w:tcPr>
            <w:tcW w:w="1692" w:type="dxa"/>
            <w:vAlign w:val="center"/>
          </w:tcPr>
          <w:p w14:paraId="47FED47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3B2C31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2D1A31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4C58F5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E8BA563">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160E600">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537A81F3">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53B632DD">
            <w:pPr>
              <w:autoSpaceDE w:val="0"/>
              <w:autoSpaceDN w:val="0"/>
              <w:adjustRightInd w:val="0"/>
              <w:spacing w:line="520" w:lineRule="exact"/>
              <w:jc w:val="center"/>
              <w:rPr>
                <w:rFonts w:hint="eastAsia" w:ascii="宋体" w:hAnsi="宋体" w:eastAsia="宋体" w:cs="宋体"/>
                <w:color w:val="auto"/>
                <w:kern w:val="0"/>
                <w:highlight w:val="none"/>
              </w:rPr>
            </w:pPr>
          </w:p>
        </w:tc>
      </w:tr>
      <w:tr w14:paraId="2D9594EA">
        <w:trPr>
          <w:jc w:val="center"/>
        </w:trPr>
        <w:tc>
          <w:tcPr>
            <w:tcW w:w="1692" w:type="dxa"/>
            <w:vAlign w:val="center"/>
          </w:tcPr>
          <w:p w14:paraId="386C687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947DA10">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CBA7FA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159258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D2944D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69AF31F">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2D5814FB">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55FA28C9">
            <w:pPr>
              <w:autoSpaceDE w:val="0"/>
              <w:autoSpaceDN w:val="0"/>
              <w:adjustRightInd w:val="0"/>
              <w:spacing w:line="520" w:lineRule="exact"/>
              <w:jc w:val="center"/>
              <w:rPr>
                <w:rFonts w:hint="eastAsia" w:ascii="宋体" w:hAnsi="宋体" w:eastAsia="宋体" w:cs="宋体"/>
                <w:color w:val="auto"/>
                <w:kern w:val="0"/>
                <w:highlight w:val="none"/>
              </w:rPr>
            </w:pPr>
          </w:p>
        </w:tc>
      </w:tr>
      <w:tr w14:paraId="713B991A">
        <w:trPr>
          <w:jc w:val="center"/>
        </w:trPr>
        <w:tc>
          <w:tcPr>
            <w:tcW w:w="1692" w:type="dxa"/>
            <w:vAlign w:val="center"/>
          </w:tcPr>
          <w:p w14:paraId="259F8AB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3DF582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B039028">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1896D8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F9ACF8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3594FE1">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717ECC32">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3AAC175D">
            <w:pPr>
              <w:autoSpaceDE w:val="0"/>
              <w:autoSpaceDN w:val="0"/>
              <w:adjustRightInd w:val="0"/>
              <w:spacing w:line="520" w:lineRule="exact"/>
              <w:jc w:val="center"/>
              <w:rPr>
                <w:rFonts w:hint="eastAsia" w:ascii="宋体" w:hAnsi="宋体" w:eastAsia="宋体" w:cs="宋体"/>
                <w:color w:val="auto"/>
                <w:kern w:val="0"/>
                <w:highlight w:val="none"/>
              </w:rPr>
            </w:pPr>
          </w:p>
        </w:tc>
      </w:tr>
      <w:tr w14:paraId="3A9A9BBF">
        <w:trPr>
          <w:jc w:val="center"/>
        </w:trPr>
        <w:tc>
          <w:tcPr>
            <w:tcW w:w="1692" w:type="dxa"/>
            <w:vAlign w:val="center"/>
          </w:tcPr>
          <w:p w14:paraId="30F2BF1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2800BA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95BE90E">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007CE2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89C01E1">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8106C2C">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778A1C9B">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7ABBA554">
            <w:pPr>
              <w:autoSpaceDE w:val="0"/>
              <w:autoSpaceDN w:val="0"/>
              <w:adjustRightInd w:val="0"/>
              <w:spacing w:line="520" w:lineRule="exact"/>
              <w:jc w:val="center"/>
              <w:rPr>
                <w:rFonts w:hint="eastAsia" w:ascii="宋体" w:hAnsi="宋体" w:eastAsia="宋体" w:cs="宋体"/>
                <w:color w:val="auto"/>
                <w:kern w:val="0"/>
                <w:highlight w:val="none"/>
              </w:rPr>
            </w:pPr>
          </w:p>
        </w:tc>
      </w:tr>
      <w:tr w14:paraId="0F269D22">
        <w:trPr>
          <w:jc w:val="center"/>
        </w:trPr>
        <w:tc>
          <w:tcPr>
            <w:tcW w:w="1692" w:type="dxa"/>
            <w:vAlign w:val="center"/>
          </w:tcPr>
          <w:p w14:paraId="7CA2B32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FEE3C5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57FF96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BBAEECB">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E53A9C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DFFD6CA">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0DF20C5D">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77C1F87F">
            <w:pPr>
              <w:autoSpaceDE w:val="0"/>
              <w:autoSpaceDN w:val="0"/>
              <w:adjustRightInd w:val="0"/>
              <w:spacing w:line="520" w:lineRule="exact"/>
              <w:jc w:val="center"/>
              <w:rPr>
                <w:rFonts w:hint="eastAsia" w:ascii="宋体" w:hAnsi="宋体" w:eastAsia="宋体" w:cs="宋体"/>
                <w:color w:val="auto"/>
                <w:kern w:val="0"/>
                <w:highlight w:val="none"/>
              </w:rPr>
            </w:pPr>
          </w:p>
        </w:tc>
      </w:tr>
      <w:tr w14:paraId="6548DE21">
        <w:trPr>
          <w:jc w:val="center"/>
        </w:trPr>
        <w:tc>
          <w:tcPr>
            <w:tcW w:w="1692" w:type="dxa"/>
            <w:vAlign w:val="center"/>
          </w:tcPr>
          <w:p w14:paraId="31314E47">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47F4BD2">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3A65710">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7F449F1">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0A02093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D1A15EC">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0915D19A">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6C283007">
            <w:pPr>
              <w:autoSpaceDE w:val="0"/>
              <w:autoSpaceDN w:val="0"/>
              <w:adjustRightInd w:val="0"/>
              <w:spacing w:line="520" w:lineRule="exact"/>
              <w:jc w:val="center"/>
              <w:rPr>
                <w:rFonts w:hint="eastAsia" w:ascii="宋体" w:hAnsi="宋体" w:eastAsia="宋体" w:cs="宋体"/>
                <w:color w:val="auto"/>
                <w:kern w:val="0"/>
                <w:highlight w:val="none"/>
              </w:rPr>
            </w:pPr>
          </w:p>
        </w:tc>
      </w:tr>
      <w:tr w14:paraId="1EE24D6E">
        <w:trPr>
          <w:jc w:val="center"/>
        </w:trPr>
        <w:tc>
          <w:tcPr>
            <w:tcW w:w="1692" w:type="dxa"/>
            <w:vAlign w:val="center"/>
          </w:tcPr>
          <w:p w14:paraId="3BB82E3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A2A4DB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76376E1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A1224F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BC47278">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AE009E8">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677D9039">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12F1BC5B">
            <w:pPr>
              <w:autoSpaceDE w:val="0"/>
              <w:autoSpaceDN w:val="0"/>
              <w:adjustRightInd w:val="0"/>
              <w:spacing w:line="520" w:lineRule="exact"/>
              <w:jc w:val="center"/>
              <w:rPr>
                <w:rFonts w:hint="eastAsia" w:ascii="宋体" w:hAnsi="宋体" w:eastAsia="宋体" w:cs="宋体"/>
                <w:color w:val="auto"/>
                <w:kern w:val="0"/>
                <w:highlight w:val="none"/>
              </w:rPr>
            </w:pPr>
          </w:p>
        </w:tc>
      </w:tr>
      <w:tr w14:paraId="322523BB">
        <w:trPr>
          <w:jc w:val="center"/>
        </w:trPr>
        <w:tc>
          <w:tcPr>
            <w:tcW w:w="1692" w:type="dxa"/>
            <w:vAlign w:val="center"/>
          </w:tcPr>
          <w:p w14:paraId="77B2A9ED">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9BA515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2268E854">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A5219B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17632329">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27615A1">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4B9CB876">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2272FA6B">
            <w:pPr>
              <w:autoSpaceDE w:val="0"/>
              <w:autoSpaceDN w:val="0"/>
              <w:adjustRightInd w:val="0"/>
              <w:spacing w:line="520" w:lineRule="exact"/>
              <w:jc w:val="center"/>
              <w:rPr>
                <w:rFonts w:hint="eastAsia" w:ascii="宋体" w:hAnsi="宋体" w:eastAsia="宋体" w:cs="宋体"/>
                <w:color w:val="auto"/>
                <w:kern w:val="0"/>
                <w:highlight w:val="none"/>
              </w:rPr>
            </w:pPr>
          </w:p>
        </w:tc>
      </w:tr>
      <w:tr w14:paraId="347A24C5">
        <w:trPr>
          <w:jc w:val="center"/>
        </w:trPr>
        <w:tc>
          <w:tcPr>
            <w:tcW w:w="1692" w:type="dxa"/>
            <w:vAlign w:val="center"/>
          </w:tcPr>
          <w:p w14:paraId="3D1C2F65">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53A072F">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5E50DA81">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DCB1A8E">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B7BD3FC">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92D2158">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563EB150">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2853BF5C">
            <w:pPr>
              <w:autoSpaceDE w:val="0"/>
              <w:autoSpaceDN w:val="0"/>
              <w:adjustRightInd w:val="0"/>
              <w:spacing w:line="520" w:lineRule="exact"/>
              <w:jc w:val="center"/>
              <w:rPr>
                <w:rFonts w:hint="eastAsia" w:ascii="宋体" w:hAnsi="宋体" w:eastAsia="宋体" w:cs="宋体"/>
                <w:color w:val="auto"/>
                <w:kern w:val="0"/>
                <w:highlight w:val="none"/>
              </w:rPr>
            </w:pPr>
          </w:p>
        </w:tc>
      </w:tr>
      <w:tr w14:paraId="68E60ED4">
        <w:trPr>
          <w:jc w:val="center"/>
        </w:trPr>
        <w:tc>
          <w:tcPr>
            <w:tcW w:w="1692" w:type="dxa"/>
            <w:vAlign w:val="center"/>
          </w:tcPr>
          <w:p w14:paraId="2BC1D938">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6CD5126">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5C394C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4904C92A">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37623A20">
            <w:pPr>
              <w:autoSpaceDE w:val="0"/>
              <w:autoSpaceDN w:val="0"/>
              <w:adjustRightInd w:val="0"/>
              <w:spacing w:line="520" w:lineRule="exact"/>
              <w:jc w:val="center"/>
              <w:rPr>
                <w:rFonts w:hint="eastAsia" w:ascii="宋体" w:hAnsi="宋体" w:eastAsia="宋体" w:cs="宋体"/>
                <w:color w:val="auto"/>
                <w:kern w:val="0"/>
                <w:highlight w:val="none"/>
              </w:rPr>
            </w:pPr>
          </w:p>
        </w:tc>
        <w:tc>
          <w:tcPr>
            <w:tcW w:w="1065" w:type="dxa"/>
            <w:vAlign w:val="center"/>
          </w:tcPr>
          <w:p w14:paraId="6457D3E6">
            <w:pPr>
              <w:autoSpaceDE w:val="0"/>
              <w:autoSpaceDN w:val="0"/>
              <w:adjustRightInd w:val="0"/>
              <w:spacing w:line="520" w:lineRule="exact"/>
              <w:jc w:val="center"/>
              <w:rPr>
                <w:rFonts w:hint="eastAsia" w:ascii="宋体" w:hAnsi="宋体" w:eastAsia="宋体" w:cs="宋体"/>
                <w:color w:val="auto"/>
                <w:kern w:val="0"/>
                <w:highlight w:val="none"/>
              </w:rPr>
            </w:pPr>
          </w:p>
        </w:tc>
        <w:tc>
          <w:tcPr>
            <w:tcW w:w="1066" w:type="dxa"/>
            <w:vAlign w:val="center"/>
          </w:tcPr>
          <w:p w14:paraId="37D46832">
            <w:pPr>
              <w:autoSpaceDE w:val="0"/>
              <w:autoSpaceDN w:val="0"/>
              <w:adjustRightInd w:val="0"/>
              <w:spacing w:line="520" w:lineRule="exact"/>
              <w:jc w:val="center"/>
              <w:rPr>
                <w:rFonts w:hint="eastAsia" w:ascii="宋体" w:hAnsi="宋体" w:eastAsia="宋体" w:cs="宋体"/>
                <w:color w:val="auto"/>
                <w:kern w:val="0"/>
                <w:highlight w:val="none"/>
              </w:rPr>
            </w:pPr>
          </w:p>
        </w:tc>
        <w:tc>
          <w:tcPr>
            <w:tcW w:w="1346" w:type="dxa"/>
            <w:vAlign w:val="center"/>
          </w:tcPr>
          <w:p w14:paraId="6BF6D61C">
            <w:pPr>
              <w:autoSpaceDE w:val="0"/>
              <w:autoSpaceDN w:val="0"/>
              <w:adjustRightInd w:val="0"/>
              <w:spacing w:line="520" w:lineRule="exact"/>
              <w:jc w:val="center"/>
              <w:rPr>
                <w:rFonts w:hint="eastAsia" w:ascii="宋体" w:hAnsi="宋体" w:eastAsia="宋体" w:cs="宋体"/>
                <w:color w:val="auto"/>
                <w:kern w:val="0"/>
                <w:highlight w:val="none"/>
              </w:rPr>
            </w:pPr>
          </w:p>
        </w:tc>
      </w:tr>
    </w:tbl>
    <w:p w14:paraId="0D2FEB16">
      <w:pPr>
        <w:rPr>
          <w:rFonts w:hint="eastAsia" w:ascii="宋体" w:hAnsi="宋体" w:eastAsia="宋体" w:cs="宋体"/>
          <w:color w:val="auto"/>
          <w:highlight w:val="none"/>
        </w:rPr>
      </w:pPr>
    </w:p>
    <w:p w14:paraId="33631A90">
      <w:pPr>
        <w:jc w:val="center"/>
        <w:outlineLvl w:val="3"/>
        <w:rPr>
          <w:rFonts w:hint="eastAsia" w:ascii="宋体" w:hAnsi="宋体" w:eastAsia="宋体" w:cs="宋体"/>
          <w:b/>
          <w:bCs/>
          <w:color w:val="auto"/>
          <w:kern w:val="0"/>
          <w:highlight w:val="none"/>
        </w:rPr>
      </w:pPr>
      <w:r>
        <w:rPr>
          <w:rFonts w:hint="eastAsia" w:ascii="宋体" w:hAnsi="宋体" w:eastAsia="宋体" w:cs="宋体"/>
          <w:color w:val="auto"/>
          <w:kern w:val="0"/>
          <w:highlight w:val="none"/>
        </w:rPr>
        <w:br w:type="page"/>
      </w:r>
      <w:r>
        <w:rPr>
          <w:rFonts w:hint="eastAsia" w:ascii="宋体" w:hAnsi="宋体" w:eastAsia="宋体" w:cs="宋体"/>
          <w:b/>
          <w:bCs/>
          <w:color w:val="auto"/>
          <w:kern w:val="0"/>
          <w:sz w:val="24"/>
          <w:highlight w:val="none"/>
        </w:rPr>
        <w:t>附表四：计划开、竣工日期和施工进度网络图</w:t>
      </w:r>
    </w:p>
    <w:p w14:paraId="2542952D">
      <w:pPr>
        <w:autoSpaceDE w:val="0"/>
        <w:autoSpaceDN w:val="0"/>
        <w:adjustRightInd w:val="0"/>
        <w:spacing w:line="520" w:lineRule="exact"/>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 供应商应递交施工进度网络图或施工进度表，说明按磋商文件要求的计划工期进行施工的各个关键日期。</w:t>
      </w:r>
    </w:p>
    <w:p w14:paraId="28317C3F">
      <w:pPr>
        <w:autoSpaceDE w:val="0"/>
        <w:autoSpaceDN w:val="0"/>
        <w:adjustRightInd w:val="0"/>
        <w:spacing w:line="520" w:lineRule="exact"/>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2. 施工进度表可采用网络图（或横道图）表示。</w:t>
      </w:r>
    </w:p>
    <w:p w14:paraId="400B9EBB">
      <w:pPr>
        <w:rPr>
          <w:rFonts w:hint="eastAsia" w:ascii="宋体" w:hAnsi="宋体" w:eastAsia="宋体" w:cs="宋体"/>
          <w:color w:val="auto"/>
          <w:highlight w:val="none"/>
        </w:rPr>
      </w:pPr>
    </w:p>
    <w:p w14:paraId="18F86E84">
      <w:pPr>
        <w:pStyle w:val="4"/>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1013" w:name="_Toc12447"/>
      <w:bookmarkStart w:id="1014" w:name="_Toc761314024"/>
      <w:bookmarkStart w:id="1015" w:name="_Toc80867977"/>
      <w:r>
        <w:rPr>
          <w:rFonts w:hint="eastAsia" w:ascii="宋体" w:hAnsi="宋体" w:eastAsia="宋体" w:cs="宋体"/>
          <w:color w:val="auto"/>
          <w:highlight w:val="none"/>
        </w:rPr>
        <w:t>节能产品信息表</w:t>
      </w:r>
      <w:bookmarkEnd w:id="1013"/>
      <w:bookmarkEnd w:id="1014"/>
      <w:bookmarkEnd w:id="1015"/>
    </w:p>
    <w:p w14:paraId="300E5B2F">
      <w:pPr>
        <w:autoSpaceDE w:val="0"/>
        <w:autoSpaceDN w:val="0"/>
        <w:adjustRightInd w:val="0"/>
        <w:spacing w:line="360" w:lineRule="auto"/>
        <w:jc w:val="left"/>
        <w:rPr>
          <w:rFonts w:hint="eastAsia" w:ascii="宋体" w:hAnsi="宋体" w:eastAsia="宋体" w:cs="宋体"/>
          <w:b/>
          <w:color w:val="auto"/>
          <w:kern w:val="0"/>
          <w:szCs w:val="21"/>
          <w:highlight w:val="none"/>
          <w:u w:val="single"/>
        </w:rPr>
      </w:pPr>
      <w:r>
        <w:rPr>
          <w:rFonts w:hint="eastAsia" w:ascii="宋体" w:hAnsi="宋体" w:eastAsia="宋体" w:cs="宋体"/>
          <w:b/>
          <w:color w:val="auto"/>
          <w:kern w:val="0"/>
          <w:szCs w:val="21"/>
          <w:highlight w:val="none"/>
        </w:rPr>
        <w:t>项目名称：                          项目编号：</w:t>
      </w:r>
    </w:p>
    <w:tbl>
      <w:tblPr>
        <w:tblStyle w:val="47"/>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14"/>
        <w:gridCol w:w="1418"/>
        <w:gridCol w:w="2693"/>
        <w:gridCol w:w="2721"/>
      </w:tblGrid>
      <w:tr w14:paraId="519B024A">
        <w:trPr>
          <w:trHeight w:val="411" w:hRule="atLeast"/>
        </w:trPr>
        <w:tc>
          <w:tcPr>
            <w:tcW w:w="704" w:type="dxa"/>
            <w:vAlign w:val="center"/>
          </w:tcPr>
          <w:p w14:paraId="5FDB8800">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814" w:type="dxa"/>
            <w:vAlign w:val="center"/>
          </w:tcPr>
          <w:p w14:paraId="73C33473">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材料设备名称</w:t>
            </w:r>
          </w:p>
        </w:tc>
        <w:tc>
          <w:tcPr>
            <w:tcW w:w="1418" w:type="dxa"/>
            <w:vAlign w:val="center"/>
          </w:tcPr>
          <w:p w14:paraId="31BA78E8">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制造商、厂家</w:t>
            </w:r>
          </w:p>
        </w:tc>
        <w:tc>
          <w:tcPr>
            <w:tcW w:w="2693" w:type="dxa"/>
            <w:vAlign w:val="center"/>
          </w:tcPr>
          <w:p w14:paraId="3D84B416">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品牌、规格型号及主要参数</w:t>
            </w:r>
          </w:p>
        </w:tc>
        <w:tc>
          <w:tcPr>
            <w:tcW w:w="2721" w:type="dxa"/>
            <w:vAlign w:val="center"/>
          </w:tcPr>
          <w:p w14:paraId="6A12A265">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是否属于节能产品</w:t>
            </w:r>
          </w:p>
        </w:tc>
      </w:tr>
      <w:tr w14:paraId="6D967BD5">
        <w:trPr>
          <w:trHeight w:val="378" w:hRule="atLeast"/>
        </w:trPr>
        <w:tc>
          <w:tcPr>
            <w:tcW w:w="704" w:type="dxa"/>
            <w:vAlign w:val="center"/>
          </w:tcPr>
          <w:p w14:paraId="3A1ADCA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814" w:type="dxa"/>
            <w:vAlign w:val="center"/>
          </w:tcPr>
          <w:p w14:paraId="6BB92B20">
            <w:pPr>
              <w:jc w:val="center"/>
              <w:rPr>
                <w:rFonts w:hint="eastAsia" w:ascii="宋体" w:hAnsi="宋体" w:eastAsia="宋体" w:cs="宋体"/>
                <w:bCs/>
                <w:color w:val="auto"/>
                <w:szCs w:val="21"/>
                <w:highlight w:val="none"/>
              </w:rPr>
            </w:pPr>
          </w:p>
        </w:tc>
        <w:tc>
          <w:tcPr>
            <w:tcW w:w="1418" w:type="dxa"/>
            <w:vAlign w:val="center"/>
          </w:tcPr>
          <w:p w14:paraId="4363075D">
            <w:pPr>
              <w:jc w:val="center"/>
              <w:rPr>
                <w:rFonts w:hint="eastAsia" w:ascii="宋体" w:hAnsi="宋体" w:eastAsia="宋体" w:cs="宋体"/>
                <w:color w:val="auto"/>
                <w:szCs w:val="21"/>
                <w:highlight w:val="none"/>
              </w:rPr>
            </w:pPr>
          </w:p>
        </w:tc>
        <w:tc>
          <w:tcPr>
            <w:tcW w:w="2693" w:type="dxa"/>
            <w:vAlign w:val="center"/>
          </w:tcPr>
          <w:p w14:paraId="52256431">
            <w:pPr>
              <w:jc w:val="center"/>
              <w:rPr>
                <w:rFonts w:hint="eastAsia" w:ascii="宋体" w:hAnsi="宋体" w:eastAsia="宋体" w:cs="宋体"/>
                <w:color w:val="auto"/>
                <w:szCs w:val="21"/>
                <w:highlight w:val="none"/>
              </w:rPr>
            </w:pPr>
          </w:p>
        </w:tc>
        <w:tc>
          <w:tcPr>
            <w:tcW w:w="2721" w:type="dxa"/>
            <w:vAlign w:val="center"/>
          </w:tcPr>
          <w:p w14:paraId="6722FD92">
            <w:pPr>
              <w:jc w:val="center"/>
              <w:rPr>
                <w:rFonts w:hint="eastAsia" w:ascii="宋体" w:hAnsi="宋体" w:eastAsia="宋体" w:cs="宋体"/>
                <w:color w:val="auto"/>
                <w:szCs w:val="21"/>
                <w:highlight w:val="none"/>
              </w:rPr>
            </w:pPr>
          </w:p>
        </w:tc>
      </w:tr>
      <w:tr w14:paraId="1C263607">
        <w:trPr>
          <w:trHeight w:val="411" w:hRule="atLeast"/>
        </w:trPr>
        <w:tc>
          <w:tcPr>
            <w:tcW w:w="704" w:type="dxa"/>
            <w:vAlign w:val="center"/>
          </w:tcPr>
          <w:p w14:paraId="1FB8659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814" w:type="dxa"/>
            <w:vAlign w:val="center"/>
          </w:tcPr>
          <w:p w14:paraId="0F188774">
            <w:pPr>
              <w:jc w:val="center"/>
              <w:rPr>
                <w:rFonts w:hint="eastAsia" w:ascii="宋体" w:hAnsi="宋体" w:eastAsia="宋体" w:cs="宋体"/>
                <w:bCs/>
                <w:color w:val="auto"/>
                <w:szCs w:val="21"/>
                <w:highlight w:val="none"/>
              </w:rPr>
            </w:pPr>
          </w:p>
        </w:tc>
        <w:tc>
          <w:tcPr>
            <w:tcW w:w="1418" w:type="dxa"/>
            <w:vAlign w:val="center"/>
          </w:tcPr>
          <w:p w14:paraId="5855D529">
            <w:pPr>
              <w:jc w:val="center"/>
              <w:rPr>
                <w:rFonts w:hint="eastAsia" w:ascii="宋体" w:hAnsi="宋体" w:eastAsia="宋体" w:cs="宋体"/>
                <w:color w:val="auto"/>
                <w:szCs w:val="21"/>
                <w:highlight w:val="none"/>
              </w:rPr>
            </w:pPr>
          </w:p>
        </w:tc>
        <w:tc>
          <w:tcPr>
            <w:tcW w:w="2693" w:type="dxa"/>
            <w:vAlign w:val="center"/>
          </w:tcPr>
          <w:p w14:paraId="5B1FB83D">
            <w:pPr>
              <w:jc w:val="center"/>
              <w:rPr>
                <w:rFonts w:hint="eastAsia" w:ascii="宋体" w:hAnsi="宋体" w:eastAsia="宋体" w:cs="宋体"/>
                <w:color w:val="auto"/>
                <w:szCs w:val="21"/>
                <w:highlight w:val="none"/>
              </w:rPr>
            </w:pPr>
          </w:p>
        </w:tc>
        <w:tc>
          <w:tcPr>
            <w:tcW w:w="2721" w:type="dxa"/>
          </w:tcPr>
          <w:p w14:paraId="30B08D71">
            <w:pPr>
              <w:jc w:val="center"/>
              <w:rPr>
                <w:rFonts w:hint="eastAsia" w:ascii="宋体" w:hAnsi="宋体" w:eastAsia="宋体" w:cs="宋体"/>
                <w:color w:val="auto"/>
                <w:szCs w:val="21"/>
                <w:highlight w:val="none"/>
              </w:rPr>
            </w:pPr>
          </w:p>
        </w:tc>
      </w:tr>
      <w:tr w14:paraId="17143DFA">
        <w:trPr>
          <w:trHeight w:val="378" w:hRule="atLeast"/>
        </w:trPr>
        <w:tc>
          <w:tcPr>
            <w:tcW w:w="704" w:type="dxa"/>
            <w:vAlign w:val="center"/>
          </w:tcPr>
          <w:p w14:paraId="2EC889F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814" w:type="dxa"/>
            <w:vAlign w:val="center"/>
          </w:tcPr>
          <w:p w14:paraId="68E0EC48">
            <w:pPr>
              <w:jc w:val="center"/>
              <w:rPr>
                <w:rFonts w:hint="eastAsia" w:ascii="宋体" w:hAnsi="宋体" w:eastAsia="宋体" w:cs="宋体"/>
                <w:bCs/>
                <w:color w:val="auto"/>
                <w:szCs w:val="21"/>
                <w:highlight w:val="none"/>
              </w:rPr>
            </w:pPr>
          </w:p>
        </w:tc>
        <w:tc>
          <w:tcPr>
            <w:tcW w:w="1418" w:type="dxa"/>
            <w:vAlign w:val="center"/>
          </w:tcPr>
          <w:p w14:paraId="23C2C593">
            <w:pPr>
              <w:jc w:val="center"/>
              <w:rPr>
                <w:rFonts w:hint="eastAsia" w:ascii="宋体" w:hAnsi="宋体" w:eastAsia="宋体" w:cs="宋体"/>
                <w:color w:val="auto"/>
                <w:szCs w:val="21"/>
                <w:highlight w:val="none"/>
              </w:rPr>
            </w:pPr>
          </w:p>
        </w:tc>
        <w:tc>
          <w:tcPr>
            <w:tcW w:w="2693" w:type="dxa"/>
            <w:vAlign w:val="center"/>
          </w:tcPr>
          <w:p w14:paraId="40C029AE">
            <w:pPr>
              <w:jc w:val="center"/>
              <w:rPr>
                <w:rFonts w:hint="eastAsia" w:ascii="宋体" w:hAnsi="宋体" w:eastAsia="宋体" w:cs="宋体"/>
                <w:color w:val="auto"/>
                <w:szCs w:val="21"/>
                <w:highlight w:val="none"/>
              </w:rPr>
            </w:pPr>
          </w:p>
        </w:tc>
        <w:tc>
          <w:tcPr>
            <w:tcW w:w="2721" w:type="dxa"/>
          </w:tcPr>
          <w:p w14:paraId="2284919D">
            <w:pPr>
              <w:jc w:val="center"/>
              <w:rPr>
                <w:rFonts w:hint="eastAsia" w:ascii="宋体" w:hAnsi="宋体" w:eastAsia="宋体" w:cs="宋体"/>
                <w:color w:val="auto"/>
                <w:szCs w:val="21"/>
                <w:highlight w:val="none"/>
              </w:rPr>
            </w:pPr>
          </w:p>
        </w:tc>
      </w:tr>
      <w:tr w14:paraId="62E013B7">
        <w:trPr>
          <w:trHeight w:val="378" w:hRule="atLeast"/>
        </w:trPr>
        <w:tc>
          <w:tcPr>
            <w:tcW w:w="704" w:type="dxa"/>
            <w:vAlign w:val="center"/>
          </w:tcPr>
          <w:p w14:paraId="3B1C2CD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814" w:type="dxa"/>
            <w:vAlign w:val="center"/>
          </w:tcPr>
          <w:p w14:paraId="072E2A73">
            <w:pPr>
              <w:jc w:val="center"/>
              <w:rPr>
                <w:rFonts w:hint="eastAsia" w:ascii="宋体" w:hAnsi="宋体" w:eastAsia="宋体" w:cs="宋体"/>
                <w:bCs/>
                <w:color w:val="auto"/>
                <w:szCs w:val="21"/>
                <w:highlight w:val="none"/>
              </w:rPr>
            </w:pPr>
          </w:p>
        </w:tc>
        <w:tc>
          <w:tcPr>
            <w:tcW w:w="1418" w:type="dxa"/>
            <w:vAlign w:val="center"/>
          </w:tcPr>
          <w:p w14:paraId="03053C9E">
            <w:pPr>
              <w:jc w:val="center"/>
              <w:rPr>
                <w:rFonts w:hint="eastAsia" w:ascii="宋体" w:hAnsi="宋体" w:eastAsia="宋体" w:cs="宋体"/>
                <w:color w:val="auto"/>
                <w:szCs w:val="21"/>
                <w:highlight w:val="none"/>
              </w:rPr>
            </w:pPr>
          </w:p>
        </w:tc>
        <w:tc>
          <w:tcPr>
            <w:tcW w:w="2693" w:type="dxa"/>
            <w:vAlign w:val="center"/>
          </w:tcPr>
          <w:p w14:paraId="50E9963C">
            <w:pPr>
              <w:jc w:val="center"/>
              <w:rPr>
                <w:rFonts w:hint="eastAsia" w:ascii="宋体" w:hAnsi="宋体" w:eastAsia="宋体" w:cs="宋体"/>
                <w:color w:val="auto"/>
                <w:szCs w:val="21"/>
                <w:highlight w:val="none"/>
              </w:rPr>
            </w:pPr>
          </w:p>
        </w:tc>
        <w:tc>
          <w:tcPr>
            <w:tcW w:w="2721" w:type="dxa"/>
          </w:tcPr>
          <w:p w14:paraId="0B44B11B">
            <w:pPr>
              <w:jc w:val="center"/>
              <w:rPr>
                <w:rFonts w:hint="eastAsia" w:ascii="宋体" w:hAnsi="宋体" w:eastAsia="宋体" w:cs="宋体"/>
                <w:color w:val="auto"/>
                <w:szCs w:val="21"/>
                <w:highlight w:val="none"/>
              </w:rPr>
            </w:pPr>
          </w:p>
        </w:tc>
      </w:tr>
      <w:tr w14:paraId="5190BC73">
        <w:trPr>
          <w:trHeight w:val="378" w:hRule="atLeast"/>
        </w:trPr>
        <w:tc>
          <w:tcPr>
            <w:tcW w:w="704" w:type="dxa"/>
            <w:vAlign w:val="center"/>
          </w:tcPr>
          <w:p w14:paraId="638A370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814" w:type="dxa"/>
            <w:vAlign w:val="center"/>
          </w:tcPr>
          <w:p w14:paraId="02FEC357">
            <w:pPr>
              <w:jc w:val="center"/>
              <w:rPr>
                <w:rFonts w:hint="eastAsia" w:ascii="宋体" w:hAnsi="宋体" w:eastAsia="宋体" w:cs="宋体"/>
                <w:bCs/>
                <w:color w:val="auto"/>
                <w:szCs w:val="21"/>
                <w:highlight w:val="none"/>
              </w:rPr>
            </w:pPr>
          </w:p>
        </w:tc>
        <w:tc>
          <w:tcPr>
            <w:tcW w:w="1418" w:type="dxa"/>
            <w:vAlign w:val="center"/>
          </w:tcPr>
          <w:p w14:paraId="3783FD38">
            <w:pPr>
              <w:jc w:val="center"/>
              <w:rPr>
                <w:rFonts w:hint="eastAsia" w:ascii="宋体" w:hAnsi="宋体" w:eastAsia="宋体" w:cs="宋体"/>
                <w:color w:val="auto"/>
                <w:szCs w:val="21"/>
                <w:highlight w:val="none"/>
              </w:rPr>
            </w:pPr>
          </w:p>
        </w:tc>
        <w:tc>
          <w:tcPr>
            <w:tcW w:w="2693" w:type="dxa"/>
            <w:vAlign w:val="center"/>
          </w:tcPr>
          <w:p w14:paraId="7F2615C9">
            <w:pPr>
              <w:jc w:val="center"/>
              <w:rPr>
                <w:rFonts w:hint="eastAsia" w:ascii="宋体" w:hAnsi="宋体" w:eastAsia="宋体" w:cs="宋体"/>
                <w:color w:val="auto"/>
                <w:szCs w:val="21"/>
                <w:highlight w:val="none"/>
              </w:rPr>
            </w:pPr>
          </w:p>
        </w:tc>
        <w:tc>
          <w:tcPr>
            <w:tcW w:w="2721" w:type="dxa"/>
          </w:tcPr>
          <w:p w14:paraId="46053FAD">
            <w:pPr>
              <w:jc w:val="center"/>
              <w:rPr>
                <w:rFonts w:hint="eastAsia" w:ascii="宋体" w:hAnsi="宋体" w:eastAsia="宋体" w:cs="宋体"/>
                <w:color w:val="auto"/>
                <w:szCs w:val="21"/>
                <w:highlight w:val="none"/>
              </w:rPr>
            </w:pPr>
          </w:p>
        </w:tc>
      </w:tr>
      <w:tr w14:paraId="2F2819C2">
        <w:trPr>
          <w:trHeight w:val="378" w:hRule="atLeast"/>
        </w:trPr>
        <w:tc>
          <w:tcPr>
            <w:tcW w:w="704" w:type="dxa"/>
            <w:vAlign w:val="center"/>
          </w:tcPr>
          <w:p w14:paraId="24B0747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814" w:type="dxa"/>
            <w:vAlign w:val="center"/>
          </w:tcPr>
          <w:p w14:paraId="5637FBD4">
            <w:pPr>
              <w:jc w:val="center"/>
              <w:rPr>
                <w:rFonts w:hint="eastAsia" w:ascii="宋体" w:hAnsi="宋体" w:eastAsia="宋体" w:cs="宋体"/>
                <w:bCs/>
                <w:color w:val="auto"/>
                <w:szCs w:val="21"/>
                <w:highlight w:val="none"/>
              </w:rPr>
            </w:pPr>
          </w:p>
        </w:tc>
        <w:tc>
          <w:tcPr>
            <w:tcW w:w="1418" w:type="dxa"/>
            <w:vAlign w:val="center"/>
          </w:tcPr>
          <w:p w14:paraId="38F92A33">
            <w:pPr>
              <w:jc w:val="center"/>
              <w:rPr>
                <w:rFonts w:hint="eastAsia" w:ascii="宋体" w:hAnsi="宋体" w:eastAsia="宋体" w:cs="宋体"/>
                <w:color w:val="auto"/>
                <w:szCs w:val="21"/>
                <w:highlight w:val="none"/>
              </w:rPr>
            </w:pPr>
          </w:p>
        </w:tc>
        <w:tc>
          <w:tcPr>
            <w:tcW w:w="2693" w:type="dxa"/>
            <w:vAlign w:val="center"/>
          </w:tcPr>
          <w:p w14:paraId="32746A01">
            <w:pPr>
              <w:jc w:val="center"/>
              <w:rPr>
                <w:rFonts w:hint="eastAsia" w:ascii="宋体" w:hAnsi="宋体" w:eastAsia="宋体" w:cs="宋体"/>
                <w:color w:val="auto"/>
                <w:szCs w:val="21"/>
                <w:highlight w:val="none"/>
              </w:rPr>
            </w:pPr>
          </w:p>
        </w:tc>
        <w:tc>
          <w:tcPr>
            <w:tcW w:w="2721" w:type="dxa"/>
            <w:vAlign w:val="center"/>
          </w:tcPr>
          <w:p w14:paraId="59669A94">
            <w:pPr>
              <w:jc w:val="center"/>
              <w:rPr>
                <w:rFonts w:hint="eastAsia" w:ascii="宋体" w:hAnsi="宋体" w:eastAsia="宋体" w:cs="宋体"/>
                <w:color w:val="auto"/>
                <w:szCs w:val="21"/>
                <w:highlight w:val="none"/>
              </w:rPr>
            </w:pPr>
          </w:p>
        </w:tc>
      </w:tr>
      <w:tr w14:paraId="4ED63EFB">
        <w:trPr>
          <w:trHeight w:val="378" w:hRule="atLeast"/>
        </w:trPr>
        <w:tc>
          <w:tcPr>
            <w:tcW w:w="704" w:type="dxa"/>
            <w:vAlign w:val="center"/>
          </w:tcPr>
          <w:p w14:paraId="0BA6BBC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814" w:type="dxa"/>
            <w:vAlign w:val="center"/>
          </w:tcPr>
          <w:p w14:paraId="37AAF0DD">
            <w:pPr>
              <w:jc w:val="center"/>
              <w:rPr>
                <w:rFonts w:hint="eastAsia" w:ascii="宋体" w:hAnsi="宋体" w:eastAsia="宋体" w:cs="宋体"/>
                <w:bCs/>
                <w:color w:val="auto"/>
                <w:szCs w:val="21"/>
                <w:highlight w:val="none"/>
              </w:rPr>
            </w:pPr>
          </w:p>
        </w:tc>
        <w:tc>
          <w:tcPr>
            <w:tcW w:w="1418" w:type="dxa"/>
            <w:vAlign w:val="center"/>
          </w:tcPr>
          <w:p w14:paraId="27E055A5">
            <w:pPr>
              <w:jc w:val="center"/>
              <w:rPr>
                <w:rFonts w:hint="eastAsia" w:ascii="宋体" w:hAnsi="宋体" w:eastAsia="宋体" w:cs="宋体"/>
                <w:color w:val="auto"/>
                <w:szCs w:val="21"/>
                <w:highlight w:val="none"/>
              </w:rPr>
            </w:pPr>
          </w:p>
        </w:tc>
        <w:tc>
          <w:tcPr>
            <w:tcW w:w="2693" w:type="dxa"/>
            <w:vAlign w:val="center"/>
          </w:tcPr>
          <w:p w14:paraId="05F89A37">
            <w:pPr>
              <w:jc w:val="center"/>
              <w:rPr>
                <w:rFonts w:hint="eastAsia" w:ascii="宋体" w:hAnsi="宋体" w:eastAsia="宋体" w:cs="宋体"/>
                <w:color w:val="auto"/>
                <w:szCs w:val="21"/>
                <w:highlight w:val="none"/>
              </w:rPr>
            </w:pPr>
          </w:p>
        </w:tc>
        <w:tc>
          <w:tcPr>
            <w:tcW w:w="2721" w:type="dxa"/>
            <w:vAlign w:val="center"/>
          </w:tcPr>
          <w:p w14:paraId="61E8017C">
            <w:pPr>
              <w:jc w:val="center"/>
              <w:rPr>
                <w:rFonts w:hint="eastAsia" w:ascii="宋体" w:hAnsi="宋体" w:eastAsia="宋体" w:cs="宋体"/>
                <w:color w:val="auto"/>
                <w:szCs w:val="21"/>
                <w:highlight w:val="none"/>
              </w:rPr>
            </w:pPr>
          </w:p>
        </w:tc>
      </w:tr>
      <w:tr w14:paraId="14FCFE6F">
        <w:trPr>
          <w:trHeight w:val="378" w:hRule="atLeast"/>
        </w:trPr>
        <w:tc>
          <w:tcPr>
            <w:tcW w:w="704" w:type="dxa"/>
            <w:vAlign w:val="center"/>
          </w:tcPr>
          <w:p w14:paraId="4F33545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814" w:type="dxa"/>
            <w:vAlign w:val="center"/>
          </w:tcPr>
          <w:p w14:paraId="169F0547">
            <w:pPr>
              <w:jc w:val="center"/>
              <w:rPr>
                <w:rFonts w:hint="eastAsia" w:ascii="宋体" w:hAnsi="宋体" w:eastAsia="宋体" w:cs="宋体"/>
                <w:color w:val="auto"/>
                <w:szCs w:val="21"/>
                <w:highlight w:val="none"/>
              </w:rPr>
            </w:pPr>
          </w:p>
        </w:tc>
        <w:tc>
          <w:tcPr>
            <w:tcW w:w="1418" w:type="dxa"/>
            <w:vAlign w:val="center"/>
          </w:tcPr>
          <w:p w14:paraId="6AAB3A05">
            <w:pPr>
              <w:jc w:val="center"/>
              <w:rPr>
                <w:rFonts w:hint="eastAsia" w:ascii="宋体" w:hAnsi="宋体" w:eastAsia="宋体" w:cs="宋体"/>
                <w:color w:val="auto"/>
                <w:szCs w:val="21"/>
                <w:highlight w:val="none"/>
              </w:rPr>
            </w:pPr>
          </w:p>
        </w:tc>
        <w:tc>
          <w:tcPr>
            <w:tcW w:w="2693" w:type="dxa"/>
            <w:vAlign w:val="center"/>
          </w:tcPr>
          <w:p w14:paraId="43A1B9ED">
            <w:pPr>
              <w:jc w:val="center"/>
              <w:rPr>
                <w:rFonts w:hint="eastAsia" w:ascii="宋体" w:hAnsi="宋体" w:eastAsia="宋体" w:cs="宋体"/>
                <w:color w:val="auto"/>
                <w:szCs w:val="21"/>
                <w:highlight w:val="none"/>
              </w:rPr>
            </w:pPr>
          </w:p>
        </w:tc>
        <w:tc>
          <w:tcPr>
            <w:tcW w:w="2721" w:type="dxa"/>
            <w:vAlign w:val="center"/>
          </w:tcPr>
          <w:p w14:paraId="0224ECFF">
            <w:pPr>
              <w:jc w:val="center"/>
              <w:rPr>
                <w:rFonts w:hint="eastAsia" w:ascii="宋体" w:hAnsi="宋体" w:eastAsia="宋体" w:cs="宋体"/>
                <w:color w:val="auto"/>
                <w:szCs w:val="21"/>
                <w:highlight w:val="none"/>
              </w:rPr>
            </w:pPr>
          </w:p>
        </w:tc>
      </w:tr>
      <w:tr w14:paraId="42E31C2D">
        <w:trPr>
          <w:trHeight w:val="378" w:hRule="atLeast"/>
        </w:trPr>
        <w:tc>
          <w:tcPr>
            <w:tcW w:w="704" w:type="dxa"/>
            <w:vAlign w:val="center"/>
          </w:tcPr>
          <w:p w14:paraId="4464136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814" w:type="dxa"/>
            <w:vAlign w:val="center"/>
          </w:tcPr>
          <w:p w14:paraId="5CD831A7">
            <w:pPr>
              <w:jc w:val="center"/>
              <w:rPr>
                <w:rFonts w:hint="eastAsia" w:ascii="宋体" w:hAnsi="宋体" w:eastAsia="宋体" w:cs="宋体"/>
                <w:color w:val="auto"/>
                <w:szCs w:val="21"/>
                <w:highlight w:val="none"/>
              </w:rPr>
            </w:pPr>
          </w:p>
        </w:tc>
        <w:tc>
          <w:tcPr>
            <w:tcW w:w="1418" w:type="dxa"/>
            <w:vAlign w:val="center"/>
          </w:tcPr>
          <w:p w14:paraId="1D67CBAB">
            <w:pPr>
              <w:jc w:val="center"/>
              <w:rPr>
                <w:rFonts w:hint="eastAsia" w:ascii="宋体" w:hAnsi="宋体" w:eastAsia="宋体" w:cs="宋体"/>
                <w:color w:val="auto"/>
                <w:szCs w:val="21"/>
                <w:highlight w:val="none"/>
              </w:rPr>
            </w:pPr>
          </w:p>
        </w:tc>
        <w:tc>
          <w:tcPr>
            <w:tcW w:w="2693" w:type="dxa"/>
            <w:vAlign w:val="center"/>
          </w:tcPr>
          <w:p w14:paraId="3171F694">
            <w:pPr>
              <w:jc w:val="center"/>
              <w:rPr>
                <w:rFonts w:hint="eastAsia" w:ascii="宋体" w:hAnsi="宋体" w:eastAsia="宋体" w:cs="宋体"/>
                <w:color w:val="auto"/>
                <w:szCs w:val="21"/>
                <w:highlight w:val="none"/>
              </w:rPr>
            </w:pPr>
          </w:p>
        </w:tc>
        <w:tc>
          <w:tcPr>
            <w:tcW w:w="2721" w:type="dxa"/>
            <w:vAlign w:val="center"/>
          </w:tcPr>
          <w:p w14:paraId="24CB7331">
            <w:pPr>
              <w:jc w:val="center"/>
              <w:rPr>
                <w:rFonts w:hint="eastAsia" w:ascii="宋体" w:hAnsi="宋体" w:eastAsia="宋体" w:cs="宋体"/>
                <w:color w:val="auto"/>
                <w:szCs w:val="21"/>
                <w:highlight w:val="none"/>
              </w:rPr>
            </w:pPr>
          </w:p>
        </w:tc>
      </w:tr>
    </w:tbl>
    <w:p w14:paraId="7A8081A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14:paraId="49DEBB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1、供应商须按上述格式要求提供</w:t>
      </w:r>
      <w:r>
        <w:rPr>
          <w:rFonts w:hint="eastAsia" w:ascii="宋体" w:hAnsi="宋体" w:eastAsia="宋体" w:cs="宋体"/>
          <w:color w:val="auto"/>
          <w:highlight w:val="none"/>
        </w:rPr>
        <w:t>节能产品</w:t>
      </w:r>
      <w:r>
        <w:rPr>
          <w:rFonts w:hint="eastAsia" w:ascii="宋体" w:hAnsi="宋体" w:eastAsia="宋体" w:cs="宋体"/>
          <w:color w:val="auto"/>
          <w:szCs w:val="21"/>
          <w:highlight w:val="none"/>
        </w:rPr>
        <w:t>的规格型号、品牌、厂家等信息，在是否属于节能产品列结合实际应标情况填写“是”或“否”。</w:t>
      </w:r>
    </w:p>
    <w:p w14:paraId="6D57D69A">
      <w:pPr>
        <w:numPr>
          <w:ilvl w:val="0"/>
          <w:numId w:val="0"/>
        </w:num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color w:val="auto"/>
          <w:kern w:val="2"/>
          <w:sz w:val="21"/>
          <w:szCs w:val="21"/>
          <w:highlight w:val="none"/>
          <w:lang w:val="en-US" w:eastAsia="zh-CN" w:bidi="ar-SA"/>
        </w:rPr>
        <w:t>2、</w:t>
      </w:r>
      <w:r>
        <w:rPr>
          <w:rFonts w:hint="eastAsia" w:ascii="宋体" w:hAnsi="宋体" w:eastAsia="宋体" w:cs="宋体"/>
          <w:color w:val="auto"/>
          <w:szCs w:val="21"/>
          <w:highlight w:val="none"/>
        </w:rPr>
        <w:t>供应商所投产品除强制节能外为经国家认定的节能产品，并根据财政部、发展改革委、生态环境部、市场监管总局“关于调整优化节能产品、环境标志产品政府采购执行机制的通知财库〔2019〕9号”及“关于印发节能产品政府采购品目清单的通知”财库〔2019〕19号及“关于印发环境标志产品政府采购品目清单的通知”财库〔2019〕18号}的通知，供应商所投产品认定为节能产品，供应商提供节能产品或环保产品认证证书</w:t>
      </w:r>
      <w:r>
        <w:rPr>
          <w:rFonts w:hint="eastAsia" w:ascii="宋体" w:hAnsi="宋体" w:eastAsia="宋体" w:cs="宋体"/>
          <w:color w:val="auto"/>
          <w:szCs w:val="21"/>
          <w:highlight w:val="none"/>
          <w:lang w:eastAsia="zh-CN"/>
        </w:rPr>
        <w:t>扫描件</w:t>
      </w:r>
      <w:r>
        <w:rPr>
          <w:rFonts w:hint="eastAsia" w:ascii="宋体" w:hAnsi="宋体" w:eastAsia="宋体" w:cs="宋体"/>
          <w:bCs/>
          <w:color w:val="auto"/>
          <w:szCs w:val="21"/>
          <w:highlight w:val="none"/>
        </w:rPr>
        <w:t>或中国政府采购网查询结果截图或国家市场监督管理总局</w:t>
      </w:r>
      <w:r>
        <w:rPr>
          <w:rFonts w:hint="eastAsia" w:ascii="宋体" w:hAnsi="宋体" w:eastAsia="宋体" w:cs="宋体"/>
          <w:b w:val="0"/>
          <w:bCs/>
          <w:color w:val="auto"/>
          <w:szCs w:val="21"/>
          <w:highlight w:val="none"/>
        </w:rPr>
        <w:t>全国认证认可信息公共服务平台打印的证书资料</w:t>
      </w:r>
      <w:r>
        <w:rPr>
          <w:rFonts w:hint="eastAsia" w:ascii="宋体" w:hAnsi="宋体" w:eastAsia="宋体" w:cs="宋体"/>
          <w:b w:val="0"/>
          <w:bCs/>
          <w:color w:val="auto"/>
          <w:szCs w:val="21"/>
          <w:highlight w:val="none"/>
          <w:lang w:eastAsia="zh-CN"/>
        </w:rPr>
        <w:t>扫描件</w:t>
      </w:r>
      <w:r>
        <w:rPr>
          <w:rFonts w:hint="eastAsia" w:ascii="宋体" w:hAnsi="宋体" w:eastAsia="宋体" w:cs="宋体"/>
          <w:b w:val="0"/>
          <w:bCs/>
          <w:color w:val="auto"/>
          <w:szCs w:val="21"/>
          <w:highlight w:val="none"/>
        </w:rPr>
        <w:t>。</w:t>
      </w:r>
    </w:p>
    <w:p w14:paraId="64B90792">
      <w:pPr>
        <w:numPr>
          <w:ilvl w:val="0"/>
          <w:numId w:val="0"/>
        </w:numPr>
        <w:spacing w:line="360" w:lineRule="auto"/>
        <w:ind w:firstLine="420" w:firstLineChars="200"/>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3、请供应商自行核对“工程量清单”中是否具有政府采购政策认定的强制节能产品。即响应产品属于财政部和国家发改委公布的当期《节能产品政府采购品目清单》中以“★”标注类别的节能产品，则提供在有效期内的符合规定的节能产品认证证书扫描件或中国政府采购网查询结果截图或国家市场监督管理总局全国认证认可信息公共服务平台打印的证书资料，否则视为未实质性响应竞争性磋商文件。（备注：供应商所提供的证明材料中须能体现与本项目所投同型号产品的相应信息）</w:t>
      </w:r>
    </w:p>
    <w:p w14:paraId="2023D0A9">
      <w:pPr>
        <w:pStyle w:val="4"/>
        <w:rPr>
          <w:rFonts w:hint="eastAsia" w:ascii="宋体" w:hAnsi="宋体" w:eastAsia="宋体" w:cs="宋体"/>
          <w:color w:val="auto"/>
          <w:highlight w:val="none"/>
        </w:rPr>
      </w:pPr>
      <w:r>
        <w:rPr>
          <w:rFonts w:hint="eastAsia" w:ascii="宋体" w:hAnsi="宋体" w:eastAsia="宋体" w:cs="宋体"/>
          <w:b w:val="0"/>
          <w:color w:val="auto"/>
          <w:szCs w:val="21"/>
          <w:highlight w:val="none"/>
          <w:u w:val="single"/>
        </w:rPr>
        <w:br w:type="page"/>
      </w:r>
      <w:bookmarkStart w:id="1016" w:name="_Toc697232542"/>
      <w:r>
        <w:rPr>
          <w:rFonts w:hint="eastAsia" w:ascii="宋体" w:hAnsi="宋体" w:eastAsia="宋体" w:cs="宋体"/>
          <w:color w:val="auto"/>
          <w:highlight w:val="none"/>
        </w:rPr>
        <w:t>环境标志产品信息表</w:t>
      </w:r>
      <w:bookmarkEnd w:id="1016"/>
    </w:p>
    <w:p w14:paraId="2172F97B">
      <w:pPr>
        <w:autoSpaceDE w:val="0"/>
        <w:autoSpaceDN w:val="0"/>
        <w:adjustRightInd w:val="0"/>
        <w:spacing w:line="360" w:lineRule="auto"/>
        <w:jc w:val="left"/>
        <w:rPr>
          <w:rFonts w:hint="eastAsia" w:ascii="宋体" w:hAnsi="宋体" w:eastAsia="宋体" w:cs="宋体"/>
          <w:b/>
          <w:color w:val="auto"/>
          <w:kern w:val="0"/>
          <w:szCs w:val="21"/>
          <w:highlight w:val="none"/>
          <w:u w:val="single"/>
        </w:rPr>
      </w:pPr>
      <w:r>
        <w:rPr>
          <w:rFonts w:hint="eastAsia" w:ascii="宋体" w:hAnsi="宋体" w:eastAsia="宋体" w:cs="宋体"/>
          <w:b/>
          <w:color w:val="auto"/>
          <w:kern w:val="0"/>
          <w:szCs w:val="21"/>
          <w:highlight w:val="none"/>
        </w:rPr>
        <w:t>项目名称：                           项目编号：</w:t>
      </w:r>
    </w:p>
    <w:tbl>
      <w:tblPr>
        <w:tblStyle w:val="47"/>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958"/>
        <w:gridCol w:w="1876"/>
        <w:gridCol w:w="2804"/>
        <w:gridCol w:w="1651"/>
      </w:tblGrid>
      <w:tr w14:paraId="47BB5396">
        <w:trPr>
          <w:trHeight w:val="690" w:hRule="atLeast"/>
        </w:trPr>
        <w:tc>
          <w:tcPr>
            <w:tcW w:w="920" w:type="dxa"/>
            <w:vAlign w:val="center"/>
          </w:tcPr>
          <w:p w14:paraId="73614D2A">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958" w:type="dxa"/>
            <w:vAlign w:val="center"/>
          </w:tcPr>
          <w:p w14:paraId="4228536C">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材料设备名称</w:t>
            </w:r>
          </w:p>
        </w:tc>
        <w:tc>
          <w:tcPr>
            <w:tcW w:w="1876" w:type="dxa"/>
            <w:vAlign w:val="center"/>
          </w:tcPr>
          <w:p w14:paraId="2FC2151C">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制造商、厂家</w:t>
            </w:r>
          </w:p>
        </w:tc>
        <w:tc>
          <w:tcPr>
            <w:tcW w:w="2804" w:type="dxa"/>
            <w:vAlign w:val="center"/>
          </w:tcPr>
          <w:p w14:paraId="5FEF28E7">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品牌、规格型号及主要参数</w:t>
            </w:r>
          </w:p>
        </w:tc>
        <w:tc>
          <w:tcPr>
            <w:tcW w:w="1651" w:type="dxa"/>
            <w:vAlign w:val="center"/>
          </w:tcPr>
          <w:p w14:paraId="4E2045DF">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是否属于环境标志产品</w:t>
            </w:r>
          </w:p>
        </w:tc>
      </w:tr>
      <w:tr w14:paraId="55195951">
        <w:trPr>
          <w:trHeight w:val="636" w:hRule="atLeast"/>
        </w:trPr>
        <w:tc>
          <w:tcPr>
            <w:tcW w:w="920" w:type="dxa"/>
            <w:vAlign w:val="center"/>
          </w:tcPr>
          <w:p w14:paraId="1116130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958" w:type="dxa"/>
            <w:vAlign w:val="center"/>
          </w:tcPr>
          <w:p w14:paraId="7CAED9E9">
            <w:pPr>
              <w:jc w:val="center"/>
              <w:rPr>
                <w:rFonts w:hint="eastAsia" w:ascii="宋体" w:hAnsi="宋体" w:eastAsia="宋体" w:cs="宋体"/>
                <w:color w:val="auto"/>
                <w:szCs w:val="21"/>
                <w:highlight w:val="none"/>
              </w:rPr>
            </w:pPr>
          </w:p>
        </w:tc>
        <w:tc>
          <w:tcPr>
            <w:tcW w:w="1876" w:type="dxa"/>
            <w:vAlign w:val="center"/>
          </w:tcPr>
          <w:p w14:paraId="50A241F0">
            <w:pPr>
              <w:jc w:val="center"/>
              <w:rPr>
                <w:rFonts w:hint="eastAsia" w:ascii="宋体" w:hAnsi="宋体" w:eastAsia="宋体" w:cs="宋体"/>
                <w:color w:val="auto"/>
                <w:szCs w:val="21"/>
                <w:highlight w:val="none"/>
              </w:rPr>
            </w:pPr>
          </w:p>
        </w:tc>
        <w:tc>
          <w:tcPr>
            <w:tcW w:w="2804" w:type="dxa"/>
            <w:vAlign w:val="center"/>
          </w:tcPr>
          <w:p w14:paraId="2CD6CE94">
            <w:pPr>
              <w:jc w:val="center"/>
              <w:rPr>
                <w:rFonts w:hint="eastAsia" w:ascii="宋体" w:hAnsi="宋体" w:eastAsia="宋体" w:cs="宋体"/>
                <w:color w:val="auto"/>
                <w:szCs w:val="21"/>
                <w:highlight w:val="none"/>
              </w:rPr>
            </w:pPr>
          </w:p>
        </w:tc>
        <w:tc>
          <w:tcPr>
            <w:tcW w:w="1651" w:type="dxa"/>
            <w:vAlign w:val="center"/>
          </w:tcPr>
          <w:p w14:paraId="25B593CE">
            <w:pPr>
              <w:jc w:val="center"/>
              <w:rPr>
                <w:rFonts w:hint="eastAsia" w:ascii="宋体" w:hAnsi="宋体" w:eastAsia="宋体" w:cs="宋体"/>
                <w:color w:val="auto"/>
                <w:szCs w:val="21"/>
                <w:highlight w:val="none"/>
              </w:rPr>
            </w:pPr>
          </w:p>
        </w:tc>
      </w:tr>
      <w:tr w14:paraId="43FE1912">
        <w:trPr>
          <w:trHeight w:val="690" w:hRule="atLeast"/>
        </w:trPr>
        <w:tc>
          <w:tcPr>
            <w:tcW w:w="920" w:type="dxa"/>
            <w:vAlign w:val="center"/>
          </w:tcPr>
          <w:p w14:paraId="55E6F2B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958" w:type="dxa"/>
            <w:vAlign w:val="center"/>
          </w:tcPr>
          <w:p w14:paraId="18C67EBD">
            <w:pPr>
              <w:jc w:val="center"/>
              <w:rPr>
                <w:rFonts w:hint="eastAsia" w:ascii="宋体" w:hAnsi="宋体" w:eastAsia="宋体" w:cs="宋体"/>
                <w:color w:val="auto"/>
                <w:szCs w:val="21"/>
                <w:highlight w:val="none"/>
              </w:rPr>
            </w:pPr>
          </w:p>
        </w:tc>
        <w:tc>
          <w:tcPr>
            <w:tcW w:w="1876" w:type="dxa"/>
            <w:vAlign w:val="center"/>
          </w:tcPr>
          <w:p w14:paraId="5AB0E829">
            <w:pPr>
              <w:jc w:val="center"/>
              <w:rPr>
                <w:rFonts w:hint="eastAsia" w:ascii="宋体" w:hAnsi="宋体" w:eastAsia="宋体" w:cs="宋体"/>
                <w:color w:val="auto"/>
                <w:szCs w:val="21"/>
                <w:highlight w:val="none"/>
              </w:rPr>
            </w:pPr>
          </w:p>
        </w:tc>
        <w:tc>
          <w:tcPr>
            <w:tcW w:w="2804" w:type="dxa"/>
            <w:vAlign w:val="center"/>
          </w:tcPr>
          <w:p w14:paraId="41C0690D">
            <w:pPr>
              <w:jc w:val="center"/>
              <w:rPr>
                <w:rFonts w:hint="eastAsia" w:ascii="宋体" w:hAnsi="宋体" w:eastAsia="宋体" w:cs="宋体"/>
                <w:color w:val="auto"/>
                <w:szCs w:val="21"/>
                <w:highlight w:val="none"/>
              </w:rPr>
            </w:pPr>
          </w:p>
        </w:tc>
        <w:tc>
          <w:tcPr>
            <w:tcW w:w="1651" w:type="dxa"/>
            <w:vAlign w:val="center"/>
          </w:tcPr>
          <w:p w14:paraId="4F2977B5">
            <w:pPr>
              <w:jc w:val="center"/>
              <w:rPr>
                <w:rFonts w:hint="eastAsia" w:ascii="宋体" w:hAnsi="宋体" w:eastAsia="宋体" w:cs="宋体"/>
                <w:color w:val="auto"/>
                <w:szCs w:val="21"/>
                <w:highlight w:val="none"/>
              </w:rPr>
            </w:pPr>
          </w:p>
        </w:tc>
      </w:tr>
      <w:tr w14:paraId="138E134E">
        <w:trPr>
          <w:trHeight w:val="636" w:hRule="atLeast"/>
        </w:trPr>
        <w:tc>
          <w:tcPr>
            <w:tcW w:w="920" w:type="dxa"/>
            <w:vAlign w:val="center"/>
          </w:tcPr>
          <w:p w14:paraId="0176626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958" w:type="dxa"/>
            <w:vAlign w:val="center"/>
          </w:tcPr>
          <w:p w14:paraId="60B1689E">
            <w:pPr>
              <w:jc w:val="center"/>
              <w:rPr>
                <w:rFonts w:hint="eastAsia" w:ascii="宋体" w:hAnsi="宋体" w:eastAsia="宋体" w:cs="宋体"/>
                <w:color w:val="auto"/>
                <w:szCs w:val="21"/>
                <w:highlight w:val="none"/>
              </w:rPr>
            </w:pPr>
          </w:p>
        </w:tc>
        <w:tc>
          <w:tcPr>
            <w:tcW w:w="1876" w:type="dxa"/>
            <w:vAlign w:val="center"/>
          </w:tcPr>
          <w:p w14:paraId="65A0557E">
            <w:pPr>
              <w:jc w:val="center"/>
              <w:rPr>
                <w:rFonts w:hint="eastAsia" w:ascii="宋体" w:hAnsi="宋体" w:eastAsia="宋体" w:cs="宋体"/>
                <w:color w:val="auto"/>
                <w:szCs w:val="21"/>
                <w:highlight w:val="none"/>
              </w:rPr>
            </w:pPr>
          </w:p>
        </w:tc>
        <w:tc>
          <w:tcPr>
            <w:tcW w:w="2804" w:type="dxa"/>
            <w:vAlign w:val="center"/>
          </w:tcPr>
          <w:p w14:paraId="4C8CCC9C">
            <w:pPr>
              <w:jc w:val="center"/>
              <w:rPr>
                <w:rFonts w:hint="eastAsia" w:ascii="宋体" w:hAnsi="宋体" w:eastAsia="宋体" w:cs="宋体"/>
                <w:color w:val="auto"/>
                <w:szCs w:val="21"/>
                <w:highlight w:val="none"/>
              </w:rPr>
            </w:pPr>
          </w:p>
        </w:tc>
        <w:tc>
          <w:tcPr>
            <w:tcW w:w="1651" w:type="dxa"/>
            <w:vAlign w:val="center"/>
          </w:tcPr>
          <w:p w14:paraId="55D29846">
            <w:pPr>
              <w:jc w:val="center"/>
              <w:rPr>
                <w:rFonts w:hint="eastAsia" w:ascii="宋体" w:hAnsi="宋体" w:eastAsia="宋体" w:cs="宋体"/>
                <w:color w:val="auto"/>
                <w:szCs w:val="21"/>
                <w:highlight w:val="none"/>
              </w:rPr>
            </w:pPr>
          </w:p>
        </w:tc>
      </w:tr>
      <w:tr w14:paraId="5D7E8ED2">
        <w:trPr>
          <w:trHeight w:val="636" w:hRule="atLeast"/>
        </w:trPr>
        <w:tc>
          <w:tcPr>
            <w:tcW w:w="920" w:type="dxa"/>
            <w:vAlign w:val="center"/>
          </w:tcPr>
          <w:p w14:paraId="3E6F853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958" w:type="dxa"/>
            <w:vAlign w:val="center"/>
          </w:tcPr>
          <w:p w14:paraId="40A28F12">
            <w:pPr>
              <w:jc w:val="center"/>
              <w:rPr>
                <w:rFonts w:hint="eastAsia" w:ascii="宋体" w:hAnsi="宋体" w:eastAsia="宋体" w:cs="宋体"/>
                <w:color w:val="auto"/>
                <w:szCs w:val="21"/>
                <w:highlight w:val="none"/>
              </w:rPr>
            </w:pPr>
          </w:p>
        </w:tc>
        <w:tc>
          <w:tcPr>
            <w:tcW w:w="1876" w:type="dxa"/>
            <w:vAlign w:val="center"/>
          </w:tcPr>
          <w:p w14:paraId="0232F76A">
            <w:pPr>
              <w:jc w:val="center"/>
              <w:rPr>
                <w:rFonts w:hint="eastAsia" w:ascii="宋体" w:hAnsi="宋体" w:eastAsia="宋体" w:cs="宋体"/>
                <w:color w:val="auto"/>
                <w:szCs w:val="21"/>
                <w:highlight w:val="none"/>
              </w:rPr>
            </w:pPr>
          </w:p>
        </w:tc>
        <w:tc>
          <w:tcPr>
            <w:tcW w:w="2804" w:type="dxa"/>
            <w:vAlign w:val="center"/>
          </w:tcPr>
          <w:p w14:paraId="582B342A">
            <w:pPr>
              <w:jc w:val="center"/>
              <w:rPr>
                <w:rFonts w:hint="eastAsia" w:ascii="宋体" w:hAnsi="宋体" w:eastAsia="宋体" w:cs="宋体"/>
                <w:color w:val="auto"/>
                <w:szCs w:val="21"/>
                <w:highlight w:val="none"/>
              </w:rPr>
            </w:pPr>
          </w:p>
        </w:tc>
        <w:tc>
          <w:tcPr>
            <w:tcW w:w="1651" w:type="dxa"/>
            <w:vAlign w:val="center"/>
          </w:tcPr>
          <w:p w14:paraId="4A2BBBF8">
            <w:pPr>
              <w:jc w:val="center"/>
              <w:rPr>
                <w:rFonts w:hint="eastAsia" w:ascii="宋体" w:hAnsi="宋体" w:eastAsia="宋体" w:cs="宋体"/>
                <w:color w:val="auto"/>
                <w:szCs w:val="21"/>
                <w:highlight w:val="none"/>
              </w:rPr>
            </w:pPr>
          </w:p>
        </w:tc>
      </w:tr>
      <w:tr w14:paraId="264D95BC">
        <w:trPr>
          <w:trHeight w:val="636" w:hRule="atLeast"/>
        </w:trPr>
        <w:tc>
          <w:tcPr>
            <w:tcW w:w="920" w:type="dxa"/>
            <w:vAlign w:val="center"/>
          </w:tcPr>
          <w:p w14:paraId="3D1B47C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958" w:type="dxa"/>
            <w:vAlign w:val="center"/>
          </w:tcPr>
          <w:p w14:paraId="2C10EF8E">
            <w:pPr>
              <w:jc w:val="center"/>
              <w:rPr>
                <w:rFonts w:hint="eastAsia" w:ascii="宋体" w:hAnsi="宋体" w:eastAsia="宋体" w:cs="宋体"/>
                <w:color w:val="auto"/>
                <w:szCs w:val="21"/>
                <w:highlight w:val="none"/>
              </w:rPr>
            </w:pPr>
          </w:p>
        </w:tc>
        <w:tc>
          <w:tcPr>
            <w:tcW w:w="1876" w:type="dxa"/>
            <w:vAlign w:val="center"/>
          </w:tcPr>
          <w:p w14:paraId="56CA8DF0">
            <w:pPr>
              <w:jc w:val="center"/>
              <w:rPr>
                <w:rFonts w:hint="eastAsia" w:ascii="宋体" w:hAnsi="宋体" w:eastAsia="宋体" w:cs="宋体"/>
                <w:color w:val="auto"/>
                <w:szCs w:val="21"/>
                <w:highlight w:val="none"/>
              </w:rPr>
            </w:pPr>
          </w:p>
        </w:tc>
        <w:tc>
          <w:tcPr>
            <w:tcW w:w="2804" w:type="dxa"/>
            <w:vAlign w:val="center"/>
          </w:tcPr>
          <w:p w14:paraId="668C9BB4">
            <w:pPr>
              <w:jc w:val="center"/>
              <w:rPr>
                <w:rFonts w:hint="eastAsia" w:ascii="宋体" w:hAnsi="宋体" w:eastAsia="宋体" w:cs="宋体"/>
                <w:color w:val="auto"/>
                <w:szCs w:val="21"/>
                <w:highlight w:val="none"/>
              </w:rPr>
            </w:pPr>
          </w:p>
        </w:tc>
        <w:tc>
          <w:tcPr>
            <w:tcW w:w="1651" w:type="dxa"/>
            <w:vAlign w:val="center"/>
          </w:tcPr>
          <w:p w14:paraId="08F3CAAB">
            <w:pPr>
              <w:jc w:val="center"/>
              <w:rPr>
                <w:rFonts w:hint="eastAsia" w:ascii="宋体" w:hAnsi="宋体" w:eastAsia="宋体" w:cs="宋体"/>
                <w:color w:val="auto"/>
                <w:szCs w:val="21"/>
                <w:highlight w:val="none"/>
              </w:rPr>
            </w:pPr>
          </w:p>
        </w:tc>
      </w:tr>
      <w:tr w14:paraId="595C1D09">
        <w:trPr>
          <w:trHeight w:val="636" w:hRule="atLeast"/>
        </w:trPr>
        <w:tc>
          <w:tcPr>
            <w:tcW w:w="920" w:type="dxa"/>
            <w:vAlign w:val="center"/>
          </w:tcPr>
          <w:p w14:paraId="678BB35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958" w:type="dxa"/>
            <w:vAlign w:val="center"/>
          </w:tcPr>
          <w:p w14:paraId="754C5683">
            <w:pPr>
              <w:jc w:val="center"/>
              <w:rPr>
                <w:rFonts w:hint="eastAsia" w:ascii="宋体" w:hAnsi="宋体" w:eastAsia="宋体" w:cs="宋体"/>
                <w:color w:val="auto"/>
                <w:szCs w:val="21"/>
                <w:highlight w:val="none"/>
              </w:rPr>
            </w:pPr>
          </w:p>
        </w:tc>
        <w:tc>
          <w:tcPr>
            <w:tcW w:w="1876" w:type="dxa"/>
            <w:vAlign w:val="center"/>
          </w:tcPr>
          <w:p w14:paraId="6719C7E6">
            <w:pPr>
              <w:jc w:val="center"/>
              <w:rPr>
                <w:rFonts w:hint="eastAsia" w:ascii="宋体" w:hAnsi="宋体" w:eastAsia="宋体" w:cs="宋体"/>
                <w:color w:val="auto"/>
                <w:szCs w:val="21"/>
                <w:highlight w:val="none"/>
              </w:rPr>
            </w:pPr>
          </w:p>
        </w:tc>
        <w:tc>
          <w:tcPr>
            <w:tcW w:w="2804" w:type="dxa"/>
            <w:vAlign w:val="center"/>
          </w:tcPr>
          <w:p w14:paraId="3B8228A9">
            <w:pPr>
              <w:jc w:val="center"/>
              <w:rPr>
                <w:rFonts w:hint="eastAsia" w:ascii="宋体" w:hAnsi="宋体" w:eastAsia="宋体" w:cs="宋体"/>
                <w:color w:val="auto"/>
                <w:szCs w:val="21"/>
                <w:highlight w:val="none"/>
              </w:rPr>
            </w:pPr>
          </w:p>
        </w:tc>
        <w:tc>
          <w:tcPr>
            <w:tcW w:w="1651" w:type="dxa"/>
            <w:vAlign w:val="center"/>
          </w:tcPr>
          <w:p w14:paraId="5F88976A">
            <w:pPr>
              <w:jc w:val="center"/>
              <w:rPr>
                <w:rFonts w:hint="eastAsia" w:ascii="宋体" w:hAnsi="宋体" w:eastAsia="宋体" w:cs="宋体"/>
                <w:color w:val="auto"/>
                <w:szCs w:val="21"/>
                <w:highlight w:val="none"/>
              </w:rPr>
            </w:pPr>
          </w:p>
        </w:tc>
      </w:tr>
      <w:tr w14:paraId="6828CB48">
        <w:trPr>
          <w:trHeight w:val="636" w:hRule="atLeast"/>
        </w:trPr>
        <w:tc>
          <w:tcPr>
            <w:tcW w:w="920" w:type="dxa"/>
            <w:vAlign w:val="center"/>
          </w:tcPr>
          <w:p w14:paraId="4316190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958" w:type="dxa"/>
            <w:vAlign w:val="center"/>
          </w:tcPr>
          <w:p w14:paraId="6ADBB9CF">
            <w:pPr>
              <w:jc w:val="center"/>
              <w:rPr>
                <w:rFonts w:hint="eastAsia" w:ascii="宋体" w:hAnsi="宋体" w:eastAsia="宋体" w:cs="宋体"/>
                <w:color w:val="auto"/>
                <w:szCs w:val="21"/>
                <w:highlight w:val="none"/>
              </w:rPr>
            </w:pPr>
          </w:p>
        </w:tc>
        <w:tc>
          <w:tcPr>
            <w:tcW w:w="1876" w:type="dxa"/>
            <w:vAlign w:val="center"/>
          </w:tcPr>
          <w:p w14:paraId="098198E2">
            <w:pPr>
              <w:jc w:val="center"/>
              <w:rPr>
                <w:rFonts w:hint="eastAsia" w:ascii="宋体" w:hAnsi="宋体" w:eastAsia="宋体" w:cs="宋体"/>
                <w:color w:val="auto"/>
                <w:szCs w:val="21"/>
                <w:highlight w:val="none"/>
              </w:rPr>
            </w:pPr>
          </w:p>
        </w:tc>
        <w:tc>
          <w:tcPr>
            <w:tcW w:w="2804" w:type="dxa"/>
            <w:vAlign w:val="center"/>
          </w:tcPr>
          <w:p w14:paraId="2EFAADCC">
            <w:pPr>
              <w:jc w:val="center"/>
              <w:rPr>
                <w:rFonts w:hint="eastAsia" w:ascii="宋体" w:hAnsi="宋体" w:eastAsia="宋体" w:cs="宋体"/>
                <w:color w:val="auto"/>
                <w:szCs w:val="21"/>
                <w:highlight w:val="none"/>
              </w:rPr>
            </w:pPr>
          </w:p>
        </w:tc>
        <w:tc>
          <w:tcPr>
            <w:tcW w:w="1651" w:type="dxa"/>
            <w:vAlign w:val="center"/>
          </w:tcPr>
          <w:p w14:paraId="6284AC7E">
            <w:pPr>
              <w:jc w:val="center"/>
              <w:rPr>
                <w:rFonts w:hint="eastAsia" w:ascii="宋体" w:hAnsi="宋体" w:eastAsia="宋体" w:cs="宋体"/>
                <w:color w:val="auto"/>
                <w:szCs w:val="21"/>
                <w:highlight w:val="none"/>
              </w:rPr>
            </w:pPr>
          </w:p>
        </w:tc>
      </w:tr>
      <w:tr w14:paraId="6C6A91A0">
        <w:trPr>
          <w:trHeight w:val="636" w:hRule="atLeast"/>
        </w:trPr>
        <w:tc>
          <w:tcPr>
            <w:tcW w:w="920" w:type="dxa"/>
            <w:vAlign w:val="center"/>
          </w:tcPr>
          <w:p w14:paraId="50E4116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958" w:type="dxa"/>
            <w:vAlign w:val="center"/>
          </w:tcPr>
          <w:p w14:paraId="7504527A">
            <w:pPr>
              <w:jc w:val="center"/>
              <w:rPr>
                <w:rFonts w:hint="eastAsia" w:ascii="宋体" w:hAnsi="宋体" w:eastAsia="宋体" w:cs="宋体"/>
                <w:color w:val="auto"/>
                <w:szCs w:val="21"/>
                <w:highlight w:val="none"/>
              </w:rPr>
            </w:pPr>
          </w:p>
        </w:tc>
        <w:tc>
          <w:tcPr>
            <w:tcW w:w="1876" w:type="dxa"/>
            <w:vAlign w:val="center"/>
          </w:tcPr>
          <w:p w14:paraId="09C6F253">
            <w:pPr>
              <w:jc w:val="center"/>
              <w:rPr>
                <w:rFonts w:hint="eastAsia" w:ascii="宋体" w:hAnsi="宋体" w:eastAsia="宋体" w:cs="宋体"/>
                <w:color w:val="auto"/>
                <w:szCs w:val="21"/>
                <w:highlight w:val="none"/>
              </w:rPr>
            </w:pPr>
          </w:p>
        </w:tc>
        <w:tc>
          <w:tcPr>
            <w:tcW w:w="2804" w:type="dxa"/>
            <w:vAlign w:val="center"/>
          </w:tcPr>
          <w:p w14:paraId="797BBBC0">
            <w:pPr>
              <w:jc w:val="center"/>
              <w:rPr>
                <w:rFonts w:hint="eastAsia" w:ascii="宋体" w:hAnsi="宋体" w:eastAsia="宋体" w:cs="宋体"/>
                <w:color w:val="auto"/>
                <w:szCs w:val="21"/>
                <w:highlight w:val="none"/>
              </w:rPr>
            </w:pPr>
          </w:p>
        </w:tc>
        <w:tc>
          <w:tcPr>
            <w:tcW w:w="1651" w:type="dxa"/>
            <w:vAlign w:val="center"/>
          </w:tcPr>
          <w:p w14:paraId="0FFA34BD">
            <w:pPr>
              <w:jc w:val="center"/>
              <w:rPr>
                <w:rFonts w:hint="eastAsia" w:ascii="宋体" w:hAnsi="宋体" w:eastAsia="宋体" w:cs="宋体"/>
                <w:color w:val="auto"/>
                <w:szCs w:val="21"/>
                <w:highlight w:val="none"/>
              </w:rPr>
            </w:pPr>
          </w:p>
        </w:tc>
      </w:tr>
      <w:tr w14:paraId="706DF12D">
        <w:trPr>
          <w:trHeight w:val="710" w:hRule="atLeast"/>
        </w:trPr>
        <w:tc>
          <w:tcPr>
            <w:tcW w:w="920" w:type="dxa"/>
            <w:vAlign w:val="center"/>
          </w:tcPr>
          <w:p w14:paraId="7DE0A92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958" w:type="dxa"/>
            <w:vAlign w:val="center"/>
          </w:tcPr>
          <w:p w14:paraId="3D150D9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876" w:type="dxa"/>
            <w:vAlign w:val="center"/>
          </w:tcPr>
          <w:p w14:paraId="12B5E797">
            <w:pPr>
              <w:jc w:val="center"/>
              <w:rPr>
                <w:rFonts w:hint="eastAsia" w:ascii="宋体" w:hAnsi="宋体" w:eastAsia="宋体" w:cs="宋体"/>
                <w:color w:val="auto"/>
                <w:szCs w:val="21"/>
                <w:highlight w:val="none"/>
              </w:rPr>
            </w:pPr>
          </w:p>
        </w:tc>
        <w:tc>
          <w:tcPr>
            <w:tcW w:w="2804" w:type="dxa"/>
            <w:vAlign w:val="center"/>
          </w:tcPr>
          <w:p w14:paraId="22E2BE95">
            <w:pPr>
              <w:jc w:val="center"/>
              <w:rPr>
                <w:rFonts w:hint="eastAsia" w:ascii="宋体" w:hAnsi="宋体" w:eastAsia="宋体" w:cs="宋体"/>
                <w:color w:val="auto"/>
                <w:szCs w:val="21"/>
                <w:highlight w:val="none"/>
              </w:rPr>
            </w:pPr>
          </w:p>
        </w:tc>
        <w:tc>
          <w:tcPr>
            <w:tcW w:w="1651" w:type="dxa"/>
            <w:vAlign w:val="center"/>
          </w:tcPr>
          <w:p w14:paraId="6174F2E8">
            <w:pPr>
              <w:jc w:val="center"/>
              <w:rPr>
                <w:rFonts w:hint="eastAsia" w:ascii="宋体" w:hAnsi="宋体" w:eastAsia="宋体" w:cs="宋体"/>
                <w:color w:val="auto"/>
                <w:szCs w:val="21"/>
                <w:highlight w:val="none"/>
              </w:rPr>
            </w:pPr>
          </w:p>
        </w:tc>
      </w:tr>
    </w:tbl>
    <w:p w14:paraId="6D16A53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注：1、供应商须按上述格式要求提供</w:t>
      </w:r>
      <w:r>
        <w:rPr>
          <w:rFonts w:hint="eastAsia" w:ascii="宋体" w:hAnsi="宋体" w:eastAsia="宋体" w:cs="宋体"/>
          <w:color w:val="auto"/>
          <w:highlight w:val="none"/>
        </w:rPr>
        <w:t>环境标志产品</w:t>
      </w:r>
      <w:r>
        <w:rPr>
          <w:rFonts w:hint="eastAsia" w:ascii="宋体" w:hAnsi="宋体" w:eastAsia="宋体" w:cs="宋体"/>
          <w:color w:val="auto"/>
          <w:szCs w:val="21"/>
          <w:highlight w:val="none"/>
        </w:rPr>
        <w:t>的规格型号、品牌、厂家等信息，在是否属于环境标志产品列结合实际应标情况填写“是”或“否”。</w:t>
      </w:r>
    </w:p>
    <w:p w14:paraId="3D67F0F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供应商所投产品为经国家认定的节能产品或环境标志产品的，根据财政部、发展改革委、生态环境部、市场监管总局“关于调整优化节能产品、环境标志产品政府采购执行机制的通知财库〔2019〕9号”及“关于印发节能产品政府采购品目清单的通知”财库〔2019〕19号及“关于印发环境标志产品政府采购品目清单的通知”财库〔2019〕18号}的通知，供应商所投产品认定为环境标志产品，供应商提供环保产品认证证书</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（认证机构须为中环联合（北京）认证中心有限公司、中标合信（北京）认证有限公司、中环协（北京）认证中心或天津华诚认证有限公司之一）或环保产品认证证书</w:t>
      </w:r>
      <w:r>
        <w:rPr>
          <w:rFonts w:hint="eastAsia" w:ascii="宋体" w:hAnsi="宋体" w:eastAsia="宋体" w:cs="宋体"/>
          <w:color w:val="auto"/>
          <w:szCs w:val="21"/>
          <w:highlight w:val="none"/>
          <w:lang w:eastAsia="zh-CN"/>
        </w:rPr>
        <w:t>扫描件</w:t>
      </w:r>
      <w:r>
        <w:rPr>
          <w:rFonts w:hint="eastAsia" w:ascii="宋体" w:hAnsi="宋体" w:eastAsia="宋体" w:cs="宋体"/>
          <w:bCs/>
          <w:color w:val="auto"/>
          <w:szCs w:val="21"/>
          <w:highlight w:val="none"/>
        </w:rPr>
        <w:t>或中国政府采购网查询结果截图或国家市场监督管理总局全国认证认可信息公共服务平台打印的证书资料</w:t>
      </w:r>
      <w:r>
        <w:rPr>
          <w:rFonts w:hint="eastAsia" w:ascii="宋体" w:hAnsi="宋体" w:eastAsia="宋体" w:cs="宋体"/>
          <w:bCs/>
          <w:color w:val="auto"/>
          <w:szCs w:val="21"/>
          <w:highlight w:val="none"/>
          <w:lang w:eastAsia="zh-CN"/>
        </w:rPr>
        <w:t>扫描件</w:t>
      </w:r>
      <w:r>
        <w:rPr>
          <w:rFonts w:hint="eastAsia" w:ascii="宋体" w:hAnsi="宋体" w:eastAsia="宋体" w:cs="宋体"/>
          <w:color w:val="auto"/>
          <w:highlight w:val="none"/>
        </w:rPr>
        <w:t>。</w:t>
      </w:r>
    </w:p>
    <w:p w14:paraId="4E487FCC">
      <w:pPr>
        <w:rPr>
          <w:rFonts w:hint="eastAsia" w:ascii="宋体" w:hAnsi="宋体" w:eastAsia="宋体" w:cs="宋体"/>
          <w:b/>
          <w:color w:val="auto"/>
          <w:szCs w:val="21"/>
          <w:highlight w:val="none"/>
        </w:rPr>
      </w:pPr>
    </w:p>
    <w:p w14:paraId="13B2EF75">
      <w:pPr>
        <w:pStyle w:val="4"/>
        <w:rPr>
          <w:rFonts w:hint="eastAsia" w:ascii="宋体" w:hAnsi="宋体" w:eastAsia="宋体" w:cs="宋体"/>
          <w:color w:val="auto"/>
          <w:highlight w:val="none"/>
        </w:rPr>
      </w:pPr>
      <w:bookmarkStart w:id="1017" w:name="_Toc502909076"/>
      <w:bookmarkStart w:id="1018" w:name="_Toc34335356"/>
      <w:bookmarkStart w:id="1019" w:name="_Toc482092711"/>
      <w:r>
        <w:rPr>
          <w:rFonts w:hint="eastAsia" w:ascii="宋体" w:hAnsi="宋体" w:eastAsia="宋体" w:cs="宋体"/>
          <w:color w:val="auto"/>
          <w:highlight w:val="none"/>
        </w:rPr>
        <w:br w:type="page"/>
      </w:r>
      <w:bookmarkStart w:id="1020" w:name="_Toc1716555362"/>
      <w:bookmarkStart w:id="1021" w:name="_Toc80867978"/>
      <w:r>
        <w:rPr>
          <w:rFonts w:hint="eastAsia" w:ascii="宋体" w:hAnsi="宋体" w:eastAsia="宋体" w:cs="宋体"/>
          <w:color w:val="auto"/>
          <w:highlight w:val="none"/>
        </w:rPr>
        <w:t>其它技术资料</w:t>
      </w:r>
      <w:bookmarkEnd w:id="1017"/>
      <w:bookmarkEnd w:id="1018"/>
      <w:bookmarkEnd w:id="1019"/>
      <w:bookmarkEnd w:id="1020"/>
      <w:bookmarkEnd w:id="1021"/>
    </w:p>
    <w:p w14:paraId="300C4EC4">
      <w:pPr>
        <w:pStyle w:val="23"/>
        <w:rPr>
          <w:rFonts w:hint="eastAsia" w:ascii="宋体" w:hAnsi="宋体" w:eastAsia="宋体" w:cs="宋体"/>
          <w:color w:val="auto"/>
          <w:highlight w:val="none"/>
        </w:rPr>
      </w:pPr>
    </w:p>
    <w:p w14:paraId="4105B075">
      <w:pPr>
        <w:pStyle w:val="23"/>
        <w:spacing w:line="360" w:lineRule="auto"/>
        <w:rPr>
          <w:rFonts w:hint="eastAsia" w:ascii="宋体" w:hAnsi="宋体" w:eastAsia="宋体" w:cs="宋体"/>
          <w:color w:val="auto"/>
          <w:highlight w:val="none"/>
        </w:rPr>
      </w:pPr>
      <w:bookmarkStart w:id="1022" w:name="_Hlk478978464"/>
      <w:r>
        <w:rPr>
          <w:rFonts w:hint="eastAsia" w:ascii="宋体" w:hAnsi="宋体" w:eastAsia="宋体" w:cs="宋体"/>
          <w:color w:val="auto"/>
          <w:highlight w:val="none"/>
        </w:rPr>
        <w:t>磋商文件要求及供应商认为有必要提供的其它技术资料。</w:t>
      </w:r>
      <w:bookmarkEnd w:id="1022"/>
    </w:p>
    <w:bookmarkEnd w:id="934"/>
    <w:bookmarkEnd w:id="935"/>
    <w:bookmarkEnd w:id="936"/>
    <w:bookmarkEnd w:id="937"/>
    <w:p w14:paraId="44052FDE">
      <w:pPr>
        <w:pStyle w:val="4"/>
        <w:bidi w:val="0"/>
        <w:rPr>
          <w:rFonts w:hint="eastAsia" w:ascii="宋体" w:hAnsi="宋体" w:eastAsia="宋体" w:cs="宋体"/>
          <w:color w:val="auto"/>
          <w:highlight w:val="none"/>
          <w:lang w:eastAsia="zh-CN"/>
        </w:rPr>
      </w:pPr>
      <w:r>
        <w:rPr>
          <w:rFonts w:hint="eastAsia" w:ascii="宋体" w:hAnsi="宋体" w:eastAsia="宋体" w:cs="宋体"/>
          <w:color w:val="auto"/>
          <w:highlight w:val="none"/>
        </w:rPr>
        <w:br w:type="page"/>
      </w:r>
      <w:bookmarkStart w:id="1023" w:name="_Toc850655336"/>
      <w:r>
        <w:rPr>
          <w:rFonts w:hint="eastAsia" w:ascii="宋体" w:hAnsi="宋体" w:eastAsia="宋体" w:cs="宋体"/>
          <w:color w:val="auto"/>
          <w:highlight w:val="none"/>
          <w:lang w:eastAsia="zh-CN"/>
        </w:rPr>
        <w:t>竞争性磋商最终报价表及承诺书</w:t>
      </w:r>
      <w:bookmarkEnd w:id="1023"/>
    </w:p>
    <w:tbl>
      <w:tblPr>
        <w:tblStyle w:val="47"/>
        <w:tblW w:w="9320" w:type="dxa"/>
        <w:tblInd w:w="116"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71"/>
        <w:gridCol w:w="7749"/>
      </w:tblGrid>
      <w:tr w14:paraId="36CB7AAC">
        <w:trPr>
          <w:trHeight w:val="523" w:hRule="exact"/>
        </w:trPr>
        <w:tc>
          <w:tcPr>
            <w:tcW w:w="9320" w:type="dxa"/>
            <w:gridSpan w:val="2"/>
            <w:vAlign w:val="center"/>
          </w:tcPr>
          <w:p w14:paraId="4D212345">
            <w:pPr>
              <w:spacing w:line="400" w:lineRule="exact"/>
              <w:rPr>
                <w:rFonts w:hint="eastAsia" w:ascii="宋体" w:hAnsi="宋体" w:eastAsia="宋体" w:cs="宋体"/>
                <w:b/>
                <w:bCs/>
                <w:color w:val="auto"/>
                <w:szCs w:val="21"/>
                <w:highlight w:val="none"/>
                <w:lang w:eastAsia="zh-CN"/>
              </w:rPr>
            </w:pPr>
            <w:r>
              <w:rPr>
                <w:rFonts w:hint="eastAsia" w:ascii="宋体" w:hAnsi="宋体" w:eastAsia="宋体" w:cs="宋体"/>
                <w:bCs/>
                <w:color w:val="auto"/>
                <w:szCs w:val="21"/>
                <w:highlight w:val="none"/>
              </w:rPr>
              <w:t>项目名称：</w:t>
            </w:r>
            <w:r>
              <w:rPr>
                <w:rFonts w:hint="eastAsia" w:ascii="宋体" w:hAnsi="宋体" w:eastAsia="宋体" w:cs="宋体"/>
                <w:b/>
                <w:bCs/>
                <w:color w:val="auto"/>
                <w:szCs w:val="21"/>
                <w:highlight w:val="none"/>
                <w:lang w:eastAsia="zh-CN"/>
              </w:rPr>
              <w:t>弥勒市疾病预防控制中心鼠疫实验室改造项目（二次）</w:t>
            </w:r>
          </w:p>
        </w:tc>
      </w:tr>
      <w:tr w14:paraId="6C01BD86">
        <w:trPr>
          <w:trHeight w:val="462" w:hRule="exact"/>
        </w:trPr>
        <w:tc>
          <w:tcPr>
            <w:tcW w:w="9320" w:type="dxa"/>
            <w:gridSpan w:val="2"/>
            <w:vAlign w:val="center"/>
          </w:tcPr>
          <w:p w14:paraId="5A715586">
            <w:pPr>
              <w:spacing w:line="400" w:lineRule="exact"/>
              <w:rPr>
                <w:rFonts w:hint="eastAsia" w:ascii="宋体" w:hAnsi="宋体" w:eastAsia="宋体" w:cs="宋体"/>
                <w:b/>
                <w:color w:val="auto"/>
                <w:szCs w:val="21"/>
                <w:highlight w:val="none"/>
                <w:lang w:eastAsia="zh-CN"/>
              </w:rPr>
            </w:pPr>
            <w:r>
              <w:rPr>
                <w:rFonts w:hint="eastAsia" w:ascii="宋体" w:hAnsi="宋体" w:eastAsia="宋体" w:cs="宋体"/>
                <w:bCs/>
                <w:color w:val="auto"/>
                <w:szCs w:val="21"/>
                <w:highlight w:val="none"/>
              </w:rPr>
              <w:t>项目编号：</w:t>
            </w:r>
            <w:r>
              <w:rPr>
                <w:rFonts w:hint="eastAsia" w:ascii="宋体" w:hAnsi="宋体" w:eastAsia="宋体" w:cs="宋体"/>
                <w:b/>
                <w:color w:val="auto"/>
                <w:szCs w:val="21"/>
                <w:highlight w:val="none"/>
                <w:lang w:eastAsia="zh-CN"/>
              </w:rPr>
              <w:t>HHZC2025-C2-02715-XXGC-0006</w:t>
            </w:r>
          </w:p>
        </w:tc>
      </w:tr>
      <w:tr w14:paraId="348B7A0D">
        <w:trPr>
          <w:trHeight w:val="4041" w:hRule="atLeast"/>
        </w:trPr>
        <w:tc>
          <w:tcPr>
            <w:tcW w:w="9320" w:type="dxa"/>
            <w:gridSpan w:val="2"/>
          </w:tcPr>
          <w:p w14:paraId="6DE3B973">
            <w:pPr>
              <w:tabs>
                <w:tab w:val="left" w:pos="720"/>
                <w:tab w:val="left" w:pos="8295"/>
              </w:tabs>
              <w:autoSpaceDE w:val="0"/>
              <w:autoSpaceDN w:val="0"/>
              <w:adjustRightInd w:val="0"/>
              <w:spacing w:line="360" w:lineRule="auto"/>
              <w:ind w:right="338" w:rightChars="16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承诺内容：</w:t>
            </w:r>
          </w:p>
        </w:tc>
      </w:tr>
      <w:tr w14:paraId="48894481">
        <w:trPr>
          <w:trHeight w:val="1487" w:hRule="exact"/>
        </w:trPr>
        <w:tc>
          <w:tcPr>
            <w:tcW w:w="1571" w:type="dxa"/>
            <w:vAlign w:val="center"/>
          </w:tcPr>
          <w:p w14:paraId="0C106B79">
            <w:pPr>
              <w:wordWrap w:val="0"/>
              <w:spacing w:before="240" w:beforeLines="100" w:after="50" w:line="360" w:lineRule="auto"/>
              <w:jc w:val="center"/>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lang w:val="en-US" w:eastAsia="zh-CN"/>
              </w:rPr>
              <w:t>最终报价</w:t>
            </w:r>
          </w:p>
        </w:tc>
        <w:tc>
          <w:tcPr>
            <w:tcW w:w="7749" w:type="dxa"/>
            <w:vAlign w:val="center"/>
          </w:tcPr>
          <w:p w14:paraId="3B0057CC">
            <w:pPr>
              <w:wordWrap w:val="0"/>
              <w:spacing w:before="240" w:beforeLines="100" w:after="50" w:line="360" w:lineRule="auto"/>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小写：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元； </w:t>
            </w:r>
          </w:p>
          <w:p w14:paraId="72AB494A">
            <w:pPr>
              <w:wordWrap w:val="0"/>
              <w:spacing w:before="240" w:beforeLines="100" w:after="50" w:line="360" w:lineRule="auto"/>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大写：</w:t>
            </w:r>
            <w:r>
              <w:rPr>
                <w:rFonts w:hint="eastAsia" w:ascii="宋体" w:hAnsi="宋体" w:eastAsia="宋体" w:cs="宋体"/>
                <w:color w:val="auto"/>
                <w:sz w:val="21"/>
                <w:szCs w:val="21"/>
                <w:highlight w:val="none"/>
                <w:u w:val="single"/>
                <w:lang w:val="en-US" w:eastAsia="zh-CN"/>
              </w:rPr>
              <w:t xml:space="preserve">                                </w:t>
            </w:r>
          </w:p>
          <w:p w14:paraId="05CD3DD7">
            <w:pPr>
              <w:wordWrap w:val="0"/>
              <w:spacing w:before="240" w:beforeLines="100" w:after="50" w:line="360" w:lineRule="auto"/>
              <w:jc w:val="left"/>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val="en-US" w:eastAsia="zh-CN"/>
              </w:rPr>
              <w:t>大写：</w:t>
            </w:r>
            <w:r>
              <w:rPr>
                <w:rFonts w:hint="eastAsia" w:ascii="宋体" w:hAnsi="宋体" w:eastAsia="宋体" w:cs="宋体"/>
                <w:color w:val="auto"/>
                <w:sz w:val="21"/>
                <w:szCs w:val="21"/>
                <w:highlight w:val="none"/>
                <w:u w:val="single"/>
                <w:lang w:val="en-US" w:eastAsia="zh-CN"/>
              </w:rPr>
              <w:t xml:space="preserve">                                </w:t>
            </w:r>
          </w:p>
        </w:tc>
      </w:tr>
      <w:tr w14:paraId="3211AF06">
        <w:trPr>
          <w:trHeight w:val="991" w:hRule="exact"/>
        </w:trPr>
        <w:tc>
          <w:tcPr>
            <w:tcW w:w="1571" w:type="dxa"/>
            <w:vAlign w:val="center"/>
          </w:tcPr>
          <w:p w14:paraId="314F5B42">
            <w:pPr>
              <w:jc w:val="center"/>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备注</w:t>
            </w:r>
          </w:p>
        </w:tc>
        <w:tc>
          <w:tcPr>
            <w:tcW w:w="7749" w:type="dxa"/>
            <w:vAlign w:val="bottom"/>
          </w:tcPr>
          <w:p w14:paraId="615C2B8C">
            <w:pPr>
              <w:pStyle w:val="46"/>
              <w:ind w:left="0" w:leftChars="0" w:firstLine="0" w:firstLineChars="0"/>
              <w:rPr>
                <w:rFonts w:hint="eastAsia" w:ascii="宋体" w:hAnsi="宋体" w:eastAsia="宋体" w:cs="宋体"/>
                <w:color w:val="auto"/>
                <w:sz w:val="21"/>
                <w:szCs w:val="21"/>
                <w:highlight w:val="none"/>
              </w:rPr>
            </w:pPr>
          </w:p>
        </w:tc>
      </w:tr>
      <w:tr w14:paraId="28A79123">
        <w:trPr>
          <w:trHeight w:val="1939" w:hRule="exact"/>
        </w:trPr>
        <w:tc>
          <w:tcPr>
            <w:tcW w:w="9320" w:type="dxa"/>
            <w:gridSpan w:val="2"/>
            <w:vAlign w:val="bottom"/>
          </w:tcPr>
          <w:p w14:paraId="2146CD4C">
            <w:pPr>
              <w:pStyle w:val="23"/>
              <w:spacing w:before="240" w:beforeLines="100" w:line="276" w:lineRule="auto"/>
              <w:jc w:val="both"/>
              <w:rPr>
                <w:rFonts w:hint="eastAsia" w:ascii="宋体" w:hAnsi="宋体" w:eastAsia="宋体" w:cs="宋体"/>
                <w:b/>
                <w:color w:val="auto"/>
                <w:highlight w:val="none"/>
                <w:u w:val="singl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加盖供应商公章</w:t>
            </w:r>
            <w:r>
              <w:rPr>
                <w:rFonts w:hint="eastAsia" w:ascii="宋体" w:hAnsi="宋体" w:eastAsia="宋体" w:cs="宋体"/>
                <w:b/>
                <w:color w:val="auto"/>
                <w:highlight w:val="none"/>
              </w:rPr>
              <w:t>）：</w:t>
            </w:r>
          </w:p>
          <w:p w14:paraId="43D84B5E">
            <w:pPr>
              <w:pStyle w:val="23"/>
              <w:spacing w:before="240" w:beforeLines="100" w:line="276" w:lineRule="auto"/>
              <w:jc w:val="both"/>
              <w:rPr>
                <w:rFonts w:hint="eastAsia" w:ascii="宋体" w:hAnsi="宋体" w:eastAsia="宋体" w:cs="宋体"/>
                <w:b/>
                <w:color w:val="auto"/>
                <w:highlight w:val="none"/>
              </w:rPr>
            </w:pPr>
            <w:r>
              <w:rPr>
                <w:rFonts w:hint="eastAsia" w:ascii="宋体" w:hAnsi="宋体" w:eastAsia="宋体" w:cs="宋体"/>
                <w:b/>
                <w:color w:val="auto"/>
                <w:highlight w:val="none"/>
                <w:lang w:eastAsia="zh-CN"/>
              </w:rPr>
              <w:t>法定代表人或其委托代理人（签名或签章）</w:t>
            </w:r>
            <w:r>
              <w:rPr>
                <w:rFonts w:hint="eastAsia" w:ascii="宋体" w:hAnsi="宋体" w:eastAsia="宋体" w:cs="宋体"/>
                <w:b/>
                <w:color w:val="auto"/>
                <w:highlight w:val="none"/>
              </w:rPr>
              <w:t>：</w:t>
            </w:r>
          </w:p>
          <w:p w14:paraId="4528256E">
            <w:pPr>
              <w:spacing w:before="240" w:beforeLines="100" w:line="276"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日 期：</w:t>
            </w:r>
          </w:p>
        </w:tc>
      </w:tr>
    </w:tbl>
    <w:p w14:paraId="38497A27">
      <w:pPr>
        <w:rPr>
          <w:rFonts w:hint="eastAsia" w:ascii="宋体" w:hAnsi="宋体" w:eastAsia="宋体" w:cs="宋体"/>
          <w:b/>
          <w:iCs/>
          <w:color w:val="auto"/>
          <w:szCs w:val="21"/>
          <w:highlight w:val="none"/>
          <w:lang w:eastAsia="zh-CN"/>
        </w:rPr>
      </w:pPr>
      <w:r>
        <w:rPr>
          <w:rFonts w:hint="eastAsia" w:ascii="宋体" w:hAnsi="宋体" w:eastAsia="宋体" w:cs="宋体"/>
          <w:b/>
          <w:iCs/>
          <w:color w:val="auto"/>
          <w:szCs w:val="21"/>
          <w:highlight w:val="none"/>
        </w:rPr>
        <w:t>注：</w:t>
      </w:r>
      <w:r>
        <w:rPr>
          <w:rFonts w:hint="eastAsia" w:ascii="宋体" w:hAnsi="宋体" w:eastAsia="宋体" w:cs="宋体"/>
          <w:b/>
          <w:iCs/>
          <w:color w:val="auto"/>
          <w:szCs w:val="21"/>
          <w:highlight w:val="none"/>
          <w:lang w:val="en-US" w:eastAsia="zh-CN"/>
        </w:rPr>
        <w:t>1.</w:t>
      </w:r>
      <w:r>
        <w:rPr>
          <w:rFonts w:hint="eastAsia" w:ascii="宋体" w:hAnsi="宋体" w:eastAsia="宋体" w:cs="宋体"/>
          <w:b/>
          <w:iCs/>
          <w:color w:val="auto"/>
          <w:szCs w:val="21"/>
          <w:highlight w:val="none"/>
        </w:rPr>
        <w:t>此表不需</w:t>
      </w:r>
      <w:r>
        <w:rPr>
          <w:rFonts w:hint="eastAsia" w:ascii="宋体" w:hAnsi="宋体" w:eastAsia="宋体" w:cs="宋体"/>
          <w:b/>
          <w:iCs/>
          <w:color w:val="auto"/>
          <w:szCs w:val="21"/>
          <w:highlight w:val="none"/>
          <w:lang w:val="en-US" w:eastAsia="zh-CN"/>
        </w:rPr>
        <w:t>放</w:t>
      </w:r>
      <w:r>
        <w:rPr>
          <w:rFonts w:hint="eastAsia" w:ascii="宋体" w:hAnsi="宋体" w:eastAsia="宋体" w:cs="宋体"/>
          <w:b/>
          <w:iCs/>
          <w:color w:val="auto"/>
          <w:szCs w:val="21"/>
          <w:highlight w:val="none"/>
        </w:rPr>
        <w:t>入响应文件中</w:t>
      </w:r>
      <w:r>
        <w:rPr>
          <w:rFonts w:hint="eastAsia" w:ascii="宋体" w:hAnsi="宋体" w:eastAsia="宋体" w:cs="宋体"/>
          <w:b/>
          <w:iCs/>
          <w:color w:val="auto"/>
          <w:szCs w:val="21"/>
          <w:highlight w:val="none"/>
          <w:lang w:eastAsia="zh-CN"/>
        </w:rPr>
        <w:t>，</w:t>
      </w:r>
      <w:r>
        <w:rPr>
          <w:rFonts w:hint="eastAsia" w:ascii="宋体" w:hAnsi="宋体" w:eastAsia="宋体" w:cs="宋体"/>
          <w:b/>
          <w:iCs/>
          <w:color w:val="auto"/>
          <w:szCs w:val="21"/>
          <w:highlight w:val="none"/>
          <w:lang w:val="en-US" w:eastAsia="zh-CN"/>
        </w:rPr>
        <w:t>在最终报价时上传附件使用（如要求）</w:t>
      </w:r>
      <w:r>
        <w:rPr>
          <w:rFonts w:hint="eastAsia" w:ascii="宋体" w:hAnsi="宋体" w:eastAsia="宋体" w:cs="宋体"/>
          <w:b/>
          <w:iCs/>
          <w:color w:val="auto"/>
          <w:szCs w:val="21"/>
          <w:highlight w:val="none"/>
          <w:lang w:eastAsia="zh-CN"/>
        </w:rPr>
        <w:t>。</w:t>
      </w:r>
    </w:p>
    <w:p w14:paraId="664526D0">
      <w:pPr>
        <w:numPr>
          <w:ilvl w:val="0"/>
          <w:numId w:val="0"/>
        </w:numPr>
        <w:ind w:firstLine="420" w:firstLineChars="200"/>
        <w:rPr>
          <w:rFonts w:hint="eastAsia" w:ascii="宋体" w:hAnsi="宋体" w:eastAsia="宋体" w:cs="宋体"/>
          <w:b/>
          <w:iCs/>
          <w:color w:val="auto"/>
          <w:szCs w:val="21"/>
          <w:highlight w:val="none"/>
          <w:lang w:eastAsia="zh-CN"/>
        </w:rPr>
      </w:pPr>
      <w:r>
        <w:rPr>
          <w:rFonts w:hint="eastAsia" w:ascii="宋体" w:hAnsi="宋体" w:eastAsia="宋体" w:cs="宋体"/>
          <w:b/>
          <w:iCs/>
          <w:color w:val="auto"/>
          <w:szCs w:val="21"/>
          <w:highlight w:val="none"/>
          <w:lang w:val="en-US" w:eastAsia="zh-CN"/>
        </w:rPr>
        <w:t>2.</w:t>
      </w:r>
      <w:r>
        <w:rPr>
          <w:rFonts w:hint="eastAsia" w:ascii="宋体" w:hAnsi="宋体" w:eastAsia="宋体" w:cs="宋体"/>
          <w:b/>
          <w:iCs/>
          <w:color w:val="auto"/>
          <w:szCs w:val="21"/>
          <w:highlight w:val="none"/>
        </w:rPr>
        <w:t>按竞争性磋商</w:t>
      </w:r>
      <w:r>
        <w:rPr>
          <w:rFonts w:hint="eastAsia" w:ascii="宋体" w:hAnsi="宋体" w:eastAsia="宋体" w:cs="宋体"/>
          <w:b/>
          <w:iCs/>
          <w:color w:val="auto"/>
          <w:szCs w:val="21"/>
          <w:highlight w:val="none"/>
          <w:lang w:val="en-US" w:eastAsia="zh-CN"/>
        </w:rPr>
        <w:t>文件</w:t>
      </w:r>
      <w:r>
        <w:rPr>
          <w:rFonts w:hint="eastAsia" w:ascii="宋体" w:hAnsi="宋体" w:eastAsia="宋体" w:cs="宋体"/>
          <w:b/>
          <w:iCs/>
          <w:color w:val="auto"/>
          <w:szCs w:val="21"/>
          <w:highlight w:val="none"/>
        </w:rPr>
        <w:t>要求进行</w:t>
      </w:r>
      <w:r>
        <w:rPr>
          <w:rFonts w:hint="eastAsia" w:ascii="宋体" w:hAnsi="宋体" w:eastAsia="宋体" w:cs="宋体"/>
          <w:b/>
          <w:iCs/>
          <w:color w:val="auto"/>
          <w:szCs w:val="21"/>
          <w:highlight w:val="none"/>
          <w:lang w:val="en-US" w:eastAsia="zh-CN"/>
        </w:rPr>
        <w:t>二次</w:t>
      </w:r>
      <w:r>
        <w:rPr>
          <w:rFonts w:hint="eastAsia" w:ascii="宋体" w:hAnsi="宋体" w:eastAsia="宋体" w:cs="宋体"/>
          <w:b/>
          <w:iCs/>
          <w:color w:val="auto"/>
          <w:szCs w:val="21"/>
          <w:highlight w:val="none"/>
        </w:rPr>
        <w:t>报价，磋商时以二轮</w:t>
      </w:r>
      <w:r>
        <w:rPr>
          <w:rFonts w:hint="eastAsia" w:ascii="宋体" w:hAnsi="宋体" w:eastAsia="宋体" w:cs="宋体"/>
          <w:b/>
          <w:iCs/>
          <w:color w:val="auto"/>
          <w:szCs w:val="21"/>
          <w:highlight w:val="none"/>
          <w:lang w:val="en-US" w:eastAsia="zh-CN"/>
        </w:rPr>
        <w:t>次</w:t>
      </w:r>
      <w:r>
        <w:rPr>
          <w:rFonts w:hint="eastAsia" w:ascii="宋体" w:hAnsi="宋体" w:eastAsia="宋体" w:cs="宋体"/>
          <w:b/>
          <w:iCs/>
          <w:color w:val="auto"/>
          <w:szCs w:val="21"/>
          <w:highlight w:val="none"/>
        </w:rPr>
        <w:t>承诺的报价为最终报价</w:t>
      </w:r>
      <w:r>
        <w:rPr>
          <w:rFonts w:hint="eastAsia" w:ascii="宋体" w:hAnsi="宋体" w:eastAsia="宋体" w:cs="宋体"/>
          <w:b/>
          <w:iCs/>
          <w:color w:val="auto"/>
          <w:szCs w:val="21"/>
          <w:highlight w:val="none"/>
          <w:lang w:eastAsia="zh-CN"/>
        </w:rPr>
        <w:t>。</w:t>
      </w:r>
    </w:p>
    <w:p w14:paraId="26DF5AAF">
      <w:pPr>
        <w:numPr>
          <w:ilvl w:val="0"/>
          <w:numId w:val="0"/>
        </w:numPr>
        <w:ind w:firstLine="420" w:firstLineChars="200"/>
        <w:rPr>
          <w:rFonts w:hint="eastAsia" w:ascii="宋体" w:hAnsi="宋体" w:eastAsia="宋体" w:cs="宋体"/>
          <w:b/>
          <w:iCs/>
          <w:color w:val="auto"/>
          <w:szCs w:val="21"/>
          <w:highlight w:val="none"/>
          <w:lang w:val="en-US" w:eastAsia="zh-CN"/>
        </w:rPr>
      </w:pPr>
      <w:r>
        <w:rPr>
          <w:rFonts w:hint="eastAsia" w:ascii="宋体" w:hAnsi="宋体" w:eastAsia="宋体" w:cs="宋体"/>
          <w:b/>
          <w:iCs/>
          <w:color w:val="auto"/>
          <w:szCs w:val="21"/>
          <w:highlight w:val="none"/>
          <w:lang w:val="en-US" w:eastAsia="zh-CN"/>
        </w:rPr>
        <w:t>3.成交供应商签订合同时提交工程量清单报价明细表，所提交的明细表总价须与二次报价总价一致。</w:t>
      </w:r>
    </w:p>
    <w:p w14:paraId="187AF3FB">
      <w:pPr>
        <w:pStyle w:val="3"/>
        <w:rPr>
          <w:rFonts w:hint="eastAsia" w:ascii="宋体" w:hAnsi="宋体" w:eastAsia="宋体" w:cs="宋体"/>
          <w:color w:val="auto"/>
          <w:highlight w:val="none"/>
          <w:lang w:val="en-US" w:eastAsia="zh-CN"/>
        </w:rPr>
      </w:pPr>
    </w:p>
    <w:p w14:paraId="672E1F50">
      <w:pPr>
        <w:pStyle w:val="23"/>
        <w:spacing w:line="360" w:lineRule="auto"/>
        <w:jc w:val="center"/>
        <w:outlineLvl w:val="0"/>
        <w:rPr>
          <w:rFonts w:hint="eastAsia" w:ascii="宋体" w:hAnsi="宋体" w:eastAsia="宋体" w:cs="宋体"/>
          <w:b/>
          <w:color w:val="auto"/>
          <w:kern w:val="44"/>
          <w:sz w:val="36"/>
          <w:szCs w:val="20"/>
          <w:highlight w:val="none"/>
        </w:rPr>
      </w:pPr>
      <w:bookmarkStart w:id="1024" w:name="_Toc80867980"/>
      <w:r>
        <w:rPr>
          <w:rFonts w:hint="eastAsia" w:ascii="宋体" w:hAnsi="宋体" w:eastAsia="宋体" w:cs="宋体"/>
          <w:b/>
          <w:color w:val="auto"/>
          <w:kern w:val="44"/>
          <w:sz w:val="36"/>
          <w:szCs w:val="20"/>
          <w:highlight w:val="none"/>
        </w:rPr>
        <w:br w:type="page"/>
      </w:r>
      <w:bookmarkStart w:id="1025" w:name="_Toc1165594073"/>
      <w:bookmarkStart w:id="1026" w:name="_Hlk150354347"/>
      <w:r>
        <w:rPr>
          <w:rFonts w:hint="eastAsia" w:ascii="宋体" w:hAnsi="宋体" w:eastAsia="宋体" w:cs="宋体"/>
          <w:b/>
          <w:color w:val="auto"/>
          <w:kern w:val="44"/>
          <w:sz w:val="36"/>
          <w:szCs w:val="20"/>
          <w:highlight w:val="none"/>
        </w:rPr>
        <w:t xml:space="preserve">第五章 </w:t>
      </w:r>
      <w:bookmarkStart w:id="1027" w:name="_Hlk135830903"/>
      <w:r>
        <w:rPr>
          <w:rFonts w:hint="eastAsia" w:ascii="宋体" w:hAnsi="宋体" w:eastAsia="宋体" w:cs="宋体"/>
          <w:b/>
          <w:color w:val="auto"/>
          <w:kern w:val="44"/>
          <w:sz w:val="36"/>
          <w:szCs w:val="20"/>
          <w:highlight w:val="none"/>
        </w:rPr>
        <w:t>采购需求</w:t>
      </w:r>
      <w:bookmarkEnd w:id="1024"/>
      <w:bookmarkEnd w:id="1025"/>
      <w:bookmarkStart w:id="1028" w:name="_Toc86124092"/>
    </w:p>
    <w:bookmarkEnd w:id="1027"/>
    <w:bookmarkEnd w:id="1028"/>
    <w:p w14:paraId="29BA933F">
      <w:pPr>
        <w:snapToGrid w:val="0"/>
        <w:spacing w:line="360" w:lineRule="auto"/>
        <w:ind w:firstLine="420" w:firstLineChars="200"/>
        <w:rPr>
          <w:rFonts w:hint="eastAsia" w:ascii="宋体" w:hAnsi="宋体" w:eastAsia="宋体" w:cs="宋体"/>
          <w:b/>
          <w:bCs/>
          <w:color w:val="auto"/>
          <w:highlight w:val="none"/>
        </w:rPr>
      </w:pPr>
      <w:bookmarkStart w:id="1029" w:name="_Toc34335330"/>
      <w:bookmarkStart w:id="1030" w:name="_Hlk135830874"/>
      <w:r>
        <w:rPr>
          <w:rFonts w:hint="eastAsia" w:ascii="宋体" w:hAnsi="宋体" w:eastAsia="宋体" w:cs="宋体"/>
          <w:b/>
          <w:bCs/>
          <w:color w:val="auto"/>
          <w:highlight w:val="none"/>
        </w:rPr>
        <w:t>一、项目概况</w:t>
      </w:r>
    </w:p>
    <w:p w14:paraId="74C82B9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HHZC2025-C2-02715-XXGC-0006</w:t>
      </w:r>
      <w:r>
        <w:rPr>
          <w:rFonts w:hint="eastAsia" w:ascii="宋体" w:hAnsi="宋体" w:eastAsia="宋体" w:cs="宋体"/>
          <w:color w:val="auto"/>
          <w:sz w:val="21"/>
          <w:szCs w:val="21"/>
          <w:highlight w:val="none"/>
        </w:rPr>
        <w:t>；</w:t>
      </w:r>
    </w:p>
    <w:p w14:paraId="7626544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弥勒市疾病预防控制中心鼠疫实验室改造项目（二次）</w:t>
      </w:r>
      <w:r>
        <w:rPr>
          <w:rFonts w:hint="eastAsia" w:ascii="宋体" w:hAnsi="宋体" w:eastAsia="宋体" w:cs="宋体"/>
          <w:color w:val="auto"/>
          <w:sz w:val="21"/>
          <w:szCs w:val="21"/>
          <w:highlight w:val="none"/>
        </w:rPr>
        <w:t>；</w:t>
      </w:r>
    </w:p>
    <w:p w14:paraId="6285328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 </w:t>
      </w:r>
    </w:p>
    <w:p w14:paraId="3A2B87D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4.预算金额：70万元；</w:t>
      </w:r>
    </w:p>
    <w:p w14:paraId="3005538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5.最高限价：70万元；</w:t>
      </w:r>
    </w:p>
    <w:p w14:paraId="54F5D90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需求：为达到鼠疫生物安全实验室生物安全要求，须进行全面改造，改造后将新增独立试剂间、核酸提取间、PCR扩增间以及独立人流和物流通道，人流物流满足生物安全流程，空间布局满足试剂配置、鼠种鉴定、蚤类鉴定、鼠体解剖、细菌学检测、血清学检测、鼠疫耶尔森氏杆菌PCR检测以及其他实验室监测需求。</w:t>
      </w:r>
    </w:p>
    <w:p w14:paraId="1B6EB6B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7.工程范围与内容：</w:t>
      </w:r>
    </w:p>
    <w:p w14:paraId="40AF012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本项目招标范围施工图设计包含的所有工作内容的工程施工，组织各阶段的验收及竣工验收工作，完成竣工图的编制、资料归档及缺陷责任期内的缺陷修复和保修期内的保修工作等。具体工作内容及要求以采购人实际委托的为准。</w:t>
      </w:r>
    </w:p>
    <w:p w14:paraId="56247BF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8.项目实施地点：弥勒市疾病预防控制中心（建设方指定位置）。</w:t>
      </w:r>
    </w:p>
    <w:p w14:paraId="783F381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9.施工工期：接到施工通知之日起60日历天（施工工期）；全过程协助业主方完成</w:t>
      </w:r>
      <w:r>
        <w:rPr>
          <w:rFonts w:hint="eastAsia" w:ascii="宋体" w:hAnsi="宋体" w:eastAsia="宋体" w:cs="宋体"/>
          <w:color w:val="auto"/>
          <w:sz w:val="21"/>
          <w:szCs w:val="21"/>
          <w:highlight w:val="none"/>
          <w:lang w:eastAsia="zh-CN"/>
        </w:rPr>
        <w:t>弥勒市疾病预防控制中心鼠疫实验室改造项目（二次）</w:t>
      </w:r>
      <w:r>
        <w:rPr>
          <w:rFonts w:hint="eastAsia" w:ascii="宋体" w:hAnsi="宋体" w:eastAsia="宋体" w:cs="宋体"/>
          <w:color w:val="auto"/>
          <w:sz w:val="21"/>
          <w:szCs w:val="21"/>
          <w:highlight w:val="none"/>
        </w:rPr>
        <w:t>施工相关手续办理，并与业主方、造价、监理共同完成工程的各项竣工验收及办理工程竣工结算审计工作；</w:t>
      </w:r>
    </w:p>
    <w:p w14:paraId="0461CE2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10.质保期：根据《房屋建筑工程质量保修办法》执行，自验收合格之日起算。</w:t>
      </w:r>
    </w:p>
    <w:p w14:paraId="1EFF0CD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11.合同履行期限：自合同签订之日起至质保期结束。</w:t>
      </w:r>
    </w:p>
    <w:p w14:paraId="18FB529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12.技术标准：按照施工图设计要求完成</w:t>
      </w:r>
      <w:r>
        <w:rPr>
          <w:rFonts w:hint="eastAsia" w:ascii="宋体" w:hAnsi="宋体" w:eastAsia="宋体" w:cs="宋体"/>
          <w:color w:val="auto"/>
          <w:sz w:val="21"/>
          <w:szCs w:val="21"/>
          <w:highlight w:val="none"/>
          <w:lang w:eastAsia="zh-CN"/>
        </w:rPr>
        <w:t>弥勒市疾病预防控制中心鼠疫实验室改造项目（二次）</w:t>
      </w:r>
      <w:r>
        <w:rPr>
          <w:rFonts w:hint="eastAsia" w:ascii="宋体" w:hAnsi="宋体" w:eastAsia="宋体" w:cs="宋体"/>
          <w:color w:val="auto"/>
          <w:sz w:val="21"/>
          <w:szCs w:val="21"/>
          <w:highlight w:val="none"/>
        </w:rPr>
        <w:t>；确保满足项目使用需求及功能满足；达到本工程项目中列明的技术质量要求。</w:t>
      </w:r>
    </w:p>
    <w:p w14:paraId="03A2E55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质量要求：施工部分符合《建筑工程施工质量验收统一标准》（GB50300-2013）、《云南省建筑工程施工质量验收统一规程》（DBJ53/T-23-2014）等国家、地方及行业现行标准、规范和规程的要求，确保工程一次性验收合格。</w:t>
      </w:r>
    </w:p>
    <w:p w14:paraId="1F1B02DD">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14.验收标准：施工符合国家、行业及地方现行标准、规范和规程的要求，确保工程一次性验收合格。</w:t>
      </w:r>
    </w:p>
    <w:p w14:paraId="670B81AC">
      <w:pPr>
        <w:snapToGrid w:val="0"/>
        <w:spacing w:line="360" w:lineRule="auto"/>
        <w:ind w:firstLine="420"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二、工程要求</w:t>
      </w:r>
    </w:p>
    <w:p w14:paraId="581F72EA">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Cs/>
          <w:color w:val="auto"/>
          <w:szCs w:val="21"/>
          <w:highlight w:val="none"/>
          <w:lang w:val="en-US" w:eastAsia="zh-CN"/>
        </w:rPr>
        <w:t>.供应商进场先设计，方案通过使用科室等确认后编制施工图，施工图审查完成由建设方确认后开始施工。</w:t>
      </w:r>
    </w:p>
    <w:p w14:paraId="0E257F94">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2.供应商</w:t>
      </w:r>
      <w:r>
        <w:rPr>
          <w:rFonts w:hint="eastAsia" w:ascii="宋体" w:hAnsi="宋体" w:eastAsia="宋体" w:cs="宋体"/>
          <w:bCs/>
          <w:color w:val="auto"/>
          <w:szCs w:val="21"/>
          <w:highlight w:val="none"/>
        </w:rPr>
        <w:t>应符合有关国家法律法规，具备相关资质并严格按照国家现行工程建设标准规范、安全管理规范建设工程，包括建筑物装修、结构、给排水、强弱电、暖通、安防、消防、医用气体管网系统、建筑物内部装修、原结构拆除、内部环境等按照施工图进行装修施工；</w:t>
      </w:r>
    </w:p>
    <w:p w14:paraId="3434EF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严格按照国家现行工程建设标准规范、安全管理规范，按照施工图设计要求完成</w:t>
      </w:r>
      <w:r>
        <w:rPr>
          <w:rFonts w:hint="eastAsia" w:ascii="宋体" w:hAnsi="宋体" w:eastAsia="宋体" w:cs="宋体"/>
          <w:color w:val="auto"/>
          <w:highlight w:val="none"/>
          <w:lang w:val="en-US" w:eastAsia="zh-CN"/>
        </w:rPr>
        <w:t>拆除</w:t>
      </w:r>
      <w:r>
        <w:rPr>
          <w:rFonts w:hint="eastAsia" w:ascii="宋体" w:hAnsi="宋体" w:eastAsia="宋体" w:cs="宋体"/>
          <w:bCs/>
          <w:color w:val="auto"/>
          <w:szCs w:val="21"/>
          <w:highlight w:val="none"/>
        </w:rPr>
        <w:t>、</w:t>
      </w:r>
      <w:r>
        <w:rPr>
          <w:rFonts w:hint="eastAsia" w:ascii="宋体" w:hAnsi="宋体" w:eastAsia="宋体" w:cs="宋体"/>
          <w:color w:val="auto"/>
          <w:highlight w:val="none"/>
          <w:lang w:val="en-US" w:eastAsia="zh-CN"/>
        </w:rPr>
        <w:t>装修</w:t>
      </w:r>
      <w:r>
        <w:rPr>
          <w:rFonts w:hint="eastAsia" w:ascii="宋体" w:hAnsi="宋体" w:eastAsia="宋体" w:cs="宋体"/>
          <w:bCs/>
          <w:color w:val="auto"/>
          <w:szCs w:val="21"/>
          <w:highlight w:val="none"/>
        </w:rPr>
        <w:t>工程；确保满足项目使用需求及功能满足；达到本工程项目中列明的技术质量要求，完工工程必须符合相关建设等行业管理部门的有关规定一次验收合格。</w:t>
      </w:r>
    </w:p>
    <w:p w14:paraId="269DCB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成交供应商在合同履行期间非经建设单位同意不得更换磋商时的项目管理机构配备情况表中项目经理、技术负责人及主要管理人员。</w:t>
      </w:r>
    </w:p>
    <w:p w14:paraId="6CDEBA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不得借用其他企业资质或以其他弄虚作假的方式参与磋商，以借用资质或以其他弄虚作假的方式骗取成交的成交无效，并赔偿因此给采购人造成的经济损失和承担相应的法律责任；</w:t>
      </w:r>
    </w:p>
    <w:p w14:paraId="3B86FCC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拟投入主要施工机械设备情况：须满足本工程施工需要；</w:t>
      </w:r>
    </w:p>
    <w:p w14:paraId="4C8BFC5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安全文明施工要求：有施工过程中对安全文明施工的专项说明；</w:t>
      </w:r>
    </w:p>
    <w:p w14:paraId="45B3F1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工期保证要求：有工期保证的相关措施说明；</w:t>
      </w:r>
    </w:p>
    <w:p w14:paraId="311F526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环境保护要求：有在施工工程中对环境保护措施的专项说明；</w:t>
      </w:r>
    </w:p>
    <w:p w14:paraId="7461FCF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农民工工资支付管理：对按规定及时支付农民工工资作出承诺；</w:t>
      </w:r>
    </w:p>
    <w:p w14:paraId="4ACC230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rPr>
        <w:t>廉政自律承诺：承诺企业及相关人员在本项目实施期间廉洁自律、拒绝商业贿赂。</w:t>
      </w:r>
    </w:p>
    <w:p w14:paraId="06B548DE">
      <w:pPr>
        <w:pStyle w:val="46"/>
        <w:numPr>
          <w:ilvl w:val="0"/>
          <w:numId w:val="0"/>
        </w:numPr>
        <w:spacing w:before="120" w:beforeLines="50" w:after="0" w:line="360" w:lineRule="auto"/>
        <w:ind w:left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rPr>
        <w:t>驻场人员要求：</w:t>
      </w:r>
    </w:p>
    <w:p w14:paraId="4E0E0337">
      <w:pPr>
        <w:pStyle w:val="46"/>
        <w:spacing w:line="360" w:lineRule="auto"/>
        <w:ind w:left="0" w:leftChars="0" w:firstLine="422"/>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施工期间项目经理须按施工要求驻场</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eastAsia="zh-CN"/>
        </w:rPr>
        <w:t>须具备建筑工程专业二级及以上或机电工程专业二级及以上注册建造师注册资格证书</w:t>
      </w:r>
      <w:r>
        <w:rPr>
          <w:rFonts w:hint="eastAsia" w:ascii="宋体" w:hAnsi="宋体" w:eastAsia="宋体" w:cs="宋体"/>
          <w:b w:val="0"/>
          <w:bCs/>
          <w:color w:val="auto"/>
          <w:sz w:val="21"/>
          <w:szCs w:val="21"/>
          <w:highlight w:val="none"/>
        </w:rPr>
        <w:t>，具备有效的安全生产考核合格证（B证），且未担任其他正在建设工程项目的项目经理；项目经理的上述资格证书及安全生产考核合格证（B证）注册单位须与供应商名称一致</w:t>
      </w:r>
      <w:r>
        <w:rPr>
          <w:rFonts w:hint="eastAsia" w:ascii="宋体" w:hAnsi="宋体" w:eastAsia="宋体" w:cs="宋体"/>
          <w:b w:val="0"/>
          <w:bCs/>
          <w:color w:val="auto"/>
          <w:sz w:val="21"/>
          <w:szCs w:val="21"/>
          <w:highlight w:val="none"/>
          <w:lang w:eastAsia="zh-CN"/>
        </w:rPr>
        <w:t>。</w:t>
      </w:r>
    </w:p>
    <w:p w14:paraId="423C715C">
      <w:pPr>
        <w:pStyle w:val="46"/>
        <w:numPr>
          <w:ilvl w:val="0"/>
          <w:numId w:val="0"/>
        </w:numPr>
        <w:spacing w:before="120" w:beforeLines="50" w:after="0" w:line="360" w:lineRule="auto"/>
        <w:ind w:left="420" w:leftChars="200" w:firstLine="0"/>
        <w:rPr>
          <w:rFonts w:hint="eastAsia" w:ascii="宋体" w:hAnsi="宋体" w:eastAsia="宋体" w:cs="宋体"/>
          <w:b/>
          <w:bCs w:val="0"/>
          <w:color w:val="auto"/>
          <w:sz w:val="21"/>
          <w:szCs w:val="21"/>
          <w:highlight w:val="none"/>
          <w:lang w:eastAsia="zh-CN"/>
        </w:rPr>
      </w:pPr>
      <w:r>
        <w:rPr>
          <w:rFonts w:hint="eastAsia" w:ascii="宋体" w:hAnsi="宋体" w:eastAsia="宋体" w:cs="宋体"/>
          <w:b/>
          <w:color w:val="auto"/>
          <w:sz w:val="21"/>
          <w:szCs w:val="21"/>
          <w:highlight w:val="none"/>
          <w:lang w:val="en-US" w:eastAsia="zh-CN"/>
        </w:rPr>
        <w:t>四</w:t>
      </w:r>
      <w:r>
        <w:rPr>
          <w:rFonts w:hint="eastAsia" w:ascii="宋体" w:hAnsi="宋体" w:eastAsia="宋体" w:cs="宋体"/>
          <w:b/>
          <w:color w:val="auto"/>
          <w:sz w:val="21"/>
          <w:szCs w:val="21"/>
          <w:highlight w:val="none"/>
        </w:rPr>
        <w:t>、本项目工程量清单</w:t>
      </w:r>
    </w:p>
    <w:tbl>
      <w:tblPr>
        <w:tblStyle w:val="47"/>
        <w:tblpPr w:leftFromText="180" w:rightFromText="180" w:vertAnchor="text" w:horzAnchor="page" w:tblpX="1487" w:tblpY="792"/>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1859"/>
        <w:gridCol w:w="2797"/>
        <w:gridCol w:w="718"/>
        <w:gridCol w:w="942"/>
        <w:gridCol w:w="739"/>
        <w:gridCol w:w="739"/>
        <w:gridCol w:w="1093"/>
      </w:tblGrid>
      <w:tr w14:paraId="4AEE179E">
        <w:trPr>
          <w:trHeight w:val="644"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764606">
            <w:pPr>
              <w:keepNext w:val="0"/>
              <w:keepLines w:val="0"/>
              <w:widowControl/>
              <w:suppressLineNumbers w:val="0"/>
              <w:jc w:val="center"/>
              <w:textAlignment w:val="bottom"/>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工程量清单</w:t>
            </w:r>
          </w:p>
        </w:tc>
      </w:tr>
      <w:tr w14:paraId="3E65CB9E">
        <w:trPr>
          <w:trHeight w:val="644" w:hRule="atLeast"/>
        </w:trPr>
        <w:tc>
          <w:tcPr>
            <w:tcW w:w="275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B26F">
            <w:pPr>
              <w:keepNext w:val="0"/>
              <w:keepLines w:val="0"/>
              <w:widowControl/>
              <w:suppressLineNumbers w:val="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建设单位：弥勒市疾病预防控制中心</w:t>
            </w:r>
          </w:p>
        </w:tc>
        <w:tc>
          <w:tcPr>
            <w:tcW w:w="2243"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2E0A7">
            <w:pPr>
              <w:keepNext w:val="0"/>
              <w:keepLines w:val="0"/>
              <w:widowControl/>
              <w:suppressLineNumbers w:val="0"/>
              <w:jc w:val="right"/>
              <w:textAlignment w:val="center"/>
              <w:rPr>
                <w:rFonts w:hint="eastAsia" w:ascii="宋体" w:hAnsi="宋体" w:eastAsia="宋体" w:cs="宋体"/>
                <w:b/>
                <w:bCs/>
                <w:i w:val="0"/>
                <w:iCs w:val="0"/>
                <w:color w:val="auto"/>
                <w:sz w:val="22"/>
                <w:szCs w:val="22"/>
                <w:highlight w:val="none"/>
                <w:u w:val="none"/>
              </w:rPr>
            </w:pPr>
            <w:r>
              <w:rPr>
                <w:rFonts w:hint="eastAsia" w:ascii="宋体" w:hAnsi="宋体" w:cs="宋体"/>
                <w:b/>
                <w:bCs/>
                <w:i w:val="0"/>
                <w:iCs w:val="0"/>
                <w:color w:val="auto"/>
                <w:kern w:val="0"/>
                <w:sz w:val="22"/>
                <w:szCs w:val="22"/>
                <w:highlight w:val="none"/>
                <w:u w:val="none"/>
                <w:lang w:val="en-US" w:eastAsia="zh-CN" w:bidi="ar"/>
              </w:rPr>
              <w:t>工程名称：弥勒市疾病预防控制中心鼠疫实验室改造项目</w:t>
            </w:r>
          </w:p>
        </w:tc>
      </w:tr>
      <w:tr w14:paraId="09B93109">
        <w:trPr>
          <w:trHeight w:val="713"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FA7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E20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材料名称</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D62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型号名称</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95EB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16D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2A84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729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价格</w:t>
            </w: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CD4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296867DB">
        <w:trPr>
          <w:trHeight w:val="713"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E93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471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3B87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装饰装修部分</w:t>
            </w:r>
          </w:p>
        </w:tc>
      </w:tr>
      <w:tr w14:paraId="796FE9B0">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43E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096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土建墙拆除</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E2FE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原有实验室拆除</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49C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72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03C6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42EB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D642E">
            <w:pPr>
              <w:jc w:val="center"/>
              <w:rPr>
                <w:rFonts w:hint="eastAsia" w:ascii="宋体" w:hAnsi="宋体" w:eastAsia="宋体" w:cs="宋体"/>
                <w:i w:val="0"/>
                <w:iCs w:val="0"/>
                <w:color w:val="auto"/>
                <w:sz w:val="22"/>
                <w:szCs w:val="22"/>
                <w:highlight w:val="none"/>
                <w:u w:val="none"/>
              </w:rPr>
            </w:pPr>
          </w:p>
        </w:tc>
      </w:tr>
      <w:tr w14:paraId="742EF7FA">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687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0CF4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手工中空玻镁板（墙板）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3B5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50系列、0.45mm，A级防火</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62E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AF9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475.54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CCB6">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CA154">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B06C">
            <w:pPr>
              <w:jc w:val="center"/>
              <w:rPr>
                <w:rFonts w:hint="eastAsia" w:ascii="宋体" w:hAnsi="宋体" w:eastAsia="宋体" w:cs="宋体"/>
                <w:i w:val="0"/>
                <w:iCs w:val="0"/>
                <w:color w:val="auto"/>
                <w:sz w:val="22"/>
                <w:szCs w:val="22"/>
                <w:highlight w:val="none"/>
                <w:u w:val="none"/>
              </w:rPr>
            </w:pPr>
          </w:p>
        </w:tc>
      </w:tr>
      <w:tr w14:paraId="1E3D1082">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5A8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7EFD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手工中空玻镁板（顶板）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9A6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50系列、0.45mm，A级防火</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9C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D16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196.80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D32AD">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87F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2CC3">
            <w:pPr>
              <w:jc w:val="center"/>
              <w:rPr>
                <w:rFonts w:hint="eastAsia" w:ascii="宋体" w:hAnsi="宋体" w:eastAsia="宋体" w:cs="宋体"/>
                <w:i w:val="0"/>
                <w:iCs w:val="0"/>
                <w:color w:val="auto"/>
                <w:sz w:val="22"/>
                <w:szCs w:val="22"/>
                <w:highlight w:val="none"/>
                <w:u w:val="none"/>
              </w:rPr>
            </w:pPr>
          </w:p>
        </w:tc>
      </w:tr>
      <w:tr w14:paraId="04FA49C2">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FB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DDDE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铝合金专用接件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7CB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D7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794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672.34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AE3E">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95E2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3E33">
            <w:pPr>
              <w:jc w:val="center"/>
              <w:rPr>
                <w:rFonts w:hint="eastAsia" w:ascii="宋体" w:hAnsi="宋体" w:eastAsia="宋体" w:cs="宋体"/>
                <w:i w:val="0"/>
                <w:iCs w:val="0"/>
                <w:color w:val="auto"/>
                <w:sz w:val="22"/>
                <w:szCs w:val="22"/>
                <w:highlight w:val="none"/>
                <w:u w:val="none"/>
              </w:rPr>
            </w:pPr>
          </w:p>
        </w:tc>
      </w:tr>
      <w:tr w14:paraId="1756AF87">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7DD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0644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铝合金槽铝</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61A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50系列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726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7B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1344.68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1AD4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567A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25611">
            <w:pPr>
              <w:jc w:val="center"/>
              <w:rPr>
                <w:rFonts w:hint="eastAsia" w:ascii="宋体" w:hAnsi="宋体" w:eastAsia="宋体" w:cs="宋体"/>
                <w:i w:val="0"/>
                <w:iCs w:val="0"/>
                <w:color w:val="auto"/>
                <w:sz w:val="22"/>
                <w:szCs w:val="22"/>
                <w:highlight w:val="none"/>
                <w:u w:val="none"/>
              </w:rPr>
            </w:pPr>
          </w:p>
        </w:tc>
      </w:tr>
      <w:tr w14:paraId="369A03B5">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9F8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731B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顶板加固件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E7A6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T型铝、吊杆吊件、膨胀螺栓、花兰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64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0DC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196.80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48A4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311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83FD3">
            <w:pPr>
              <w:jc w:val="center"/>
              <w:rPr>
                <w:rFonts w:hint="eastAsia" w:ascii="宋体" w:hAnsi="宋体" w:eastAsia="宋体" w:cs="宋体"/>
                <w:i w:val="0"/>
                <w:iCs w:val="0"/>
                <w:color w:val="auto"/>
                <w:sz w:val="22"/>
                <w:szCs w:val="22"/>
                <w:highlight w:val="none"/>
                <w:u w:val="none"/>
              </w:rPr>
            </w:pPr>
          </w:p>
        </w:tc>
      </w:tr>
      <w:tr w14:paraId="394D92DA">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69B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B57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铝合金内圆弧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DE62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B0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4F5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790.40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3C4DE">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6FB7B">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2E30">
            <w:pPr>
              <w:jc w:val="center"/>
              <w:rPr>
                <w:rFonts w:hint="eastAsia" w:ascii="宋体" w:hAnsi="宋体" w:eastAsia="宋体" w:cs="宋体"/>
                <w:i w:val="0"/>
                <w:iCs w:val="0"/>
                <w:color w:val="auto"/>
                <w:sz w:val="22"/>
                <w:szCs w:val="22"/>
                <w:highlight w:val="none"/>
                <w:u w:val="none"/>
              </w:rPr>
            </w:pPr>
          </w:p>
        </w:tc>
      </w:tr>
      <w:tr w14:paraId="300C6C41">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D6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937B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内圆弧底座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87B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FC2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20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790.40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CB96">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71E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D1BA">
            <w:pPr>
              <w:jc w:val="center"/>
              <w:rPr>
                <w:rFonts w:hint="eastAsia" w:ascii="宋体" w:hAnsi="宋体" w:eastAsia="宋体" w:cs="宋体"/>
                <w:i w:val="0"/>
                <w:iCs w:val="0"/>
                <w:color w:val="auto"/>
                <w:sz w:val="22"/>
                <w:szCs w:val="22"/>
                <w:highlight w:val="none"/>
                <w:u w:val="none"/>
              </w:rPr>
            </w:pPr>
          </w:p>
        </w:tc>
      </w:tr>
      <w:tr w14:paraId="798A98CE">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BD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2ECE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铝合金外圆弧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A71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5A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275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BB1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7E64D">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10BF9">
            <w:pPr>
              <w:jc w:val="center"/>
              <w:rPr>
                <w:rFonts w:hint="eastAsia" w:ascii="宋体" w:hAnsi="宋体" w:eastAsia="宋体" w:cs="宋体"/>
                <w:i w:val="0"/>
                <w:iCs w:val="0"/>
                <w:color w:val="auto"/>
                <w:sz w:val="22"/>
                <w:szCs w:val="22"/>
                <w:highlight w:val="none"/>
                <w:u w:val="none"/>
              </w:rPr>
            </w:pPr>
          </w:p>
        </w:tc>
      </w:tr>
      <w:tr w14:paraId="77C43715">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02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752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铝合金门封头</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22D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6D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F67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410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7DED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615C">
            <w:pPr>
              <w:jc w:val="center"/>
              <w:rPr>
                <w:rFonts w:hint="eastAsia" w:ascii="宋体" w:hAnsi="宋体" w:eastAsia="宋体" w:cs="宋体"/>
                <w:i w:val="0"/>
                <w:iCs w:val="0"/>
                <w:color w:val="auto"/>
                <w:sz w:val="22"/>
                <w:szCs w:val="22"/>
                <w:highlight w:val="none"/>
                <w:u w:val="none"/>
              </w:rPr>
            </w:pPr>
          </w:p>
        </w:tc>
      </w:tr>
      <w:tr w14:paraId="61B4A134">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8A5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E8FC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铝合金内三通</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AF7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58D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F68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A6587">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1A21F">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FD6C">
            <w:pPr>
              <w:jc w:val="center"/>
              <w:rPr>
                <w:rFonts w:hint="eastAsia" w:ascii="宋体" w:hAnsi="宋体" w:eastAsia="宋体" w:cs="宋体"/>
                <w:i w:val="0"/>
                <w:iCs w:val="0"/>
                <w:color w:val="auto"/>
                <w:sz w:val="22"/>
                <w:szCs w:val="22"/>
                <w:highlight w:val="none"/>
                <w:u w:val="none"/>
              </w:rPr>
            </w:pPr>
          </w:p>
        </w:tc>
      </w:tr>
      <w:tr w14:paraId="2046392C">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07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995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铝合金外圆封两通</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200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E3F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44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A4C8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0E04A">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DB91">
            <w:pPr>
              <w:jc w:val="center"/>
              <w:rPr>
                <w:rFonts w:hint="eastAsia" w:ascii="宋体" w:hAnsi="宋体" w:eastAsia="宋体" w:cs="宋体"/>
                <w:i w:val="0"/>
                <w:iCs w:val="0"/>
                <w:color w:val="auto"/>
                <w:sz w:val="22"/>
                <w:szCs w:val="22"/>
                <w:highlight w:val="none"/>
                <w:u w:val="none"/>
              </w:rPr>
            </w:pPr>
          </w:p>
        </w:tc>
      </w:tr>
      <w:tr w14:paraId="0DDEC2CA">
        <w:trPr>
          <w:trHeight w:val="782"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43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A3D6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钢制成品密闭单开门</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DE8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800×2100（含观察窗，门锁、门碰、升降扫地条）</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FB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7B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1E0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173D">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AC30">
            <w:pPr>
              <w:jc w:val="center"/>
              <w:rPr>
                <w:rFonts w:hint="eastAsia" w:ascii="宋体" w:hAnsi="宋体" w:eastAsia="宋体" w:cs="宋体"/>
                <w:i w:val="0"/>
                <w:iCs w:val="0"/>
                <w:color w:val="auto"/>
                <w:sz w:val="22"/>
                <w:szCs w:val="22"/>
                <w:highlight w:val="none"/>
                <w:u w:val="none"/>
              </w:rPr>
            </w:pPr>
          </w:p>
        </w:tc>
      </w:tr>
      <w:tr w14:paraId="13CC0C0C">
        <w:trPr>
          <w:trHeight w:val="782"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E3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3124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钢制成品密闭单开门</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97A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1000×2100（含观察窗，门锁、门碰、升降扫地条）</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739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D6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5C13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DBD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0E81">
            <w:pPr>
              <w:jc w:val="center"/>
              <w:rPr>
                <w:rFonts w:hint="eastAsia" w:ascii="宋体" w:hAnsi="宋体" w:eastAsia="宋体" w:cs="宋体"/>
                <w:i w:val="0"/>
                <w:iCs w:val="0"/>
                <w:color w:val="auto"/>
                <w:sz w:val="22"/>
                <w:szCs w:val="22"/>
                <w:highlight w:val="none"/>
                <w:u w:val="none"/>
              </w:rPr>
            </w:pPr>
          </w:p>
        </w:tc>
      </w:tr>
      <w:tr w14:paraId="6613F0BF">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FF0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9E6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逃生门</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A1E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1000×2100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28A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A8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6FFD">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DABE9">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01378">
            <w:pPr>
              <w:jc w:val="center"/>
              <w:rPr>
                <w:rFonts w:hint="eastAsia" w:ascii="宋体" w:hAnsi="宋体" w:eastAsia="宋体" w:cs="宋体"/>
                <w:i w:val="0"/>
                <w:iCs w:val="0"/>
                <w:color w:val="auto"/>
                <w:sz w:val="22"/>
                <w:szCs w:val="22"/>
                <w:highlight w:val="none"/>
                <w:u w:val="none"/>
              </w:rPr>
            </w:pPr>
          </w:p>
        </w:tc>
      </w:tr>
      <w:tr w14:paraId="09B8DBA4">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60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1A7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成品密闭窗</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B945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1800×1100（中空双层钢化玻璃）</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DA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樘</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C18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73DBE">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39A3B">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4521">
            <w:pPr>
              <w:jc w:val="center"/>
              <w:rPr>
                <w:rFonts w:hint="eastAsia" w:ascii="宋体" w:hAnsi="宋体" w:eastAsia="宋体" w:cs="宋体"/>
                <w:i w:val="0"/>
                <w:iCs w:val="0"/>
                <w:color w:val="auto"/>
                <w:sz w:val="22"/>
                <w:szCs w:val="22"/>
                <w:highlight w:val="none"/>
                <w:u w:val="none"/>
              </w:rPr>
            </w:pPr>
          </w:p>
        </w:tc>
      </w:tr>
      <w:tr w14:paraId="4F1040F5">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D6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42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五金件配件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12A1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铆钉、螺栓、扎线、2X3角铝</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B7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25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672.34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E607">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897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331C">
            <w:pPr>
              <w:jc w:val="center"/>
              <w:rPr>
                <w:rFonts w:hint="eastAsia" w:ascii="宋体" w:hAnsi="宋体" w:eastAsia="宋体" w:cs="宋体"/>
                <w:i w:val="0"/>
                <w:iCs w:val="0"/>
                <w:color w:val="auto"/>
                <w:sz w:val="22"/>
                <w:szCs w:val="22"/>
                <w:highlight w:val="none"/>
                <w:u w:val="none"/>
              </w:rPr>
            </w:pPr>
          </w:p>
        </w:tc>
      </w:tr>
      <w:tr w14:paraId="7371F0FC">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92F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AD8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密封件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24E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密封胶、密封垫</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30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3C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672.34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A608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AF49">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CC7D">
            <w:pPr>
              <w:jc w:val="center"/>
              <w:rPr>
                <w:rFonts w:hint="eastAsia" w:ascii="宋体" w:hAnsi="宋体" w:eastAsia="宋体" w:cs="宋体"/>
                <w:i w:val="0"/>
                <w:iCs w:val="0"/>
                <w:color w:val="auto"/>
                <w:sz w:val="22"/>
                <w:szCs w:val="22"/>
                <w:highlight w:val="none"/>
                <w:u w:val="none"/>
              </w:rPr>
            </w:pPr>
          </w:p>
        </w:tc>
      </w:tr>
      <w:tr w14:paraId="20B4D007">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74E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EF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地面处理</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A8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自流坪找平</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B5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79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196.80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42C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789E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4E38">
            <w:pPr>
              <w:jc w:val="center"/>
              <w:rPr>
                <w:rFonts w:hint="eastAsia" w:ascii="宋体" w:hAnsi="宋体" w:eastAsia="宋体" w:cs="宋体"/>
                <w:i w:val="0"/>
                <w:iCs w:val="0"/>
                <w:color w:val="auto"/>
                <w:sz w:val="22"/>
                <w:szCs w:val="22"/>
                <w:highlight w:val="none"/>
                <w:u w:val="none"/>
              </w:rPr>
            </w:pPr>
          </w:p>
        </w:tc>
      </w:tr>
      <w:tr w14:paraId="08A015DE">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B18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423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2mm塑胶地板</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6864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厚2mm、重量2850g/m³ 、耐磨等级T级，热压玻纤基卷材</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7EB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0E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190.80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70F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BDDC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9CBB0">
            <w:pPr>
              <w:jc w:val="center"/>
              <w:rPr>
                <w:rFonts w:hint="eastAsia" w:ascii="宋体" w:hAnsi="宋体" w:eastAsia="宋体" w:cs="宋体"/>
                <w:i w:val="0"/>
                <w:iCs w:val="0"/>
                <w:color w:val="auto"/>
                <w:sz w:val="22"/>
                <w:szCs w:val="22"/>
                <w:highlight w:val="none"/>
                <w:u w:val="none"/>
              </w:rPr>
            </w:pPr>
          </w:p>
        </w:tc>
      </w:tr>
      <w:tr w14:paraId="1EC16B5F">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24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EF8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空气压差表</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FE0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0～60Pa</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A09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18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B2D9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DB6E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C1427">
            <w:pPr>
              <w:jc w:val="center"/>
              <w:rPr>
                <w:rFonts w:hint="eastAsia" w:ascii="宋体" w:hAnsi="宋体" w:eastAsia="宋体" w:cs="宋体"/>
                <w:i w:val="0"/>
                <w:iCs w:val="0"/>
                <w:color w:val="auto"/>
                <w:sz w:val="22"/>
                <w:szCs w:val="22"/>
                <w:highlight w:val="none"/>
                <w:u w:val="none"/>
              </w:rPr>
            </w:pPr>
          </w:p>
        </w:tc>
      </w:tr>
      <w:tr w14:paraId="0AEBE4E9">
        <w:trPr>
          <w:trHeight w:val="713"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18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C00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不锈钢单层传递窗</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194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600×600×600，304不锈钢材质，紫外线杀菌消毒，电子互锁设置</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269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9E1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EC2E">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35AC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43D3">
            <w:pPr>
              <w:jc w:val="center"/>
              <w:rPr>
                <w:rFonts w:hint="eastAsia" w:ascii="宋体" w:hAnsi="宋体" w:eastAsia="宋体" w:cs="宋体"/>
                <w:i w:val="0"/>
                <w:iCs w:val="0"/>
                <w:color w:val="auto"/>
                <w:sz w:val="22"/>
                <w:szCs w:val="22"/>
                <w:highlight w:val="none"/>
                <w:u w:val="none"/>
              </w:rPr>
            </w:pPr>
          </w:p>
        </w:tc>
      </w:tr>
      <w:tr w14:paraId="70BAB905">
        <w:trPr>
          <w:trHeight w:val="73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A85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9854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不锈钢双层传递窗</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C478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800×800×1200，304不锈钢材质，紫外线杀菌消毒，电子互锁设置（定制）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C4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E8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36A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88D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345B">
            <w:pPr>
              <w:jc w:val="center"/>
              <w:rPr>
                <w:rFonts w:hint="eastAsia" w:ascii="宋体" w:hAnsi="宋体" w:eastAsia="宋体" w:cs="宋体"/>
                <w:i w:val="0"/>
                <w:iCs w:val="0"/>
                <w:color w:val="auto"/>
                <w:sz w:val="22"/>
                <w:szCs w:val="22"/>
                <w:highlight w:val="none"/>
                <w:u w:val="none"/>
              </w:rPr>
            </w:pPr>
          </w:p>
        </w:tc>
      </w:tr>
      <w:tr w14:paraId="128E3B3A">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CDA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28F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干手器</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4BE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AK2030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570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11B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66F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45BF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1D205">
            <w:pPr>
              <w:jc w:val="center"/>
              <w:rPr>
                <w:rFonts w:hint="eastAsia" w:ascii="宋体" w:hAnsi="宋体" w:eastAsia="宋体" w:cs="宋体"/>
                <w:i w:val="0"/>
                <w:iCs w:val="0"/>
                <w:color w:val="auto"/>
                <w:sz w:val="22"/>
                <w:szCs w:val="22"/>
                <w:highlight w:val="none"/>
                <w:u w:val="none"/>
              </w:rPr>
            </w:pPr>
          </w:p>
        </w:tc>
      </w:tr>
      <w:tr w14:paraId="51463B0C">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EF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813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手消毒器</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98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AK3137</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86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82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702A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CB23C">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8DFF">
            <w:pPr>
              <w:jc w:val="center"/>
              <w:rPr>
                <w:rFonts w:hint="eastAsia" w:ascii="宋体" w:hAnsi="宋体" w:eastAsia="宋体" w:cs="宋体"/>
                <w:i w:val="0"/>
                <w:iCs w:val="0"/>
                <w:color w:val="auto"/>
                <w:sz w:val="22"/>
                <w:szCs w:val="22"/>
                <w:highlight w:val="none"/>
                <w:u w:val="none"/>
              </w:rPr>
            </w:pPr>
          </w:p>
        </w:tc>
      </w:tr>
      <w:tr w14:paraId="5DDB42A2">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7C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28B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23EB">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57BF3">
            <w:pPr>
              <w:jc w:val="center"/>
              <w:rPr>
                <w:rFonts w:hint="eastAsia" w:ascii="宋体" w:hAnsi="宋体" w:eastAsia="宋体" w:cs="宋体"/>
                <w:i w:val="0"/>
                <w:iCs w:val="0"/>
                <w:color w:val="auto"/>
                <w:sz w:val="22"/>
                <w:szCs w:val="22"/>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F55D">
            <w:pPr>
              <w:jc w:val="center"/>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276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F02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43EB8">
            <w:pPr>
              <w:jc w:val="center"/>
              <w:rPr>
                <w:rFonts w:hint="eastAsia" w:ascii="宋体" w:hAnsi="宋体" w:eastAsia="宋体" w:cs="宋体"/>
                <w:i w:val="0"/>
                <w:iCs w:val="0"/>
                <w:color w:val="auto"/>
                <w:sz w:val="22"/>
                <w:szCs w:val="22"/>
                <w:highlight w:val="none"/>
                <w:u w:val="none"/>
              </w:rPr>
            </w:pPr>
          </w:p>
        </w:tc>
      </w:tr>
      <w:tr w14:paraId="4B96A1A6">
        <w:trPr>
          <w:trHeight w:val="59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448B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471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009D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暖通部分</w:t>
            </w:r>
          </w:p>
        </w:tc>
      </w:tr>
      <w:tr w14:paraId="4415DF1E">
        <w:trPr>
          <w:trHeight w:val="1198"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9A4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BC65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恒温恒湿组合式空调机组</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3397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风量：12200，新风量：3000，制冷量：80kw，电加热：40kW，电极加湿：20kW；变频电机</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85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637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BE15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8DB0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28C1C">
            <w:pPr>
              <w:jc w:val="center"/>
              <w:rPr>
                <w:rFonts w:hint="eastAsia" w:ascii="宋体" w:hAnsi="宋体" w:eastAsia="宋体" w:cs="宋体"/>
                <w:i w:val="0"/>
                <w:iCs w:val="0"/>
                <w:color w:val="auto"/>
                <w:sz w:val="22"/>
                <w:szCs w:val="22"/>
                <w:highlight w:val="none"/>
                <w:u w:val="none"/>
              </w:rPr>
            </w:pPr>
          </w:p>
        </w:tc>
      </w:tr>
      <w:tr w14:paraId="2CAE138C">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BC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18B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排风机</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2A8D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风量9050-17500m3/h,压力750Pa</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7C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A97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EFCB">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59C0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4E35C">
            <w:pPr>
              <w:jc w:val="center"/>
              <w:rPr>
                <w:rFonts w:hint="eastAsia" w:ascii="宋体" w:hAnsi="宋体" w:eastAsia="宋体" w:cs="宋体"/>
                <w:i w:val="0"/>
                <w:iCs w:val="0"/>
                <w:color w:val="auto"/>
                <w:sz w:val="22"/>
                <w:szCs w:val="22"/>
                <w:highlight w:val="none"/>
                <w:u w:val="none"/>
              </w:rPr>
            </w:pPr>
          </w:p>
        </w:tc>
      </w:tr>
      <w:tr w14:paraId="100F03B1">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913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208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空调控制箱</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4417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风阀控制面板</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4A7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A8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CB2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B029F">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A822">
            <w:pPr>
              <w:jc w:val="center"/>
              <w:rPr>
                <w:rFonts w:hint="eastAsia" w:ascii="宋体" w:hAnsi="宋体" w:eastAsia="宋体" w:cs="宋体"/>
                <w:i w:val="0"/>
                <w:iCs w:val="0"/>
                <w:color w:val="auto"/>
                <w:sz w:val="22"/>
                <w:szCs w:val="22"/>
                <w:highlight w:val="none"/>
                <w:u w:val="none"/>
              </w:rPr>
            </w:pPr>
          </w:p>
        </w:tc>
      </w:tr>
      <w:tr w14:paraId="37CE4C0F">
        <w:trPr>
          <w:trHeight w:val="68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089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650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铜管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ECA5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1.材质:磷脱氧铜管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2.规格:Φ15.88，含保温管</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2A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54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830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4220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A9A81">
            <w:pPr>
              <w:jc w:val="center"/>
              <w:rPr>
                <w:rFonts w:hint="eastAsia" w:ascii="宋体" w:hAnsi="宋体" w:eastAsia="宋体" w:cs="宋体"/>
                <w:i w:val="0"/>
                <w:iCs w:val="0"/>
                <w:color w:val="auto"/>
                <w:sz w:val="22"/>
                <w:szCs w:val="22"/>
                <w:highlight w:val="none"/>
                <w:u w:val="none"/>
              </w:rPr>
            </w:pPr>
          </w:p>
        </w:tc>
      </w:tr>
      <w:tr w14:paraId="21607E19">
        <w:trPr>
          <w:trHeight w:val="68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1B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869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铜管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C0F0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1.材质:磷脱氧铜管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2.规格:Φ28.8，含保温管</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16F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6C9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80.00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64E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907F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A102">
            <w:pPr>
              <w:jc w:val="center"/>
              <w:rPr>
                <w:rFonts w:hint="eastAsia" w:ascii="宋体" w:hAnsi="宋体" w:eastAsia="宋体" w:cs="宋体"/>
                <w:i w:val="0"/>
                <w:iCs w:val="0"/>
                <w:color w:val="auto"/>
                <w:sz w:val="22"/>
                <w:szCs w:val="22"/>
                <w:highlight w:val="none"/>
                <w:u w:val="none"/>
              </w:rPr>
            </w:pPr>
          </w:p>
        </w:tc>
      </w:tr>
      <w:tr w14:paraId="4A0DAFC6">
        <w:trPr>
          <w:trHeight w:val="68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3C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B3B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冷凝水管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6FB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1.材质:PVC-U</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2.规格:Φ25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8D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A1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2B18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635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ADD8">
            <w:pPr>
              <w:jc w:val="center"/>
              <w:rPr>
                <w:rFonts w:hint="eastAsia" w:ascii="宋体" w:hAnsi="宋体" w:eastAsia="宋体" w:cs="宋体"/>
                <w:i w:val="0"/>
                <w:iCs w:val="0"/>
                <w:color w:val="auto"/>
                <w:sz w:val="22"/>
                <w:szCs w:val="22"/>
                <w:highlight w:val="none"/>
                <w:u w:val="none"/>
              </w:rPr>
            </w:pPr>
          </w:p>
        </w:tc>
      </w:tr>
      <w:tr w14:paraId="6D3AF7DF">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A5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58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工程保温管扎带</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066F">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74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卷</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4A2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37D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3D08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524C5">
            <w:pPr>
              <w:jc w:val="center"/>
              <w:rPr>
                <w:rFonts w:hint="eastAsia" w:ascii="宋体" w:hAnsi="宋体" w:eastAsia="宋体" w:cs="宋体"/>
                <w:i w:val="0"/>
                <w:iCs w:val="0"/>
                <w:color w:val="auto"/>
                <w:sz w:val="22"/>
                <w:szCs w:val="22"/>
                <w:highlight w:val="none"/>
                <w:u w:val="none"/>
              </w:rPr>
            </w:pPr>
          </w:p>
        </w:tc>
      </w:tr>
      <w:tr w14:paraId="02817AD9">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FDB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EE37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制冷剂</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D38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R410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F2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桶</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40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DFC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52E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E542C">
            <w:pPr>
              <w:jc w:val="center"/>
              <w:rPr>
                <w:rFonts w:hint="eastAsia" w:ascii="宋体" w:hAnsi="宋体" w:eastAsia="宋体" w:cs="宋体"/>
                <w:i w:val="0"/>
                <w:iCs w:val="0"/>
                <w:color w:val="auto"/>
                <w:sz w:val="22"/>
                <w:szCs w:val="22"/>
                <w:highlight w:val="none"/>
                <w:u w:val="none"/>
              </w:rPr>
            </w:pPr>
          </w:p>
        </w:tc>
      </w:tr>
      <w:tr w14:paraId="67869079">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28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4E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设备减震件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D86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橡胶减震垫</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A0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AA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D378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3DA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194A">
            <w:pPr>
              <w:jc w:val="center"/>
              <w:rPr>
                <w:rFonts w:hint="eastAsia" w:ascii="宋体" w:hAnsi="宋体" w:eastAsia="宋体" w:cs="宋体"/>
                <w:i w:val="0"/>
                <w:iCs w:val="0"/>
                <w:color w:val="auto"/>
                <w:sz w:val="22"/>
                <w:szCs w:val="22"/>
                <w:highlight w:val="none"/>
                <w:u w:val="none"/>
              </w:rPr>
            </w:pPr>
          </w:p>
        </w:tc>
      </w:tr>
      <w:tr w14:paraId="13914E1C">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74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A40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设备底座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EC1C">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26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BD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FB6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2326">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DA68">
            <w:pPr>
              <w:jc w:val="center"/>
              <w:rPr>
                <w:rFonts w:hint="eastAsia" w:ascii="宋体" w:hAnsi="宋体" w:eastAsia="宋体" w:cs="宋体"/>
                <w:i w:val="0"/>
                <w:iCs w:val="0"/>
                <w:color w:val="auto"/>
                <w:sz w:val="22"/>
                <w:szCs w:val="22"/>
                <w:highlight w:val="none"/>
                <w:u w:val="none"/>
              </w:rPr>
            </w:pPr>
          </w:p>
        </w:tc>
      </w:tr>
      <w:tr w14:paraId="580C8982">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4C6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A9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分体式高效送风口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B40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320*320*90，含静压箱、铝板扩散板、高效过滤器</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A74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D25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45D2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0AC7F">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0E2C9">
            <w:pPr>
              <w:jc w:val="center"/>
              <w:rPr>
                <w:rFonts w:hint="eastAsia" w:ascii="宋体" w:hAnsi="宋体" w:eastAsia="宋体" w:cs="宋体"/>
                <w:i w:val="0"/>
                <w:iCs w:val="0"/>
                <w:color w:val="auto"/>
                <w:sz w:val="22"/>
                <w:szCs w:val="22"/>
                <w:highlight w:val="none"/>
                <w:u w:val="none"/>
              </w:rPr>
            </w:pPr>
          </w:p>
        </w:tc>
      </w:tr>
      <w:tr w14:paraId="49A92633">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3BF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188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分体式高效送风口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B5DB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484*484*90，含静压箱、铝板扩散板、高效过滤器</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4E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31A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E23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3585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F0D1">
            <w:pPr>
              <w:jc w:val="center"/>
              <w:rPr>
                <w:rFonts w:hint="eastAsia" w:ascii="宋体" w:hAnsi="宋体" w:eastAsia="宋体" w:cs="宋体"/>
                <w:i w:val="0"/>
                <w:iCs w:val="0"/>
                <w:color w:val="auto"/>
                <w:sz w:val="22"/>
                <w:szCs w:val="22"/>
                <w:highlight w:val="none"/>
                <w:u w:val="none"/>
              </w:rPr>
            </w:pPr>
          </w:p>
        </w:tc>
      </w:tr>
      <w:tr w14:paraId="58D16B83">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B29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33A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分体式高效送风口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B32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630*630*90，含静压箱、铝板扩散板、高效过滤器</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7C0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A6F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E7B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6C29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FDD3">
            <w:pPr>
              <w:jc w:val="center"/>
              <w:rPr>
                <w:rFonts w:hint="eastAsia" w:ascii="宋体" w:hAnsi="宋体" w:eastAsia="宋体" w:cs="宋体"/>
                <w:i w:val="0"/>
                <w:iCs w:val="0"/>
                <w:color w:val="auto"/>
                <w:sz w:val="22"/>
                <w:szCs w:val="22"/>
                <w:highlight w:val="none"/>
                <w:u w:val="none"/>
              </w:rPr>
            </w:pPr>
          </w:p>
        </w:tc>
      </w:tr>
      <w:tr w14:paraId="1E89FDDC">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08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EFE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A46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250×250(带过滤网，调节阀，可开式）</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B3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7CD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C791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D0E5C">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81D4">
            <w:pPr>
              <w:jc w:val="center"/>
              <w:rPr>
                <w:rFonts w:hint="eastAsia" w:ascii="宋体" w:hAnsi="宋体" w:eastAsia="宋体" w:cs="宋体"/>
                <w:i w:val="0"/>
                <w:iCs w:val="0"/>
                <w:color w:val="auto"/>
                <w:sz w:val="22"/>
                <w:szCs w:val="22"/>
                <w:highlight w:val="none"/>
                <w:u w:val="none"/>
              </w:rPr>
            </w:pPr>
          </w:p>
        </w:tc>
      </w:tr>
      <w:tr w14:paraId="6D652AE5">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EFC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BCC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881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400×250(带过滤网，调节阀，可开式）</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4E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94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248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52BF0">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62A36">
            <w:pPr>
              <w:jc w:val="center"/>
              <w:rPr>
                <w:rFonts w:hint="eastAsia" w:ascii="宋体" w:hAnsi="宋体" w:eastAsia="宋体" w:cs="宋体"/>
                <w:i w:val="0"/>
                <w:iCs w:val="0"/>
                <w:color w:val="auto"/>
                <w:sz w:val="22"/>
                <w:szCs w:val="22"/>
                <w:highlight w:val="none"/>
                <w:u w:val="none"/>
              </w:rPr>
            </w:pPr>
          </w:p>
        </w:tc>
      </w:tr>
      <w:tr w14:paraId="60843021">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78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97FB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8B9A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400×320(带过滤网，调节阀，可开式）</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0EA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C49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F166">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7D2A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8E0F">
            <w:pPr>
              <w:jc w:val="center"/>
              <w:rPr>
                <w:rFonts w:hint="eastAsia" w:ascii="宋体" w:hAnsi="宋体" w:eastAsia="宋体" w:cs="宋体"/>
                <w:i w:val="0"/>
                <w:iCs w:val="0"/>
                <w:color w:val="auto"/>
                <w:sz w:val="22"/>
                <w:szCs w:val="22"/>
                <w:highlight w:val="none"/>
                <w:u w:val="none"/>
              </w:rPr>
            </w:pPr>
          </w:p>
        </w:tc>
      </w:tr>
      <w:tr w14:paraId="7722C0C7">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948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B668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铝合金可调百叶风口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3BA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500×320(带过滤网，调节阀，可开式）</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9AF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434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852B">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8424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6A2E">
            <w:pPr>
              <w:jc w:val="center"/>
              <w:rPr>
                <w:rFonts w:hint="eastAsia" w:ascii="宋体" w:hAnsi="宋体" w:eastAsia="宋体" w:cs="宋体"/>
                <w:i w:val="0"/>
                <w:iCs w:val="0"/>
                <w:color w:val="auto"/>
                <w:sz w:val="22"/>
                <w:szCs w:val="22"/>
                <w:highlight w:val="none"/>
                <w:u w:val="none"/>
              </w:rPr>
            </w:pPr>
          </w:p>
        </w:tc>
      </w:tr>
      <w:tr w14:paraId="3D71B324">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08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9783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防雨百叶风口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923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1200×630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ED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E40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42CC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9608F">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638D">
            <w:pPr>
              <w:jc w:val="center"/>
              <w:rPr>
                <w:rFonts w:hint="eastAsia" w:ascii="宋体" w:hAnsi="宋体" w:eastAsia="宋体" w:cs="宋体"/>
                <w:i w:val="0"/>
                <w:iCs w:val="0"/>
                <w:color w:val="auto"/>
                <w:sz w:val="22"/>
                <w:szCs w:val="22"/>
                <w:highlight w:val="none"/>
                <w:u w:val="none"/>
              </w:rPr>
            </w:pPr>
          </w:p>
        </w:tc>
      </w:tr>
      <w:tr w14:paraId="2946CCE6">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629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E32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电动密闭阀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7F2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400×250，电压24v，含执行器</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4D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DD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A1A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1645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E0E40">
            <w:pPr>
              <w:jc w:val="center"/>
              <w:rPr>
                <w:rFonts w:hint="eastAsia" w:ascii="宋体" w:hAnsi="宋体" w:eastAsia="宋体" w:cs="宋体"/>
                <w:i w:val="0"/>
                <w:iCs w:val="0"/>
                <w:color w:val="auto"/>
                <w:sz w:val="22"/>
                <w:szCs w:val="22"/>
                <w:highlight w:val="none"/>
                <w:u w:val="none"/>
              </w:rPr>
            </w:pPr>
          </w:p>
        </w:tc>
      </w:tr>
      <w:tr w14:paraId="79F854BD">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2A2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0E17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电动密闭阀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C243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1000×400，电压24v，含执行器</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C3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40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8402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894D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D521A">
            <w:pPr>
              <w:jc w:val="center"/>
              <w:rPr>
                <w:rFonts w:hint="eastAsia" w:ascii="宋体" w:hAnsi="宋体" w:eastAsia="宋体" w:cs="宋体"/>
                <w:i w:val="0"/>
                <w:iCs w:val="0"/>
                <w:color w:val="auto"/>
                <w:sz w:val="22"/>
                <w:szCs w:val="22"/>
                <w:highlight w:val="none"/>
                <w:u w:val="none"/>
              </w:rPr>
            </w:pPr>
          </w:p>
        </w:tc>
      </w:tr>
      <w:tr w14:paraId="45AE3F84">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F5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FB9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防火阀（70℃）</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942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500×320，70℃熔断，矩形钢制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88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206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774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F886">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883F">
            <w:pPr>
              <w:jc w:val="center"/>
              <w:rPr>
                <w:rFonts w:hint="eastAsia" w:ascii="宋体" w:hAnsi="宋体" w:eastAsia="宋体" w:cs="宋体"/>
                <w:i w:val="0"/>
                <w:iCs w:val="0"/>
                <w:color w:val="auto"/>
                <w:sz w:val="22"/>
                <w:szCs w:val="22"/>
                <w:highlight w:val="none"/>
                <w:u w:val="none"/>
              </w:rPr>
            </w:pPr>
          </w:p>
        </w:tc>
      </w:tr>
      <w:tr w14:paraId="4BC5D446">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6C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DC9F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918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200×200，矩形钢制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6C5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5F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18.00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BF95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2F3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294E">
            <w:pPr>
              <w:jc w:val="center"/>
              <w:rPr>
                <w:rFonts w:hint="eastAsia" w:ascii="宋体" w:hAnsi="宋体" w:eastAsia="宋体" w:cs="宋体"/>
                <w:i w:val="0"/>
                <w:iCs w:val="0"/>
                <w:color w:val="auto"/>
                <w:sz w:val="22"/>
                <w:szCs w:val="22"/>
                <w:highlight w:val="none"/>
                <w:u w:val="none"/>
              </w:rPr>
            </w:pPr>
          </w:p>
        </w:tc>
      </w:tr>
      <w:tr w14:paraId="42004D34">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A9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73FD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916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250×200，矩形钢制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F07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747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B6B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A4D6">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0AB4">
            <w:pPr>
              <w:jc w:val="center"/>
              <w:rPr>
                <w:rFonts w:hint="eastAsia" w:ascii="宋体" w:hAnsi="宋体" w:eastAsia="宋体" w:cs="宋体"/>
                <w:i w:val="0"/>
                <w:iCs w:val="0"/>
                <w:color w:val="auto"/>
                <w:sz w:val="22"/>
                <w:szCs w:val="22"/>
                <w:highlight w:val="none"/>
                <w:u w:val="none"/>
              </w:rPr>
            </w:pPr>
          </w:p>
        </w:tc>
      </w:tr>
      <w:tr w14:paraId="7A37CDC5">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50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8A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2A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320×200，矩形钢制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D2C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55B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0F3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D61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76F7D">
            <w:pPr>
              <w:jc w:val="center"/>
              <w:rPr>
                <w:rFonts w:hint="eastAsia" w:ascii="宋体" w:hAnsi="宋体" w:eastAsia="宋体" w:cs="宋体"/>
                <w:i w:val="0"/>
                <w:iCs w:val="0"/>
                <w:color w:val="auto"/>
                <w:sz w:val="22"/>
                <w:szCs w:val="22"/>
                <w:highlight w:val="none"/>
                <w:u w:val="none"/>
              </w:rPr>
            </w:pPr>
          </w:p>
        </w:tc>
      </w:tr>
      <w:tr w14:paraId="27536385">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ED9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E8C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088F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320×250，矩形钢制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7D2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D9A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50B0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6970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1937">
            <w:pPr>
              <w:jc w:val="center"/>
              <w:rPr>
                <w:rFonts w:hint="eastAsia" w:ascii="宋体" w:hAnsi="宋体" w:eastAsia="宋体" w:cs="宋体"/>
                <w:i w:val="0"/>
                <w:iCs w:val="0"/>
                <w:color w:val="auto"/>
                <w:sz w:val="22"/>
                <w:szCs w:val="22"/>
                <w:highlight w:val="none"/>
                <w:u w:val="none"/>
              </w:rPr>
            </w:pPr>
          </w:p>
        </w:tc>
      </w:tr>
      <w:tr w14:paraId="2DE1A30A">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2B6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DF0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47E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400×200，矩形钢制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B20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00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A13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F8AA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DB3D">
            <w:pPr>
              <w:jc w:val="center"/>
              <w:rPr>
                <w:rFonts w:hint="eastAsia" w:ascii="宋体" w:hAnsi="宋体" w:eastAsia="宋体" w:cs="宋体"/>
                <w:i w:val="0"/>
                <w:iCs w:val="0"/>
                <w:color w:val="auto"/>
                <w:sz w:val="22"/>
                <w:szCs w:val="22"/>
                <w:highlight w:val="none"/>
                <w:u w:val="none"/>
              </w:rPr>
            </w:pPr>
          </w:p>
        </w:tc>
      </w:tr>
      <w:tr w14:paraId="0A945F42">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4F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F4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2E7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400×250，矩形钢制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EFD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1F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9DB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F8374">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25BB">
            <w:pPr>
              <w:jc w:val="center"/>
              <w:rPr>
                <w:rFonts w:hint="eastAsia" w:ascii="宋体" w:hAnsi="宋体" w:eastAsia="宋体" w:cs="宋体"/>
                <w:i w:val="0"/>
                <w:iCs w:val="0"/>
                <w:color w:val="auto"/>
                <w:sz w:val="22"/>
                <w:szCs w:val="22"/>
                <w:highlight w:val="none"/>
                <w:u w:val="none"/>
              </w:rPr>
            </w:pPr>
          </w:p>
        </w:tc>
      </w:tr>
      <w:tr w14:paraId="1050CF66">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1E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7E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手动调节阀</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3AE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1000×400，矩形钢制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59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59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6B3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8F86">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0633">
            <w:pPr>
              <w:jc w:val="center"/>
              <w:rPr>
                <w:rFonts w:hint="eastAsia" w:ascii="宋体" w:hAnsi="宋体" w:eastAsia="宋体" w:cs="宋体"/>
                <w:i w:val="0"/>
                <w:iCs w:val="0"/>
                <w:color w:val="auto"/>
                <w:sz w:val="22"/>
                <w:szCs w:val="22"/>
                <w:highlight w:val="none"/>
                <w:u w:val="none"/>
              </w:rPr>
            </w:pPr>
          </w:p>
        </w:tc>
      </w:tr>
      <w:tr w14:paraId="4BAA5B06">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DA3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526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微孔消声器</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7C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1000×400×1000,微孔板直径1.0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0F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55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CCB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0B95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55B2">
            <w:pPr>
              <w:jc w:val="center"/>
              <w:rPr>
                <w:rFonts w:hint="eastAsia" w:ascii="宋体" w:hAnsi="宋体" w:eastAsia="宋体" w:cs="宋体"/>
                <w:i w:val="0"/>
                <w:iCs w:val="0"/>
                <w:color w:val="auto"/>
                <w:sz w:val="22"/>
                <w:szCs w:val="22"/>
                <w:highlight w:val="none"/>
                <w:u w:val="none"/>
              </w:rPr>
            </w:pPr>
          </w:p>
        </w:tc>
      </w:tr>
      <w:tr w14:paraId="127067FC">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3A6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C71A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静压箱</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79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厚度=1.0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22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6A8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9A6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EAF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DBCDE">
            <w:pPr>
              <w:jc w:val="center"/>
              <w:rPr>
                <w:rFonts w:hint="eastAsia" w:ascii="宋体" w:hAnsi="宋体" w:eastAsia="宋体" w:cs="宋体"/>
                <w:i w:val="0"/>
                <w:iCs w:val="0"/>
                <w:color w:val="auto"/>
                <w:sz w:val="22"/>
                <w:szCs w:val="22"/>
                <w:highlight w:val="none"/>
                <w:u w:val="none"/>
              </w:rPr>
            </w:pPr>
          </w:p>
        </w:tc>
      </w:tr>
      <w:tr w14:paraId="065CAF77">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9C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3C8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镀锌铁皮</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AB3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27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334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47.50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443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3B5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19E6">
            <w:pPr>
              <w:jc w:val="center"/>
              <w:rPr>
                <w:rFonts w:hint="eastAsia" w:ascii="宋体" w:hAnsi="宋体" w:eastAsia="宋体" w:cs="宋体"/>
                <w:i w:val="0"/>
                <w:iCs w:val="0"/>
                <w:color w:val="auto"/>
                <w:sz w:val="22"/>
                <w:szCs w:val="22"/>
                <w:highlight w:val="none"/>
                <w:u w:val="none"/>
              </w:rPr>
            </w:pPr>
          </w:p>
        </w:tc>
      </w:tr>
      <w:tr w14:paraId="2D708810">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504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E1C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镀锌铁皮</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068E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d=0.75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9D0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328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125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CA39">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C4B9">
            <w:pPr>
              <w:jc w:val="center"/>
              <w:rPr>
                <w:rFonts w:hint="eastAsia" w:ascii="宋体" w:hAnsi="宋体" w:eastAsia="宋体" w:cs="宋体"/>
                <w:i w:val="0"/>
                <w:iCs w:val="0"/>
                <w:color w:val="auto"/>
                <w:sz w:val="22"/>
                <w:szCs w:val="22"/>
                <w:highlight w:val="none"/>
                <w:u w:val="none"/>
              </w:rPr>
            </w:pPr>
          </w:p>
        </w:tc>
      </w:tr>
      <w:tr w14:paraId="4721CF98">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79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0D93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镀锌铁皮</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43AC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d=0.6</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63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EE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332.50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8D43B">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1B77A">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221C4">
            <w:pPr>
              <w:jc w:val="center"/>
              <w:rPr>
                <w:rFonts w:hint="eastAsia" w:ascii="宋体" w:hAnsi="宋体" w:eastAsia="宋体" w:cs="宋体"/>
                <w:i w:val="0"/>
                <w:iCs w:val="0"/>
                <w:color w:val="auto"/>
                <w:sz w:val="22"/>
                <w:szCs w:val="22"/>
                <w:highlight w:val="none"/>
                <w:u w:val="none"/>
              </w:rPr>
            </w:pPr>
          </w:p>
        </w:tc>
      </w:tr>
      <w:tr w14:paraId="3316B4E5">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6C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747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软接口</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FB12E">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3A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89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DA1D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04AC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2D49">
            <w:pPr>
              <w:jc w:val="center"/>
              <w:rPr>
                <w:rFonts w:hint="eastAsia" w:ascii="宋体" w:hAnsi="宋体" w:eastAsia="宋体" w:cs="宋体"/>
                <w:i w:val="0"/>
                <w:iCs w:val="0"/>
                <w:color w:val="auto"/>
                <w:sz w:val="22"/>
                <w:szCs w:val="22"/>
                <w:highlight w:val="none"/>
                <w:u w:val="none"/>
              </w:rPr>
            </w:pPr>
          </w:p>
        </w:tc>
      </w:tr>
      <w:tr w14:paraId="5E68CF3C">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EC6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CEB7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法兰型钢</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62A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材质：Q235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EA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吨</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791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1.43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885B">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164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28DF5">
            <w:pPr>
              <w:jc w:val="center"/>
              <w:rPr>
                <w:rFonts w:hint="eastAsia" w:ascii="宋体" w:hAnsi="宋体" w:eastAsia="宋体" w:cs="宋体"/>
                <w:i w:val="0"/>
                <w:iCs w:val="0"/>
                <w:color w:val="auto"/>
                <w:sz w:val="22"/>
                <w:szCs w:val="22"/>
                <w:highlight w:val="none"/>
                <w:u w:val="none"/>
              </w:rPr>
            </w:pPr>
          </w:p>
        </w:tc>
      </w:tr>
      <w:tr w14:paraId="20E2D2BD">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A20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99E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吊杆吊件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37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φ10、φ8（含膨胀螺栓、花兰）</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981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660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280.00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4938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309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7C743">
            <w:pPr>
              <w:jc w:val="center"/>
              <w:rPr>
                <w:rFonts w:hint="eastAsia" w:ascii="宋体" w:hAnsi="宋体" w:eastAsia="宋体" w:cs="宋体"/>
                <w:i w:val="0"/>
                <w:iCs w:val="0"/>
                <w:color w:val="auto"/>
                <w:sz w:val="22"/>
                <w:szCs w:val="22"/>
                <w:highlight w:val="none"/>
                <w:u w:val="none"/>
              </w:rPr>
            </w:pPr>
          </w:p>
        </w:tc>
      </w:tr>
      <w:tr w14:paraId="78D6A6EA">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7C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EE1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五金件及密封</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B0E2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螺栓、铆钉、扎线</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095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14B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7CC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D9E5A">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F6E4">
            <w:pPr>
              <w:jc w:val="center"/>
              <w:rPr>
                <w:rFonts w:hint="eastAsia" w:ascii="宋体" w:hAnsi="宋体" w:eastAsia="宋体" w:cs="宋体"/>
                <w:i w:val="0"/>
                <w:iCs w:val="0"/>
                <w:color w:val="auto"/>
                <w:sz w:val="22"/>
                <w:szCs w:val="22"/>
                <w:highlight w:val="none"/>
                <w:u w:val="none"/>
              </w:rPr>
            </w:pPr>
          </w:p>
        </w:tc>
      </w:tr>
      <w:tr w14:paraId="61773A3A">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3AA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86E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风管保温</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12A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δ=20 mm,B1级</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69E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F8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C2D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2454">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4300">
            <w:pPr>
              <w:jc w:val="center"/>
              <w:rPr>
                <w:rFonts w:hint="eastAsia" w:ascii="宋体" w:hAnsi="宋体" w:eastAsia="宋体" w:cs="宋体"/>
                <w:i w:val="0"/>
                <w:iCs w:val="0"/>
                <w:color w:val="auto"/>
                <w:sz w:val="22"/>
                <w:szCs w:val="22"/>
                <w:highlight w:val="none"/>
                <w:u w:val="none"/>
              </w:rPr>
            </w:pPr>
          </w:p>
        </w:tc>
      </w:tr>
      <w:tr w14:paraId="242DA48B">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A29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D87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保温用胶水</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516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10Kg/桶</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1F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r>
              <w:rPr>
                <w:rStyle w:val="473"/>
                <w:rFonts w:hint="eastAsia" w:ascii="宋体" w:hAnsi="宋体" w:eastAsia="宋体" w:cs="宋体"/>
                <w:color w:val="auto"/>
                <w:highlight w:val="none"/>
                <w:lang w:val="en-US" w:eastAsia="zh-CN" w:bidi="ar"/>
              </w:rPr>
              <w:t>2</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7D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FE47">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FB2C">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2DB8C">
            <w:pPr>
              <w:jc w:val="center"/>
              <w:rPr>
                <w:rFonts w:hint="eastAsia" w:ascii="宋体" w:hAnsi="宋体" w:eastAsia="宋体" w:cs="宋体"/>
                <w:i w:val="0"/>
                <w:iCs w:val="0"/>
                <w:color w:val="auto"/>
                <w:sz w:val="22"/>
                <w:szCs w:val="22"/>
                <w:highlight w:val="none"/>
                <w:u w:val="none"/>
              </w:rPr>
            </w:pPr>
          </w:p>
        </w:tc>
      </w:tr>
      <w:tr w14:paraId="72F50054">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C4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2A2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AA89">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3F67">
            <w:pPr>
              <w:jc w:val="center"/>
              <w:rPr>
                <w:rFonts w:hint="eastAsia" w:ascii="宋体" w:hAnsi="宋体" w:eastAsia="宋体" w:cs="宋体"/>
                <w:i w:val="0"/>
                <w:iCs w:val="0"/>
                <w:color w:val="auto"/>
                <w:sz w:val="22"/>
                <w:szCs w:val="22"/>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3B8C">
            <w:pPr>
              <w:jc w:val="center"/>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FFC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4B3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B714">
            <w:pPr>
              <w:jc w:val="center"/>
              <w:rPr>
                <w:rFonts w:hint="eastAsia" w:ascii="宋体" w:hAnsi="宋体" w:eastAsia="宋体" w:cs="宋体"/>
                <w:i w:val="0"/>
                <w:iCs w:val="0"/>
                <w:color w:val="auto"/>
                <w:sz w:val="22"/>
                <w:szCs w:val="22"/>
                <w:highlight w:val="none"/>
                <w:u w:val="none"/>
              </w:rPr>
            </w:pPr>
          </w:p>
        </w:tc>
      </w:tr>
      <w:tr w14:paraId="49F6006F">
        <w:trPr>
          <w:trHeight w:val="426"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3B0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471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ADC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电气部分</w:t>
            </w:r>
          </w:p>
        </w:tc>
      </w:tr>
      <w:tr w14:paraId="67C38819">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A72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F6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LED净化专用洁净灯</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67D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900*300,36W</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202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C2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6F4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27E1D">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F6CB5">
            <w:pPr>
              <w:jc w:val="center"/>
              <w:rPr>
                <w:rFonts w:hint="eastAsia" w:ascii="宋体" w:hAnsi="宋体" w:eastAsia="宋体" w:cs="宋体"/>
                <w:i w:val="0"/>
                <w:iCs w:val="0"/>
                <w:color w:val="auto"/>
                <w:sz w:val="22"/>
                <w:szCs w:val="22"/>
                <w:highlight w:val="none"/>
                <w:u w:val="none"/>
              </w:rPr>
            </w:pPr>
          </w:p>
        </w:tc>
      </w:tr>
      <w:tr w14:paraId="2CD9B04B">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A27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EC42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LED净化专用洁净灯</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2DA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1200*300,48W</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09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C4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249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B675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FCBB">
            <w:pPr>
              <w:jc w:val="center"/>
              <w:rPr>
                <w:rFonts w:hint="eastAsia" w:ascii="宋体" w:hAnsi="宋体" w:eastAsia="宋体" w:cs="宋体"/>
                <w:i w:val="0"/>
                <w:iCs w:val="0"/>
                <w:color w:val="auto"/>
                <w:sz w:val="22"/>
                <w:szCs w:val="22"/>
                <w:highlight w:val="none"/>
                <w:u w:val="none"/>
              </w:rPr>
            </w:pPr>
          </w:p>
        </w:tc>
      </w:tr>
      <w:tr w14:paraId="1E4D6927">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57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AFCD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应急电源装置</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5CE3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r>
              <w:rPr>
                <w:rStyle w:val="474"/>
                <w:rFonts w:hint="eastAsia" w:ascii="宋体" w:hAnsi="宋体" w:eastAsia="宋体" w:cs="宋体"/>
                <w:color w:val="auto"/>
                <w:highlight w:val="none"/>
                <w:lang w:val="en-US" w:eastAsia="zh-CN" w:bidi="ar"/>
              </w:rPr>
              <w:t>0V/3.7V，应急90min</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5FF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2F4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2B1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D54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470E">
            <w:pPr>
              <w:jc w:val="center"/>
              <w:rPr>
                <w:rFonts w:hint="eastAsia" w:ascii="宋体" w:hAnsi="宋体" w:eastAsia="宋体" w:cs="宋体"/>
                <w:i w:val="0"/>
                <w:iCs w:val="0"/>
                <w:color w:val="auto"/>
                <w:sz w:val="22"/>
                <w:szCs w:val="22"/>
                <w:highlight w:val="none"/>
                <w:u w:val="none"/>
              </w:rPr>
            </w:pPr>
          </w:p>
        </w:tc>
      </w:tr>
      <w:tr w14:paraId="7D7C14A5">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53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F60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安全出口灯</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909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暗装</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47E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52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6B2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6D30">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2682">
            <w:pPr>
              <w:jc w:val="center"/>
              <w:rPr>
                <w:rFonts w:hint="eastAsia" w:ascii="宋体" w:hAnsi="宋体" w:eastAsia="宋体" w:cs="宋体"/>
                <w:i w:val="0"/>
                <w:iCs w:val="0"/>
                <w:color w:val="auto"/>
                <w:sz w:val="22"/>
                <w:szCs w:val="22"/>
                <w:highlight w:val="none"/>
                <w:u w:val="none"/>
              </w:rPr>
            </w:pPr>
          </w:p>
        </w:tc>
      </w:tr>
      <w:tr w14:paraId="5C5842BF">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6FC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56A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单向疏散指示灯</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3A2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暗装</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BF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5F0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EFB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002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BCEC">
            <w:pPr>
              <w:jc w:val="center"/>
              <w:rPr>
                <w:rFonts w:hint="eastAsia" w:ascii="宋体" w:hAnsi="宋体" w:eastAsia="宋体" w:cs="宋体"/>
                <w:i w:val="0"/>
                <w:iCs w:val="0"/>
                <w:color w:val="auto"/>
                <w:sz w:val="22"/>
                <w:szCs w:val="22"/>
                <w:highlight w:val="none"/>
                <w:u w:val="none"/>
              </w:rPr>
            </w:pPr>
          </w:p>
        </w:tc>
      </w:tr>
      <w:tr w14:paraId="6B1B3545">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7E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F41B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紫外线灭菌灯</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AF57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F56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70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33.00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B5A9B">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E1E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D769">
            <w:pPr>
              <w:jc w:val="center"/>
              <w:rPr>
                <w:rFonts w:hint="eastAsia" w:ascii="宋体" w:hAnsi="宋体" w:eastAsia="宋体" w:cs="宋体"/>
                <w:i w:val="0"/>
                <w:iCs w:val="0"/>
                <w:color w:val="auto"/>
                <w:sz w:val="22"/>
                <w:szCs w:val="22"/>
                <w:highlight w:val="none"/>
                <w:u w:val="none"/>
              </w:rPr>
            </w:pPr>
          </w:p>
        </w:tc>
      </w:tr>
      <w:tr w14:paraId="7E980F3F">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C8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35FE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887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BV-2.5mm</w:t>
            </w:r>
            <w:r>
              <w:rPr>
                <w:rStyle w:val="475"/>
                <w:rFonts w:hint="eastAsia" w:ascii="宋体" w:hAnsi="宋体" w:eastAsia="宋体" w:cs="宋体"/>
                <w:color w:val="auto"/>
                <w:highlight w:val="none"/>
                <w:lang w:val="en-US" w:eastAsia="zh-CN" w:bidi="ar"/>
              </w:rPr>
              <w:t>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948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D4D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1300.00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335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E86C">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1218">
            <w:pPr>
              <w:jc w:val="center"/>
              <w:rPr>
                <w:rFonts w:hint="eastAsia" w:ascii="宋体" w:hAnsi="宋体" w:eastAsia="宋体" w:cs="宋体"/>
                <w:i w:val="0"/>
                <w:iCs w:val="0"/>
                <w:color w:val="auto"/>
                <w:sz w:val="22"/>
                <w:szCs w:val="22"/>
                <w:highlight w:val="none"/>
                <w:u w:val="none"/>
              </w:rPr>
            </w:pPr>
          </w:p>
        </w:tc>
      </w:tr>
      <w:tr w14:paraId="39FED9D7">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FD6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969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15CC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BV-4mm2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F6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E16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E72D">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A40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84DF">
            <w:pPr>
              <w:jc w:val="center"/>
              <w:rPr>
                <w:rFonts w:hint="eastAsia" w:ascii="宋体" w:hAnsi="宋体" w:eastAsia="宋体" w:cs="宋体"/>
                <w:i w:val="0"/>
                <w:iCs w:val="0"/>
                <w:color w:val="auto"/>
                <w:sz w:val="22"/>
                <w:szCs w:val="22"/>
                <w:highlight w:val="none"/>
                <w:u w:val="none"/>
              </w:rPr>
            </w:pPr>
          </w:p>
        </w:tc>
      </w:tr>
      <w:tr w14:paraId="477B3948">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D9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252E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933B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BV-6mm2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A2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7D5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816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0EAB">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150D3">
            <w:pPr>
              <w:jc w:val="center"/>
              <w:rPr>
                <w:rFonts w:hint="eastAsia" w:ascii="宋体" w:hAnsi="宋体" w:eastAsia="宋体" w:cs="宋体"/>
                <w:i w:val="0"/>
                <w:iCs w:val="0"/>
                <w:color w:val="auto"/>
                <w:sz w:val="22"/>
                <w:szCs w:val="22"/>
                <w:highlight w:val="none"/>
                <w:u w:val="none"/>
              </w:rPr>
            </w:pPr>
          </w:p>
        </w:tc>
      </w:tr>
      <w:tr w14:paraId="1BA6A53A">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C33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90B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5729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YJV-5×</w:t>
            </w:r>
            <w:r>
              <w:rPr>
                <w:rStyle w:val="476"/>
                <w:rFonts w:hint="eastAsia" w:ascii="宋体" w:hAnsi="宋体" w:eastAsia="宋体" w:cs="宋体"/>
                <w:color w:val="auto"/>
                <w:highlight w:val="none"/>
                <w:lang w:val="en-US" w:eastAsia="zh-CN" w:bidi="ar"/>
              </w:rPr>
              <w:t>4</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43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E7F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0427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1B40">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4B64">
            <w:pPr>
              <w:jc w:val="center"/>
              <w:rPr>
                <w:rFonts w:hint="eastAsia" w:ascii="宋体" w:hAnsi="宋体" w:eastAsia="宋体" w:cs="宋体"/>
                <w:i w:val="0"/>
                <w:iCs w:val="0"/>
                <w:color w:val="auto"/>
                <w:sz w:val="22"/>
                <w:szCs w:val="22"/>
                <w:highlight w:val="none"/>
                <w:u w:val="none"/>
              </w:rPr>
            </w:pPr>
          </w:p>
        </w:tc>
      </w:tr>
      <w:tr w14:paraId="295080BD">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0C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E7C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BA7C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YJV-5×16</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49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97A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339D">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DE6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0274">
            <w:pPr>
              <w:jc w:val="center"/>
              <w:rPr>
                <w:rFonts w:hint="eastAsia" w:ascii="宋体" w:hAnsi="宋体" w:eastAsia="宋体" w:cs="宋体"/>
                <w:i w:val="0"/>
                <w:iCs w:val="0"/>
                <w:color w:val="auto"/>
                <w:sz w:val="22"/>
                <w:szCs w:val="22"/>
                <w:highlight w:val="none"/>
                <w:u w:val="none"/>
              </w:rPr>
            </w:pPr>
          </w:p>
        </w:tc>
      </w:tr>
      <w:tr w14:paraId="70B496C8">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58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0120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06F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YJV-4×</w:t>
            </w:r>
            <w:r>
              <w:rPr>
                <w:rStyle w:val="476"/>
                <w:rFonts w:hint="eastAsia" w:ascii="宋体" w:hAnsi="宋体" w:eastAsia="宋体" w:cs="宋体"/>
                <w:color w:val="auto"/>
                <w:highlight w:val="none"/>
                <w:lang w:val="en-US" w:eastAsia="zh-CN" w:bidi="ar"/>
              </w:rPr>
              <w:t>35+1×16</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91A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823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DFDC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F44D">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AD55">
            <w:pPr>
              <w:jc w:val="center"/>
              <w:rPr>
                <w:rFonts w:hint="eastAsia" w:ascii="宋体" w:hAnsi="宋体" w:eastAsia="宋体" w:cs="宋体"/>
                <w:i w:val="0"/>
                <w:iCs w:val="0"/>
                <w:color w:val="auto"/>
                <w:sz w:val="22"/>
                <w:szCs w:val="22"/>
                <w:highlight w:val="none"/>
                <w:u w:val="none"/>
              </w:rPr>
            </w:pPr>
          </w:p>
        </w:tc>
      </w:tr>
      <w:tr w14:paraId="6030B961">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1E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FAD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动力线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552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YJV-4×</w:t>
            </w:r>
            <w:r>
              <w:rPr>
                <w:rStyle w:val="476"/>
                <w:rFonts w:hint="eastAsia" w:ascii="宋体" w:hAnsi="宋体" w:eastAsia="宋体" w:cs="宋体"/>
                <w:color w:val="auto"/>
                <w:highlight w:val="none"/>
                <w:lang w:val="en-US" w:eastAsia="zh-CN" w:bidi="ar"/>
              </w:rPr>
              <w:t>70+1×35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C1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CA5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49E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1DF8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4F49">
            <w:pPr>
              <w:jc w:val="center"/>
              <w:rPr>
                <w:rFonts w:hint="eastAsia" w:ascii="宋体" w:hAnsi="宋体" w:eastAsia="宋体" w:cs="宋体"/>
                <w:i w:val="0"/>
                <w:iCs w:val="0"/>
                <w:color w:val="auto"/>
                <w:sz w:val="22"/>
                <w:szCs w:val="22"/>
                <w:highlight w:val="none"/>
                <w:u w:val="none"/>
              </w:rPr>
            </w:pPr>
          </w:p>
        </w:tc>
      </w:tr>
      <w:tr w14:paraId="001E24E3">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55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E34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开关</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F50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86系列，单开单控</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87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2C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16.00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F2B77">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7EBAD">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D1826">
            <w:pPr>
              <w:jc w:val="center"/>
              <w:rPr>
                <w:rFonts w:hint="eastAsia" w:ascii="宋体" w:hAnsi="宋体" w:eastAsia="宋体" w:cs="宋体"/>
                <w:i w:val="0"/>
                <w:iCs w:val="0"/>
                <w:color w:val="auto"/>
                <w:sz w:val="22"/>
                <w:szCs w:val="22"/>
                <w:highlight w:val="none"/>
                <w:u w:val="none"/>
              </w:rPr>
            </w:pPr>
          </w:p>
        </w:tc>
      </w:tr>
      <w:tr w14:paraId="5FA0BEB4">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4A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09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开关</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A5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86系列，双开单控</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7A7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9B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BA74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E41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BD308">
            <w:pPr>
              <w:jc w:val="center"/>
              <w:rPr>
                <w:rFonts w:hint="eastAsia" w:ascii="宋体" w:hAnsi="宋体" w:eastAsia="宋体" w:cs="宋体"/>
                <w:i w:val="0"/>
                <w:iCs w:val="0"/>
                <w:color w:val="auto"/>
                <w:sz w:val="22"/>
                <w:szCs w:val="22"/>
                <w:highlight w:val="none"/>
                <w:u w:val="none"/>
              </w:rPr>
            </w:pPr>
          </w:p>
        </w:tc>
      </w:tr>
      <w:tr w14:paraId="1618CA0D">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3E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34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定时开关</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2809">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5D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CF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1C97">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227C4">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B683">
            <w:pPr>
              <w:jc w:val="center"/>
              <w:rPr>
                <w:rFonts w:hint="eastAsia" w:ascii="宋体" w:hAnsi="宋体" w:eastAsia="宋体" w:cs="宋体"/>
                <w:i w:val="0"/>
                <w:iCs w:val="0"/>
                <w:color w:val="auto"/>
                <w:sz w:val="22"/>
                <w:szCs w:val="22"/>
                <w:highlight w:val="none"/>
                <w:u w:val="none"/>
              </w:rPr>
            </w:pPr>
          </w:p>
        </w:tc>
      </w:tr>
      <w:tr w14:paraId="6FCDEBE7">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E6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54F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单相插座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98EA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86系列、五孔</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42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AD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D119">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8AA5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76522">
            <w:pPr>
              <w:jc w:val="center"/>
              <w:rPr>
                <w:rFonts w:hint="eastAsia" w:ascii="宋体" w:hAnsi="宋体" w:eastAsia="宋体" w:cs="宋体"/>
                <w:i w:val="0"/>
                <w:iCs w:val="0"/>
                <w:color w:val="auto"/>
                <w:sz w:val="22"/>
                <w:szCs w:val="22"/>
                <w:highlight w:val="none"/>
                <w:u w:val="none"/>
              </w:rPr>
            </w:pPr>
          </w:p>
        </w:tc>
      </w:tr>
      <w:tr w14:paraId="16899068">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202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213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网络插座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A19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86系列</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F5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0D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568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EC90">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4B324">
            <w:pPr>
              <w:jc w:val="center"/>
              <w:rPr>
                <w:rFonts w:hint="eastAsia" w:ascii="宋体" w:hAnsi="宋体" w:eastAsia="宋体" w:cs="宋体"/>
                <w:i w:val="0"/>
                <w:iCs w:val="0"/>
                <w:color w:val="auto"/>
                <w:sz w:val="22"/>
                <w:szCs w:val="22"/>
                <w:highlight w:val="none"/>
                <w:u w:val="none"/>
              </w:rPr>
            </w:pPr>
          </w:p>
        </w:tc>
      </w:tr>
      <w:tr w14:paraId="7B5F8A05">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D8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2A1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终端控制箱</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BCA2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实验室内大型仪器配置</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9D4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11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0EA87">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4BE4">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824F">
            <w:pPr>
              <w:jc w:val="center"/>
              <w:rPr>
                <w:rFonts w:hint="eastAsia" w:ascii="宋体" w:hAnsi="宋体" w:eastAsia="宋体" w:cs="宋体"/>
                <w:i w:val="0"/>
                <w:iCs w:val="0"/>
                <w:color w:val="auto"/>
                <w:sz w:val="22"/>
                <w:szCs w:val="22"/>
                <w:highlight w:val="none"/>
                <w:u w:val="none"/>
              </w:rPr>
            </w:pPr>
          </w:p>
        </w:tc>
      </w:tr>
      <w:tr w14:paraId="2BB0D7EA">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4D1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005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控制配电箱</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A1B8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满足实验室配置要求，含断路器、电流互感器等</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F9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DB6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A9A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D562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EC0A5">
            <w:pPr>
              <w:jc w:val="center"/>
              <w:rPr>
                <w:rFonts w:hint="eastAsia" w:ascii="宋体" w:hAnsi="宋体" w:eastAsia="宋体" w:cs="宋体"/>
                <w:i w:val="0"/>
                <w:iCs w:val="0"/>
                <w:color w:val="auto"/>
                <w:sz w:val="22"/>
                <w:szCs w:val="22"/>
                <w:highlight w:val="none"/>
                <w:u w:val="none"/>
              </w:rPr>
            </w:pPr>
          </w:p>
        </w:tc>
      </w:tr>
      <w:tr w14:paraId="220A81C5">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55C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8F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空调插座箱</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B842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满足实验室配置要求</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7F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0C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072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3212">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C2A9">
            <w:pPr>
              <w:jc w:val="center"/>
              <w:rPr>
                <w:rFonts w:hint="eastAsia" w:ascii="宋体" w:hAnsi="宋体" w:eastAsia="宋体" w:cs="宋体"/>
                <w:i w:val="0"/>
                <w:iCs w:val="0"/>
                <w:color w:val="auto"/>
                <w:sz w:val="22"/>
                <w:szCs w:val="22"/>
                <w:highlight w:val="none"/>
                <w:u w:val="none"/>
              </w:rPr>
            </w:pPr>
          </w:p>
        </w:tc>
      </w:tr>
      <w:tr w14:paraId="47A4FF91">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526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EA0C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照明插座箱</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BA7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满足实验室配置要求</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D7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4B6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B9A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BBA49">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FD88">
            <w:pPr>
              <w:jc w:val="center"/>
              <w:rPr>
                <w:rFonts w:hint="eastAsia" w:ascii="宋体" w:hAnsi="宋体" w:eastAsia="宋体" w:cs="宋体"/>
                <w:i w:val="0"/>
                <w:iCs w:val="0"/>
                <w:color w:val="auto"/>
                <w:sz w:val="22"/>
                <w:szCs w:val="22"/>
                <w:highlight w:val="none"/>
                <w:u w:val="none"/>
              </w:rPr>
            </w:pPr>
          </w:p>
        </w:tc>
      </w:tr>
      <w:tr w14:paraId="330C23C5">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CDE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3F9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控制屏蔽电缆</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97BD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RVVP-2*1.0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FA4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FE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9B9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454B">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9DD12">
            <w:pPr>
              <w:jc w:val="center"/>
              <w:rPr>
                <w:rFonts w:hint="eastAsia" w:ascii="宋体" w:hAnsi="宋体" w:eastAsia="宋体" w:cs="宋体"/>
                <w:i w:val="0"/>
                <w:iCs w:val="0"/>
                <w:color w:val="auto"/>
                <w:sz w:val="22"/>
                <w:szCs w:val="22"/>
                <w:highlight w:val="none"/>
                <w:u w:val="none"/>
              </w:rPr>
            </w:pPr>
          </w:p>
        </w:tc>
      </w:tr>
      <w:tr w14:paraId="178211ED">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3D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A375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控制屏蔽电缆</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780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RVVP-3*1.0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FF8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79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799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5299">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425CC">
            <w:pPr>
              <w:jc w:val="center"/>
              <w:rPr>
                <w:rFonts w:hint="eastAsia" w:ascii="宋体" w:hAnsi="宋体" w:eastAsia="宋体" w:cs="宋体"/>
                <w:i w:val="0"/>
                <w:iCs w:val="0"/>
                <w:color w:val="auto"/>
                <w:sz w:val="22"/>
                <w:szCs w:val="22"/>
                <w:highlight w:val="none"/>
                <w:u w:val="none"/>
              </w:rPr>
            </w:pPr>
          </w:p>
        </w:tc>
      </w:tr>
      <w:tr w14:paraId="6ED754DA">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7E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65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网络线</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6AEE">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E09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BF1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7573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43DB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7DCA">
            <w:pPr>
              <w:jc w:val="center"/>
              <w:rPr>
                <w:rFonts w:hint="eastAsia" w:ascii="宋体" w:hAnsi="宋体" w:eastAsia="宋体" w:cs="宋体"/>
                <w:i w:val="0"/>
                <w:iCs w:val="0"/>
                <w:color w:val="auto"/>
                <w:sz w:val="22"/>
                <w:szCs w:val="22"/>
                <w:highlight w:val="none"/>
                <w:u w:val="none"/>
              </w:rPr>
            </w:pPr>
          </w:p>
        </w:tc>
      </w:tr>
      <w:tr w14:paraId="03DFFC5D">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643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DAD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槽式桥架</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992A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200*100*1.0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93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3F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C55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F25D9">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AF2D7">
            <w:pPr>
              <w:jc w:val="center"/>
              <w:rPr>
                <w:rFonts w:hint="eastAsia" w:ascii="宋体" w:hAnsi="宋体" w:eastAsia="宋体" w:cs="宋体"/>
                <w:i w:val="0"/>
                <w:iCs w:val="0"/>
                <w:color w:val="auto"/>
                <w:sz w:val="22"/>
                <w:szCs w:val="22"/>
                <w:highlight w:val="none"/>
                <w:u w:val="none"/>
              </w:rPr>
            </w:pPr>
          </w:p>
        </w:tc>
      </w:tr>
      <w:tr w14:paraId="452E1192">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B9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AF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阻燃PVC管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04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Φ25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669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BB9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D2F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853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3C50">
            <w:pPr>
              <w:jc w:val="center"/>
              <w:rPr>
                <w:rFonts w:hint="eastAsia" w:ascii="宋体" w:hAnsi="宋体" w:eastAsia="宋体" w:cs="宋体"/>
                <w:i w:val="0"/>
                <w:iCs w:val="0"/>
                <w:color w:val="auto"/>
                <w:sz w:val="22"/>
                <w:szCs w:val="22"/>
                <w:highlight w:val="none"/>
                <w:u w:val="none"/>
              </w:rPr>
            </w:pPr>
          </w:p>
        </w:tc>
      </w:tr>
      <w:tr w14:paraId="5DEA27A0">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F64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601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阻燃PVC管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6AB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Φ20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8F5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米</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67C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522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908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35F2">
            <w:pPr>
              <w:jc w:val="center"/>
              <w:rPr>
                <w:rFonts w:hint="eastAsia" w:ascii="宋体" w:hAnsi="宋体" w:eastAsia="宋体" w:cs="宋体"/>
                <w:i w:val="0"/>
                <w:iCs w:val="0"/>
                <w:color w:val="auto"/>
                <w:sz w:val="22"/>
                <w:szCs w:val="22"/>
                <w:highlight w:val="none"/>
                <w:u w:val="none"/>
              </w:rPr>
            </w:pPr>
          </w:p>
        </w:tc>
      </w:tr>
      <w:tr w14:paraId="44FB44F4">
        <w:trPr>
          <w:trHeight w:val="667"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EA5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28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6B33">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967A2">
            <w:pPr>
              <w:jc w:val="center"/>
              <w:rPr>
                <w:rFonts w:hint="eastAsia" w:ascii="宋体" w:hAnsi="宋体" w:eastAsia="宋体" w:cs="宋体"/>
                <w:i w:val="0"/>
                <w:iCs w:val="0"/>
                <w:color w:val="auto"/>
                <w:sz w:val="22"/>
                <w:szCs w:val="22"/>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9C90B">
            <w:pPr>
              <w:jc w:val="center"/>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4F5A">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8326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8903">
            <w:pPr>
              <w:jc w:val="center"/>
              <w:rPr>
                <w:rFonts w:hint="eastAsia" w:ascii="宋体" w:hAnsi="宋体" w:eastAsia="宋体" w:cs="宋体"/>
                <w:i w:val="0"/>
                <w:iCs w:val="0"/>
                <w:color w:val="auto"/>
                <w:sz w:val="22"/>
                <w:szCs w:val="22"/>
                <w:highlight w:val="none"/>
                <w:u w:val="none"/>
              </w:rPr>
            </w:pPr>
          </w:p>
        </w:tc>
      </w:tr>
      <w:tr w14:paraId="0DD1AE62">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D08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471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777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给排水部分</w:t>
            </w:r>
          </w:p>
        </w:tc>
      </w:tr>
      <w:tr w14:paraId="74FED093">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1EF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0CA5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不锈钢洗手池</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4BA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304不锈钢材质，550×550×800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CB7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6A4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425E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EEE4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98759">
            <w:pPr>
              <w:jc w:val="center"/>
              <w:rPr>
                <w:rFonts w:hint="eastAsia" w:ascii="宋体" w:hAnsi="宋体" w:eastAsia="宋体" w:cs="宋体"/>
                <w:i w:val="0"/>
                <w:iCs w:val="0"/>
                <w:color w:val="auto"/>
                <w:sz w:val="22"/>
                <w:szCs w:val="22"/>
                <w:highlight w:val="none"/>
                <w:u w:val="none"/>
              </w:rPr>
            </w:pPr>
          </w:p>
        </w:tc>
      </w:tr>
      <w:tr w14:paraId="0D6DF01A">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D20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71C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不锈钢感应龙头</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FF1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220v，带托盘</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C5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E0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4D0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4F7C">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D572">
            <w:pPr>
              <w:jc w:val="center"/>
              <w:rPr>
                <w:rFonts w:hint="eastAsia" w:ascii="宋体" w:hAnsi="宋体" w:eastAsia="宋体" w:cs="宋体"/>
                <w:i w:val="0"/>
                <w:iCs w:val="0"/>
                <w:color w:val="auto"/>
                <w:sz w:val="22"/>
                <w:szCs w:val="22"/>
                <w:highlight w:val="none"/>
                <w:u w:val="none"/>
              </w:rPr>
            </w:pPr>
          </w:p>
        </w:tc>
      </w:tr>
      <w:tr w14:paraId="10E2285E">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3E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6C3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不锈钢拖把池</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4A76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550×500×600,304不锈钢材质，配龙头</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3F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8B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EFE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FBEE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950F5">
            <w:pPr>
              <w:jc w:val="center"/>
              <w:rPr>
                <w:rFonts w:hint="eastAsia" w:ascii="宋体" w:hAnsi="宋体" w:eastAsia="宋体" w:cs="宋体"/>
                <w:i w:val="0"/>
                <w:iCs w:val="0"/>
                <w:color w:val="auto"/>
                <w:sz w:val="22"/>
                <w:szCs w:val="22"/>
                <w:highlight w:val="none"/>
                <w:u w:val="none"/>
              </w:rPr>
            </w:pPr>
          </w:p>
        </w:tc>
      </w:tr>
      <w:tr w14:paraId="4ECFD4C3">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71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123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不锈钢洁净地漏</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2B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φ75，材质不锈钢</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8B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7A1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BE2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3C8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9E0A">
            <w:pPr>
              <w:jc w:val="center"/>
              <w:rPr>
                <w:rFonts w:hint="eastAsia" w:ascii="宋体" w:hAnsi="宋体" w:eastAsia="宋体" w:cs="宋体"/>
                <w:i w:val="0"/>
                <w:iCs w:val="0"/>
                <w:color w:val="auto"/>
                <w:sz w:val="22"/>
                <w:szCs w:val="22"/>
                <w:highlight w:val="none"/>
                <w:u w:val="none"/>
              </w:rPr>
            </w:pPr>
          </w:p>
        </w:tc>
      </w:tr>
      <w:tr w14:paraId="49658B96">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55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20C0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给排水</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204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弯头、专用胶水、直接、生丝带等</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02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98B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F00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C2F7">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6FE3">
            <w:pPr>
              <w:jc w:val="center"/>
              <w:rPr>
                <w:rFonts w:hint="eastAsia" w:ascii="宋体" w:hAnsi="宋体" w:eastAsia="宋体" w:cs="宋体"/>
                <w:i w:val="0"/>
                <w:iCs w:val="0"/>
                <w:color w:val="auto"/>
                <w:sz w:val="22"/>
                <w:szCs w:val="22"/>
                <w:highlight w:val="none"/>
                <w:u w:val="none"/>
              </w:rPr>
            </w:pPr>
          </w:p>
        </w:tc>
      </w:tr>
      <w:tr w14:paraId="079F4493">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10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2E1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PVC-U管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6E89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DN110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8EA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68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5D2C1">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C6AAB">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8A32">
            <w:pPr>
              <w:jc w:val="center"/>
              <w:rPr>
                <w:rFonts w:hint="eastAsia" w:ascii="宋体" w:hAnsi="宋体" w:eastAsia="宋体" w:cs="宋体"/>
                <w:i w:val="0"/>
                <w:iCs w:val="0"/>
                <w:color w:val="auto"/>
                <w:sz w:val="22"/>
                <w:szCs w:val="22"/>
                <w:highlight w:val="none"/>
                <w:u w:val="none"/>
              </w:rPr>
            </w:pPr>
          </w:p>
        </w:tc>
      </w:tr>
      <w:tr w14:paraId="63832E90">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7E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F33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PVC-U管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27F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DN75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E0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EC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75.00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6503F">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B5D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4F4D">
            <w:pPr>
              <w:jc w:val="center"/>
              <w:rPr>
                <w:rFonts w:hint="eastAsia" w:ascii="宋体" w:hAnsi="宋体" w:eastAsia="宋体" w:cs="宋体"/>
                <w:i w:val="0"/>
                <w:iCs w:val="0"/>
                <w:color w:val="auto"/>
                <w:sz w:val="22"/>
                <w:szCs w:val="22"/>
                <w:highlight w:val="none"/>
                <w:u w:val="none"/>
              </w:rPr>
            </w:pPr>
          </w:p>
        </w:tc>
      </w:tr>
      <w:tr w14:paraId="05185C7A">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3B1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4242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PVC-U管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C7FB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BC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8A6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71A3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75C4F">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8E7F">
            <w:pPr>
              <w:jc w:val="center"/>
              <w:rPr>
                <w:rFonts w:hint="eastAsia" w:ascii="宋体" w:hAnsi="宋体" w:eastAsia="宋体" w:cs="宋体"/>
                <w:i w:val="0"/>
                <w:iCs w:val="0"/>
                <w:color w:val="auto"/>
                <w:sz w:val="22"/>
                <w:szCs w:val="22"/>
                <w:highlight w:val="none"/>
                <w:u w:val="none"/>
              </w:rPr>
            </w:pPr>
          </w:p>
        </w:tc>
      </w:tr>
      <w:tr w14:paraId="00D25B09">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6EB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3FD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PPR管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205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DN32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BEB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24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168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5E35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027CB">
            <w:pPr>
              <w:jc w:val="center"/>
              <w:rPr>
                <w:rFonts w:hint="eastAsia" w:ascii="宋体" w:hAnsi="宋体" w:eastAsia="宋体" w:cs="宋体"/>
                <w:i w:val="0"/>
                <w:iCs w:val="0"/>
                <w:color w:val="auto"/>
                <w:sz w:val="22"/>
                <w:szCs w:val="22"/>
                <w:highlight w:val="none"/>
                <w:u w:val="none"/>
              </w:rPr>
            </w:pPr>
          </w:p>
        </w:tc>
      </w:tr>
      <w:tr w14:paraId="27500E65">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E1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F43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PPR管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D5AA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DN25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0D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142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120.00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D8E10">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4F5D6">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09304">
            <w:pPr>
              <w:jc w:val="center"/>
              <w:rPr>
                <w:rFonts w:hint="eastAsia" w:ascii="宋体" w:hAnsi="宋体" w:eastAsia="宋体" w:cs="宋体"/>
                <w:i w:val="0"/>
                <w:iCs w:val="0"/>
                <w:color w:val="auto"/>
                <w:sz w:val="22"/>
                <w:szCs w:val="22"/>
                <w:highlight w:val="none"/>
                <w:u w:val="none"/>
              </w:rPr>
            </w:pPr>
          </w:p>
        </w:tc>
      </w:tr>
      <w:tr w14:paraId="40325F17">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F4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137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PPR管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8C12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DN20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79D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BB8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3C8D">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B8A3">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36EDA">
            <w:pPr>
              <w:jc w:val="center"/>
              <w:rPr>
                <w:rFonts w:hint="eastAsia" w:ascii="宋体" w:hAnsi="宋体" w:eastAsia="宋体" w:cs="宋体"/>
                <w:i w:val="0"/>
                <w:iCs w:val="0"/>
                <w:color w:val="auto"/>
                <w:sz w:val="22"/>
                <w:szCs w:val="22"/>
                <w:highlight w:val="none"/>
                <w:u w:val="none"/>
              </w:rPr>
            </w:pPr>
          </w:p>
        </w:tc>
      </w:tr>
      <w:tr w14:paraId="63E5DBD4">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4C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4FB1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地面开槽</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DE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地面开槽预埋排水管，再恢复</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7E5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C4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78DE3">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84454">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1CC06">
            <w:pPr>
              <w:jc w:val="center"/>
              <w:rPr>
                <w:rFonts w:hint="eastAsia" w:ascii="宋体" w:hAnsi="宋体" w:eastAsia="宋体" w:cs="宋体"/>
                <w:i w:val="0"/>
                <w:iCs w:val="0"/>
                <w:color w:val="auto"/>
                <w:sz w:val="22"/>
                <w:szCs w:val="22"/>
                <w:highlight w:val="none"/>
                <w:u w:val="none"/>
              </w:rPr>
            </w:pPr>
          </w:p>
        </w:tc>
      </w:tr>
      <w:tr w14:paraId="21262D27">
        <w:trPr>
          <w:trHeight w:val="574"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9A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E1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698F1">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A5B84">
            <w:pPr>
              <w:jc w:val="center"/>
              <w:rPr>
                <w:rFonts w:hint="eastAsia" w:ascii="宋体" w:hAnsi="宋体" w:eastAsia="宋体" w:cs="宋体"/>
                <w:i w:val="0"/>
                <w:iCs w:val="0"/>
                <w:color w:val="auto"/>
                <w:sz w:val="22"/>
                <w:szCs w:val="22"/>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1077">
            <w:pPr>
              <w:jc w:val="center"/>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5D7E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5DED">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2FF39">
            <w:pPr>
              <w:jc w:val="center"/>
              <w:rPr>
                <w:rFonts w:hint="eastAsia" w:ascii="宋体" w:hAnsi="宋体" w:eastAsia="宋体" w:cs="宋体"/>
                <w:i w:val="0"/>
                <w:iCs w:val="0"/>
                <w:color w:val="auto"/>
                <w:sz w:val="22"/>
                <w:szCs w:val="22"/>
                <w:highlight w:val="none"/>
                <w:u w:val="none"/>
              </w:rPr>
            </w:pPr>
          </w:p>
        </w:tc>
      </w:tr>
      <w:tr w14:paraId="6F19C246">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34A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4712"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CCB7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台柜部分</w:t>
            </w:r>
          </w:p>
        </w:tc>
      </w:tr>
      <w:tr w14:paraId="7429C5CA">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2D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F3DC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转角台</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DA1E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1000×1000×800 钢木结构，默认黑色</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AEC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组</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6CF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75B4">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6EC0">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7B8ED">
            <w:pPr>
              <w:jc w:val="center"/>
              <w:rPr>
                <w:rFonts w:hint="eastAsia" w:ascii="宋体" w:hAnsi="宋体" w:eastAsia="宋体" w:cs="宋体"/>
                <w:i w:val="0"/>
                <w:iCs w:val="0"/>
                <w:color w:val="auto"/>
                <w:sz w:val="22"/>
                <w:szCs w:val="22"/>
                <w:highlight w:val="none"/>
                <w:u w:val="none"/>
              </w:rPr>
            </w:pPr>
          </w:p>
        </w:tc>
      </w:tr>
      <w:tr w14:paraId="06CEEC41">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6BC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B2FF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水槽套装</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0402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550×450×310，PP材质，全铜三联化验水咀</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309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A6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4962">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F775">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B1B5B">
            <w:pPr>
              <w:jc w:val="center"/>
              <w:rPr>
                <w:rFonts w:hint="eastAsia" w:ascii="宋体" w:hAnsi="宋体" w:eastAsia="宋体" w:cs="宋体"/>
                <w:i w:val="0"/>
                <w:iCs w:val="0"/>
                <w:color w:val="auto"/>
                <w:sz w:val="22"/>
                <w:szCs w:val="22"/>
                <w:highlight w:val="none"/>
                <w:u w:val="none"/>
              </w:rPr>
            </w:pPr>
          </w:p>
        </w:tc>
      </w:tr>
      <w:tr w14:paraId="374B079E">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30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E36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单口洗眼器</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3D4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桌面抽取式</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4F8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AFA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F2DA">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82391">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6AAE7">
            <w:pPr>
              <w:jc w:val="center"/>
              <w:rPr>
                <w:rFonts w:hint="eastAsia" w:ascii="宋体" w:hAnsi="宋体" w:eastAsia="宋体" w:cs="宋体"/>
                <w:i w:val="0"/>
                <w:iCs w:val="0"/>
                <w:color w:val="auto"/>
                <w:sz w:val="22"/>
                <w:szCs w:val="22"/>
                <w:highlight w:val="none"/>
                <w:u w:val="none"/>
              </w:rPr>
            </w:pPr>
          </w:p>
        </w:tc>
      </w:tr>
      <w:tr w14:paraId="4727EA40">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CD6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360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岛式插座</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DCD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双位十孔，含4平方接线</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51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2A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C0FC">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715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A964">
            <w:pPr>
              <w:jc w:val="center"/>
              <w:rPr>
                <w:rFonts w:hint="eastAsia" w:ascii="宋体" w:hAnsi="宋体" w:eastAsia="宋体" w:cs="宋体"/>
                <w:i w:val="0"/>
                <w:iCs w:val="0"/>
                <w:color w:val="auto"/>
                <w:sz w:val="22"/>
                <w:szCs w:val="22"/>
                <w:highlight w:val="none"/>
                <w:u w:val="none"/>
              </w:rPr>
            </w:pPr>
          </w:p>
        </w:tc>
      </w:tr>
      <w:tr w14:paraId="5FF81118">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B93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8DE8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实验台</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5EAE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长×750×800 钢木结构，默认黑色台面，空位</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767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F8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44.00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5DF5">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A10A">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48BA">
            <w:pPr>
              <w:jc w:val="center"/>
              <w:rPr>
                <w:rFonts w:hint="eastAsia" w:ascii="宋体" w:hAnsi="宋体" w:eastAsia="宋体" w:cs="宋体"/>
                <w:i w:val="0"/>
                <w:iCs w:val="0"/>
                <w:color w:val="auto"/>
                <w:sz w:val="22"/>
                <w:szCs w:val="22"/>
                <w:highlight w:val="none"/>
                <w:u w:val="none"/>
              </w:rPr>
            </w:pPr>
          </w:p>
        </w:tc>
      </w:tr>
      <w:tr w14:paraId="3FF19B93">
        <w:trPr>
          <w:trHeight w:val="690"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CC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4AE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中央台</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0CD0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长×1500×800 钢木结构，默认黑色台面，空位</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D1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m</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AD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56776">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510E">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D6A4">
            <w:pPr>
              <w:jc w:val="center"/>
              <w:rPr>
                <w:rFonts w:hint="eastAsia" w:ascii="宋体" w:hAnsi="宋体" w:eastAsia="宋体" w:cs="宋体"/>
                <w:i w:val="0"/>
                <w:iCs w:val="0"/>
                <w:color w:val="auto"/>
                <w:sz w:val="22"/>
                <w:szCs w:val="22"/>
                <w:highlight w:val="none"/>
                <w:u w:val="none"/>
              </w:rPr>
            </w:pPr>
          </w:p>
        </w:tc>
      </w:tr>
      <w:tr w14:paraId="5023ECFE">
        <w:trPr>
          <w:trHeight w:val="711"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B87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F6C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小计</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807A">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060CB">
            <w:pPr>
              <w:jc w:val="center"/>
              <w:rPr>
                <w:rFonts w:hint="eastAsia" w:ascii="宋体" w:hAnsi="宋体" w:eastAsia="宋体" w:cs="宋体"/>
                <w:i w:val="0"/>
                <w:iCs w:val="0"/>
                <w:color w:val="auto"/>
                <w:sz w:val="22"/>
                <w:szCs w:val="22"/>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7476F">
            <w:pPr>
              <w:jc w:val="center"/>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75C8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9170">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C6476">
            <w:pPr>
              <w:jc w:val="center"/>
              <w:rPr>
                <w:rFonts w:hint="eastAsia" w:ascii="宋体" w:hAnsi="宋体" w:eastAsia="宋体" w:cs="宋体"/>
                <w:i w:val="0"/>
                <w:iCs w:val="0"/>
                <w:color w:val="auto"/>
                <w:sz w:val="22"/>
                <w:szCs w:val="22"/>
                <w:highlight w:val="none"/>
                <w:u w:val="none"/>
              </w:rPr>
            </w:pPr>
          </w:p>
        </w:tc>
      </w:tr>
      <w:tr w14:paraId="574C99A1">
        <w:trPr>
          <w:trHeight w:val="711" w:hRule="atLeast"/>
        </w:trPr>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21D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CD95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p>
        </w:tc>
        <w:tc>
          <w:tcPr>
            <w:tcW w:w="1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F7CC">
            <w:pPr>
              <w:rPr>
                <w:rFonts w:hint="eastAsia" w:ascii="宋体" w:hAnsi="宋体" w:eastAsia="宋体" w:cs="宋体"/>
                <w:i w:val="0"/>
                <w:iCs w:val="0"/>
                <w:color w:val="auto"/>
                <w:sz w:val="22"/>
                <w:szCs w:val="22"/>
                <w:highlight w:val="none"/>
                <w:u w:val="none"/>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535F8">
            <w:pPr>
              <w:jc w:val="center"/>
              <w:rPr>
                <w:rFonts w:hint="eastAsia" w:ascii="宋体" w:hAnsi="宋体" w:eastAsia="宋体" w:cs="宋体"/>
                <w:i w:val="0"/>
                <w:iCs w:val="0"/>
                <w:color w:val="auto"/>
                <w:sz w:val="22"/>
                <w:szCs w:val="22"/>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A8990">
            <w:pPr>
              <w:jc w:val="center"/>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5D868">
            <w:pPr>
              <w:jc w:val="right"/>
              <w:rPr>
                <w:rFonts w:hint="eastAsia" w:ascii="宋体" w:hAnsi="宋体" w:eastAsia="宋体" w:cs="宋体"/>
                <w:i w:val="0"/>
                <w:iCs w:val="0"/>
                <w:color w:val="auto"/>
                <w:sz w:val="22"/>
                <w:szCs w:val="22"/>
                <w:highlight w:val="none"/>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1B8F8">
            <w:pPr>
              <w:jc w:val="right"/>
              <w:rPr>
                <w:rFonts w:hint="eastAsia" w:ascii="宋体" w:hAnsi="宋体" w:eastAsia="宋体" w:cs="宋体"/>
                <w:i w:val="0"/>
                <w:iCs w:val="0"/>
                <w:color w:val="auto"/>
                <w:sz w:val="22"/>
                <w:szCs w:val="22"/>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FAEA">
            <w:pPr>
              <w:jc w:val="center"/>
              <w:rPr>
                <w:rFonts w:hint="eastAsia" w:ascii="宋体" w:hAnsi="宋体" w:eastAsia="宋体" w:cs="宋体"/>
                <w:i w:val="0"/>
                <w:iCs w:val="0"/>
                <w:color w:val="auto"/>
                <w:sz w:val="22"/>
                <w:szCs w:val="22"/>
                <w:highlight w:val="none"/>
                <w:u w:val="none"/>
              </w:rPr>
            </w:pPr>
          </w:p>
        </w:tc>
      </w:tr>
    </w:tbl>
    <w:p w14:paraId="35B55C59">
      <w:pPr>
        <w:pStyle w:val="46"/>
        <w:spacing w:line="360" w:lineRule="auto"/>
        <w:ind w:left="0" w:leftChars="0" w:firstLine="422"/>
        <w:rPr>
          <w:rFonts w:hint="eastAsia" w:ascii="宋体" w:hAnsi="宋体" w:eastAsia="宋体" w:cs="宋体"/>
          <w:b/>
          <w:color w:val="auto"/>
          <w:sz w:val="21"/>
          <w:szCs w:val="21"/>
          <w:highlight w:val="none"/>
        </w:rPr>
      </w:pPr>
    </w:p>
    <w:p w14:paraId="11D411FF">
      <w:pPr>
        <w:pStyle w:val="46"/>
        <w:spacing w:line="360" w:lineRule="auto"/>
        <w:ind w:left="0" w:leftChars="0" w:firstLine="422"/>
        <w:rPr>
          <w:rFonts w:hint="eastAsia" w:ascii="宋体" w:hAnsi="宋体" w:eastAsia="宋体" w:cs="宋体"/>
          <w:b/>
          <w:color w:val="auto"/>
          <w:sz w:val="21"/>
          <w:szCs w:val="21"/>
          <w:highlight w:val="none"/>
        </w:rPr>
      </w:pPr>
    </w:p>
    <w:p w14:paraId="3030B297">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54AF4D98">
      <w:pPr>
        <w:pStyle w:val="46"/>
        <w:spacing w:line="360" w:lineRule="auto"/>
        <w:ind w:left="0" w:leftChars="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、本项目施工图纸。</w:t>
      </w:r>
    </w:p>
    <w:p w14:paraId="036B1C26">
      <w:pPr>
        <w:pStyle w:val="46"/>
        <w:spacing w:line="360" w:lineRule="auto"/>
        <w:ind w:left="0" w:leftChars="0" w:firstLine="42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drawing>
          <wp:inline distT="0" distB="0" distL="114300" distR="114300">
            <wp:extent cx="5843905" cy="8265795"/>
            <wp:effectExtent l="0" t="0" r="23495" b="14605"/>
            <wp:docPr id="1" name="图片 1" descr="附件2：图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附件2：图纸_01"/>
                    <pic:cNvPicPr>
                      <a:picLocks noChangeAspect="1"/>
                    </pic:cNvPicPr>
                  </pic:nvPicPr>
                  <pic:blipFill>
                    <a:blip r:embed="rId10"/>
                    <a:stretch>
                      <a:fillRect/>
                    </a:stretch>
                  </pic:blipFill>
                  <pic:spPr>
                    <a:xfrm>
                      <a:off x="0" y="0"/>
                      <a:ext cx="5843905" cy="8265795"/>
                    </a:xfrm>
                    <a:prstGeom prst="rect">
                      <a:avLst/>
                    </a:prstGeom>
                  </pic:spPr>
                </pic:pic>
              </a:graphicData>
            </a:graphic>
          </wp:inline>
        </w:drawing>
      </w:r>
    </w:p>
    <w:bookmarkEnd w:id="1029"/>
    <w:p w14:paraId="47EB72C9">
      <w:pPr>
        <w:spacing w:line="360" w:lineRule="auto"/>
        <w:ind w:firstLine="420"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六</w:t>
      </w:r>
      <w:r>
        <w:rPr>
          <w:rFonts w:hint="eastAsia" w:ascii="宋体" w:hAnsi="宋体" w:eastAsia="宋体" w:cs="宋体"/>
          <w:b/>
          <w:bCs/>
          <w:color w:val="auto"/>
          <w:highlight w:val="none"/>
        </w:rPr>
        <w:t>、标的物所属行业</w:t>
      </w:r>
    </w:p>
    <w:p w14:paraId="0BB371D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bCs/>
          <w:color w:val="auto"/>
          <w:szCs w:val="21"/>
          <w:highlight w:val="none"/>
        </w:rPr>
        <w:t>根据“《关于印发《政府采购促进中小企业发展管理办法》的通知》（财库〔2020〕46号）、《国家统计局</w:t>
      </w:r>
      <w:r>
        <w:rPr>
          <w:rFonts w:hint="eastAsia" w:ascii="宋体" w:hAnsi="宋体" w:eastAsia="宋体" w:cs="宋体"/>
          <w:color w:val="auto"/>
          <w:kern w:val="0"/>
          <w:szCs w:val="21"/>
          <w:highlight w:val="none"/>
        </w:rPr>
        <w:t>关于印发《统计上大中小微型企业划分办法（2017）》的通知</w:t>
      </w:r>
      <w:r>
        <w:rPr>
          <w:rFonts w:hint="eastAsia" w:ascii="宋体" w:hAnsi="宋体" w:eastAsia="宋体" w:cs="宋体"/>
          <w:bCs/>
          <w:color w:val="auto"/>
          <w:szCs w:val="21"/>
          <w:highlight w:val="none"/>
        </w:rPr>
        <w:t>》（国统字[2017]213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47"/>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9"/>
        <w:gridCol w:w="4470"/>
      </w:tblGrid>
      <w:tr w14:paraId="34C990A5">
        <w:trPr>
          <w:trHeight w:val="593" w:hRule="atLeast"/>
          <w:jc w:val="center"/>
        </w:trPr>
        <w:tc>
          <w:tcPr>
            <w:tcW w:w="4829" w:type="dxa"/>
            <w:shd w:val="clear" w:color="auto" w:fill="A5A5A5"/>
            <w:vAlign w:val="center"/>
          </w:tcPr>
          <w:p w14:paraId="6D1D4A66">
            <w:pPr>
              <w:ind w:firstLine="422"/>
              <w:jc w:val="center"/>
              <w:textAlignment w:val="center"/>
              <w:rPr>
                <w:rFonts w:hint="eastAsia" w:ascii="宋体" w:hAnsi="宋体" w:eastAsia="宋体" w:cs="宋体"/>
                <w:b/>
                <w:color w:val="auto"/>
                <w:highlight w:val="none"/>
              </w:rPr>
            </w:pPr>
            <w:r>
              <w:rPr>
                <w:rFonts w:hint="eastAsia" w:ascii="宋体" w:hAnsi="宋体" w:eastAsia="宋体" w:cs="宋体"/>
                <w:b/>
                <w:color w:val="auto"/>
                <w:highlight w:val="none"/>
              </w:rPr>
              <w:t>标的名称</w:t>
            </w:r>
          </w:p>
        </w:tc>
        <w:tc>
          <w:tcPr>
            <w:tcW w:w="4470" w:type="dxa"/>
            <w:shd w:val="clear" w:color="auto" w:fill="A5A5A5"/>
            <w:vAlign w:val="center"/>
          </w:tcPr>
          <w:p w14:paraId="37159424">
            <w:pPr>
              <w:ind w:firstLine="422"/>
              <w:jc w:val="center"/>
              <w:textAlignment w:val="center"/>
              <w:rPr>
                <w:rFonts w:hint="eastAsia" w:ascii="宋体" w:hAnsi="宋体" w:eastAsia="宋体" w:cs="宋体"/>
                <w:b/>
                <w:color w:val="auto"/>
                <w:highlight w:val="none"/>
              </w:rPr>
            </w:pPr>
            <w:r>
              <w:rPr>
                <w:rFonts w:hint="eastAsia" w:ascii="宋体" w:hAnsi="宋体" w:eastAsia="宋体" w:cs="宋体"/>
                <w:b/>
                <w:color w:val="auto"/>
                <w:highlight w:val="none"/>
              </w:rPr>
              <w:t>所属行业</w:t>
            </w:r>
          </w:p>
        </w:tc>
      </w:tr>
      <w:tr w14:paraId="276404DF">
        <w:trPr>
          <w:trHeight w:val="687" w:hRule="atLeast"/>
          <w:jc w:val="center"/>
        </w:trPr>
        <w:tc>
          <w:tcPr>
            <w:tcW w:w="4829" w:type="dxa"/>
            <w:shd w:val="clear" w:color="000000" w:fill="FFFFFF"/>
            <w:vAlign w:val="center"/>
          </w:tcPr>
          <w:p w14:paraId="52101DEA">
            <w:pPr>
              <w:widowControl/>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t>业务用房装修改造建设</w:t>
            </w:r>
          </w:p>
        </w:tc>
        <w:tc>
          <w:tcPr>
            <w:tcW w:w="4470" w:type="dxa"/>
            <w:vAlign w:val="center"/>
          </w:tcPr>
          <w:p w14:paraId="75FC96D2">
            <w:pPr>
              <w:ind w:firstLine="420"/>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建筑业</w:t>
            </w:r>
          </w:p>
        </w:tc>
      </w:tr>
    </w:tbl>
    <w:p w14:paraId="578EF476">
      <w:pPr>
        <w:autoSpaceDE w:val="0"/>
        <w:autoSpaceDN w:val="0"/>
        <w:adjustRightInd w:val="0"/>
        <w:spacing w:line="360" w:lineRule="auto"/>
        <w:ind w:firstLine="420"/>
        <w:jc w:val="left"/>
        <w:rPr>
          <w:rFonts w:hint="eastAsia" w:ascii="宋体" w:hAnsi="宋体" w:eastAsia="宋体" w:cs="宋体"/>
          <w:color w:val="auto"/>
          <w:highlight w:val="none"/>
        </w:rPr>
      </w:pPr>
    </w:p>
    <w:p w14:paraId="5D37B340">
      <w:pPr>
        <w:pStyle w:val="23"/>
        <w:spacing w:line="360" w:lineRule="auto"/>
        <w:jc w:val="center"/>
        <w:outlineLvl w:val="0"/>
        <w:rPr>
          <w:rFonts w:hint="eastAsia" w:ascii="宋体" w:hAnsi="宋体" w:eastAsia="宋体" w:cs="宋体"/>
          <w:b/>
          <w:color w:val="auto"/>
          <w:kern w:val="44"/>
          <w:sz w:val="36"/>
          <w:szCs w:val="20"/>
          <w:highlight w:val="none"/>
        </w:rPr>
      </w:pPr>
      <w:bookmarkStart w:id="1031" w:name="_Hlk81327592"/>
      <w:r>
        <w:rPr>
          <w:rFonts w:hint="eastAsia" w:ascii="宋体" w:hAnsi="宋体" w:eastAsia="宋体" w:cs="宋体"/>
          <w:b/>
          <w:bCs/>
          <w:color w:val="auto"/>
          <w:sz w:val="28"/>
          <w:szCs w:val="28"/>
          <w:highlight w:val="none"/>
        </w:rPr>
        <w:br w:type="page"/>
      </w:r>
      <w:bookmarkEnd w:id="1026"/>
      <w:bookmarkEnd w:id="1030"/>
      <w:bookmarkEnd w:id="1031"/>
      <w:bookmarkStart w:id="1032" w:name="_Toc80867981"/>
      <w:bookmarkStart w:id="1033" w:name="_Toc793756977"/>
      <w:r>
        <w:rPr>
          <w:rFonts w:hint="eastAsia" w:ascii="宋体" w:hAnsi="宋体" w:eastAsia="宋体" w:cs="宋体"/>
          <w:b/>
          <w:color w:val="auto"/>
          <w:kern w:val="44"/>
          <w:sz w:val="36"/>
          <w:szCs w:val="20"/>
          <w:highlight w:val="none"/>
        </w:rPr>
        <w:t>第六章 磋商程序和方法</w:t>
      </w:r>
      <w:bookmarkEnd w:id="371"/>
      <w:bookmarkEnd w:id="372"/>
      <w:bookmarkEnd w:id="373"/>
      <w:bookmarkEnd w:id="374"/>
      <w:bookmarkEnd w:id="1032"/>
      <w:bookmarkEnd w:id="1033"/>
    </w:p>
    <w:p w14:paraId="390B9457">
      <w:pPr>
        <w:pStyle w:val="3"/>
        <w:rPr>
          <w:rFonts w:hint="eastAsia" w:ascii="宋体" w:hAnsi="宋体" w:eastAsia="宋体" w:cs="宋体"/>
          <w:color w:val="auto"/>
          <w:highlight w:val="none"/>
        </w:rPr>
      </w:pPr>
      <w:bookmarkStart w:id="1034" w:name="_Toc505097275"/>
      <w:bookmarkStart w:id="1035" w:name="_Toc470096339"/>
      <w:bookmarkStart w:id="1036" w:name="_Toc432106529"/>
      <w:bookmarkStart w:id="1037" w:name="_Toc86124093"/>
      <w:bookmarkStart w:id="1038" w:name="_Toc34335311"/>
      <w:bookmarkStart w:id="1039" w:name="_Toc191374457"/>
      <w:bookmarkStart w:id="1040" w:name="_Toc80867982"/>
      <w:r>
        <w:rPr>
          <w:rFonts w:hint="eastAsia" w:ascii="宋体" w:hAnsi="宋体" w:eastAsia="宋体" w:cs="宋体"/>
          <w:color w:val="auto"/>
          <w:highlight w:val="none"/>
        </w:rPr>
        <w:t>磋商方法前附表</w:t>
      </w:r>
      <w:bookmarkEnd w:id="1034"/>
      <w:bookmarkEnd w:id="1035"/>
      <w:bookmarkEnd w:id="1036"/>
      <w:bookmarkEnd w:id="1037"/>
      <w:bookmarkEnd w:id="1038"/>
      <w:bookmarkEnd w:id="1039"/>
      <w:bookmarkEnd w:id="1040"/>
    </w:p>
    <w:tbl>
      <w:tblPr>
        <w:tblStyle w:val="47"/>
        <w:tblW w:w="9367"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24"/>
        <w:gridCol w:w="850"/>
        <w:gridCol w:w="1947"/>
        <w:gridCol w:w="5746"/>
      </w:tblGrid>
      <w:tr w14:paraId="64EC8AA4">
        <w:trPr>
          <w:trHeight w:val="497" w:hRule="atLeast"/>
          <w:jc w:val="center"/>
        </w:trPr>
        <w:tc>
          <w:tcPr>
            <w:tcW w:w="1674" w:type="dxa"/>
            <w:gridSpan w:val="2"/>
            <w:tcBorders>
              <w:tl2br w:val="nil"/>
              <w:tr2bl w:val="nil"/>
            </w:tcBorders>
            <w:vAlign w:val="center"/>
          </w:tcPr>
          <w:p w14:paraId="21A58C1D">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947" w:type="dxa"/>
            <w:tcBorders>
              <w:tl2br w:val="nil"/>
              <w:tr2bl w:val="nil"/>
            </w:tcBorders>
            <w:vAlign w:val="center"/>
          </w:tcPr>
          <w:p w14:paraId="4390FE08">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内 容</w:t>
            </w:r>
          </w:p>
        </w:tc>
        <w:tc>
          <w:tcPr>
            <w:tcW w:w="5746" w:type="dxa"/>
            <w:tcBorders>
              <w:tl2br w:val="nil"/>
              <w:tr2bl w:val="nil"/>
            </w:tcBorders>
            <w:vAlign w:val="center"/>
          </w:tcPr>
          <w:p w14:paraId="093CE4BD">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标 准</w:t>
            </w:r>
          </w:p>
        </w:tc>
      </w:tr>
      <w:tr w14:paraId="1BD99C8F">
        <w:trPr>
          <w:jc w:val="center"/>
        </w:trPr>
        <w:tc>
          <w:tcPr>
            <w:tcW w:w="824" w:type="dxa"/>
            <w:tcBorders>
              <w:tl2br w:val="nil"/>
              <w:tr2bl w:val="nil"/>
            </w:tcBorders>
            <w:vAlign w:val="center"/>
          </w:tcPr>
          <w:p w14:paraId="405A338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850" w:type="dxa"/>
            <w:tcBorders>
              <w:tl2br w:val="nil"/>
              <w:tr2bl w:val="nil"/>
            </w:tcBorders>
            <w:vAlign w:val="center"/>
          </w:tcPr>
          <w:p w14:paraId="42B962A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资格评审标准</w:t>
            </w:r>
          </w:p>
        </w:tc>
        <w:tc>
          <w:tcPr>
            <w:tcW w:w="1947" w:type="dxa"/>
            <w:tcBorders>
              <w:tl2br w:val="nil"/>
              <w:tr2bl w:val="nil"/>
            </w:tcBorders>
            <w:vAlign w:val="center"/>
          </w:tcPr>
          <w:p w14:paraId="642A1FF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资格条件</w:t>
            </w:r>
          </w:p>
        </w:tc>
        <w:tc>
          <w:tcPr>
            <w:tcW w:w="5746" w:type="dxa"/>
            <w:tcBorders>
              <w:tl2br w:val="nil"/>
              <w:tr2bl w:val="nil"/>
            </w:tcBorders>
            <w:vAlign w:val="center"/>
          </w:tcPr>
          <w:p w14:paraId="0910051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符合第二章“供应商须知”第4项规定，且提供了磋商文件要求提供的证明材料。</w:t>
            </w:r>
          </w:p>
        </w:tc>
      </w:tr>
      <w:tr w14:paraId="2326F214">
        <w:trPr>
          <w:jc w:val="center"/>
        </w:trPr>
        <w:tc>
          <w:tcPr>
            <w:tcW w:w="824" w:type="dxa"/>
            <w:vMerge w:val="restart"/>
            <w:tcBorders>
              <w:tl2br w:val="nil"/>
              <w:tr2bl w:val="nil"/>
            </w:tcBorders>
            <w:vAlign w:val="center"/>
          </w:tcPr>
          <w:p w14:paraId="17CACA0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850" w:type="dxa"/>
            <w:vMerge w:val="restart"/>
            <w:tcBorders>
              <w:tl2br w:val="nil"/>
              <w:tr2bl w:val="nil"/>
            </w:tcBorders>
            <w:vAlign w:val="center"/>
          </w:tcPr>
          <w:p w14:paraId="3F35811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符合性评审标准</w:t>
            </w:r>
          </w:p>
        </w:tc>
        <w:tc>
          <w:tcPr>
            <w:tcW w:w="1947" w:type="dxa"/>
            <w:tcBorders>
              <w:tl2br w:val="nil"/>
              <w:tr2bl w:val="nil"/>
            </w:tcBorders>
            <w:vAlign w:val="center"/>
          </w:tcPr>
          <w:p w14:paraId="1BF8929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磋商</w:t>
            </w:r>
            <w:r>
              <w:rPr>
                <w:rFonts w:hint="eastAsia" w:ascii="宋体" w:hAnsi="宋体" w:eastAsia="宋体" w:cs="宋体"/>
                <w:color w:val="auto"/>
                <w:szCs w:val="21"/>
                <w:highlight w:val="none"/>
              </w:rPr>
              <w:t>报价一览表及磋商申请函</w:t>
            </w:r>
          </w:p>
        </w:tc>
        <w:tc>
          <w:tcPr>
            <w:tcW w:w="5746" w:type="dxa"/>
            <w:tcBorders>
              <w:tl2br w:val="nil"/>
              <w:tr2bl w:val="nil"/>
            </w:tcBorders>
            <w:vAlign w:val="center"/>
          </w:tcPr>
          <w:p w14:paraId="2610B31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按要求</w:t>
            </w:r>
            <w:r>
              <w:rPr>
                <w:rFonts w:hint="eastAsia" w:ascii="宋体" w:hAnsi="宋体" w:eastAsia="宋体" w:cs="宋体"/>
                <w:color w:val="auto"/>
                <w:szCs w:val="21"/>
                <w:highlight w:val="none"/>
                <w:lang w:eastAsia="zh-CN"/>
              </w:rPr>
              <w:t>签名或签章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加盖供应商公章</w:t>
            </w:r>
            <w:r>
              <w:rPr>
                <w:rFonts w:hint="eastAsia" w:ascii="宋体" w:hAnsi="宋体" w:eastAsia="宋体" w:cs="宋体"/>
                <w:color w:val="auto"/>
                <w:szCs w:val="21"/>
                <w:highlight w:val="none"/>
              </w:rPr>
              <w:t>；</w:t>
            </w:r>
          </w:p>
          <w:p w14:paraId="0CF2637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符合第四章“响应文件格式”中规定的格式及内容。</w:t>
            </w:r>
          </w:p>
        </w:tc>
      </w:tr>
      <w:tr w14:paraId="700D6FCA">
        <w:trPr>
          <w:jc w:val="center"/>
        </w:trPr>
        <w:tc>
          <w:tcPr>
            <w:tcW w:w="824" w:type="dxa"/>
            <w:vMerge w:val="continue"/>
            <w:tcBorders>
              <w:tl2br w:val="nil"/>
              <w:tr2bl w:val="nil"/>
            </w:tcBorders>
            <w:vAlign w:val="center"/>
          </w:tcPr>
          <w:p w14:paraId="564E90DA">
            <w:pPr>
              <w:spacing w:line="360" w:lineRule="auto"/>
              <w:jc w:val="center"/>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2EF04C51">
            <w:pPr>
              <w:spacing w:line="360" w:lineRule="auto"/>
              <w:jc w:val="center"/>
              <w:rPr>
                <w:rFonts w:hint="eastAsia" w:ascii="宋体" w:hAnsi="宋体" w:eastAsia="宋体" w:cs="宋体"/>
                <w:color w:val="auto"/>
                <w:szCs w:val="21"/>
                <w:highlight w:val="none"/>
              </w:rPr>
            </w:pPr>
          </w:p>
        </w:tc>
        <w:tc>
          <w:tcPr>
            <w:tcW w:w="1947" w:type="dxa"/>
            <w:tcBorders>
              <w:tl2br w:val="nil"/>
              <w:tr2bl w:val="nil"/>
            </w:tcBorders>
            <w:vAlign w:val="center"/>
          </w:tcPr>
          <w:p w14:paraId="5AC65FB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法定代表人身份证明书</w:t>
            </w:r>
          </w:p>
        </w:tc>
        <w:tc>
          <w:tcPr>
            <w:tcW w:w="5746" w:type="dxa"/>
            <w:tcBorders>
              <w:tl2br w:val="nil"/>
              <w:tr2bl w:val="nil"/>
            </w:tcBorders>
            <w:vAlign w:val="center"/>
          </w:tcPr>
          <w:p w14:paraId="0D09429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符合磋商文件规定的格式及内容，并</w:t>
            </w:r>
            <w:r>
              <w:rPr>
                <w:rFonts w:hint="eastAsia" w:ascii="宋体" w:hAnsi="宋体" w:eastAsia="宋体" w:cs="宋体"/>
                <w:color w:val="auto"/>
                <w:szCs w:val="21"/>
                <w:highlight w:val="none"/>
                <w:lang w:eastAsia="zh-CN"/>
              </w:rPr>
              <w:t>加盖供应商公章。</w:t>
            </w:r>
          </w:p>
        </w:tc>
      </w:tr>
      <w:tr w14:paraId="42EAC70B">
        <w:trPr>
          <w:trHeight w:val="90" w:hRule="atLeast"/>
          <w:jc w:val="center"/>
        </w:trPr>
        <w:tc>
          <w:tcPr>
            <w:tcW w:w="824" w:type="dxa"/>
            <w:vMerge w:val="continue"/>
            <w:tcBorders>
              <w:tl2br w:val="nil"/>
              <w:tr2bl w:val="nil"/>
            </w:tcBorders>
            <w:vAlign w:val="center"/>
          </w:tcPr>
          <w:p w14:paraId="2D410789">
            <w:pPr>
              <w:spacing w:line="360" w:lineRule="auto"/>
              <w:jc w:val="center"/>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1EA7FEFD">
            <w:pPr>
              <w:spacing w:line="360" w:lineRule="auto"/>
              <w:jc w:val="center"/>
              <w:rPr>
                <w:rFonts w:hint="eastAsia" w:ascii="宋体" w:hAnsi="宋体" w:eastAsia="宋体" w:cs="宋体"/>
                <w:color w:val="auto"/>
                <w:szCs w:val="21"/>
                <w:highlight w:val="none"/>
              </w:rPr>
            </w:pPr>
          </w:p>
        </w:tc>
        <w:tc>
          <w:tcPr>
            <w:tcW w:w="1947" w:type="dxa"/>
            <w:tcBorders>
              <w:tl2br w:val="nil"/>
              <w:tr2bl w:val="nil"/>
            </w:tcBorders>
            <w:vAlign w:val="center"/>
          </w:tcPr>
          <w:p w14:paraId="740AEC3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法定代表人授权委托书</w:t>
            </w:r>
          </w:p>
        </w:tc>
        <w:tc>
          <w:tcPr>
            <w:tcW w:w="5746" w:type="dxa"/>
            <w:tcBorders>
              <w:tl2br w:val="nil"/>
              <w:tr2bl w:val="nil"/>
            </w:tcBorders>
            <w:vAlign w:val="center"/>
          </w:tcPr>
          <w:p w14:paraId="0BFEBCB1">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有法定代表人</w:t>
            </w:r>
            <w:r>
              <w:rPr>
                <w:rFonts w:hint="eastAsia" w:ascii="宋体" w:hAnsi="宋体" w:eastAsia="宋体" w:cs="宋体"/>
                <w:color w:val="auto"/>
                <w:szCs w:val="21"/>
                <w:highlight w:val="none"/>
                <w:lang w:eastAsia="zh-CN"/>
              </w:rPr>
              <w:t>签名或签章</w:t>
            </w:r>
            <w:r>
              <w:rPr>
                <w:rFonts w:hint="eastAsia" w:ascii="宋体" w:hAnsi="宋体" w:eastAsia="宋体" w:cs="宋体"/>
                <w:color w:val="auto"/>
                <w:szCs w:val="21"/>
                <w:highlight w:val="none"/>
              </w:rPr>
              <w:t>或盖章，并</w:t>
            </w:r>
            <w:r>
              <w:rPr>
                <w:rFonts w:hint="eastAsia" w:ascii="宋体" w:hAnsi="宋体" w:eastAsia="宋体" w:cs="宋体"/>
                <w:color w:val="auto"/>
                <w:szCs w:val="21"/>
                <w:highlight w:val="none"/>
                <w:lang w:eastAsia="zh-CN"/>
              </w:rPr>
              <w:t>加盖供应商公章</w:t>
            </w:r>
            <w:r>
              <w:rPr>
                <w:rFonts w:hint="eastAsia" w:ascii="宋体" w:hAnsi="宋体" w:eastAsia="宋体" w:cs="宋体"/>
                <w:color w:val="auto"/>
                <w:szCs w:val="21"/>
                <w:highlight w:val="none"/>
              </w:rPr>
              <w:t>；符合磋商文件规定的格式及内容</w:t>
            </w:r>
            <w:r>
              <w:rPr>
                <w:rFonts w:hint="eastAsia" w:ascii="宋体" w:hAnsi="宋体" w:eastAsia="宋体" w:cs="宋体"/>
                <w:color w:val="auto"/>
                <w:szCs w:val="21"/>
                <w:highlight w:val="none"/>
                <w:lang w:eastAsia="zh-CN"/>
              </w:rPr>
              <w:t>。</w:t>
            </w:r>
          </w:p>
        </w:tc>
      </w:tr>
      <w:tr w14:paraId="1D6302B4">
        <w:trPr>
          <w:trHeight w:val="437" w:hRule="atLeast"/>
          <w:jc w:val="center"/>
        </w:trPr>
        <w:tc>
          <w:tcPr>
            <w:tcW w:w="824" w:type="dxa"/>
            <w:vMerge w:val="continue"/>
            <w:tcBorders>
              <w:tl2br w:val="nil"/>
              <w:tr2bl w:val="nil"/>
            </w:tcBorders>
            <w:vAlign w:val="center"/>
          </w:tcPr>
          <w:p w14:paraId="4A7B6851">
            <w:pPr>
              <w:spacing w:line="360" w:lineRule="auto"/>
              <w:jc w:val="center"/>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3F178A25">
            <w:pPr>
              <w:spacing w:line="360" w:lineRule="auto"/>
              <w:jc w:val="center"/>
              <w:rPr>
                <w:rFonts w:hint="eastAsia" w:ascii="宋体" w:hAnsi="宋体" w:eastAsia="宋体" w:cs="宋体"/>
                <w:color w:val="auto"/>
                <w:szCs w:val="21"/>
                <w:highlight w:val="none"/>
              </w:rPr>
            </w:pPr>
          </w:p>
        </w:tc>
        <w:tc>
          <w:tcPr>
            <w:tcW w:w="1947" w:type="dxa"/>
            <w:tcBorders>
              <w:tl2br w:val="nil"/>
              <w:tr2bl w:val="nil"/>
            </w:tcBorders>
            <w:vAlign w:val="center"/>
          </w:tcPr>
          <w:p w14:paraId="5A36846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w:t>
            </w:r>
          </w:p>
        </w:tc>
        <w:tc>
          <w:tcPr>
            <w:tcW w:w="5746" w:type="dxa"/>
            <w:tcBorders>
              <w:tl2br w:val="nil"/>
              <w:tr2bl w:val="nil"/>
            </w:tcBorders>
            <w:vAlign w:val="center"/>
          </w:tcPr>
          <w:p w14:paraId="490698C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未超过</w:t>
            </w:r>
            <w:r>
              <w:rPr>
                <w:rFonts w:hint="eastAsia" w:ascii="宋体" w:hAnsi="宋体" w:eastAsia="宋体" w:cs="宋体"/>
                <w:color w:val="auto"/>
                <w:szCs w:val="21"/>
                <w:highlight w:val="none"/>
                <w:lang w:val="en-US" w:eastAsia="zh-CN"/>
              </w:rPr>
              <w:t>最高限价</w:t>
            </w:r>
            <w:r>
              <w:rPr>
                <w:rFonts w:hint="eastAsia" w:ascii="宋体" w:hAnsi="宋体" w:eastAsia="宋体" w:cs="宋体"/>
                <w:color w:val="auto"/>
                <w:szCs w:val="21"/>
                <w:highlight w:val="none"/>
                <w:lang w:eastAsia="zh-CN"/>
              </w:rPr>
              <w:t>；</w:t>
            </w:r>
          </w:p>
        </w:tc>
      </w:tr>
      <w:tr w14:paraId="5AA7325F">
        <w:trPr>
          <w:trHeight w:val="437" w:hRule="atLeast"/>
          <w:jc w:val="center"/>
        </w:trPr>
        <w:tc>
          <w:tcPr>
            <w:tcW w:w="824" w:type="dxa"/>
            <w:vMerge w:val="continue"/>
            <w:tcBorders>
              <w:tl2br w:val="nil"/>
              <w:tr2bl w:val="nil"/>
            </w:tcBorders>
            <w:vAlign w:val="center"/>
          </w:tcPr>
          <w:p w14:paraId="360A13C9">
            <w:pPr>
              <w:spacing w:line="360" w:lineRule="auto"/>
              <w:jc w:val="center"/>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5CC31E5E">
            <w:pPr>
              <w:spacing w:line="360" w:lineRule="auto"/>
              <w:jc w:val="center"/>
              <w:rPr>
                <w:rFonts w:hint="eastAsia" w:ascii="宋体" w:hAnsi="宋体" w:eastAsia="宋体" w:cs="宋体"/>
                <w:color w:val="auto"/>
                <w:szCs w:val="21"/>
                <w:highlight w:val="none"/>
              </w:rPr>
            </w:pPr>
          </w:p>
        </w:tc>
        <w:tc>
          <w:tcPr>
            <w:tcW w:w="1947" w:type="dxa"/>
            <w:tcBorders>
              <w:tl2br w:val="nil"/>
              <w:tr2bl w:val="nil"/>
            </w:tcBorders>
            <w:vAlign w:val="center"/>
          </w:tcPr>
          <w:p w14:paraId="0D21D9C0">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最后报价</w:t>
            </w:r>
          </w:p>
        </w:tc>
        <w:tc>
          <w:tcPr>
            <w:tcW w:w="5746" w:type="dxa"/>
            <w:tcBorders>
              <w:tl2br w:val="nil"/>
              <w:tr2bl w:val="nil"/>
            </w:tcBorders>
            <w:vAlign w:val="center"/>
          </w:tcPr>
          <w:p w14:paraId="5CF0CEDB">
            <w:pPr>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完整，只有一个有效报价且</w:t>
            </w:r>
            <w:r>
              <w:rPr>
                <w:rFonts w:hint="eastAsia" w:ascii="宋体" w:hAnsi="宋体" w:eastAsia="宋体" w:cs="宋体"/>
                <w:b/>
                <w:color w:val="auto"/>
                <w:szCs w:val="21"/>
                <w:highlight w:val="none"/>
              </w:rPr>
              <w:t>未超过磋商文件设定的最高限价。</w:t>
            </w:r>
          </w:p>
        </w:tc>
      </w:tr>
      <w:tr w14:paraId="6BF203F9">
        <w:trPr>
          <w:trHeight w:val="518" w:hRule="atLeast"/>
          <w:jc w:val="center"/>
        </w:trPr>
        <w:tc>
          <w:tcPr>
            <w:tcW w:w="824" w:type="dxa"/>
            <w:vMerge w:val="continue"/>
            <w:tcBorders>
              <w:tl2br w:val="nil"/>
              <w:tr2bl w:val="nil"/>
            </w:tcBorders>
            <w:vAlign w:val="center"/>
          </w:tcPr>
          <w:p w14:paraId="573CCC65">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3E2F7684">
            <w:pPr>
              <w:spacing w:line="360" w:lineRule="auto"/>
              <w:rPr>
                <w:rFonts w:hint="eastAsia" w:ascii="宋体" w:hAnsi="宋体" w:eastAsia="宋体" w:cs="宋体"/>
                <w:color w:val="auto"/>
                <w:szCs w:val="21"/>
                <w:highlight w:val="none"/>
              </w:rPr>
            </w:pPr>
          </w:p>
        </w:tc>
        <w:tc>
          <w:tcPr>
            <w:tcW w:w="1947" w:type="dxa"/>
            <w:tcBorders>
              <w:tl2br w:val="nil"/>
              <w:tr2bl w:val="nil"/>
            </w:tcBorders>
            <w:vAlign w:val="center"/>
          </w:tcPr>
          <w:p w14:paraId="75DDCF1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响应文件有效期</w:t>
            </w:r>
          </w:p>
        </w:tc>
        <w:tc>
          <w:tcPr>
            <w:tcW w:w="5746" w:type="dxa"/>
            <w:tcBorders>
              <w:tl2br w:val="nil"/>
              <w:tr2bl w:val="nil"/>
            </w:tcBorders>
            <w:vAlign w:val="center"/>
          </w:tcPr>
          <w:p w14:paraId="23FD8F1E">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符合第二章“供应商须知”第11.1项规定</w:t>
            </w:r>
          </w:p>
        </w:tc>
      </w:tr>
      <w:tr w14:paraId="798F8FB2">
        <w:trPr>
          <w:trHeight w:val="494" w:hRule="atLeast"/>
          <w:jc w:val="center"/>
        </w:trPr>
        <w:tc>
          <w:tcPr>
            <w:tcW w:w="824" w:type="dxa"/>
            <w:vMerge w:val="continue"/>
            <w:tcBorders>
              <w:tl2br w:val="nil"/>
              <w:tr2bl w:val="nil"/>
            </w:tcBorders>
            <w:vAlign w:val="center"/>
          </w:tcPr>
          <w:p w14:paraId="3A0ABE7D">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08E5F352">
            <w:pPr>
              <w:spacing w:line="360" w:lineRule="auto"/>
              <w:rPr>
                <w:rFonts w:hint="eastAsia" w:ascii="宋体" w:hAnsi="宋体" w:eastAsia="宋体" w:cs="宋体"/>
                <w:color w:val="auto"/>
                <w:szCs w:val="21"/>
                <w:highlight w:val="none"/>
              </w:rPr>
            </w:pPr>
          </w:p>
        </w:tc>
        <w:tc>
          <w:tcPr>
            <w:tcW w:w="1947" w:type="dxa"/>
            <w:tcBorders>
              <w:tl2br w:val="nil"/>
              <w:tr2bl w:val="nil"/>
            </w:tcBorders>
            <w:vAlign w:val="center"/>
          </w:tcPr>
          <w:p w14:paraId="69076FA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w:t>
            </w:r>
          </w:p>
        </w:tc>
        <w:tc>
          <w:tcPr>
            <w:tcW w:w="5746" w:type="dxa"/>
            <w:tcBorders>
              <w:tl2br w:val="nil"/>
              <w:tr2bl w:val="nil"/>
            </w:tcBorders>
            <w:vAlign w:val="center"/>
          </w:tcPr>
          <w:p w14:paraId="36D6517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符合第二章“供应商须知”第13.1项规定</w:t>
            </w:r>
          </w:p>
        </w:tc>
      </w:tr>
      <w:tr w14:paraId="4A44FC7F">
        <w:trPr>
          <w:jc w:val="center"/>
        </w:trPr>
        <w:tc>
          <w:tcPr>
            <w:tcW w:w="824" w:type="dxa"/>
            <w:vMerge w:val="continue"/>
            <w:tcBorders>
              <w:tl2br w:val="nil"/>
              <w:tr2bl w:val="nil"/>
            </w:tcBorders>
            <w:vAlign w:val="center"/>
          </w:tcPr>
          <w:p w14:paraId="5474F55A">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71751D24">
            <w:pPr>
              <w:spacing w:line="360" w:lineRule="auto"/>
              <w:rPr>
                <w:rFonts w:hint="eastAsia" w:ascii="宋体" w:hAnsi="宋体" w:eastAsia="宋体" w:cs="宋体"/>
                <w:color w:val="auto"/>
                <w:szCs w:val="21"/>
                <w:highlight w:val="none"/>
              </w:rPr>
            </w:pPr>
          </w:p>
        </w:tc>
        <w:tc>
          <w:tcPr>
            <w:tcW w:w="1947" w:type="dxa"/>
            <w:tcBorders>
              <w:tl2br w:val="nil"/>
              <w:tr2bl w:val="nil"/>
            </w:tcBorders>
            <w:vAlign w:val="center"/>
          </w:tcPr>
          <w:p w14:paraId="508EB49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其他实质性条件</w:t>
            </w:r>
          </w:p>
        </w:tc>
        <w:tc>
          <w:tcPr>
            <w:tcW w:w="5746" w:type="dxa"/>
            <w:tcBorders>
              <w:tl2br w:val="nil"/>
              <w:tr2bl w:val="nil"/>
            </w:tcBorders>
            <w:vAlign w:val="center"/>
          </w:tcPr>
          <w:p w14:paraId="0C3C6BC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实质性响应磋商文件中标注</w:t>
            </w:r>
            <w:r>
              <w:rPr>
                <w:rFonts w:hint="eastAsia" w:ascii="宋体" w:hAnsi="宋体" w:eastAsia="宋体" w:cs="宋体"/>
                <w:color w:val="auto"/>
                <w:highlight w:val="none"/>
              </w:rPr>
              <w:t>★</w:t>
            </w:r>
            <w:r>
              <w:rPr>
                <w:rFonts w:hint="eastAsia" w:ascii="宋体" w:hAnsi="宋体" w:eastAsia="宋体" w:cs="宋体"/>
                <w:color w:val="auto"/>
                <w:szCs w:val="21"/>
                <w:highlight w:val="none"/>
              </w:rPr>
              <w:t>条款内容</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rPr>
              <w:t>响应文件中未出现竞争性磋商文件中规定的其他无效情形。</w:t>
            </w:r>
          </w:p>
        </w:tc>
      </w:tr>
      <w:tr w14:paraId="331C0FCC">
        <w:trPr>
          <w:jc w:val="center"/>
        </w:trPr>
        <w:tc>
          <w:tcPr>
            <w:tcW w:w="824" w:type="dxa"/>
            <w:vMerge w:val="restart"/>
            <w:tcBorders>
              <w:tl2br w:val="nil"/>
              <w:tr2bl w:val="nil"/>
            </w:tcBorders>
            <w:vAlign w:val="center"/>
          </w:tcPr>
          <w:p w14:paraId="5166439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850" w:type="dxa"/>
            <w:vMerge w:val="restart"/>
            <w:tcBorders>
              <w:tl2br w:val="nil"/>
              <w:tr2bl w:val="nil"/>
            </w:tcBorders>
            <w:vAlign w:val="center"/>
          </w:tcPr>
          <w:p w14:paraId="63E0E49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分值构成与评分标准</w:t>
            </w:r>
          </w:p>
        </w:tc>
        <w:tc>
          <w:tcPr>
            <w:tcW w:w="1947" w:type="dxa"/>
            <w:tcBorders>
              <w:tl2br w:val="nil"/>
              <w:tr2bl w:val="nil"/>
            </w:tcBorders>
            <w:vAlign w:val="center"/>
          </w:tcPr>
          <w:p w14:paraId="1516977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（1）评审总得分计算公式</w:t>
            </w:r>
          </w:p>
        </w:tc>
        <w:tc>
          <w:tcPr>
            <w:tcW w:w="5746" w:type="dxa"/>
            <w:tcBorders>
              <w:tl2br w:val="nil"/>
              <w:tr2bl w:val="nil"/>
            </w:tcBorders>
            <w:vAlign w:val="center"/>
          </w:tcPr>
          <w:p w14:paraId="4CBF41E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供应商的评审总得分＝F1＋F2＋F3</w:t>
            </w:r>
          </w:p>
          <w:p w14:paraId="1F868C2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其中：F1、F2、F3分别为报价部分、商务部分、技术部分3项评分因素的汇总得分；</w:t>
            </w:r>
          </w:p>
        </w:tc>
      </w:tr>
      <w:tr w14:paraId="284986C1">
        <w:trPr>
          <w:jc w:val="center"/>
        </w:trPr>
        <w:tc>
          <w:tcPr>
            <w:tcW w:w="824" w:type="dxa"/>
            <w:vMerge w:val="continue"/>
            <w:tcBorders>
              <w:tl2br w:val="nil"/>
              <w:tr2bl w:val="nil"/>
            </w:tcBorders>
            <w:vAlign w:val="center"/>
          </w:tcPr>
          <w:p w14:paraId="67C750E3">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5B8F0D62">
            <w:pPr>
              <w:spacing w:line="360" w:lineRule="auto"/>
              <w:rPr>
                <w:rFonts w:hint="eastAsia" w:ascii="宋体" w:hAnsi="宋体" w:eastAsia="宋体" w:cs="宋体"/>
                <w:color w:val="auto"/>
                <w:szCs w:val="21"/>
                <w:highlight w:val="none"/>
              </w:rPr>
            </w:pPr>
          </w:p>
        </w:tc>
        <w:tc>
          <w:tcPr>
            <w:tcW w:w="1947" w:type="dxa"/>
            <w:tcBorders>
              <w:tl2br w:val="nil"/>
              <w:tr2bl w:val="nil"/>
            </w:tcBorders>
            <w:vAlign w:val="center"/>
          </w:tcPr>
          <w:p w14:paraId="74138AB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（2）评分因素权重</w:t>
            </w:r>
          </w:p>
        </w:tc>
        <w:tc>
          <w:tcPr>
            <w:tcW w:w="5746" w:type="dxa"/>
            <w:tcBorders>
              <w:tl2br w:val="nil"/>
              <w:tr2bl w:val="nil"/>
            </w:tcBorders>
            <w:vAlign w:val="center"/>
          </w:tcPr>
          <w:p w14:paraId="02645C9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报价部分F1：30分。</w:t>
            </w:r>
          </w:p>
          <w:p w14:paraId="2B1DD06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商务部分F2：2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分。</w:t>
            </w:r>
          </w:p>
          <w:p w14:paraId="4189126A">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技术部分F3：</w:t>
            </w:r>
            <w:r>
              <w:rPr>
                <w:rFonts w:hint="eastAsia" w:ascii="宋体" w:hAnsi="宋体" w:eastAsia="宋体" w:cs="宋体"/>
                <w:color w:val="auto"/>
                <w:szCs w:val="21"/>
                <w:highlight w:val="none"/>
                <w:lang w:val="en-US" w:eastAsia="zh-CN"/>
              </w:rPr>
              <w:t>50</w:t>
            </w:r>
            <w:r>
              <w:rPr>
                <w:rFonts w:hint="eastAsia" w:ascii="宋体" w:hAnsi="宋体" w:eastAsia="宋体" w:cs="宋体"/>
                <w:color w:val="auto"/>
                <w:szCs w:val="21"/>
                <w:highlight w:val="none"/>
              </w:rPr>
              <w:t>分。</w:t>
            </w:r>
          </w:p>
        </w:tc>
      </w:tr>
      <w:tr w14:paraId="02CD7E45">
        <w:trPr>
          <w:jc w:val="center"/>
        </w:trPr>
        <w:tc>
          <w:tcPr>
            <w:tcW w:w="824" w:type="dxa"/>
            <w:vMerge w:val="continue"/>
            <w:tcBorders>
              <w:tl2br w:val="nil"/>
              <w:tr2bl w:val="nil"/>
            </w:tcBorders>
            <w:vAlign w:val="center"/>
          </w:tcPr>
          <w:p w14:paraId="4D9EA7D3">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3709A5BC">
            <w:pPr>
              <w:spacing w:line="360" w:lineRule="auto"/>
              <w:rPr>
                <w:rFonts w:hint="eastAsia" w:ascii="宋体" w:hAnsi="宋体" w:eastAsia="宋体" w:cs="宋体"/>
                <w:color w:val="auto"/>
                <w:szCs w:val="21"/>
                <w:highlight w:val="none"/>
              </w:rPr>
            </w:pPr>
          </w:p>
        </w:tc>
        <w:tc>
          <w:tcPr>
            <w:tcW w:w="1947" w:type="dxa"/>
            <w:tcBorders>
              <w:tl2br w:val="nil"/>
              <w:tr2bl w:val="nil"/>
            </w:tcBorders>
            <w:vAlign w:val="center"/>
          </w:tcPr>
          <w:p w14:paraId="70BD79C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（3）报价评分F1（满分30分）</w:t>
            </w:r>
          </w:p>
        </w:tc>
        <w:tc>
          <w:tcPr>
            <w:tcW w:w="5746" w:type="dxa"/>
            <w:tcBorders>
              <w:tl2br w:val="nil"/>
              <w:tr2bl w:val="nil"/>
            </w:tcBorders>
            <w:vAlign w:val="center"/>
          </w:tcPr>
          <w:p w14:paraId="241CCEA5">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根据供应商最后报出总报价计算最后报价得分。</w:t>
            </w:r>
          </w:p>
          <w:p w14:paraId="35AC1E5F">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报价评分采用低价优先法计算，即满足磋商文件要求最后报价最低的供应商的价格为磋商基准价，其报价分为满分。其他供应商的报价分统一按照下列公式计算：</w:t>
            </w:r>
          </w:p>
          <w:p w14:paraId="2CEB2C4A">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磋商报价得分=（磋商基准价/最后报价）×30</w:t>
            </w:r>
          </w:p>
          <w:p w14:paraId="30D563F5">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即：F1=C/（B1，B2，…，Bn）×30</w:t>
            </w:r>
          </w:p>
          <w:p w14:paraId="0EFA18B2">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说明：</w:t>
            </w:r>
          </w:p>
          <w:p w14:paraId="02AF8631">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1）C为磋商基准价，即满足磋商文件要求且最后报价最低的供应商的价格为磋商基准价；</w:t>
            </w:r>
          </w:p>
          <w:p w14:paraId="71144AA0">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2）B1，B2，…，Bn为第n个经实质性审查合格的最后报价。</w:t>
            </w:r>
          </w:p>
          <w:p w14:paraId="3DB8252E">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注：</w:t>
            </w:r>
          </w:p>
          <w:p w14:paraId="584297D1">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1）应落实政府采购政策进行价格调整的，以调整后的价格计算基准价；</w:t>
            </w:r>
          </w:p>
          <w:p w14:paraId="7D206895">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2）若本次采购范围内所有标的物均由小微型企业（残疾人福利性单位、监狱企业）提供，请按第四章</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格式规定填写“中小企业声明函”，经</w:t>
            </w:r>
            <w:r>
              <w:rPr>
                <w:rFonts w:hint="eastAsia" w:ascii="宋体" w:hAnsi="宋体" w:eastAsia="宋体" w:cs="宋体"/>
                <w:color w:val="auto"/>
                <w:highlight w:val="none"/>
                <w:lang w:val="en-US" w:eastAsia="zh-CN"/>
              </w:rPr>
              <w:t>磋商小组</w:t>
            </w:r>
            <w:r>
              <w:rPr>
                <w:rFonts w:hint="eastAsia" w:ascii="宋体" w:hAnsi="宋体" w:eastAsia="宋体" w:cs="宋体"/>
                <w:color w:val="auto"/>
                <w:highlight w:val="none"/>
              </w:rPr>
              <w:t>核实方可获得价格扣除；</w:t>
            </w:r>
          </w:p>
          <w:p w14:paraId="4426C1A5">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3）对于非专门面向中小企业的项目，在计算</w:t>
            </w:r>
            <w:r>
              <w:rPr>
                <w:rFonts w:hint="eastAsia" w:ascii="宋体" w:hAnsi="宋体" w:eastAsia="宋体" w:cs="宋体"/>
                <w:color w:val="auto"/>
                <w:highlight w:val="none"/>
                <w:lang w:val="en-US" w:eastAsia="zh-CN"/>
              </w:rPr>
              <w:t>磋商报价</w:t>
            </w:r>
            <w:r>
              <w:rPr>
                <w:rFonts w:hint="eastAsia" w:ascii="宋体" w:hAnsi="宋体" w:eastAsia="宋体" w:cs="宋体"/>
                <w:color w:val="auto"/>
                <w:highlight w:val="none"/>
              </w:rPr>
              <w:t>得分时，对小微型企业的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投标总报价给予4%的扣除，用扣除后的报价参与评审；</w:t>
            </w:r>
          </w:p>
          <w:p w14:paraId="12F8456F">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4）残疾人福利性单位（或监狱企业）产品视同小型、微型企业，享受同等价格扣除；针对小微企业价格扣除政策，</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仅能获得一种政策的价格扣除，不重复享受；</w:t>
            </w:r>
          </w:p>
          <w:p w14:paraId="6A595129">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5）计算结果四舍五入保留至小数点后两位。</w:t>
            </w:r>
          </w:p>
        </w:tc>
      </w:tr>
      <w:tr w14:paraId="4845B8AE">
        <w:trPr>
          <w:jc w:val="center"/>
        </w:trPr>
        <w:tc>
          <w:tcPr>
            <w:tcW w:w="824" w:type="dxa"/>
            <w:vMerge w:val="continue"/>
            <w:tcBorders>
              <w:tl2br w:val="nil"/>
              <w:tr2bl w:val="nil"/>
            </w:tcBorders>
            <w:vAlign w:val="center"/>
          </w:tcPr>
          <w:p w14:paraId="5D17FEEF">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7347D8B0">
            <w:pPr>
              <w:spacing w:line="360" w:lineRule="auto"/>
              <w:rPr>
                <w:rFonts w:hint="eastAsia" w:ascii="宋体" w:hAnsi="宋体" w:eastAsia="宋体" w:cs="宋体"/>
                <w:color w:val="auto"/>
                <w:szCs w:val="21"/>
                <w:highlight w:val="none"/>
              </w:rPr>
            </w:pPr>
          </w:p>
        </w:tc>
        <w:tc>
          <w:tcPr>
            <w:tcW w:w="1947" w:type="dxa"/>
            <w:vMerge w:val="restart"/>
            <w:tcBorders>
              <w:tl2br w:val="nil"/>
              <w:tr2bl w:val="nil"/>
            </w:tcBorders>
            <w:vAlign w:val="center"/>
          </w:tcPr>
          <w:p w14:paraId="2CE2AC7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（4）商务部分得分F2</w:t>
            </w:r>
          </w:p>
          <w:p w14:paraId="4A7F5AB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w:t>
            </w:r>
          </w:p>
        </w:tc>
        <w:tc>
          <w:tcPr>
            <w:tcW w:w="5746" w:type="dxa"/>
            <w:tcBorders>
              <w:tl2br w:val="nil"/>
              <w:tr2bl w:val="nil"/>
            </w:tcBorders>
            <w:vAlign w:val="center"/>
          </w:tcPr>
          <w:p w14:paraId="7A993152">
            <w:pPr>
              <w:pStyle w:val="41"/>
              <w:tabs>
                <w:tab w:val="left" w:pos="3996"/>
              </w:tabs>
              <w:snapToGrid w:val="0"/>
              <w:spacing w:before="0" w:beforeAutospacing="0" w:after="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1）施工项目管理机构配置评审（满分</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分）</w:t>
            </w:r>
          </w:p>
          <w:p w14:paraId="47039F3E">
            <w:pPr>
              <w:widowControl/>
              <w:spacing w:line="360" w:lineRule="auto"/>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供应商拟派往本施工项目管理机构配置其他成员（除项目经理外）中，每1人具备国家人社部门承认的中级（或高级）专业技术职称（建筑专业）或二级及以上注册建造师执业资格的加1分、不重复加分，此部分最多得</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分</w:t>
            </w:r>
            <w:r>
              <w:rPr>
                <w:rFonts w:hint="eastAsia" w:ascii="宋体" w:hAnsi="宋体" w:eastAsia="宋体" w:cs="宋体"/>
                <w:bCs/>
                <w:color w:val="auto"/>
                <w:szCs w:val="21"/>
                <w:highlight w:val="none"/>
                <w:lang w:eastAsia="zh-CN"/>
              </w:rPr>
              <w:t>。</w:t>
            </w:r>
          </w:p>
          <w:p w14:paraId="6AC33866">
            <w:pPr>
              <w:pStyle w:val="16"/>
              <w:rPr>
                <w:rFonts w:hint="eastAsia" w:ascii="宋体" w:hAnsi="宋体" w:eastAsia="宋体" w:cs="宋体"/>
                <w:color w:val="auto"/>
                <w:highlight w:val="none"/>
                <w:lang w:val="en-US" w:eastAsia="zh-CN"/>
              </w:rPr>
            </w:pPr>
            <w:r>
              <w:rPr>
                <w:rFonts w:hint="eastAsia" w:ascii="宋体" w:hAnsi="宋体" w:eastAsia="宋体" w:cs="宋体"/>
                <w:bCs/>
                <w:color w:val="auto"/>
                <w:kern w:val="2"/>
                <w:sz w:val="21"/>
                <w:szCs w:val="21"/>
                <w:highlight w:val="none"/>
                <w:lang w:val="en-US" w:eastAsia="zh-CN" w:bidi="ar-SA"/>
              </w:rPr>
              <w:t>注</w:t>
            </w:r>
            <w:r>
              <w:rPr>
                <w:rFonts w:hint="eastAsia" w:ascii="宋体" w:hAnsi="宋体" w:eastAsia="宋体" w:cs="宋体"/>
                <w:color w:val="auto"/>
                <w:szCs w:val="21"/>
                <w:highlight w:val="none"/>
              </w:rPr>
              <w:t>：</w:t>
            </w:r>
            <w:r>
              <w:rPr>
                <w:rFonts w:hint="eastAsia" w:ascii="宋体" w:hAnsi="宋体" w:eastAsia="宋体" w:cs="宋体"/>
                <w:bCs/>
                <w:color w:val="auto"/>
                <w:kern w:val="2"/>
                <w:sz w:val="21"/>
                <w:szCs w:val="21"/>
                <w:highlight w:val="none"/>
                <w:lang w:val="en-US" w:eastAsia="zh-CN" w:bidi="ar-SA"/>
              </w:rPr>
              <w:t>提供上述成员身份证、劳动合同、证书复印件或扫描件。</w:t>
            </w:r>
          </w:p>
        </w:tc>
      </w:tr>
      <w:tr w14:paraId="7A30DD60">
        <w:trPr>
          <w:trHeight w:val="815" w:hRule="atLeast"/>
          <w:jc w:val="center"/>
        </w:trPr>
        <w:tc>
          <w:tcPr>
            <w:tcW w:w="824" w:type="dxa"/>
            <w:vMerge w:val="continue"/>
            <w:tcBorders>
              <w:tl2br w:val="nil"/>
              <w:tr2bl w:val="nil"/>
            </w:tcBorders>
            <w:vAlign w:val="center"/>
          </w:tcPr>
          <w:p w14:paraId="05A1B406">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5447DBA2">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1A10379F">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49626CD2">
            <w:pPr>
              <w:spacing w:line="360" w:lineRule="auto"/>
              <w:rPr>
                <w:rFonts w:hint="eastAsia" w:ascii="宋体" w:hAnsi="宋体" w:eastAsia="宋体" w:cs="宋体"/>
                <w:b/>
                <w:color w:val="auto"/>
                <w:kern w:val="0"/>
                <w:szCs w:val="21"/>
                <w:highlight w:val="none"/>
              </w:rPr>
            </w:pPr>
            <w:r>
              <w:rPr>
                <w:rFonts w:hint="eastAsia" w:ascii="宋体" w:hAnsi="宋体" w:eastAsia="宋体" w:cs="宋体"/>
                <w:b/>
                <w:bCs/>
                <w:color w:val="auto"/>
                <w:szCs w:val="21"/>
                <w:highlight w:val="none"/>
              </w:rPr>
              <w:t>2）</w:t>
            </w:r>
            <w:r>
              <w:rPr>
                <w:rFonts w:hint="eastAsia" w:ascii="宋体" w:hAnsi="宋体" w:eastAsia="宋体" w:cs="宋体"/>
                <w:b/>
                <w:color w:val="auto"/>
                <w:kern w:val="0"/>
                <w:szCs w:val="21"/>
                <w:highlight w:val="none"/>
              </w:rPr>
              <w:t>质量承诺及保证措施评审评分（满分8分）</w:t>
            </w:r>
          </w:p>
          <w:p w14:paraId="02AAE475">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第一个档次（8分）：质量承诺满足竞争性磋商文件要求，质量</w:t>
            </w:r>
            <w:r>
              <w:rPr>
                <w:rFonts w:hint="eastAsia" w:ascii="宋体" w:hAnsi="宋体" w:eastAsia="宋体" w:cs="宋体"/>
                <w:color w:val="auto"/>
                <w:szCs w:val="21"/>
                <w:highlight w:val="none"/>
              </w:rPr>
              <w:t>管理机构健全，职责分工明确；质量管理制度齐全；实施与监控措施全面、有效；质量违约责任承诺、处罚标准具体</w:t>
            </w:r>
            <w:r>
              <w:rPr>
                <w:rFonts w:hint="eastAsia" w:ascii="宋体" w:hAnsi="宋体" w:eastAsia="宋体" w:cs="宋体"/>
                <w:color w:val="auto"/>
                <w:kern w:val="0"/>
                <w:szCs w:val="21"/>
                <w:highlight w:val="none"/>
              </w:rPr>
              <w:t>；</w:t>
            </w:r>
          </w:p>
          <w:p w14:paraId="2A8A73A9">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第二个档次（5分）：质量承诺满足竞争性磋商文件，质量</w:t>
            </w:r>
            <w:r>
              <w:rPr>
                <w:rFonts w:hint="eastAsia" w:ascii="宋体" w:hAnsi="宋体" w:eastAsia="宋体" w:cs="宋体"/>
                <w:color w:val="auto"/>
                <w:szCs w:val="21"/>
                <w:highlight w:val="none"/>
              </w:rPr>
              <w:t>管理机构健全，职责分工较明确；质量管理制度较齐全，实施与监控措施较完整；质量违约责任承诺、处罚标准具体</w:t>
            </w:r>
            <w:r>
              <w:rPr>
                <w:rFonts w:hint="eastAsia" w:ascii="宋体" w:hAnsi="宋体" w:eastAsia="宋体" w:cs="宋体"/>
                <w:color w:val="auto"/>
                <w:kern w:val="0"/>
                <w:szCs w:val="21"/>
                <w:highlight w:val="none"/>
              </w:rPr>
              <w:t>；</w:t>
            </w:r>
          </w:p>
          <w:p w14:paraId="126583B4">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第三个档次（3分）：质量承诺满足竞争性磋商文件，质量</w:t>
            </w:r>
            <w:r>
              <w:rPr>
                <w:rFonts w:hint="eastAsia" w:ascii="宋体" w:hAnsi="宋体" w:eastAsia="宋体" w:cs="宋体"/>
                <w:color w:val="auto"/>
                <w:szCs w:val="21"/>
                <w:highlight w:val="none"/>
              </w:rPr>
              <w:t>管理机构基本健全，职责分工基本明确；质量管理制度基本齐全，实施与监控措施基本完整；质量违约责任承诺、处罚标准不具体</w:t>
            </w:r>
            <w:r>
              <w:rPr>
                <w:rFonts w:hint="eastAsia" w:ascii="宋体" w:hAnsi="宋体" w:eastAsia="宋体" w:cs="宋体"/>
                <w:color w:val="auto"/>
                <w:kern w:val="0"/>
                <w:szCs w:val="21"/>
                <w:highlight w:val="none"/>
              </w:rPr>
              <w:t>；</w:t>
            </w:r>
          </w:p>
          <w:p w14:paraId="4998065A">
            <w:pPr>
              <w:pStyle w:val="41"/>
              <w:tabs>
                <w:tab w:val="left" w:pos="3996"/>
              </w:tabs>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第四个档次（1分）：质量承诺简单，相关质量管理措施、制度与项目实际不相符；无具体的质量违约处罚标准；</w:t>
            </w:r>
          </w:p>
          <w:p w14:paraId="6AEC3197">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第五个档次（0分）：未提供质量承诺及保证措施的。</w:t>
            </w:r>
          </w:p>
        </w:tc>
      </w:tr>
      <w:tr w14:paraId="3B3E92B5">
        <w:trPr>
          <w:trHeight w:val="246" w:hRule="atLeast"/>
          <w:jc w:val="center"/>
        </w:trPr>
        <w:tc>
          <w:tcPr>
            <w:tcW w:w="824" w:type="dxa"/>
            <w:vMerge w:val="continue"/>
            <w:tcBorders>
              <w:tl2br w:val="nil"/>
              <w:tr2bl w:val="nil"/>
            </w:tcBorders>
            <w:vAlign w:val="center"/>
          </w:tcPr>
          <w:p w14:paraId="144B93C3">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3B599B2F">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0751622F">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6EF5577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3）供应商企业</w:t>
            </w:r>
            <w:r>
              <w:rPr>
                <w:rFonts w:hint="eastAsia" w:ascii="宋体" w:hAnsi="宋体" w:eastAsia="宋体" w:cs="宋体"/>
                <w:b/>
                <w:bCs/>
                <w:color w:val="auto"/>
                <w:kern w:val="0"/>
                <w:szCs w:val="21"/>
                <w:highlight w:val="none"/>
              </w:rPr>
              <w:t>类似项目业绩评审评分（满分10分）</w:t>
            </w:r>
          </w:p>
          <w:p w14:paraId="3A177EC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供应商每提供1个2021年1月1日至今（以合同签订时间为准）类似项目有效业绩得</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分，满分10分。</w:t>
            </w:r>
          </w:p>
          <w:p w14:paraId="6DF69CA1">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注：响应文件中须提供业绩列表及相对应的业绩证明材料，业绩证明材料为合同（合同包括：合同首页、标的及金额所在页及合同签字盖章页）。无证明材料或证明材料不明确、无法体现业绩内容的，不予认可。</w:t>
            </w:r>
          </w:p>
        </w:tc>
      </w:tr>
      <w:tr w14:paraId="3AF08349">
        <w:trPr>
          <w:trHeight w:val="524" w:hRule="atLeast"/>
          <w:jc w:val="center"/>
        </w:trPr>
        <w:tc>
          <w:tcPr>
            <w:tcW w:w="824" w:type="dxa"/>
            <w:vMerge w:val="continue"/>
            <w:tcBorders>
              <w:tl2br w:val="nil"/>
              <w:tr2bl w:val="nil"/>
            </w:tcBorders>
            <w:vAlign w:val="center"/>
          </w:tcPr>
          <w:p w14:paraId="1B62ECC7">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4D55F5EB">
            <w:pPr>
              <w:spacing w:line="360" w:lineRule="auto"/>
              <w:rPr>
                <w:rFonts w:hint="eastAsia" w:ascii="宋体" w:hAnsi="宋体" w:eastAsia="宋体" w:cs="宋体"/>
                <w:color w:val="auto"/>
                <w:szCs w:val="21"/>
                <w:highlight w:val="none"/>
              </w:rPr>
            </w:pPr>
          </w:p>
        </w:tc>
        <w:tc>
          <w:tcPr>
            <w:tcW w:w="1947" w:type="dxa"/>
            <w:vMerge w:val="restart"/>
            <w:tcBorders>
              <w:tl2br w:val="nil"/>
              <w:tr2bl w:val="nil"/>
            </w:tcBorders>
            <w:vAlign w:val="center"/>
          </w:tcPr>
          <w:p w14:paraId="32EC0A4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（5）技术部分得分F3</w:t>
            </w:r>
          </w:p>
          <w:p w14:paraId="616D841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50</w:t>
            </w:r>
            <w:r>
              <w:rPr>
                <w:rFonts w:hint="eastAsia" w:ascii="宋体" w:hAnsi="宋体" w:eastAsia="宋体" w:cs="宋体"/>
                <w:color w:val="auto"/>
                <w:szCs w:val="21"/>
                <w:highlight w:val="none"/>
              </w:rPr>
              <w:t>分）</w:t>
            </w:r>
          </w:p>
        </w:tc>
        <w:tc>
          <w:tcPr>
            <w:tcW w:w="5746" w:type="dxa"/>
            <w:tcBorders>
              <w:tl2br w:val="nil"/>
              <w:tr2bl w:val="nil"/>
            </w:tcBorders>
            <w:vAlign w:val="center"/>
          </w:tcPr>
          <w:p w14:paraId="598676DE">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1）施工技术方案评审评分（满分10分）</w:t>
            </w:r>
          </w:p>
          <w:p w14:paraId="560F4542">
            <w:pPr>
              <w:pStyle w:val="41"/>
              <w:tabs>
                <w:tab w:val="left" w:pos="3996"/>
              </w:tabs>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第一个档次（10分）：施工技术方案合理且能指导施工，施工措施具体且有针对性，施工部署全面的，完全满足本项目要求的；</w:t>
            </w:r>
          </w:p>
          <w:p w14:paraId="5C269D2D">
            <w:pPr>
              <w:pStyle w:val="41"/>
              <w:tabs>
                <w:tab w:val="left" w:pos="3996"/>
              </w:tabs>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第二个档次（7分）：施工技术方案合理但对施工指导性一般，施工措施具体但针对性一般，施工部署全面的，能满足项目施工要求；</w:t>
            </w:r>
          </w:p>
          <w:p w14:paraId="0DC8424E">
            <w:pPr>
              <w:pStyle w:val="41"/>
              <w:tabs>
                <w:tab w:val="left" w:pos="3996"/>
              </w:tabs>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第三个档次（5分）：提供施工技术方案，对施工指导性较差，提供的施工措施无针对性，施工部署不太全面，基本能满足本项目要求的；</w:t>
            </w:r>
          </w:p>
          <w:p w14:paraId="35B273F2">
            <w:pPr>
              <w:pStyle w:val="41"/>
              <w:tabs>
                <w:tab w:val="left" w:pos="3996"/>
              </w:tabs>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第四个档次（1分）：施工技术方案、施工措施、施工部署存在有明显错误的；</w:t>
            </w:r>
          </w:p>
          <w:p w14:paraId="5EC58BEF">
            <w:pPr>
              <w:pStyle w:val="41"/>
              <w:tabs>
                <w:tab w:val="left" w:pos="3996"/>
              </w:tabs>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第五个档次（0分）：未提供施工技术方案的。</w:t>
            </w:r>
          </w:p>
        </w:tc>
      </w:tr>
      <w:tr w14:paraId="3C4A8C3D">
        <w:trPr>
          <w:trHeight w:val="524" w:hRule="atLeast"/>
          <w:jc w:val="center"/>
        </w:trPr>
        <w:tc>
          <w:tcPr>
            <w:tcW w:w="824" w:type="dxa"/>
            <w:vMerge w:val="continue"/>
            <w:tcBorders>
              <w:tl2br w:val="nil"/>
              <w:tr2bl w:val="nil"/>
            </w:tcBorders>
            <w:vAlign w:val="center"/>
          </w:tcPr>
          <w:p w14:paraId="16015DCE">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5E66B6CF">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390A5A6C">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4CD7B28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2）施工主要工序评审评分（满分</w:t>
            </w:r>
            <w:r>
              <w:rPr>
                <w:rFonts w:hint="eastAsia" w:ascii="宋体" w:hAnsi="宋体" w:eastAsia="宋体" w:cs="宋体"/>
                <w:b/>
                <w:bCs/>
                <w:color w:val="auto"/>
                <w:szCs w:val="21"/>
                <w:highlight w:val="none"/>
                <w:lang w:val="en-US" w:eastAsia="zh-CN"/>
              </w:rPr>
              <w:t>10</w:t>
            </w:r>
            <w:r>
              <w:rPr>
                <w:rFonts w:hint="eastAsia" w:ascii="宋体" w:hAnsi="宋体" w:eastAsia="宋体" w:cs="宋体"/>
                <w:b/>
                <w:bCs/>
                <w:color w:val="auto"/>
                <w:szCs w:val="21"/>
                <w:highlight w:val="none"/>
              </w:rPr>
              <w:t>分）</w:t>
            </w:r>
          </w:p>
          <w:p w14:paraId="63D57729">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第一个档次（</w:t>
            </w: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rPr>
              <w:t>分）：施工主要工序阐述明细、全面、合理，主要工种施工方法得当，且对本项目的关键技术、工艺有明确、深入的表述，对施工重点、难点有合理、经济、安全的解决方案和可行保证措施的；</w:t>
            </w:r>
          </w:p>
          <w:p w14:paraId="1FD70AA7">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第二个档次（</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分）：施工主要工序有阐述全面、合理，主要工种施工方法基本得当，且对本项目的关键技术、工艺有明确的表述，对施工重点、难点有合理的解决方案，保证措施基本可行的；</w:t>
            </w:r>
          </w:p>
          <w:p w14:paraId="1BC98727">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第三个档次（</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分）：施工主要工序阐述基本全面，且对本项目的关键技术、工艺有一定了解，对施工重点、难点有建议，解决方案和保证措施不可行的；</w:t>
            </w:r>
          </w:p>
          <w:p w14:paraId="4A97D8AF">
            <w:pPr>
              <w:pStyle w:val="41"/>
              <w:tabs>
                <w:tab w:val="left" w:pos="3996"/>
              </w:tabs>
              <w:spacing w:before="0" w:beforeAutospacing="0" w:after="0" w:afterAutospacing="0" w:line="360" w:lineRule="auto"/>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rPr>
              <w:t>第四个档次（1分）：</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施工主要工序阐述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但不符合本项目要求的</w:t>
            </w:r>
            <w:r>
              <w:rPr>
                <w:rFonts w:hint="eastAsia" w:ascii="宋体" w:hAnsi="宋体" w:eastAsia="宋体" w:cs="宋体"/>
                <w:color w:val="auto"/>
                <w:sz w:val="21"/>
                <w:szCs w:val="21"/>
                <w:highlight w:val="none"/>
              </w:rPr>
              <w:t>；</w:t>
            </w:r>
          </w:p>
          <w:p w14:paraId="616E982E">
            <w:pPr>
              <w:pStyle w:val="41"/>
              <w:tabs>
                <w:tab w:val="left" w:pos="3996"/>
              </w:tabs>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个档次（0分）：未提供施工主要工序的</w:t>
            </w:r>
            <w:r>
              <w:rPr>
                <w:rFonts w:hint="eastAsia" w:ascii="宋体" w:hAnsi="宋体" w:eastAsia="宋体" w:cs="宋体"/>
                <w:color w:val="auto"/>
                <w:sz w:val="21"/>
                <w:szCs w:val="21"/>
                <w:highlight w:val="none"/>
                <w:lang w:eastAsia="zh-CN"/>
              </w:rPr>
              <w:t>。</w:t>
            </w:r>
          </w:p>
        </w:tc>
      </w:tr>
      <w:tr w14:paraId="41964B60">
        <w:trPr>
          <w:trHeight w:val="524" w:hRule="atLeast"/>
          <w:jc w:val="center"/>
        </w:trPr>
        <w:tc>
          <w:tcPr>
            <w:tcW w:w="824" w:type="dxa"/>
            <w:vMerge w:val="continue"/>
            <w:tcBorders>
              <w:tl2br w:val="nil"/>
              <w:tr2bl w:val="nil"/>
            </w:tcBorders>
            <w:vAlign w:val="center"/>
          </w:tcPr>
          <w:p w14:paraId="36A1082C">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52F5D9CD">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207CF59D">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6E7DDB75">
            <w:pPr>
              <w:autoSpaceDE w:val="0"/>
              <w:autoSpaceDN w:val="0"/>
              <w:adjustRightInd w:val="0"/>
              <w:spacing w:line="360" w:lineRule="auto"/>
              <w:jc w:val="left"/>
              <w:rPr>
                <w:rFonts w:hint="eastAsia" w:ascii="宋体" w:hAnsi="宋体" w:eastAsia="宋体" w:cs="宋体"/>
                <w:b/>
                <w:color w:val="auto"/>
                <w:kern w:val="0"/>
                <w:szCs w:val="21"/>
                <w:highlight w:val="none"/>
              </w:rPr>
            </w:pPr>
            <w:r>
              <w:rPr>
                <w:rFonts w:hint="eastAsia" w:ascii="宋体" w:hAnsi="宋体" w:eastAsia="宋体" w:cs="宋体"/>
                <w:b/>
                <w:bCs/>
                <w:color w:val="auto"/>
                <w:szCs w:val="21"/>
                <w:highlight w:val="none"/>
              </w:rPr>
              <w:t>3）</w:t>
            </w:r>
            <w:r>
              <w:rPr>
                <w:rFonts w:hint="eastAsia" w:ascii="宋体" w:hAnsi="宋体" w:eastAsia="宋体" w:cs="宋体"/>
                <w:b/>
                <w:color w:val="auto"/>
                <w:kern w:val="0"/>
                <w:szCs w:val="21"/>
                <w:highlight w:val="none"/>
              </w:rPr>
              <w:t>安全文</w:t>
            </w:r>
            <w:r>
              <w:rPr>
                <w:rFonts w:hint="eastAsia" w:ascii="宋体" w:hAnsi="宋体" w:eastAsia="宋体" w:cs="宋体"/>
                <w:b/>
                <w:bCs/>
                <w:color w:val="auto"/>
                <w:szCs w:val="21"/>
                <w:highlight w:val="none"/>
              </w:rPr>
              <w:t>明施工保证措施评审评分（满分</w:t>
            </w:r>
            <w:r>
              <w:rPr>
                <w:rFonts w:hint="eastAsia" w:ascii="宋体" w:hAnsi="宋体" w:eastAsia="宋体" w:cs="宋体"/>
                <w:b/>
                <w:bCs/>
                <w:color w:val="auto"/>
                <w:szCs w:val="21"/>
                <w:highlight w:val="none"/>
                <w:lang w:val="en-US" w:eastAsia="zh-CN"/>
              </w:rPr>
              <w:t>7</w:t>
            </w:r>
            <w:r>
              <w:rPr>
                <w:rFonts w:hint="eastAsia" w:ascii="宋体" w:hAnsi="宋体" w:eastAsia="宋体" w:cs="宋体"/>
                <w:b/>
                <w:bCs/>
                <w:color w:val="auto"/>
                <w:szCs w:val="21"/>
                <w:highlight w:val="none"/>
              </w:rPr>
              <w:t>分）</w:t>
            </w:r>
          </w:p>
          <w:p w14:paraId="4BA4119D">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第一个档次（</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分）：安全文明施工保证措施内容完整、规范，对防火、防滑、安全用电、材料堆放、垃圾清运、场容场貌，现场围挡、安全警示等有具体描述、可行性强，针对性好；</w:t>
            </w:r>
          </w:p>
          <w:p w14:paraId="39CD2D14">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第二个档次（</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分）：安全文明施工保证措施内容基本完整，对防火、防滑、安全用电、材料堆放、垃圾清运、场容场貌，现场围挡、安全警示等描述不清晰、可行性一般，具有一定针对性；</w:t>
            </w:r>
          </w:p>
          <w:p w14:paraId="7A8AEE73">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第三个档次（</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分）：安全文明施工保证措施内容缺漏，对防火、防滑、安全用电、材料堆放、垃圾清运、场容场貌，现场围挡、安全警示等描述间漏、可行性差，无针对性，或未提供安全文明施工措施；</w:t>
            </w:r>
          </w:p>
          <w:p w14:paraId="7D78E8AD">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kern w:val="0"/>
                <w:szCs w:val="21"/>
                <w:highlight w:val="none"/>
              </w:rPr>
              <w:t>第四个档次（0分）：未提供安全文明施工保证措施的</w:t>
            </w:r>
            <w:r>
              <w:rPr>
                <w:rFonts w:hint="eastAsia" w:ascii="宋体" w:hAnsi="宋体" w:eastAsia="宋体" w:cs="宋体"/>
                <w:color w:val="auto"/>
                <w:kern w:val="0"/>
                <w:szCs w:val="21"/>
                <w:highlight w:val="none"/>
                <w:lang w:eastAsia="zh-CN"/>
              </w:rPr>
              <w:t>。</w:t>
            </w:r>
          </w:p>
        </w:tc>
      </w:tr>
      <w:tr w14:paraId="4C0C097D">
        <w:trPr>
          <w:trHeight w:val="299" w:hRule="atLeast"/>
          <w:jc w:val="center"/>
        </w:trPr>
        <w:tc>
          <w:tcPr>
            <w:tcW w:w="824" w:type="dxa"/>
            <w:vMerge w:val="continue"/>
            <w:tcBorders>
              <w:tl2br w:val="nil"/>
              <w:tr2bl w:val="nil"/>
            </w:tcBorders>
            <w:vAlign w:val="center"/>
          </w:tcPr>
          <w:p w14:paraId="6A753B5B">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0E434A0D">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2FF65FF1">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49F3E3F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4）施工进度计划及工期保证措施评审评分（满分6分）</w:t>
            </w:r>
          </w:p>
          <w:p w14:paraId="36E171F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第一个档次（6分）：工期承诺满足</w:t>
            </w:r>
            <w:r>
              <w:rPr>
                <w:rFonts w:hint="eastAsia" w:ascii="宋体" w:hAnsi="宋体" w:eastAsia="宋体" w:cs="宋体"/>
                <w:color w:val="auto"/>
                <w:kern w:val="0"/>
                <w:szCs w:val="21"/>
                <w:highlight w:val="none"/>
              </w:rPr>
              <w:t>竞争性磋商文件</w:t>
            </w:r>
            <w:r>
              <w:rPr>
                <w:rFonts w:hint="eastAsia" w:ascii="宋体" w:hAnsi="宋体" w:eastAsia="宋体" w:cs="宋体"/>
                <w:color w:val="auto"/>
                <w:szCs w:val="21"/>
                <w:highlight w:val="none"/>
              </w:rPr>
              <w:t>要求；施工进度计划内容全面，关键线路清晰、准确、完整，计划编制合理、可行；措施有力、合理、可行；有具体的工期违约责任承诺；</w:t>
            </w:r>
          </w:p>
          <w:p w14:paraId="0CA5158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第二个档次（4分）：工期承诺满足</w:t>
            </w:r>
            <w:r>
              <w:rPr>
                <w:rFonts w:hint="eastAsia" w:ascii="宋体" w:hAnsi="宋体" w:eastAsia="宋体" w:cs="宋体"/>
                <w:color w:val="auto"/>
                <w:kern w:val="0"/>
                <w:szCs w:val="21"/>
                <w:highlight w:val="none"/>
              </w:rPr>
              <w:t>竞争性磋商文件</w:t>
            </w:r>
            <w:r>
              <w:rPr>
                <w:rFonts w:hint="eastAsia" w:ascii="宋体" w:hAnsi="宋体" w:eastAsia="宋体" w:cs="宋体"/>
                <w:color w:val="auto"/>
                <w:szCs w:val="21"/>
                <w:highlight w:val="none"/>
              </w:rPr>
              <w:t>要求；施工进度计划内容较全面，线路较清晰，计划编制较合理；措施可行；有具体的工期违约责任承诺；</w:t>
            </w:r>
          </w:p>
          <w:p w14:paraId="457AD1D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第三个档次（2分）：工期承诺满足</w:t>
            </w:r>
            <w:r>
              <w:rPr>
                <w:rFonts w:hint="eastAsia" w:ascii="宋体" w:hAnsi="宋体" w:eastAsia="宋体" w:cs="宋体"/>
                <w:color w:val="auto"/>
                <w:kern w:val="0"/>
                <w:szCs w:val="21"/>
                <w:highlight w:val="none"/>
              </w:rPr>
              <w:t>竞争性磋商文件</w:t>
            </w:r>
            <w:r>
              <w:rPr>
                <w:rFonts w:hint="eastAsia" w:ascii="宋体" w:hAnsi="宋体" w:eastAsia="宋体" w:cs="宋体"/>
                <w:color w:val="auto"/>
                <w:szCs w:val="21"/>
                <w:highlight w:val="none"/>
              </w:rPr>
              <w:t>要求；施工进度计划内容基本全面，线路基本清晰，计划编制基本合理；措施基本可行；工期违约责任承诺不具体；</w:t>
            </w:r>
          </w:p>
          <w:p w14:paraId="33A8E123">
            <w:pPr>
              <w:autoSpaceDE w:val="0"/>
              <w:autoSpaceDN w:val="0"/>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szCs w:val="21"/>
                <w:highlight w:val="none"/>
              </w:rPr>
              <w:t>第四个档次（0分）:无工期违约责任承诺或</w:t>
            </w:r>
            <w:r>
              <w:rPr>
                <w:rFonts w:hint="eastAsia" w:ascii="宋体" w:hAnsi="宋体" w:eastAsia="宋体" w:cs="宋体"/>
                <w:bCs/>
                <w:color w:val="auto"/>
                <w:szCs w:val="21"/>
                <w:highlight w:val="none"/>
              </w:rPr>
              <w:t>工程进度计划与保证措施</w:t>
            </w:r>
            <w:r>
              <w:rPr>
                <w:rFonts w:hint="eastAsia" w:ascii="宋体" w:hAnsi="宋体" w:eastAsia="宋体" w:cs="宋体"/>
                <w:color w:val="auto"/>
                <w:szCs w:val="21"/>
                <w:highlight w:val="none"/>
              </w:rPr>
              <w:t>的不得分。</w:t>
            </w:r>
          </w:p>
        </w:tc>
      </w:tr>
      <w:tr w14:paraId="5BACD058">
        <w:trPr>
          <w:trHeight w:val="524" w:hRule="atLeast"/>
          <w:jc w:val="center"/>
        </w:trPr>
        <w:tc>
          <w:tcPr>
            <w:tcW w:w="824" w:type="dxa"/>
            <w:vMerge w:val="continue"/>
            <w:tcBorders>
              <w:tl2br w:val="nil"/>
              <w:tr2bl w:val="nil"/>
            </w:tcBorders>
            <w:vAlign w:val="center"/>
          </w:tcPr>
          <w:p w14:paraId="7C3F4C98">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05B99217">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6298C437">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40A1544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r>
              <w:rPr>
                <w:rFonts w:hint="eastAsia" w:ascii="宋体" w:hAnsi="宋体" w:eastAsia="宋体" w:cs="宋体"/>
                <w:b/>
                <w:color w:val="auto"/>
                <w:szCs w:val="21"/>
                <w:highlight w:val="none"/>
              </w:rPr>
              <w:t>应急措施及应急预案评审</w:t>
            </w:r>
            <w:r>
              <w:rPr>
                <w:rFonts w:hint="eastAsia" w:ascii="宋体" w:hAnsi="宋体" w:eastAsia="宋体" w:cs="宋体"/>
                <w:b/>
                <w:color w:val="auto"/>
                <w:kern w:val="0"/>
                <w:szCs w:val="21"/>
                <w:highlight w:val="none"/>
              </w:rPr>
              <w:t>评分（满分</w:t>
            </w:r>
            <w:r>
              <w:rPr>
                <w:rFonts w:hint="eastAsia" w:ascii="宋体" w:hAnsi="宋体" w:eastAsia="宋体" w:cs="宋体"/>
                <w:b/>
                <w:color w:val="auto"/>
                <w:kern w:val="0"/>
                <w:szCs w:val="21"/>
                <w:highlight w:val="none"/>
                <w:lang w:val="en-US" w:eastAsia="zh-CN"/>
              </w:rPr>
              <w:t>6</w:t>
            </w:r>
            <w:r>
              <w:rPr>
                <w:rFonts w:hint="eastAsia" w:ascii="宋体" w:hAnsi="宋体" w:eastAsia="宋体" w:cs="宋体"/>
                <w:b/>
                <w:color w:val="auto"/>
                <w:kern w:val="0"/>
                <w:szCs w:val="21"/>
                <w:highlight w:val="none"/>
              </w:rPr>
              <w:t>分）</w:t>
            </w:r>
          </w:p>
          <w:p w14:paraId="10E796D7">
            <w:pPr>
              <w:tabs>
                <w:tab w:val="center" w:pos="4153"/>
                <w:tab w:val="right" w:pos="8306"/>
              </w:tabs>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第一个档次（</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分）：应急预案、应对措施、保障手段全面、完善、科学、可行性较强的；</w:t>
            </w:r>
          </w:p>
          <w:p w14:paraId="6FC134FB">
            <w:pPr>
              <w:tabs>
                <w:tab w:val="center" w:pos="4153"/>
                <w:tab w:val="right" w:pos="8306"/>
              </w:tabs>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第二个档次（</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分）：应急预案、应对措施、保障手段基本全面、完善、科学、基本可行的；</w:t>
            </w:r>
          </w:p>
          <w:p w14:paraId="3DA5D10B">
            <w:pPr>
              <w:tabs>
                <w:tab w:val="center" w:pos="4153"/>
                <w:tab w:val="right" w:pos="8306"/>
              </w:tabs>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第三个档次（</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分）：应急预案、应对措施、保障手段不够全面、科学、可行性一般的；</w:t>
            </w:r>
          </w:p>
          <w:p w14:paraId="383BA930">
            <w:pPr>
              <w:pStyle w:val="41"/>
              <w:tabs>
                <w:tab w:val="left" w:pos="3996"/>
              </w:tabs>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第四个档次（0分）：无应急措施及应急预案的不得分。</w:t>
            </w:r>
          </w:p>
        </w:tc>
      </w:tr>
      <w:tr w14:paraId="62890524">
        <w:trPr>
          <w:trHeight w:val="524" w:hRule="atLeast"/>
          <w:jc w:val="center"/>
        </w:trPr>
        <w:tc>
          <w:tcPr>
            <w:tcW w:w="824" w:type="dxa"/>
            <w:vMerge w:val="continue"/>
            <w:tcBorders>
              <w:tl2br w:val="nil"/>
              <w:tr2bl w:val="nil"/>
            </w:tcBorders>
            <w:vAlign w:val="center"/>
          </w:tcPr>
          <w:p w14:paraId="5F5ABEB7">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445B715F">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505EA6FE">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5A09A9D2">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w:t>
            </w:r>
            <w:r>
              <w:rPr>
                <w:rFonts w:hint="eastAsia" w:ascii="宋体" w:hAnsi="宋体" w:eastAsia="宋体" w:cs="宋体"/>
                <w:b/>
                <w:bCs/>
                <w:color w:val="auto"/>
                <w:highlight w:val="none"/>
              </w:rPr>
              <w:t>劳动力安排评审评分（满分</w:t>
            </w: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rPr>
              <w:t>分）</w:t>
            </w:r>
          </w:p>
          <w:p w14:paraId="0E40311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第一个档次（</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分）：劳动力安排与施工进度计划呼应，能较好满足施工需要，调配投入计划合理，能指导施工且针对性好的；</w:t>
            </w:r>
          </w:p>
          <w:p w14:paraId="3B10F9C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第二个档次（</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分）：劳动力安排与施工进度计划呼应，能满足施工需要，调配投入计划合理，但针对性和指导性一般的；</w:t>
            </w:r>
          </w:p>
          <w:p w14:paraId="02B0B51E">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第三个档次（</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分）：劳动力安排与施工进度计划基本呼应，能基本满足施工需要，调配投入计划基本合理，但缺乏针对性的；</w:t>
            </w:r>
          </w:p>
        </w:tc>
      </w:tr>
      <w:tr w14:paraId="253F0C11">
        <w:trPr>
          <w:trHeight w:val="329" w:hRule="atLeast"/>
          <w:jc w:val="center"/>
        </w:trPr>
        <w:tc>
          <w:tcPr>
            <w:tcW w:w="824" w:type="dxa"/>
            <w:vMerge w:val="continue"/>
            <w:tcBorders>
              <w:tl2br w:val="nil"/>
              <w:tr2bl w:val="nil"/>
            </w:tcBorders>
            <w:vAlign w:val="center"/>
          </w:tcPr>
          <w:p w14:paraId="47100302">
            <w:pPr>
              <w:spacing w:line="360" w:lineRule="auto"/>
              <w:rPr>
                <w:rFonts w:hint="eastAsia" w:ascii="宋体" w:hAnsi="宋体" w:eastAsia="宋体" w:cs="宋体"/>
                <w:color w:val="auto"/>
                <w:szCs w:val="21"/>
                <w:highlight w:val="none"/>
              </w:rPr>
            </w:pPr>
          </w:p>
        </w:tc>
        <w:tc>
          <w:tcPr>
            <w:tcW w:w="850" w:type="dxa"/>
            <w:vMerge w:val="continue"/>
            <w:tcBorders>
              <w:tl2br w:val="nil"/>
              <w:tr2bl w:val="nil"/>
            </w:tcBorders>
            <w:vAlign w:val="center"/>
          </w:tcPr>
          <w:p w14:paraId="479B2EFB">
            <w:pPr>
              <w:spacing w:line="360" w:lineRule="auto"/>
              <w:rPr>
                <w:rFonts w:hint="eastAsia" w:ascii="宋体" w:hAnsi="宋体" w:eastAsia="宋体" w:cs="宋体"/>
                <w:color w:val="auto"/>
                <w:szCs w:val="21"/>
                <w:highlight w:val="none"/>
              </w:rPr>
            </w:pPr>
          </w:p>
        </w:tc>
        <w:tc>
          <w:tcPr>
            <w:tcW w:w="1947" w:type="dxa"/>
            <w:vMerge w:val="continue"/>
            <w:tcBorders>
              <w:tl2br w:val="nil"/>
              <w:tr2bl w:val="nil"/>
            </w:tcBorders>
            <w:vAlign w:val="center"/>
          </w:tcPr>
          <w:p w14:paraId="657E2BDE">
            <w:pPr>
              <w:spacing w:line="360" w:lineRule="auto"/>
              <w:rPr>
                <w:rFonts w:hint="eastAsia" w:ascii="宋体" w:hAnsi="宋体" w:eastAsia="宋体" w:cs="宋体"/>
                <w:color w:val="auto"/>
                <w:szCs w:val="21"/>
                <w:highlight w:val="none"/>
              </w:rPr>
            </w:pPr>
          </w:p>
        </w:tc>
        <w:tc>
          <w:tcPr>
            <w:tcW w:w="5746" w:type="dxa"/>
            <w:tcBorders>
              <w:tl2br w:val="nil"/>
              <w:tr2bl w:val="nil"/>
            </w:tcBorders>
            <w:vAlign w:val="center"/>
          </w:tcPr>
          <w:p w14:paraId="0EB823C2">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）施工机械设备投入评审评分（满分5分）</w:t>
            </w:r>
          </w:p>
          <w:p w14:paraId="20161E6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第一个档次（5分）：施工机械投入与施工进度计划呼应，满足工程要求，施工机械搭配合理、准确且明确的有相对应的费用的；</w:t>
            </w:r>
          </w:p>
          <w:p w14:paraId="2C98F17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第二个档次（3分）：施工机械投入与施工进度计划呼应，满足工程要求，施工机械搭配基本合理、基本准确且有相对应的费用的；</w:t>
            </w:r>
          </w:p>
          <w:p w14:paraId="4F6A67A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第三个档次（1分）：施工机械投入与施工进度计划呼应，基本满足工程要求，但施工机械搭配不当的；</w:t>
            </w:r>
          </w:p>
          <w:p w14:paraId="7755703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第四个档次（0分）：</w:t>
            </w:r>
            <w:r>
              <w:rPr>
                <w:rFonts w:hint="eastAsia" w:ascii="宋体" w:hAnsi="宋体" w:eastAsia="宋体" w:cs="宋体"/>
                <w:color w:val="auto"/>
                <w:szCs w:val="21"/>
                <w:highlight w:val="none"/>
              </w:rPr>
              <w:t>未提供施工机械投入的</w:t>
            </w:r>
            <w:r>
              <w:rPr>
                <w:rFonts w:hint="eastAsia" w:ascii="宋体" w:hAnsi="宋体" w:eastAsia="宋体" w:cs="宋体"/>
                <w:color w:val="auto"/>
                <w:highlight w:val="none"/>
              </w:rPr>
              <w:t>。</w:t>
            </w:r>
          </w:p>
        </w:tc>
      </w:tr>
    </w:tbl>
    <w:p w14:paraId="06E80260">
      <w:pPr>
        <w:rPr>
          <w:rFonts w:hint="eastAsia" w:ascii="宋体" w:hAnsi="宋体" w:eastAsia="宋体" w:cs="宋体"/>
          <w:color w:val="auto"/>
          <w:highlight w:val="none"/>
        </w:rPr>
      </w:pPr>
      <w:bookmarkStart w:id="1041" w:name="_Toc34335312"/>
    </w:p>
    <w:p w14:paraId="07C53D89">
      <w:pPr>
        <w:pStyle w:val="3"/>
        <w:jc w:val="left"/>
        <w:rPr>
          <w:rFonts w:hint="eastAsia" w:ascii="宋体" w:hAnsi="宋体" w:eastAsia="宋体" w:cs="宋体"/>
          <w:color w:val="auto"/>
          <w:highlight w:val="none"/>
        </w:rPr>
      </w:pPr>
      <w:bookmarkStart w:id="1042" w:name="_Toc167044334"/>
      <w:bookmarkStart w:id="1043" w:name="_Toc80867983"/>
      <w:r>
        <w:rPr>
          <w:rFonts w:hint="eastAsia" w:ascii="宋体" w:hAnsi="宋体" w:eastAsia="宋体" w:cs="宋体"/>
          <w:color w:val="auto"/>
          <w:highlight w:val="none"/>
        </w:rPr>
        <w:t>一、磋商方法</w:t>
      </w:r>
      <w:bookmarkEnd w:id="1041"/>
      <w:bookmarkEnd w:id="1042"/>
      <w:bookmarkEnd w:id="1043"/>
    </w:p>
    <w:p w14:paraId="2DD40967">
      <w:pPr>
        <w:pStyle w:val="26"/>
        <w:tabs>
          <w:tab w:val="left" w:pos="540"/>
        </w:tabs>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本次磋商采用综合评分法。</w:t>
      </w:r>
      <w:r>
        <w:rPr>
          <w:rFonts w:hint="eastAsia" w:ascii="宋体" w:hAnsi="宋体" w:eastAsia="宋体" w:cs="宋体"/>
          <w:color w:val="auto"/>
          <w:kern w:val="2"/>
          <w:sz w:val="21"/>
          <w:szCs w:val="21"/>
          <w:highlight w:val="none"/>
        </w:rPr>
        <w:t>磋商小组将根据评审办法计算出各供应商的综合得分，按得分由高到低推荐3名成交候选人；得分相同的，按最后报价由低到高顺序排列；得分且最后报价相同的，按技术部分得分高低顺序排列。</w:t>
      </w:r>
    </w:p>
    <w:p w14:paraId="63C0CC63">
      <w:pPr>
        <w:pStyle w:val="3"/>
        <w:jc w:val="left"/>
        <w:rPr>
          <w:rFonts w:hint="eastAsia" w:ascii="宋体" w:hAnsi="宋体" w:eastAsia="宋体" w:cs="宋体"/>
          <w:color w:val="auto"/>
          <w:highlight w:val="none"/>
        </w:rPr>
      </w:pPr>
      <w:bookmarkStart w:id="1044" w:name="_Toc80867984"/>
      <w:bookmarkStart w:id="1045" w:name="_Toc34335313"/>
      <w:bookmarkStart w:id="1046" w:name="_Toc752994909"/>
      <w:r>
        <w:rPr>
          <w:rFonts w:hint="eastAsia" w:ascii="宋体" w:hAnsi="宋体" w:eastAsia="宋体" w:cs="宋体"/>
          <w:color w:val="auto"/>
          <w:highlight w:val="none"/>
        </w:rPr>
        <w:t>二、评审标准</w:t>
      </w:r>
      <w:bookmarkEnd w:id="1044"/>
      <w:bookmarkEnd w:id="1045"/>
      <w:bookmarkEnd w:id="1046"/>
    </w:p>
    <w:p w14:paraId="6A7D574D">
      <w:pPr>
        <w:spacing w:line="360" w:lineRule="auto"/>
        <w:ind w:firstLine="480" w:firstLineChars="200"/>
        <w:outlineLvl w:val="2"/>
        <w:rPr>
          <w:rFonts w:hint="eastAsia" w:ascii="宋体" w:hAnsi="宋体" w:eastAsia="宋体" w:cs="宋体"/>
          <w:b/>
          <w:color w:val="auto"/>
          <w:kern w:val="0"/>
          <w:sz w:val="24"/>
          <w:highlight w:val="none"/>
        </w:rPr>
      </w:pPr>
      <w:bookmarkStart w:id="1047" w:name="_Toc80867985"/>
      <w:bookmarkStart w:id="1048" w:name="_Toc34821166"/>
      <w:bookmarkStart w:id="1049" w:name="_Toc34335314"/>
      <w:bookmarkStart w:id="1050" w:name="_Toc464303792"/>
      <w:r>
        <w:rPr>
          <w:rFonts w:hint="eastAsia" w:ascii="宋体" w:hAnsi="宋体" w:eastAsia="宋体" w:cs="宋体"/>
          <w:b/>
          <w:color w:val="auto"/>
          <w:kern w:val="0"/>
          <w:sz w:val="24"/>
          <w:highlight w:val="none"/>
        </w:rPr>
        <w:t>1.初步评审标准</w:t>
      </w:r>
      <w:bookmarkEnd w:id="1047"/>
      <w:bookmarkEnd w:id="1048"/>
      <w:bookmarkEnd w:id="1049"/>
      <w:bookmarkEnd w:id="1050"/>
    </w:p>
    <w:p w14:paraId="306F68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1.1资格评审标准：依据法律法规和磋商文件的规定，对响应文件中的资格证明文件进行审查，见“磋商方法前附表”。</w:t>
      </w:r>
    </w:p>
    <w:p w14:paraId="7FD39493">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1.2符合性评审标准：依据磋商文件的规定，从响应文件的有效性、完整性和对磋商文件的响应程度进行审查，见“磋商方法前附表”。</w:t>
      </w:r>
    </w:p>
    <w:p w14:paraId="39A2C15B">
      <w:pPr>
        <w:spacing w:line="360" w:lineRule="auto"/>
        <w:ind w:firstLine="480" w:firstLineChars="200"/>
        <w:outlineLvl w:val="2"/>
        <w:rPr>
          <w:rFonts w:hint="eastAsia" w:ascii="宋体" w:hAnsi="宋体" w:eastAsia="宋体" w:cs="宋体"/>
          <w:b/>
          <w:color w:val="auto"/>
          <w:kern w:val="0"/>
          <w:sz w:val="24"/>
          <w:highlight w:val="none"/>
        </w:rPr>
      </w:pPr>
      <w:bookmarkStart w:id="1051" w:name="_Toc34335315"/>
      <w:bookmarkStart w:id="1052" w:name="_Toc34821167"/>
      <w:bookmarkStart w:id="1053" w:name="_Toc432194880"/>
      <w:bookmarkStart w:id="1054" w:name="_Toc438396781"/>
      <w:bookmarkStart w:id="1055" w:name="_Toc432106530"/>
      <w:bookmarkStart w:id="1056" w:name="_Toc1745742593"/>
      <w:bookmarkStart w:id="1057" w:name="_Toc321836408"/>
      <w:bookmarkStart w:id="1058" w:name="_Toc80867986"/>
      <w:r>
        <w:rPr>
          <w:rFonts w:hint="eastAsia" w:ascii="宋体" w:hAnsi="宋体" w:eastAsia="宋体" w:cs="宋体"/>
          <w:b/>
          <w:color w:val="auto"/>
          <w:kern w:val="0"/>
          <w:sz w:val="24"/>
          <w:highlight w:val="none"/>
        </w:rPr>
        <w:t>2.分值构成与评分标准</w:t>
      </w:r>
      <w:bookmarkEnd w:id="1051"/>
      <w:bookmarkEnd w:id="1052"/>
      <w:bookmarkEnd w:id="1053"/>
      <w:bookmarkEnd w:id="1054"/>
      <w:bookmarkEnd w:id="1055"/>
      <w:bookmarkEnd w:id="1056"/>
      <w:bookmarkEnd w:id="1057"/>
      <w:bookmarkEnd w:id="1058"/>
    </w:p>
    <w:p w14:paraId="42760CD4">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 分值构成</w:t>
      </w:r>
    </w:p>
    <w:p w14:paraId="5BB88CFD">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（1）报价：见“磋商方法前附表”；</w:t>
      </w:r>
    </w:p>
    <w:p w14:paraId="6BAB6716">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（2）技术部分：见“磋商方法前附表”；</w:t>
      </w:r>
    </w:p>
    <w:p w14:paraId="3113AF45">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（3）商务部分：见“磋商方法前附表”。</w:t>
      </w:r>
    </w:p>
    <w:p w14:paraId="2F6AC6C3">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基准价计算方法：见磋商方法前附表。</w:t>
      </w:r>
    </w:p>
    <w:p w14:paraId="110C869D">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 评分标准</w:t>
      </w:r>
    </w:p>
    <w:p w14:paraId="16241AC3">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按磋商文件中规定的评审方法和标准，对资格评审和符合性评审合格的响应文件进行商务和技术评估，综合比较与评价。</w:t>
      </w:r>
    </w:p>
    <w:p w14:paraId="1BD9E096">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（1）磋商报价评分标准：见“磋商方法前附表”；</w:t>
      </w:r>
    </w:p>
    <w:p w14:paraId="0A90C25C">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（2）技术部分评分标准：见“磋商方法前附表”；</w:t>
      </w:r>
    </w:p>
    <w:p w14:paraId="246865F4">
      <w:pPr>
        <w:pStyle w:val="23"/>
        <w:tabs>
          <w:tab w:val="left" w:pos="2472"/>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（3）商务部分评分标准：见“磋商方法前附表”。</w:t>
      </w:r>
    </w:p>
    <w:p w14:paraId="31E40695">
      <w:pPr>
        <w:pStyle w:val="3"/>
        <w:jc w:val="left"/>
        <w:rPr>
          <w:rFonts w:hint="eastAsia" w:ascii="宋体" w:hAnsi="宋体" w:eastAsia="宋体" w:cs="宋体"/>
          <w:color w:val="auto"/>
          <w:highlight w:val="none"/>
        </w:rPr>
      </w:pPr>
      <w:bookmarkStart w:id="1059" w:name="_Toc34335316"/>
      <w:bookmarkStart w:id="1060" w:name="_Toc321836409"/>
      <w:bookmarkStart w:id="1061" w:name="_Toc432194881"/>
      <w:bookmarkStart w:id="1062" w:name="_Toc1774175237"/>
      <w:bookmarkStart w:id="1063" w:name="_Toc432106531"/>
      <w:bookmarkStart w:id="1064" w:name="_Toc80867987"/>
      <w:bookmarkStart w:id="1065" w:name="_Toc438396782"/>
      <w:r>
        <w:rPr>
          <w:rFonts w:hint="eastAsia" w:ascii="宋体" w:hAnsi="宋体" w:eastAsia="宋体" w:cs="宋体"/>
          <w:color w:val="auto"/>
          <w:highlight w:val="none"/>
        </w:rPr>
        <w:t>三、磋商程序</w:t>
      </w:r>
      <w:bookmarkEnd w:id="1059"/>
      <w:bookmarkEnd w:id="1060"/>
      <w:bookmarkEnd w:id="1061"/>
      <w:bookmarkEnd w:id="1062"/>
      <w:bookmarkEnd w:id="1063"/>
      <w:bookmarkEnd w:id="1064"/>
      <w:bookmarkEnd w:id="1065"/>
    </w:p>
    <w:p w14:paraId="66E6E5A6">
      <w:pPr>
        <w:spacing w:line="360" w:lineRule="auto"/>
        <w:ind w:firstLine="480" w:firstLineChars="200"/>
        <w:outlineLvl w:val="2"/>
        <w:rPr>
          <w:rFonts w:hint="eastAsia" w:ascii="宋体" w:hAnsi="宋体" w:eastAsia="宋体" w:cs="宋体"/>
          <w:b/>
          <w:color w:val="auto"/>
          <w:kern w:val="0"/>
          <w:sz w:val="24"/>
          <w:highlight w:val="none"/>
        </w:rPr>
      </w:pPr>
      <w:bookmarkStart w:id="1066" w:name="_Toc432194882"/>
      <w:bookmarkStart w:id="1067" w:name="_Toc432106532"/>
      <w:bookmarkStart w:id="1068" w:name="_Toc321836410"/>
      <w:bookmarkStart w:id="1069" w:name="_Toc34821169"/>
      <w:bookmarkStart w:id="1070" w:name="_Toc438396783"/>
      <w:bookmarkStart w:id="1071" w:name="_Toc80867988"/>
      <w:bookmarkStart w:id="1072" w:name="_Toc34335317"/>
      <w:bookmarkStart w:id="1073" w:name="_Toc752769664"/>
      <w:r>
        <w:rPr>
          <w:rFonts w:hint="eastAsia" w:ascii="宋体" w:hAnsi="宋体" w:eastAsia="宋体" w:cs="宋体"/>
          <w:b/>
          <w:color w:val="auto"/>
          <w:kern w:val="0"/>
          <w:sz w:val="24"/>
          <w:highlight w:val="none"/>
        </w:rPr>
        <w:t>1.初步评审</w:t>
      </w:r>
      <w:bookmarkEnd w:id="1066"/>
      <w:bookmarkEnd w:id="1067"/>
      <w:bookmarkEnd w:id="1068"/>
      <w:bookmarkEnd w:id="1069"/>
      <w:bookmarkEnd w:id="1070"/>
      <w:bookmarkEnd w:id="1071"/>
      <w:bookmarkEnd w:id="1072"/>
      <w:bookmarkEnd w:id="1073"/>
    </w:p>
    <w:p w14:paraId="35ADDCE1">
      <w:pPr>
        <w:pStyle w:val="23"/>
        <w:tabs>
          <w:tab w:val="left" w:pos="2472"/>
        </w:tabs>
        <w:spacing w:line="360" w:lineRule="auto"/>
        <w:ind w:firstLine="420" w:firstLineChars="200"/>
        <w:jc w:val="both"/>
        <w:rPr>
          <w:rFonts w:hint="eastAsia" w:ascii="宋体" w:hAnsi="宋体" w:eastAsia="宋体" w:cs="宋体"/>
          <w:color w:val="auto"/>
          <w:kern w:val="0"/>
          <w:highlight w:val="none"/>
        </w:rPr>
      </w:pPr>
      <w:r>
        <w:rPr>
          <w:rFonts w:hint="eastAsia" w:ascii="宋体" w:hAnsi="宋体" w:eastAsia="宋体" w:cs="宋体"/>
          <w:color w:val="auto"/>
          <w:highlight w:val="none"/>
        </w:rPr>
        <w:t>1.1磋商小组依据本章评审标准第1.1项、第1.2项规定的标准对响应文件进行初步评审。</w:t>
      </w:r>
      <w:r>
        <w:rPr>
          <w:rFonts w:hint="eastAsia" w:ascii="宋体" w:hAnsi="宋体" w:eastAsia="宋体" w:cs="宋体"/>
          <w:color w:val="auto"/>
          <w:kern w:val="0"/>
          <w:highlight w:val="none"/>
        </w:rPr>
        <w:t>有一项不符合磋商标准的，不通过初步审查，不再参与磋商。当响应磋商文件实质性要求的供应商少于3家时，将终止本次竞争性磋商采购活动。</w:t>
      </w:r>
    </w:p>
    <w:p w14:paraId="7698C37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1.2磋商小组成员要依法独立审查，并对审查意见承担个人责任。磋商小组成员对需要共同认定的事项存在争议的，按照少数服从多数的原则做出结论。</w:t>
      </w:r>
    </w:p>
    <w:p w14:paraId="5643203D">
      <w:pPr>
        <w:spacing w:line="360" w:lineRule="auto"/>
        <w:ind w:firstLine="480" w:firstLineChars="200"/>
        <w:outlineLvl w:val="2"/>
        <w:rPr>
          <w:rFonts w:hint="eastAsia" w:ascii="宋体" w:hAnsi="宋体" w:eastAsia="宋体" w:cs="宋体"/>
          <w:b/>
          <w:color w:val="auto"/>
          <w:kern w:val="0"/>
          <w:sz w:val="24"/>
          <w:highlight w:val="none"/>
        </w:rPr>
      </w:pPr>
      <w:bookmarkStart w:id="1074" w:name="_Toc34335318"/>
      <w:bookmarkStart w:id="1075" w:name="_Toc80867989"/>
      <w:bookmarkStart w:id="1076" w:name="_Toc34821170"/>
      <w:bookmarkStart w:id="1077" w:name="_Toc432194883"/>
      <w:bookmarkStart w:id="1078" w:name="_Toc438396784"/>
      <w:bookmarkStart w:id="1079" w:name="_Toc432106533"/>
      <w:bookmarkStart w:id="1080" w:name="_Toc973578371"/>
      <w:r>
        <w:rPr>
          <w:rFonts w:hint="eastAsia" w:ascii="宋体" w:hAnsi="宋体" w:eastAsia="宋体" w:cs="宋体"/>
          <w:b/>
          <w:color w:val="auto"/>
          <w:kern w:val="0"/>
          <w:sz w:val="24"/>
          <w:highlight w:val="none"/>
        </w:rPr>
        <w:t>2.磋商及最后报价</w:t>
      </w:r>
      <w:bookmarkEnd w:id="1074"/>
      <w:bookmarkEnd w:id="1075"/>
      <w:bookmarkEnd w:id="1076"/>
      <w:bookmarkEnd w:id="1077"/>
      <w:bookmarkEnd w:id="1078"/>
      <w:bookmarkEnd w:id="1079"/>
      <w:bookmarkEnd w:id="1080"/>
    </w:p>
    <w:p w14:paraId="4EF7B479">
      <w:pPr>
        <w:widowControl/>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2.1磋商小组所有成员集中与通过初步审查的单一供应商分别进行磋商。在磋商中，磋商的任何一方不得透露与磋商有关的其他供应商的技术资料、价格、折扣和其他信息。</w:t>
      </w:r>
    </w:p>
    <w:p w14:paraId="7352BB5D">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2.2磋商文件有实质性变动的，磋商小组将经采购人代表确认后，以书面形式通知所有参加磋商的供应商。但不得对涉及竞争的公平、公正性内容进行修改、变动。</w:t>
      </w:r>
    </w:p>
    <w:p w14:paraId="1A9D40C4">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2.3为有助于对响应文件的详细审查、评价和比较，磋商小组可要求对供应商分别进行技术询问、澄清，有关要求和答复均现场进行。</w:t>
      </w:r>
    </w:p>
    <w:p w14:paraId="0CBC0653">
      <w:pPr>
        <w:widowControl/>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78B4EB5E">
      <w:pPr>
        <w:widowControl/>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0360A18D">
      <w:pPr>
        <w:widowControl/>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2.6磋商结束后，磋商小组将要求所有继续参加磋商的供应商在规定时间内提交最后报价，提交最后报价的供应商不得少于3家。</w:t>
      </w:r>
    </w:p>
    <w:p w14:paraId="1454278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kern w:val="0"/>
          <w:szCs w:val="21"/>
          <w:highlight w:val="none"/>
        </w:rPr>
        <w:t xml:space="preserve">2.7 </w:t>
      </w:r>
      <w:r>
        <w:rPr>
          <w:rFonts w:hint="eastAsia" w:ascii="宋体" w:hAnsi="宋体" w:eastAsia="宋体" w:cs="宋体"/>
          <w:color w:val="auto"/>
          <w:highlight w:val="none"/>
        </w:rPr>
        <w:t>响应文件如果出现计算或表达上的错误，修正错误的原则如下：</w:t>
      </w:r>
    </w:p>
    <w:p w14:paraId="465C7E64">
      <w:pPr>
        <w:pStyle w:val="23"/>
        <w:tabs>
          <w:tab w:val="left" w:pos="2472"/>
        </w:tabs>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（1）响应文件中报价表内容与响应文件中相应内容不一致的，以报价表为准。</w:t>
      </w:r>
    </w:p>
    <w:p w14:paraId="0E8A6693">
      <w:pPr>
        <w:pStyle w:val="23"/>
        <w:tabs>
          <w:tab w:val="left" w:pos="2472"/>
        </w:tabs>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6C5F4520">
      <w:pPr>
        <w:pStyle w:val="23"/>
        <w:tabs>
          <w:tab w:val="left" w:pos="2472"/>
        </w:tabs>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（3）单价金额小数点或者百分比有明显错位的，以报价表的总价为准，并修改单价；</w:t>
      </w:r>
    </w:p>
    <w:p w14:paraId="6877DEFB">
      <w:pPr>
        <w:pStyle w:val="23"/>
        <w:tabs>
          <w:tab w:val="left" w:pos="2472"/>
        </w:tabs>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73500B2">
      <w:pPr>
        <w:pStyle w:val="23"/>
        <w:tabs>
          <w:tab w:val="left" w:pos="2472"/>
        </w:tabs>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（5）对不同文字文本响应文件的解释发生异议的，以中文文本为准。</w:t>
      </w:r>
    </w:p>
    <w:p w14:paraId="36D6D4A0">
      <w:pPr>
        <w:widowControl/>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（6）同时出现两种以上不一致的，按照前款规定的顺序修正。按上述规定修正后的报价经供应商确认后对供应商起约束作用。如果供应商不确认修正后的报价，则其响应文件无效。</w:t>
      </w:r>
    </w:p>
    <w:p w14:paraId="03A4114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供应商不得哄抬报价，也不应低于成本价（或进价）报价。磋商小组认为供应商的最后报价明显低于其他通过初步审查供应商的最后报价，有可能影响产品质量或者不能诚信履约的，应当要求其在评审现场合理的时间内提供书面说明，必要时提交相关证明材料；供应商不能证明其报价合理性的，磋商小组应当将其响应文件作为无效处理。</w:t>
      </w:r>
    </w:p>
    <w:p w14:paraId="3D30EA46">
      <w:pPr>
        <w:widowControl/>
        <w:spacing w:line="360" w:lineRule="auto"/>
        <w:ind w:firstLine="420" w:firstLineChars="200"/>
        <w:rPr>
          <w:rFonts w:hint="eastAsia" w:ascii="宋体" w:hAnsi="宋体" w:eastAsia="宋体" w:cs="宋体"/>
          <w:color w:val="auto"/>
          <w:kern w:val="0"/>
          <w:szCs w:val="21"/>
          <w:highlight w:val="none"/>
        </w:rPr>
      </w:pPr>
    </w:p>
    <w:p w14:paraId="54313C86">
      <w:pPr>
        <w:spacing w:line="360" w:lineRule="auto"/>
        <w:ind w:firstLine="480" w:firstLineChars="200"/>
        <w:outlineLvl w:val="2"/>
        <w:rPr>
          <w:rFonts w:hint="eastAsia" w:ascii="宋体" w:hAnsi="宋体" w:eastAsia="宋体" w:cs="宋体"/>
          <w:b/>
          <w:color w:val="auto"/>
          <w:kern w:val="0"/>
          <w:sz w:val="24"/>
          <w:highlight w:val="none"/>
        </w:rPr>
      </w:pPr>
      <w:bookmarkStart w:id="1081" w:name="_Toc1253774904"/>
      <w:bookmarkStart w:id="1082" w:name="_Toc432106534"/>
      <w:bookmarkStart w:id="1083" w:name="_Toc432194884"/>
      <w:bookmarkStart w:id="1084" w:name="_Toc34335319"/>
      <w:bookmarkStart w:id="1085" w:name="_Toc80867990"/>
      <w:bookmarkStart w:id="1086" w:name="_Toc438396785"/>
      <w:bookmarkStart w:id="1087" w:name="_Toc34821171"/>
      <w:r>
        <w:rPr>
          <w:rFonts w:hint="eastAsia" w:ascii="宋体" w:hAnsi="宋体" w:eastAsia="宋体" w:cs="宋体"/>
          <w:b/>
          <w:color w:val="auto"/>
          <w:kern w:val="0"/>
          <w:sz w:val="24"/>
          <w:highlight w:val="none"/>
        </w:rPr>
        <w:t>3.评分</w:t>
      </w:r>
      <w:bookmarkEnd w:id="1081"/>
      <w:bookmarkEnd w:id="1082"/>
      <w:bookmarkEnd w:id="1083"/>
      <w:bookmarkEnd w:id="1084"/>
      <w:bookmarkEnd w:id="1085"/>
      <w:bookmarkEnd w:id="1086"/>
      <w:bookmarkEnd w:id="1087"/>
    </w:p>
    <w:p w14:paraId="3E5AD973">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3.1 </w:t>
      </w:r>
      <w:r>
        <w:rPr>
          <w:rFonts w:hint="eastAsia" w:ascii="宋体" w:hAnsi="宋体" w:eastAsia="宋体" w:cs="宋体"/>
          <w:color w:val="auto"/>
          <w:kern w:val="0"/>
          <w:highlight w:val="none"/>
        </w:rPr>
        <w:t>磋商小组</w:t>
      </w:r>
      <w:r>
        <w:rPr>
          <w:rFonts w:hint="eastAsia" w:ascii="宋体" w:hAnsi="宋体" w:eastAsia="宋体" w:cs="宋体"/>
          <w:color w:val="auto"/>
          <w:highlight w:val="none"/>
        </w:rPr>
        <w:t>按本章评审标准中第2款规定的量化因素和分值进行打分，并计算出供应商的磋商总得分。对其他需要借助专业知识评判的主观评分项，应当严格按照评分细则公正评分。</w:t>
      </w:r>
    </w:p>
    <w:p w14:paraId="4ECCA9D7">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（1）按本章前附表的规定对磋商报价计算出得分F1；</w:t>
      </w:r>
    </w:p>
    <w:p w14:paraId="38B996E0">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（2）按本章前附表的规定对商务部分评分，得分F2；</w:t>
      </w:r>
    </w:p>
    <w:p w14:paraId="489BD49A">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（3）按本章前附表的规定对技术部分评分，得分F3；</w:t>
      </w:r>
    </w:p>
    <w:p w14:paraId="230E59C7">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（4）按本章前附表的规定计算总得分。</w:t>
      </w:r>
    </w:p>
    <w:p w14:paraId="2DB890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3.2商务部分（F2）和技术部分（F3）得分由磋商小组成员独立评分，</w:t>
      </w:r>
      <w:r>
        <w:rPr>
          <w:rFonts w:hint="eastAsia" w:ascii="宋体" w:hAnsi="宋体" w:eastAsia="宋体" w:cs="宋体"/>
          <w:bCs/>
          <w:color w:val="auto"/>
          <w:szCs w:val="21"/>
          <w:highlight w:val="none"/>
        </w:rPr>
        <w:t>供应商各项评分因素得分为该项因素各评委评分的算术平均值（保留小数点后两位）</w:t>
      </w:r>
      <w:r>
        <w:rPr>
          <w:rFonts w:hint="eastAsia" w:ascii="宋体" w:hAnsi="宋体" w:eastAsia="宋体" w:cs="宋体"/>
          <w:color w:val="auto"/>
          <w:szCs w:val="21"/>
          <w:highlight w:val="none"/>
        </w:rPr>
        <w:t>，小数点后第三位“四舍五入”。</w:t>
      </w:r>
    </w:p>
    <w:p w14:paraId="300C9A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338C7B8">
      <w:pPr>
        <w:spacing w:line="360" w:lineRule="auto"/>
        <w:ind w:firstLine="480" w:firstLineChars="200"/>
        <w:outlineLvl w:val="2"/>
        <w:rPr>
          <w:rFonts w:hint="eastAsia" w:ascii="宋体" w:hAnsi="宋体" w:eastAsia="宋体" w:cs="宋体"/>
          <w:b/>
          <w:color w:val="auto"/>
          <w:kern w:val="0"/>
          <w:sz w:val="24"/>
          <w:highlight w:val="none"/>
        </w:rPr>
      </w:pPr>
      <w:bookmarkStart w:id="1088" w:name="_Toc432106535"/>
      <w:bookmarkStart w:id="1089" w:name="_Toc34335320"/>
      <w:bookmarkStart w:id="1090" w:name="_Toc80867991"/>
      <w:bookmarkStart w:id="1091" w:name="_Toc432194885"/>
      <w:bookmarkStart w:id="1092" w:name="_Toc34821172"/>
      <w:bookmarkStart w:id="1093" w:name="_Toc1085267164"/>
      <w:bookmarkStart w:id="1094" w:name="_Toc321836413"/>
      <w:bookmarkStart w:id="1095" w:name="_Toc438396786"/>
      <w:r>
        <w:rPr>
          <w:rFonts w:hint="eastAsia" w:ascii="宋体" w:hAnsi="宋体" w:eastAsia="宋体" w:cs="宋体"/>
          <w:b/>
          <w:color w:val="auto"/>
          <w:kern w:val="0"/>
          <w:sz w:val="24"/>
          <w:highlight w:val="none"/>
        </w:rPr>
        <w:t>4.磋商结果</w:t>
      </w:r>
      <w:bookmarkEnd w:id="1088"/>
      <w:bookmarkEnd w:id="1089"/>
      <w:bookmarkEnd w:id="1090"/>
      <w:bookmarkEnd w:id="1091"/>
      <w:bookmarkEnd w:id="1092"/>
      <w:bookmarkEnd w:id="1093"/>
      <w:bookmarkEnd w:id="1094"/>
      <w:bookmarkEnd w:id="1095"/>
    </w:p>
    <w:p w14:paraId="4DEB9F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4.1磋商小组按最终得分由高到低顺序推荐成交候选人，并提出书面评审报告。</w:t>
      </w:r>
    </w:p>
    <w:p w14:paraId="16BF040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采购人根据磋商小组提出的书面评审报告和推荐的成交候选人名单，确定成交人。</w:t>
      </w:r>
    </w:p>
    <w:p w14:paraId="135D760D">
      <w:pPr>
        <w:pStyle w:val="3"/>
        <w:jc w:val="left"/>
        <w:rPr>
          <w:rFonts w:hint="eastAsia" w:ascii="宋体" w:hAnsi="宋体" w:eastAsia="宋体" w:cs="宋体"/>
          <w:color w:val="auto"/>
          <w:highlight w:val="none"/>
        </w:rPr>
      </w:pPr>
      <w:bookmarkStart w:id="1096" w:name="_Toc1506611377"/>
      <w:bookmarkStart w:id="1097" w:name="_Toc80867992"/>
      <w:bookmarkStart w:id="1098" w:name="_Toc34335321"/>
      <w:r>
        <w:rPr>
          <w:rFonts w:hint="eastAsia" w:ascii="宋体" w:hAnsi="宋体" w:eastAsia="宋体" w:cs="宋体"/>
          <w:color w:val="auto"/>
          <w:highlight w:val="none"/>
        </w:rPr>
        <w:t>四、其它</w:t>
      </w:r>
      <w:bookmarkEnd w:id="1096"/>
      <w:bookmarkEnd w:id="1097"/>
      <w:bookmarkEnd w:id="1098"/>
    </w:p>
    <w:p w14:paraId="550E51FA">
      <w:pPr>
        <w:autoSpaceDE w:val="0"/>
        <w:autoSpaceDN w:val="0"/>
        <w:adjustRightInd w:val="0"/>
        <w:spacing w:line="360" w:lineRule="auto"/>
        <w:ind w:firstLine="480" w:firstLineChars="200"/>
        <w:outlineLvl w:val="2"/>
        <w:rPr>
          <w:rFonts w:hint="eastAsia" w:ascii="宋体" w:hAnsi="宋体" w:eastAsia="宋体" w:cs="宋体"/>
          <w:b/>
          <w:color w:val="auto"/>
          <w:kern w:val="0"/>
          <w:sz w:val="24"/>
          <w:highlight w:val="none"/>
        </w:rPr>
      </w:pPr>
      <w:bookmarkStart w:id="1099" w:name="_Toc637731462"/>
      <w:bookmarkStart w:id="1100" w:name="_Toc80867993"/>
      <w:bookmarkStart w:id="1101" w:name="_Toc478978877"/>
      <w:bookmarkStart w:id="1102" w:name="_Toc34821174"/>
      <w:bookmarkStart w:id="1103" w:name="_Toc34335322"/>
      <w:r>
        <w:rPr>
          <w:rFonts w:hint="eastAsia" w:ascii="宋体" w:hAnsi="宋体" w:eastAsia="宋体" w:cs="宋体"/>
          <w:b/>
          <w:color w:val="auto"/>
          <w:kern w:val="0"/>
          <w:sz w:val="24"/>
          <w:highlight w:val="none"/>
        </w:rPr>
        <w:t>1.关于中小企业</w:t>
      </w:r>
      <w:bookmarkEnd w:id="1099"/>
      <w:bookmarkEnd w:id="1100"/>
      <w:bookmarkEnd w:id="1101"/>
      <w:bookmarkEnd w:id="1102"/>
      <w:bookmarkEnd w:id="1103"/>
    </w:p>
    <w:p w14:paraId="3D02FAC1">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bookmarkStart w:id="1104" w:name="_Toc34335323"/>
      <w:bookmarkStart w:id="1105" w:name="_Toc34821175"/>
      <w:r>
        <w:rPr>
          <w:rFonts w:hint="eastAsia" w:ascii="宋体" w:hAnsi="宋体" w:eastAsia="宋体" w:cs="宋体"/>
          <w:color w:val="auto"/>
          <w:kern w:val="0"/>
          <w:szCs w:val="21"/>
          <w:highlight w:val="none"/>
        </w:rPr>
        <w:t>1.1根据《关于印发&lt;政府采购促进中小企业发展管理办法&gt;的通知》（财库〔2020〕46号）的规定，中小企业（含中型、小型、微型企业，下同）应当同时符合以下条件：</w:t>
      </w:r>
    </w:p>
    <w:p w14:paraId="4B0C3C57">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（1）在中华人民共和国境内依法设立，依据国务院批准的中小企业划分标准确定的中型企业、小型企业和微型企业，但与大企业的负责人为同一人，或者与大企业存在直接控股、管理关系的除外；</w:t>
      </w:r>
    </w:p>
    <w:p w14:paraId="56CAAD50">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（2）符合中小企业划分标准的个体工商户，在政府采购活动中视同中小企业。</w:t>
      </w:r>
    </w:p>
    <w:p w14:paraId="601F3399">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1.2本规定所称中小企业划分标准，是指国务院有关部门根据企业从业人员、营业收入、资产总额等指标制定的中小企业划型标准，详见《关于印发中小企业划型标准规定的通知》（工信部联企业〔2011〕300号）。</w:t>
      </w:r>
    </w:p>
    <w:p w14:paraId="1CD5755E">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1.3在政府采购活动中，供应商提供的货物、工程或者服务符合下列情形的，享受本办法规定的中小企业扶持政策：</w:t>
      </w:r>
    </w:p>
    <w:p w14:paraId="697E381F">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（1）在货物采购项目中，货物由中小企业制造，即货物由中小企业生产且使用该中小企业商号或者注册商标；</w:t>
      </w:r>
    </w:p>
    <w:p w14:paraId="566A7774">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（2）在工程采购项目中，工程由中小企业承建，即工程施工单位为中小企业；</w:t>
      </w:r>
    </w:p>
    <w:p w14:paraId="187FC9A6">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（3）在服务采购项目中，服务由中小企业承接，即提供服务的人员为中小企业依照《中华人民共和国劳动合同法》订立劳动合同的从业人员。</w:t>
      </w:r>
    </w:p>
    <w:p w14:paraId="1AF47C5F">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在货物采购项目中，供应商提供的货物既有中小企业制造货物，也有大型企业制造货物的，不享受《关于印发&lt;政府采购促进中小企业发展管理办法&gt;的通知》（财库〔2020〕46号）中规定的中小企业扶持政策。</w:t>
      </w:r>
    </w:p>
    <w:p w14:paraId="0ECFD033">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1.5以联合体形式参加政府采购活动，联合体各方均为中小企业的，联合体视同中小企业。其中，联合体各方均为小微企业的，联合体视同小微企业。</w:t>
      </w:r>
    </w:p>
    <w:p w14:paraId="7459E503">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1.6中小企业参加政府采购活动，应当出具《关于印发&lt;政府采购促进中小企业发展管理办法&gt;的通知》（财库〔2020〕46号）规定的《中小企业声明函》，否则不得享受相关中小企业扶持政策。</w:t>
      </w:r>
    </w:p>
    <w:p w14:paraId="3C9C7F0E">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r>
        <w:rPr>
          <w:rFonts w:hint="eastAsia" w:ascii="宋体" w:hAnsi="宋体" w:eastAsia="宋体" w:cs="宋体"/>
          <w:bCs/>
          <w:color w:val="auto"/>
          <w:kern w:val="0"/>
          <w:szCs w:val="21"/>
          <w:highlight w:val="none"/>
        </w:rPr>
        <w:t>享受中小企业扶持政策获得政府采购合同的，小微企业不得将合同分包给大中型企业，中型企业不得将合同分包给大型企业。</w:t>
      </w:r>
    </w:p>
    <w:p w14:paraId="54A98940">
      <w:pPr>
        <w:autoSpaceDE w:val="0"/>
        <w:autoSpaceDN w:val="0"/>
        <w:adjustRightIn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1.8供应商提供的《中小企业声明函》声明函内容不实的，属于提供虚假材料谋取中标、成交，依照《中华人民 共和国政府采购法》等国家有关规定追究相应责任。</w:t>
      </w:r>
    </w:p>
    <w:p w14:paraId="74962EA4">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bookmarkStart w:id="1106" w:name="_Toc80867994"/>
      <w:r>
        <w:rPr>
          <w:rFonts w:hint="eastAsia" w:ascii="宋体" w:hAnsi="宋体" w:eastAsia="宋体" w:cs="宋体"/>
          <w:color w:val="auto"/>
          <w:kern w:val="0"/>
          <w:szCs w:val="21"/>
          <w:highlight w:val="none"/>
        </w:rPr>
        <w:t>1.9根据《关于进一步加大政府采购支持中小企业力度的通知》财库〔2022〕19号精神，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规定</w:t>
      </w:r>
      <w:r>
        <w:rPr>
          <w:rFonts w:hint="eastAsia" w:ascii="宋体" w:hAnsi="宋体" w:eastAsia="宋体" w:cs="宋体"/>
          <w:color w:val="auto"/>
          <w:kern w:val="0"/>
          <w:szCs w:val="21"/>
          <w:highlight w:val="none"/>
          <w:lang w:eastAsia="zh-CN"/>
        </w:rPr>
        <w:t>的3%—5%</w:t>
      </w:r>
      <w:r>
        <w:rPr>
          <w:rFonts w:hint="eastAsia" w:ascii="宋体" w:hAnsi="宋体" w:eastAsia="宋体" w:cs="宋体"/>
          <w:color w:val="auto"/>
          <w:kern w:val="0"/>
          <w:szCs w:val="21"/>
          <w:highlight w:val="none"/>
        </w:rPr>
        <w:t>执行。本项目价格扣除优惠幅度以评审办法中明确为准。</w:t>
      </w:r>
    </w:p>
    <w:p w14:paraId="2ADFE6AE">
      <w:pPr>
        <w:autoSpaceDE w:val="0"/>
        <w:autoSpaceDN w:val="0"/>
        <w:adjustRightInd w:val="0"/>
        <w:spacing w:line="360" w:lineRule="auto"/>
        <w:ind w:firstLine="480" w:firstLineChars="200"/>
        <w:outlineLvl w:val="2"/>
        <w:rPr>
          <w:rFonts w:hint="eastAsia" w:ascii="宋体" w:hAnsi="宋体" w:eastAsia="宋体" w:cs="宋体"/>
          <w:b/>
          <w:color w:val="auto"/>
          <w:kern w:val="0"/>
          <w:sz w:val="24"/>
          <w:highlight w:val="none"/>
        </w:rPr>
      </w:pPr>
      <w:bookmarkStart w:id="1107" w:name="_Toc261799657"/>
      <w:r>
        <w:rPr>
          <w:rFonts w:hint="eastAsia" w:ascii="宋体" w:hAnsi="宋体" w:eastAsia="宋体" w:cs="宋体"/>
          <w:b/>
          <w:color w:val="auto"/>
          <w:kern w:val="0"/>
          <w:sz w:val="24"/>
          <w:highlight w:val="none"/>
        </w:rPr>
        <w:t>2.关于监狱企业</w:t>
      </w:r>
      <w:bookmarkEnd w:id="1104"/>
      <w:bookmarkEnd w:id="1105"/>
      <w:bookmarkEnd w:id="1106"/>
      <w:bookmarkEnd w:id="1107"/>
    </w:p>
    <w:p w14:paraId="0709BDD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9AC46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2.2监狱企业参加政府采购活动时，应当提供由省级以上监狱管理局、戒毒管理局（含新疆生产建设兵团）出具的属于监狱企业的证明文件。</w:t>
      </w:r>
    </w:p>
    <w:p w14:paraId="2AFCAEF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2.3在政府采购活动中，监狱企业视同小型、微型企业，享受预留份额、评审中价格扣除等政府采购促进中小企业发展的政府采购政策。</w:t>
      </w:r>
    </w:p>
    <w:p w14:paraId="50F30E62">
      <w:pPr>
        <w:autoSpaceDE w:val="0"/>
        <w:autoSpaceDN w:val="0"/>
        <w:adjustRightInd w:val="0"/>
        <w:spacing w:line="360" w:lineRule="auto"/>
        <w:ind w:firstLine="480" w:firstLineChars="200"/>
        <w:outlineLvl w:val="2"/>
        <w:rPr>
          <w:rFonts w:hint="eastAsia" w:ascii="宋体" w:hAnsi="宋体" w:eastAsia="宋体" w:cs="宋体"/>
          <w:b/>
          <w:color w:val="auto"/>
          <w:kern w:val="0"/>
          <w:sz w:val="24"/>
          <w:highlight w:val="none"/>
        </w:rPr>
      </w:pPr>
      <w:bookmarkStart w:id="1108" w:name="_Toc2020326143"/>
      <w:bookmarkStart w:id="1109" w:name="_Toc80867995"/>
      <w:bookmarkStart w:id="1110" w:name="_Toc34821177"/>
      <w:bookmarkStart w:id="1111" w:name="_Toc34335325"/>
      <w:r>
        <w:rPr>
          <w:rFonts w:hint="eastAsia" w:ascii="宋体" w:hAnsi="宋体" w:eastAsia="宋体" w:cs="宋体"/>
          <w:b/>
          <w:color w:val="auto"/>
          <w:kern w:val="0"/>
          <w:sz w:val="24"/>
          <w:highlight w:val="none"/>
        </w:rPr>
        <w:t>3.关于残疾人福利性单位</w:t>
      </w:r>
      <w:bookmarkEnd w:id="1108"/>
      <w:bookmarkEnd w:id="1109"/>
      <w:bookmarkEnd w:id="1110"/>
      <w:bookmarkEnd w:id="1111"/>
    </w:p>
    <w:p w14:paraId="46869FA1">
      <w:pPr>
        <w:autoSpaceDE w:val="0"/>
        <w:autoSpaceDN w:val="0"/>
        <w:adjustRightIn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符合条件的残疾人福利性单位在参加政府采购活动时，应当按《三部门联合发布关于促进残疾人就业政府采购政策的通知》（财库〔2017〕141号）提供规定的《残疾人福利性单位声明函》，并对声明的真实性负责。</w:t>
      </w:r>
    </w:p>
    <w:p w14:paraId="7BB6558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3.2本项目针对残疾人福利性单位产品的价格给予价格扣除，用扣除后的价格参与评审。残疾人福利性单位属于小型、微型企业的，不重复享受政策</w:t>
      </w:r>
      <w:r>
        <w:rPr>
          <w:rFonts w:hint="eastAsia" w:ascii="宋体" w:hAnsi="宋体" w:eastAsia="宋体" w:cs="宋体"/>
          <w:color w:val="auto"/>
          <w:szCs w:val="21"/>
          <w:highlight w:val="none"/>
        </w:rPr>
        <w:t>。</w:t>
      </w:r>
    </w:p>
    <w:p w14:paraId="0EC6FC01">
      <w:pPr>
        <w:autoSpaceDE w:val="0"/>
        <w:autoSpaceDN w:val="0"/>
        <w:adjustRightInd w:val="0"/>
        <w:spacing w:line="360" w:lineRule="auto"/>
        <w:ind w:firstLine="480" w:firstLineChars="200"/>
        <w:outlineLvl w:val="2"/>
        <w:rPr>
          <w:rFonts w:hint="eastAsia" w:ascii="宋体" w:hAnsi="宋体" w:eastAsia="宋体" w:cs="宋体"/>
          <w:b/>
          <w:color w:val="auto"/>
          <w:kern w:val="0"/>
          <w:sz w:val="24"/>
          <w:highlight w:val="none"/>
        </w:rPr>
      </w:pPr>
      <w:bookmarkStart w:id="1112" w:name="_Toc80867996"/>
      <w:bookmarkStart w:id="1113" w:name="_Toc1757542684"/>
      <w:r>
        <w:rPr>
          <w:rFonts w:hint="eastAsia" w:ascii="宋体" w:hAnsi="宋体" w:eastAsia="宋体" w:cs="宋体"/>
          <w:b/>
          <w:color w:val="auto"/>
          <w:kern w:val="0"/>
          <w:sz w:val="24"/>
          <w:highlight w:val="none"/>
        </w:rPr>
        <w:t>4.政府采购节能产品、环境标志产品政策</w:t>
      </w:r>
      <w:bookmarkEnd w:id="1112"/>
      <w:bookmarkEnd w:id="1113"/>
    </w:p>
    <w:p w14:paraId="5FA9E14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6C239433">
      <w:pPr>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节能产品政府采购品目清单、环境标志产品政府采购品目清单可通过中国政府采购网（http://www.ccgp.gov.cn/）查阅。</w:t>
      </w:r>
    </w:p>
    <w:p w14:paraId="743A997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BE6B77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其中，节能产品政府采购品目清单中以“★”标注的为政府强制采购产品，其余为优先采购产品。</w:t>
      </w:r>
    </w:p>
    <w:p w14:paraId="2D26F2DA">
      <w:pPr>
        <w:spacing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产品属于财政部和国家发改委公布的当期《节能产品政府采购品目清单》中以“★”标注类别的节能产品，并提供在有效期内的符合规定的节能产品认证证书</w:t>
      </w:r>
      <w:r>
        <w:rPr>
          <w:rFonts w:hint="eastAsia" w:ascii="宋体" w:hAnsi="宋体" w:eastAsia="宋体" w:cs="宋体"/>
          <w:b/>
          <w:bCs/>
          <w:color w:val="auto"/>
          <w:szCs w:val="21"/>
          <w:highlight w:val="none"/>
          <w:lang w:eastAsia="zh-CN"/>
        </w:rPr>
        <w:t>扫描件</w:t>
      </w:r>
      <w:r>
        <w:rPr>
          <w:rFonts w:hint="eastAsia" w:ascii="宋体" w:hAnsi="宋体" w:eastAsia="宋体" w:cs="宋体"/>
          <w:b/>
          <w:bCs/>
          <w:color w:val="auto"/>
          <w:szCs w:val="21"/>
          <w:highlight w:val="none"/>
        </w:rPr>
        <w:t>或中国政府采购网查询结果截图或国家市场监督管理总局全国认证认可信息公共服务平台打印的证书资料。（备注：供应商所提供的证明材料中须能体现与本项目所投同型号产品的相应信息）</w:t>
      </w:r>
    </w:p>
    <w:p w14:paraId="1F9A73C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4.3市场监管总局组织建立节能产品、环境标志产品认证结果信息发布平台，公布相关认证机构和获证产品信息。</w:t>
      </w:r>
    </w:p>
    <w:p w14:paraId="3ABBA07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政府采购节能产品、环境标志产品认证机构名录可通过中国政府采购网（http://www.ccgp.gov.cn/）查阅。</w:t>
      </w:r>
    </w:p>
    <w:p w14:paraId="1CF5884D">
      <w:pPr>
        <w:autoSpaceDE w:val="0"/>
        <w:autoSpaceDN w:val="0"/>
        <w:adjustRightInd w:val="0"/>
        <w:spacing w:line="360" w:lineRule="auto"/>
        <w:ind w:firstLine="353" w:firstLineChars="147"/>
        <w:outlineLvl w:val="2"/>
        <w:rPr>
          <w:rFonts w:hint="eastAsia" w:ascii="宋体" w:hAnsi="宋体" w:eastAsia="宋体" w:cs="宋体"/>
          <w:b/>
          <w:color w:val="auto"/>
          <w:kern w:val="0"/>
          <w:sz w:val="24"/>
          <w:highlight w:val="none"/>
        </w:rPr>
      </w:pPr>
      <w:bookmarkStart w:id="1114" w:name="_Toc80867997"/>
      <w:bookmarkStart w:id="1115" w:name="_Toc34821178"/>
      <w:bookmarkStart w:id="1116" w:name="_Toc34335326"/>
      <w:bookmarkStart w:id="1117" w:name="_Toc382325503"/>
      <w:bookmarkStart w:id="1118" w:name="_Toc478978879"/>
      <w:r>
        <w:rPr>
          <w:rFonts w:hint="eastAsia" w:ascii="宋体" w:hAnsi="宋体" w:eastAsia="宋体" w:cs="宋体"/>
          <w:b/>
          <w:color w:val="auto"/>
          <w:kern w:val="0"/>
          <w:sz w:val="24"/>
          <w:highlight w:val="none"/>
        </w:rPr>
        <w:t>5.其他</w:t>
      </w:r>
      <w:bookmarkEnd w:id="1114"/>
      <w:bookmarkEnd w:id="1115"/>
      <w:bookmarkEnd w:id="1116"/>
      <w:bookmarkEnd w:id="1117"/>
      <w:bookmarkEnd w:id="1118"/>
    </w:p>
    <w:p w14:paraId="272838A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磋商小组发现竞争性磋商文件存在歧义、重大缺陷导致评审工作无法进行，或者竞争性磋商文件内容违反国家有关规定的，要停止磋商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2E1E965E">
      <w:pPr>
        <w:pStyle w:val="23"/>
        <w:tabs>
          <w:tab w:val="left" w:pos="2472"/>
        </w:tabs>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5.2 根据《财政部关于在政府采购活动中查询及使用信用记录有关问题的通知-财库〔2016〕125 号》相关要求，采购人或者采购代理机构对信用记录进行核实，对列入失信被执行人、重大税收违法案件当事人名单、政府采购严重违法失信行为记录名单及其他不符合《中华人民共和国政府采购法》第二十二条规定条件的供应商，拒绝其参与政府采购活动。</w:t>
      </w:r>
      <w:bookmarkEnd w:id="375"/>
      <w:bookmarkEnd w:id="376"/>
    </w:p>
    <w:sectPr>
      <w:pgSz w:w="11906" w:h="16838"/>
      <w:pgMar w:top="1418" w:right="1274" w:bottom="1418" w:left="1418" w:header="851" w:footer="904"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Cambria">
    <w:altName w:val="苹方-简"/>
    <w:panose1 w:val="02040503050406030204"/>
    <w:charset w:val="00"/>
    <w:family w:val="roman"/>
    <w:pitch w:val="default"/>
    <w:sig w:usb0="00000000" w:usb1="00000000" w:usb2="02000000" w:usb3="00000000" w:csb0="2000019F" w:csb1="00000000"/>
  </w:font>
  <w:font w:name="苹方-简">
    <w:panose1 w:val="020B0400000000000000"/>
    <w:charset w:val="86"/>
    <w:family w:val="auto"/>
    <w:pitch w:val="default"/>
    <w:sig w:usb0="A00002FF" w:usb1="7ACFFDFB" w:usb2="00000017" w:usb3="00000000" w:csb0="00040001"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Century Gothic">
    <w:altName w:val="苹方-简"/>
    <w:panose1 w:val="020B0502020202020204"/>
    <w:charset w:val="00"/>
    <w:family w:val="swiss"/>
    <w:pitch w:val="default"/>
    <w:sig w:usb0="00000000" w:usb1="00000000" w:usb2="00000000" w:usb3="00000000" w:csb0="2000009F" w:csb1="DFD70000"/>
  </w:font>
  <w:font w:name="Helvetica Neue">
    <w:panose1 w:val="02000503000000020004"/>
    <w:charset w:val="00"/>
    <w:family w:val="auto"/>
    <w:pitch w:val="default"/>
    <w:sig w:usb0="E50002FF" w:usb1="500079DB" w:usb2="00000010" w:usb3="00000000" w:csb0="00000000" w:csb1="00000000"/>
  </w:font>
  <w:font w:name="楷体_GB2312">
    <w:altName w:val="汉仪楷体简"/>
    <w:panose1 w:val="02010609030101010101"/>
    <w:charset w:val="86"/>
    <w:family w:val="modern"/>
    <w:pitch w:val="default"/>
    <w:sig w:usb0="00000000" w:usb1="00000000" w:usb2="00000010" w:usb3="00000000" w:csb0="00040000" w:csb1="00000000"/>
  </w:font>
  <w:font w:name="汉仪楷体简">
    <w:panose1 w:val="02010600000101010101"/>
    <w:charset w:val="86"/>
    <w:family w:val="auto"/>
    <w:pitch w:val="default"/>
    <w:sig w:usb0="00000001" w:usb1="080E0800" w:usb2="00000002" w:usb3="00000000" w:csb0="00040000" w:csb1="00000000"/>
  </w:font>
  <w:font w:name="华文中宋">
    <w:panose1 w:val="02010600040101010101"/>
    <w:charset w:val="86"/>
    <w:family w:val="auto"/>
    <w:pitch w:val="default"/>
    <w:sig w:usb0="00000287" w:usb1="080F0000" w:usb2="00000000" w:usb3="00000000" w:csb0="0004009F" w:csb1="DFD70000"/>
  </w:font>
  <w:font w:name="Verdana">
    <w:panose1 w:val="020B0804030504040204"/>
    <w:charset w:val="00"/>
    <w:family w:val="swiss"/>
    <w:pitch w:val="default"/>
    <w:sig w:usb0="A10006FF" w:usb1="4000205B" w:usb2="00000010" w:usb3="00000000" w:csb0="2000019F" w:csb1="00000000"/>
  </w:font>
  <w:font w:name=".......">
    <w:altName w:val="苹方-简"/>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AFF" w:usb1="C000605B" w:usb2="00000029" w:usb3="00000000" w:csb0="200101FF" w:csb1="20280000"/>
  </w:font>
  <w:font w:name="等线 Light">
    <w:altName w:val="汉仪中等线KW"/>
    <w:panose1 w:val="02010600030101010101"/>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华文细黑">
    <w:panose1 w:val="02010600040101010101"/>
    <w:charset w:val="86"/>
    <w:family w:val="auto"/>
    <w:pitch w:val="default"/>
    <w:sig w:usb0="00000287" w:usb1="080F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华文楷体">
    <w:panose1 w:val="02010600040101010101"/>
    <w:charset w:val="86"/>
    <w:family w:val="auto"/>
    <w:pitch w:val="default"/>
    <w:sig w:usb0="80000287" w:usb1="280F3C52"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Apple Color Emoji">
    <w:panose1 w:val="00000000000000000000"/>
    <w:charset w:val="00"/>
    <w:family w:val="auto"/>
    <w:pitch w:val="default"/>
    <w:sig w:usb0="00000003" w:usb1="18000000" w:usb2="14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C5BDA">
    <w:pPr>
      <w:pStyle w:val="29"/>
      <w:jc w:val="center"/>
    </w:pPr>
    <w:r>
      <w:fldChar w:fldCharType="begin"/>
    </w:r>
    <w:r>
      <w:instrText xml:space="preserve">PAGE   \* MERGEFORMAT</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D7BF8">
    <w:pPr>
      <w:pStyle w:val="29"/>
      <w:framePr w:wrap="around" w:vAnchor="text" w:hAnchor="margin" w:xAlign="center" w:y="1"/>
      <w:rPr>
        <w:rStyle w:val="51"/>
      </w:rPr>
    </w:pPr>
    <w:r>
      <w:fldChar w:fldCharType="begin"/>
    </w:r>
    <w:r>
      <w:rPr>
        <w:rStyle w:val="51"/>
      </w:rPr>
      <w:instrText xml:space="preserve">PAGE  </w:instrText>
    </w:r>
    <w:r>
      <w:fldChar w:fldCharType="end"/>
    </w:r>
  </w:p>
  <w:p w14:paraId="7B8EF6D6">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92437">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3509F">
    <w:pPr>
      <w:pStyle w:val="29"/>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A8587">
    <w:pPr>
      <w:pStyle w:val="30"/>
      <w:jc w:val="left"/>
    </w:pPr>
    <w:r>
      <w:rPr>
        <w:rFonts w:hint="eastAsia" w:ascii="宋体" w:hAnsi="宋体"/>
        <w:szCs w:val="21"/>
        <w:lang w:eastAsia="zh-CN"/>
      </w:rPr>
      <w:t>弥勒市疾病预防控制中心鼠疫实验室改造项目（二次）</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380B8">
    <w:pPr>
      <w:pStyle w:val="30"/>
      <w:jc w:val="left"/>
    </w:pPr>
    <w:r>
      <w:rPr>
        <w:rFonts w:hint="eastAsia"/>
      </w:rPr>
      <w:t>入境指挥中心装修改造建设工程竞争性磋商文件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pStyle w:val="33"/>
      <w:lvlText w:val="%1."/>
      <w:legacy w:legacy="1" w:legacySpace="0" w:legacyIndent="425"/>
      <w:lvlJc w:val="left"/>
      <w:pPr>
        <w:ind w:left="425" w:hanging="425"/>
      </w:pPr>
      <w:rPr>
        <w:rFonts w:cs="Times New Roman"/>
      </w:rPr>
    </w:lvl>
    <w:lvl w:ilvl="1" w:tentative="0">
      <w:start w:val="1"/>
      <w:numFmt w:val="decimal"/>
      <w:lvlText w:val="%1.%2."/>
      <w:legacy w:legacy="1" w:legacySpace="0" w:legacyIndent="425"/>
      <w:lvlJc w:val="left"/>
      <w:pPr>
        <w:ind w:left="850" w:hanging="425"/>
      </w:pPr>
      <w:rPr>
        <w:rFonts w:cs="Times New Roman"/>
      </w:rPr>
    </w:lvl>
    <w:lvl w:ilvl="2" w:tentative="0">
      <w:start w:val="1"/>
      <w:numFmt w:val="decimal"/>
      <w:lvlText w:val="%1.%2.%3."/>
      <w:legacy w:legacy="1" w:legacySpace="0" w:legacyIndent="425"/>
      <w:lvlJc w:val="left"/>
      <w:pPr>
        <w:ind w:left="1275" w:hanging="425"/>
      </w:pPr>
      <w:rPr>
        <w:rFonts w:cs="Times New Roman"/>
      </w:rPr>
    </w:lvl>
    <w:lvl w:ilvl="3" w:tentative="0">
      <w:start w:val="1"/>
      <w:numFmt w:val="decimal"/>
      <w:lvlText w:val="%1.%2.%3.%4."/>
      <w:legacy w:legacy="1" w:legacySpace="0" w:legacyIndent="425"/>
      <w:lvlJc w:val="left"/>
      <w:pPr>
        <w:ind w:left="1700" w:hanging="425"/>
      </w:pPr>
      <w:rPr>
        <w:rFonts w:cs="Times New Roman"/>
      </w:rPr>
    </w:lvl>
    <w:lvl w:ilvl="4" w:tentative="0">
      <w:start w:val="1"/>
      <w:numFmt w:val="decimal"/>
      <w:pStyle w:val="6"/>
      <w:lvlText w:val="%1.%2.%3.%4.%5."/>
      <w:legacy w:legacy="1" w:legacySpace="0" w:legacyIndent="425"/>
      <w:lvlJc w:val="left"/>
      <w:pPr>
        <w:ind w:left="2125" w:hanging="425"/>
      </w:pPr>
      <w:rPr>
        <w:rFonts w:cs="Times New Roman"/>
      </w:rPr>
    </w:lvl>
    <w:lvl w:ilvl="5" w:tentative="0">
      <w:start w:val="1"/>
      <w:numFmt w:val="decimal"/>
      <w:lvlText w:val="%1.%2.%3.%4.%5.%6."/>
      <w:legacy w:legacy="1" w:legacySpace="0" w:legacyIndent="425"/>
      <w:lvlJc w:val="left"/>
      <w:pPr>
        <w:ind w:left="2550" w:hanging="425"/>
      </w:pPr>
      <w:rPr>
        <w:rFonts w:cs="Times New Roman"/>
      </w:rPr>
    </w:lvl>
    <w:lvl w:ilvl="6" w:tentative="0">
      <w:start w:val="1"/>
      <w:numFmt w:val="decimal"/>
      <w:lvlText w:val="%1.%2.%3.%4.%5.%6.%7."/>
      <w:legacy w:legacy="1" w:legacySpace="0" w:legacyIndent="425"/>
      <w:lvlJc w:val="left"/>
      <w:pPr>
        <w:ind w:left="2975" w:hanging="425"/>
      </w:pPr>
      <w:rPr>
        <w:rFonts w:cs="Times New Roman"/>
      </w:rPr>
    </w:lvl>
    <w:lvl w:ilvl="7" w:tentative="0">
      <w:start w:val="1"/>
      <w:numFmt w:val="decimal"/>
      <w:lvlText w:val="%1.%2.%3.%4.%5.%6.%7.%8."/>
      <w:legacy w:legacy="1" w:legacySpace="0" w:legacyIndent="425"/>
      <w:lvlJc w:val="left"/>
      <w:pPr>
        <w:ind w:left="3400" w:hanging="425"/>
      </w:pPr>
      <w:rPr>
        <w:rFonts w:cs="Times New Roman"/>
      </w:rPr>
    </w:lvl>
    <w:lvl w:ilvl="8" w:tentative="0">
      <w:start w:val="1"/>
      <w:numFmt w:val="decimal"/>
      <w:lvlText w:val="%1.%2.%3.%4.%5.%6.%7.%8.%9."/>
      <w:legacy w:legacy="1" w:legacySpace="0" w:legacyIndent="425"/>
      <w:lvlJc w:val="left"/>
      <w:pPr>
        <w:ind w:left="3825" w:hanging="425"/>
      </w:pPr>
      <w:rPr>
        <w:rFonts w:cs="Times New Roman"/>
      </w:rPr>
    </w:lvl>
  </w:abstractNum>
  <w:abstractNum w:abstractNumId="1">
    <w:nsid w:val="11EF3BBC"/>
    <w:multiLevelType w:val="multilevel"/>
    <w:tmpl w:val="11EF3BBC"/>
    <w:lvl w:ilvl="0" w:tentative="0">
      <w:start w:val="1"/>
      <w:numFmt w:val="bullet"/>
      <w:pStyle w:val="288"/>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7709E831"/>
    <w:multiLevelType w:val="singleLevel"/>
    <w:tmpl w:val="7709E831"/>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k2MzA4MGZkN2Q0MzI3M2Q1NGM5YzBkZWVjYTM1MDEifQ=="/>
    <w:docVar w:name="KSO_WPS_MARK_KEY" w:val="8cc4784d-521d-4a63-8359-f34ae7cfb8e7"/>
  </w:docVars>
  <w:rsids>
    <w:rsidRoot w:val="001D0D46"/>
    <w:rsid w:val="000003D5"/>
    <w:rsid w:val="00000E5B"/>
    <w:rsid w:val="00002543"/>
    <w:rsid w:val="00003F96"/>
    <w:rsid w:val="00004EF8"/>
    <w:rsid w:val="0000649C"/>
    <w:rsid w:val="000064BF"/>
    <w:rsid w:val="00006784"/>
    <w:rsid w:val="000078C1"/>
    <w:rsid w:val="00012DF4"/>
    <w:rsid w:val="00013FCC"/>
    <w:rsid w:val="00014E7D"/>
    <w:rsid w:val="000151E9"/>
    <w:rsid w:val="00015DDD"/>
    <w:rsid w:val="0001696D"/>
    <w:rsid w:val="00020EF8"/>
    <w:rsid w:val="000232E8"/>
    <w:rsid w:val="0002347D"/>
    <w:rsid w:val="00023B63"/>
    <w:rsid w:val="00023B67"/>
    <w:rsid w:val="00023B84"/>
    <w:rsid w:val="00024A11"/>
    <w:rsid w:val="00024B85"/>
    <w:rsid w:val="000254F6"/>
    <w:rsid w:val="00025D70"/>
    <w:rsid w:val="00025E15"/>
    <w:rsid w:val="0003091F"/>
    <w:rsid w:val="00030C30"/>
    <w:rsid w:val="00032A6D"/>
    <w:rsid w:val="00032ECB"/>
    <w:rsid w:val="00034690"/>
    <w:rsid w:val="00035C64"/>
    <w:rsid w:val="000371D2"/>
    <w:rsid w:val="000373D1"/>
    <w:rsid w:val="00037460"/>
    <w:rsid w:val="000403F7"/>
    <w:rsid w:val="00041306"/>
    <w:rsid w:val="000420E0"/>
    <w:rsid w:val="00044D38"/>
    <w:rsid w:val="00045167"/>
    <w:rsid w:val="00045318"/>
    <w:rsid w:val="0004675F"/>
    <w:rsid w:val="00046A2C"/>
    <w:rsid w:val="00046B39"/>
    <w:rsid w:val="00052DAA"/>
    <w:rsid w:val="00054369"/>
    <w:rsid w:val="00055A66"/>
    <w:rsid w:val="00056549"/>
    <w:rsid w:val="000575A5"/>
    <w:rsid w:val="00057A64"/>
    <w:rsid w:val="00061ABC"/>
    <w:rsid w:val="000620EC"/>
    <w:rsid w:val="00063798"/>
    <w:rsid w:val="000654FB"/>
    <w:rsid w:val="0006594F"/>
    <w:rsid w:val="00066B25"/>
    <w:rsid w:val="000673E6"/>
    <w:rsid w:val="00067FFB"/>
    <w:rsid w:val="0007019C"/>
    <w:rsid w:val="00070895"/>
    <w:rsid w:val="00071BCC"/>
    <w:rsid w:val="000724DC"/>
    <w:rsid w:val="0007299E"/>
    <w:rsid w:val="000754AE"/>
    <w:rsid w:val="0007568D"/>
    <w:rsid w:val="00075B8F"/>
    <w:rsid w:val="00077266"/>
    <w:rsid w:val="00077BBB"/>
    <w:rsid w:val="00077C62"/>
    <w:rsid w:val="000804B1"/>
    <w:rsid w:val="00080759"/>
    <w:rsid w:val="00080A1B"/>
    <w:rsid w:val="00081C9E"/>
    <w:rsid w:val="00082888"/>
    <w:rsid w:val="00083A15"/>
    <w:rsid w:val="00085A0F"/>
    <w:rsid w:val="00085E78"/>
    <w:rsid w:val="00086A98"/>
    <w:rsid w:val="00086E23"/>
    <w:rsid w:val="00087783"/>
    <w:rsid w:val="000878A9"/>
    <w:rsid w:val="000940E5"/>
    <w:rsid w:val="000941AD"/>
    <w:rsid w:val="000942E6"/>
    <w:rsid w:val="00096DA8"/>
    <w:rsid w:val="00097175"/>
    <w:rsid w:val="000A110D"/>
    <w:rsid w:val="000A1D1A"/>
    <w:rsid w:val="000A23DD"/>
    <w:rsid w:val="000A264A"/>
    <w:rsid w:val="000A2AE2"/>
    <w:rsid w:val="000A3FA0"/>
    <w:rsid w:val="000A461E"/>
    <w:rsid w:val="000A49BC"/>
    <w:rsid w:val="000A49D4"/>
    <w:rsid w:val="000A4EA0"/>
    <w:rsid w:val="000A5ED6"/>
    <w:rsid w:val="000A6136"/>
    <w:rsid w:val="000A7002"/>
    <w:rsid w:val="000A72D5"/>
    <w:rsid w:val="000B23B9"/>
    <w:rsid w:val="000B2834"/>
    <w:rsid w:val="000B2CBA"/>
    <w:rsid w:val="000B32B2"/>
    <w:rsid w:val="000B3E97"/>
    <w:rsid w:val="000B46B5"/>
    <w:rsid w:val="000B5B1A"/>
    <w:rsid w:val="000B5BB1"/>
    <w:rsid w:val="000B5F7E"/>
    <w:rsid w:val="000B636E"/>
    <w:rsid w:val="000B7ACB"/>
    <w:rsid w:val="000C01F1"/>
    <w:rsid w:val="000C094E"/>
    <w:rsid w:val="000C15C3"/>
    <w:rsid w:val="000C1F55"/>
    <w:rsid w:val="000C3163"/>
    <w:rsid w:val="000C3232"/>
    <w:rsid w:val="000C3512"/>
    <w:rsid w:val="000C63A0"/>
    <w:rsid w:val="000C7D3E"/>
    <w:rsid w:val="000D0342"/>
    <w:rsid w:val="000D2573"/>
    <w:rsid w:val="000D35A9"/>
    <w:rsid w:val="000D38B7"/>
    <w:rsid w:val="000D3A97"/>
    <w:rsid w:val="000D6297"/>
    <w:rsid w:val="000D6902"/>
    <w:rsid w:val="000D695E"/>
    <w:rsid w:val="000D6BA7"/>
    <w:rsid w:val="000D6CCE"/>
    <w:rsid w:val="000D71E6"/>
    <w:rsid w:val="000E0C5A"/>
    <w:rsid w:val="000E0F1B"/>
    <w:rsid w:val="000E21A7"/>
    <w:rsid w:val="000E2BDB"/>
    <w:rsid w:val="000E2DBF"/>
    <w:rsid w:val="000E2E58"/>
    <w:rsid w:val="000E4406"/>
    <w:rsid w:val="000E5580"/>
    <w:rsid w:val="000E74A6"/>
    <w:rsid w:val="000E7DBD"/>
    <w:rsid w:val="000F1112"/>
    <w:rsid w:val="000F3456"/>
    <w:rsid w:val="000F3614"/>
    <w:rsid w:val="000F40CE"/>
    <w:rsid w:val="000F5AF1"/>
    <w:rsid w:val="000F6932"/>
    <w:rsid w:val="00101099"/>
    <w:rsid w:val="0010183A"/>
    <w:rsid w:val="00101EE7"/>
    <w:rsid w:val="00102A40"/>
    <w:rsid w:val="00102C79"/>
    <w:rsid w:val="00105CBC"/>
    <w:rsid w:val="00105D2C"/>
    <w:rsid w:val="00106F10"/>
    <w:rsid w:val="0010775B"/>
    <w:rsid w:val="0011038F"/>
    <w:rsid w:val="00110BB7"/>
    <w:rsid w:val="0011190A"/>
    <w:rsid w:val="00111B8A"/>
    <w:rsid w:val="00111D28"/>
    <w:rsid w:val="00113BF8"/>
    <w:rsid w:val="00113EF9"/>
    <w:rsid w:val="0011448E"/>
    <w:rsid w:val="001151FF"/>
    <w:rsid w:val="0011716A"/>
    <w:rsid w:val="00120EC0"/>
    <w:rsid w:val="00121410"/>
    <w:rsid w:val="00121B7A"/>
    <w:rsid w:val="001255A1"/>
    <w:rsid w:val="00125861"/>
    <w:rsid w:val="00125A7D"/>
    <w:rsid w:val="00125DD1"/>
    <w:rsid w:val="001266C9"/>
    <w:rsid w:val="001273E9"/>
    <w:rsid w:val="0012770F"/>
    <w:rsid w:val="00130446"/>
    <w:rsid w:val="00130853"/>
    <w:rsid w:val="00130E1C"/>
    <w:rsid w:val="00130EF8"/>
    <w:rsid w:val="00131EAD"/>
    <w:rsid w:val="00132FF8"/>
    <w:rsid w:val="00133A73"/>
    <w:rsid w:val="00133FEE"/>
    <w:rsid w:val="0013412A"/>
    <w:rsid w:val="00136441"/>
    <w:rsid w:val="001365BD"/>
    <w:rsid w:val="0013698A"/>
    <w:rsid w:val="00136ABA"/>
    <w:rsid w:val="001372E6"/>
    <w:rsid w:val="00141AB8"/>
    <w:rsid w:val="00141DED"/>
    <w:rsid w:val="001428B1"/>
    <w:rsid w:val="0014294F"/>
    <w:rsid w:val="00145035"/>
    <w:rsid w:val="00145870"/>
    <w:rsid w:val="001459F4"/>
    <w:rsid w:val="001460A1"/>
    <w:rsid w:val="00146D03"/>
    <w:rsid w:val="001476F9"/>
    <w:rsid w:val="00147CC6"/>
    <w:rsid w:val="001523F9"/>
    <w:rsid w:val="001524B1"/>
    <w:rsid w:val="001527D6"/>
    <w:rsid w:val="00153F31"/>
    <w:rsid w:val="00155024"/>
    <w:rsid w:val="001555E9"/>
    <w:rsid w:val="00156429"/>
    <w:rsid w:val="00160F98"/>
    <w:rsid w:val="001627E0"/>
    <w:rsid w:val="00162B72"/>
    <w:rsid w:val="00162C18"/>
    <w:rsid w:val="00162E08"/>
    <w:rsid w:val="00163E49"/>
    <w:rsid w:val="00167351"/>
    <w:rsid w:val="0016735B"/>
    <w:rsid w:val="00167AA0"/>
    <w:rsid w:val="00170000"/>
    <w:rsid w:val="001704B1"/>
    <w:rsid w:val="00170580"/>
    <w:rsid w:val="00170B2D"/>
    <w:rsid w:val="0017178B"/>
    <w:rsid w:val="00177495"/>
    <w:rsid w:val="0018108D"/>
    <w:rsid w:val="00183964"/>
    <w:rsid w:val="00184D8E"/>
    <w:rsid w:val="00185084"/>
    <w:rsid w:val="0019386D"/>
    <w:rsid w:val="00193C67"/>
    <w:rsid w:val="00196195"/>
    <w:rsid w:val="0019663D"/>
    <w:rsid w:val="001A0020"/>
    <w:rsid w:val="001A0375"/>
    <w:rsid w:val="001A0D63"/>
    <w:rsid w:val="001A14D9"/>
    <w:rsid w:val="001A22EF"/>
    <w:rsid w:val="001A28A2"/>
    <w:rsid w:val="001A51EB"/>
    <w:rsid w:val="001A74A3"/>
    <w:rsid w:val="001A7B6F"/>
    <w:rsid w:val="001B0335"/>
    <w:rsid w:val="001B470D"/>
    <w:rsid w:val="001B4D43"/>
    <w:rsid w:val="001B5003"/>
    <w:rsid w:val="001B5F6D"/>
    <w:rsid w:val="001B6918"/>
    <w:rsid w:val="001B76CF"/>
    <w:rsid w:val="001B79D9"/>
    <w:rsid w:val="001C0506"/>
    <w:rsid w:val="001C0908"/>
    <w:rsid w:val="001C0B39"/>
    <w:rsid w:val="001C0BC9"/>
    <w:rsid w:val="001C12E9"/>
    <w:rsid w:val="001C284A"/>
    <w:rsid w:val="001C44FA"/>
    <w:rsid w:val="001C49B2"/>
    <w:rsid w:val="001C60FF"/>
    <w:rsid w:val="001C6BB2"/>
    <w:rsid w:val="001C6D56"/>
    <w:rsid w:val="001C6EC2"/>
    <w:rsid w:val="001C7026"/>
    <w:rsid w:val="001C7086"/>
    <w:rsid w:val="001D0D46"/>
    <w:rsid w:val="001D17E0"/>
    <w:rsid w:val="001D4328"/>
    <w:rsid w:val="001D436E"/>
    <w:rsid w:val="001D49CE"/>
    <w:rsid w:val="001D5182"/>
    <w:rsid w:val="001D5C6F"/>
    <w:rsid w:val="001D6207"/>
    <w:rsid w:val="001D71BA"/>
    <w:rsid w:val="001D791A"/>
    <w:rsid w:val="001E011A"/>
    <w:rsid w:val="001E01C8"/>
    <w:rsid w:val="001E1B0F"/>
    <w:rsid w:val="001E1E99"/>
    <w:rsid w:val="001E20F2"/>
    <w:rsid w:val="001E303D"/>
    <w:rsid w:val="001E35E9"/>
    <w:rsid w:val="001E3ACD"/>
    <w:rsid w:val="001E4798"/>
    <w:rsid w:val="001E58E5"/>
    <w:rsid w:val="001E5FC4"/>
    <w:rsid w:val="001E6CFB"/>
    <w:rsid w:val="001E775C"/>
    <w:rsid w:val="001F1C7B"/>
    <w:rsid w:val="001F36DF"/>
    <w:rsid w:val="001F3DD8"/>
    <w:rsid w:val="001F4BF3"/>
    <w:rsid w:val="001F4D3C"/>
    <w:rsid w:val="00200BC9"/>
    <w:rsid w:val="00201B8F"/>
    <w:rsid w:val="00202E29"/>
    <w:rsid w:val="0020368E"/>
    <w:rsid w:val="0020508F"/>
    <w:rsid w:val="0020513B"/>
    <w:rsid w:val="002054BA"/>
    <w:rsid w:val="002060F9"/>
    <w:rsid w:val="00206541"/>
    <w:rsid w:val="00207585"/>
    <w:rsid w:val="00212788"/>
    <w:rsid w:val="002142F7"/>
    <w:rsid w:val="002158DF"/>
    <w:rsid w:val="00215CAC"/>
    <w:rsid w:val="002164AB"/>
    <w:rsid w:val="002165FD"/>
    <w:rsid w:val="0021708D"/>
    <w:rsid w:val="00217587"/>
    <w:rsid w:val="002205B8"/>
    <w:rsid w:val="00220AFF"/>
    <w:rsid w:val="002214F9"/>
    <w:rsid w:val="0022273E"/>
    <w:rsid w:val="00224519"/>
    <w:rsid w:val="00224669"/>
    <w:rsid w:val="00224CDD"/>
    <w:rsid w:val="0022551D"/>
    <w:rsid w:val="002261DF"/>
    <w:rsid w:val="002269CC"/>
    <w:rsid w:val="002278A1"/>
    <w:rsid w:val="0023313A"/>
    <w:rsid w:val="002350C6"/>
    <w:rsid w:val="00235E79"/>
    <w:rsid w:val="0023695E"/>
    <w:rsid w:val="00236B27"/>
    <w:rsid w:val="00236B56"/>
    <w:rsid w:val="00236BF5"/>
    <w:rsid w:val="00237066"/>
    <w:rsid w:val="00237892"/>
    <w:rsid w:val="00240D02"/>
    <w:rsid w:val="002410A9"/>
    <w:rsid w:val="00243E9D"/>
    <w:rsid w:val="002448A2"/>
    <w:rsid w:val="00250371"/>
    <w:rsid w:val="00253324"/>
    <w:rsid w:val="00253413"/>
    <w:rsid w:val="00253B55"/>
    <w:rsid w:val="0025546B"/>
    <w:rsid w:val="00261916"/>
    <w:rsid w:val="002624EE"/>
    <w:rsid w:val="00263CD0"/>
    <w:rsid w:val="00263F60"/>
    <w:rsid w:val="00266303"/>
    <w:rsid w:val="002668CE"/>
    <w:rsid w:val="0026764A"/>
    <w:rsid w:val="00270079"/>
    <w:rsid w:val="00271CDA"/>
    <w:rsid w:val="002736A7"/>
    <w:rsid w:val="00273C3E"/>
    <w:rsid w:val="00274536"/>
    <w:rsid w:val="002758B4"/>
    <w:rsid w:val="00276612"/>
    <w:rsid w:val="0028019A"/>
    <w:rsid w:val="002805ED"/>
    <w:rsid w:val="00281A2B"/>
    <w:rsid w:val="002822B7"/>
    <w:rsid w:val="00285E36"/>
    <w:rsid w:val="00286620"/>
    <w:rsid w:val="00287CBE"/>
    <w:rsid w:val="00290ACD"/>
    <w:rsid w:val="00291631"/>
    <w:rsid w:val="002927F6"/>
    <w:rsid w:val="002928FF"/>
    <w:rsid w:val="00292C3D"/>
    <w:rsid w:val="00294544"/>
    <w:rsid w:val="002948D0"/>
    <w:rsid w:val="002951F5"/>
    <w:rsid w:val="00296CBD"/>
    <w:rsid w:val="002A2775"/>
    <w:rsid w:val="002A3016"/>
    <w:rsid w:val="002A49B9"/>
    <w:rsid w:val="002A4EFC"/>
    <w:rsid w:val="002A5925"/>
    <w:rsid w:val="002A5B75"/>
    <w:rsid w:val="002A656A"/>
    <w:rsid w:val="002A7373"/>
    <w:rsid w:val="002B1C5C"/>
    <w:rsid w:val="002B2BF3"/>
    <w:rsid w:val="002B3240"/>
    <w:rsid w:val="002B4FCD"/>
    <w:rsid w:val="002B6D93"/>
    <w:rsid w:val="002B77DE"/>
    <w:rsid w:val="002B7892"/>
    <w:rsid w:val="002B7F55"/>
    <w:rsid w:val="002C134E"/>
    <w:rsid w:val="002C183A"/>
    <w:rsid w:val="002C1F97"/>
    <w:rsid w:val="002C308C"/>
    <w:rsid w:val="002C37BB"/>
    <w:rsid w:val="002C39E5"/>
    <w:rsid w:val="002C3BEC"/>
    <w:rsid w:val="002C53F2"/>
    <w:rsid w:val="002C5682"/>
    <w:rsid w:val="002C653B"/>
    <w:rsid w:val="002C6849"/>
    <w:rsid w:val="002C74C7"/>
    <w:rsid w:val="002D075E"/>
    <w:rsid w:val="002D081E"/>
    <w:rsid w:val="002D134D"/>
    <w:rsid w:val="002D3008"/>
    <w:rsid w:val="002D334D"/>
    <w:rsid w:val="002D5106"/>
    <w:rsid w:val="002D613F"/>
    <w:rsid w:val="002D668B"/>
    <w:rsid w:val="002D777E"/>
    <w:rsid w:val="002D7D88"/>
    <w:rsid w:val="002E0260"/>
    <w:rsid w:val="002E103C"/>
    <w:rsid w:val="002E17B4"/>
    <w:rsid w:val="002E1A8C"/>
    <w:rsid w:val="002E1CD7"/>
    <w:rsid w:val="002E2929"/>
    <w:rsid w:val="002E2AF6"/>
    <w:rsid w:val="002E2EC4"/>
    <w:rsid w:val="002E42CE"/>
    <w:rsid w:val="002E46D1"/>
    <w:rsid w:val="002E4C1B"/>
    <w:rsid w:val="002E5699"/>
    <w:rsid w:val="002E5F46"/>
    <w:rsid w:val="002E6189"/>
    <w:rsid w:val="002E684C"/>
    <w:rsid w:val="002E7895"/>
    <w:rsid w:val="002F065B"/>
    <w:rsid w:val="002F14DD"/>
    <w:rsid w:val="002F1666"/>
    <w:rsid w:val="002F22B0"/>
    <w:rsid w:val="002F267A"/>
    <w:rsid w:val="002F3328"/>
    <w:rsid w:val="002F3482"/>
    <w:rsid w:val="002F4080"/>
    <w:rsid w:val="002F75F0"/>
    <w:rsid w:val="002F75FD"/>
    <w:rsid w:val="002F78AC"/>
    <w:rsid w:val="00300374"/>
    <w:rsid w:val="0030203D"/>
    <w:rsid w:val="00302FC8"/>
    <w:rsid w:val="003035CD"/>
    <w:rsid w:val="00303C00"/>
    <w:rsid w:val="0030418A"/>
    <w:rsid w:val="0030479D"/>
    <w:rsid w:val="00304970"/>
    <w:rsid w:val="003062CC"/>
    <w:rsid w:val="00306F98"/>
    <w:rsid w:val="00306FD7"/>
    <w:rsid w:val="003070F6"/>
    <w:rsid w:val="00310D29"/>
    <w:rsid w:val="00311AA9"/>
    <w:rsid w:val="00311BE8"/>
    <w:rsid w:val="00311E73"/>
    <w:rsid w:val="00313477"/>
    <w:rsid w:val="00313786"/>
    <w:rsid w:val="00314001"/>
    <w:rsid w:val="003144F0"/>
    <w:rsid w:val="00317A3E"/>
    <w:rsid w:val="00320B0F"/>
    <w:rsid w:val="00321D75"/>
    <w:rsid w:val="00321DBC"/>
    <w:rsid w:val="00321E88"/>
    <w:rsid w:val="0032209B"/>
    <w:rsid w:val="00324285"/>
    <w:rsid w:val="003252D2"/>
    <w:rsid w:val="00327166"/>
    <w:rsid w:val="00327C72"/>
    <w:rsid w:val="003306A7"/>
    <w:rsid w:val="00330CBC"/>
    <w:rsid w:val="00330FF2"/>
    <w:rsid w:val="003316FF"/>
    <w:rsid w:val="0033231F"/>
    <w:rsid w:val="00332ABB"/>
    <w:rsid w:val="003331E0"/>
    <w:rsid w:val="00334B3E"/>
    <w:rsid w:val="00334EC0"/>
    <w:rsid w:val="00335D28"/>
    <w:rsid w:val="00335E0B"/>
    <w:rsid w:val="003374AF"/>
    <w:rsid w:val="00337E42"/>
    <w:rsid w:val="00341ADD"/>
    <w:rsid w:val="00341EE5"/>
    <w:rsid w:val="00342CA1"/>
    <w:rsid w:val="00342F01"/>
    <w:rsid w:val="00343674"/>
    <w:rsid w:val="00343C2E"/>
    <w:rsid w:val="00343E23"/>
    <w:rsid w:val="00343E76"/>
    <w:rsid w:val="00344255"/>
    <w:rsid w:val="00346D1F"/>
    <w:rsid w:val="00347F81"/>
    <w:rsid w:val="00350112"/>
    <w:rsid w:val="00352A80"/>
    <w:rsid w:val="00352B0A"/>
    <w:rsid w:val="00353F62"/>
    <w:rsid w:val="003549E5"/>
    <w:rsid w:val="00357066"/>
    <w:rsid w:val="00360B8E"/>
    <w:rsid w:val="003610FD"/>
    <w:rsid w:val="00361BA3"/>
    <w:rsid w:val="00364CBE"/>
    <w:rsid w:val="00364DFB"/>
    <w:rsid w:val="003652EA"/>
    <w:rsid w:val="00367518"/>
    <w:rsid w:val="00367723"/>
    <w:rsid w:val="00367872"/>
    <w:rsid w:val="00367C83"/>
    <w:rsid w:val="003718E0"/>
    <w:rsid w:val="00371F84"/>
    <w:rsid w:val="00372112"/>
    <w:rsid w:val="003730D7"/>
    <w:rsid w:val="00373D11"/>
    <w:rsid w:val="00373D54"/>
    <w:rsid w:val="00374233"/>
    <w:rsid w:val="00374283"/>
    <w:rsid w:val="00374A1D"/>
    <w:rsid w:val="0037511E"/>
    <w:rsid w:val="00376C87"/>
    <w:rsid w:val="00377477"/>
    <w:rsid w:val="00377B89"/>
    <w:rsid w:val="00380317"/>
    <w:rsid w:val="00381541"/>
    <w:rsid w:val="003817B2"/>
    <w:rsid w:val="00381E71"/>
    <w:rsid w:val="00381F63"/>
    <w:rsid w:val="00382726"/>
    <w:rsid w:val="00385D70"/>
    <w:rsid w:val="00386186"/>
    <w:rsid w:val="00386A89"/>
    <w:rsid w:val="00387D66"/>
    <w:rsid w:val="00391864"/>
    <w:rsid w:val="00391CE0"/>
    <w:rsid w:val="00393209"/>
    <w:rsid w:val="00393973"/>
    <w:rsid w:val="00393E61"/>
    <w:rsid w:val="00394075"/>
    <w:rsid w:val="0039449B"/>
    <w:rsid w:val="0039475A"/>
    <w:rsid w:val="00396342"/>
    <w:rsid w:val="00396829"/>
    <w:rsid w:val="003969BE"/>
    <w:rsid w:val="00397C8A"/>
    <w:rsid w:val="003A001C"/>
    <w:rsid w:val="003A0BC4"/>
    <w:rsid w:val="003A0E1B"/>
    <w:rsid w:val="003A31A1"/>
    <w:rsid w:val="003A31A5"/>
    <w:rsid w:val="003A49A7"/>
    <w:rsid w:val="003A513B"/>
    <w:rsid w:val="003A5335"/>
    <w:rsid w:val="003A6256"/>
    <w:rsid w:val="003A6DE8"/>
    <w:rsid w:val="003A712F"/>
    <w:rsid w:val="003B03AF"/>
    <w:rsid w:val="003B0776"/>
    <w:rsid w:val="003B0BDD"/>
    <w:rsid w:val="003B1F77"/>
    <w:rsid w:val="003B3356"/>
    <w:rsid w:val="003B44BD"/>
    <w:rsid w:val="003B45D3"/>
    <w:rsid w:val="003B498A"/>
    <w:rsid w:val="003B64C5"/>
    <w:rsid w:val="003B7BD9"/>
    <w:rsid w:val="003C03D7"/>
    <w:rsid w:val="003C05D0"/>
    <w:rsid w:val="003C1C33"/>
    <w:rsid w:val="003C2500"/>
    <w:rsid w:val="003C2E55"/>
    <w:rsid w:val="003C3A2A"/>
    <w:rsid w:val="003C3B69"/>
    <w:rsid w:val="003C3FAC"/>
    <w:rsid w:val="003C4A49"/>
    <w:rsid w:val="003C6ADB"/>
    <w:rsid w:val="003C7774"/>
    <w:rsid w:val="003D0088"/>
    <w:rsid w:val="003D14FE"/>
    <w:rsid w:val="003D2BDD"/>
    <w:rsid w:val="003D3900"/>
    <w:rsid w:val="003D50AB"/>
    <w:rsid w:val="003D52C5"/>
    <w:rsid w:val="003D5793"/>
    <w:rsid w:val="003D5DA3"/>
    <w:rsid w:val="003D60FA"/>
    <w:rsid w:val="003D65D2"/>
    <w:rsid w:val="003D7E81"/>
    <w:rsid w:val="003E2DB5"/>
    <w:rsid w:val="003E3F84"/>
    <w:rsid w:val="003E4B0A"/>
    <w:rsid w:val="003E6150"/>
    <w:rsid w:val="003E73FE"/>
    <w:rsid w:val="003F24FC"/>
    <w:rsid w:val="003F2676"/>
    <w:rsid w:val="003F4E7D"/>
    <w:rsid w:val="003F5061"/>
    <w:rsid w:val="003F6C62"/>
    <w:rsid w:val="003F73F2"/>
    <w:rsid w:val="003F7B84"/>
    <w:rsid w:val="004004E0"/>
    <w:rsid w:val="004014AA"/>
    <w:rsid w:val="00401B50"/>
    <w:rsid w:val="00401D97"/>
    <w:rsid w:val="004021F9"/>
    <w:rsid w:val="00402496"/>
    <w:rsid w:val="004025C2"/>
    <w:rsid w:val="00402B74"/>
    <w:rsid w:val="00402F89"/>
    <w:rsid w:val="00402FD8"/>
    <w:rsid w:val="0040478D"/>
    <w:rsid w:val="00404B3F"/>
    <w:rsid w:val="00406E16"/>
    <w:rsid w:val="004071AA"/>
    <w:rsid w:val="0040730A"/>
    <w:rsid w:val="00410007"/>
    <w:rsid w:val="0041030E"/>
    <w:rsid w:val="00411584"/>
    <w:rsid w:val="004118D8"/>
    <w:rsid w:val="0041380D"/>
    <w:rsid w:val="00413AD1"/>
    <w:rsid w:val="00414D51"/>
    <w:rsid w:val="004171CB"/>
    <w:rsid w:val="0042091A"/>
    <w:rsid w:val="004214DC"/>
    <w:rsid w:val="004227A3"/>
    <w:rsid w:val="00422CCA"/>
    <w:rsid w:val="00423009"/>
    <w:rsid w:val="0042343B"/>
    <w:rsid w:val="004252B2"/>
    <w:rsid w:val="00425516"/>
    <w:rsid w:val="00425609"/>
    <w:rsid w:val="004269DF"/>
    <w:rsid w:val="004271F1"/>
    <w:rsid w:val="0042754A"/>
    <w:rsid w:val="00430358"/>
    <w:rsid w:val="00432FC3"/>
    <w:rsid w:val="004335B8"/>
    <w:rsid w:val="0043400E"/>
    <w:rsid w:val="00434015"/>
    <w:rsid w:val="0043422D"/>
    <w:rsid w:val="00435129"/>
    <w:rsid w:val="0043585A"/>
    <w:rsid w:val="00435DB7"/>
    <w:rsid w:val="004417EF"/>
    <w:rsid w:val="0044225F"/>
    <w:rsid w:val="00442884"/>
    <w:rsid w:val="0044450B"/>
    <w:rsid w:val="00444FA8"/>
    <w:rsid w:val="00446BF0"/>
    <w:rsid w:val="00447562"/>
    <w:rsid w:val="0045011A"/>
    <w:rsid w:val="0045071B"/>
    <w:rsid w:val="00451479"/>
    <w:rsid w:val="004541FC"/>
    <w:rsid w:val="00454A94"/>
    <w:rsid w:val="00454CA5"/>
    <w:rsid w:val="0045547E"/>
    <w:rsid w:val="00455FD6"/>
    <w:rsid w:val="00460B43"/>
    <w:rsid w:val="00461AF1"/>
    <w:rsid w:val="00461F83"/>
    <w:rsid w:val="00464073"/>
    <w:rsid w:val="004645B4"/>
    <w:rsid w:val="00465552"/>
    <w:rsid w:val="00467DA8"/>
    <w:rsid w:val="00470BBE"/>
    <w:rsid w:val="00474523"/>
    <w:rsid w:val="0047555E"/>
    <w:rsid w:val="0047698A"/>
    <w:rsid w:val="00476A82"/>
    <w:rsid w:val="0047735A"/>
    <w:rsid w:val="00481822"/>
    <w:rsid w:val="00482808"/>
    <w:rsid w:val="00485AE8"/>
    <w:rsid w:val="00487A30"/>
    <w:rsid w:val="00487E71"/>
    <w:rsid w:val="00490705"/>
    <w:rsid w:val="00491DD6"/>
    <w:rsid w:val="00492F3D"/>
    <w:rsid w:val="004939D7"/>
    <w:rsid w:val="00493D95"/>
    <w:rsid w:val="004955FB"/>
    <w:rsid w:val="00495DFD"/>
    <w:rsid w:val="004965AE"/>
    <w:rsid w:val="00497400"/>
    <w:rsid w:val="004A02DE"/>
    <w:rsid w:val="004A0E1B"/>
    <w:rsid w:val="004A1A08"/>
    <w:rsid w:val="004A3432"/>
    <w:rsid w:val="004A3A30"/>
    <w:rsid w:val="004A46B1"/>
    <w:rsid w:val="004A760E"/>
    <w:rsid w:val="004A7978"/>
    <w:rsid w:val="004B08C8"/>
    <w:rsid w:val="004B1EF4"/>
    <w:rsid w:val="004B4385"/>
    <w:rsid w:val="004B4BD7"/>
    <w:rsid w:val="004B4C97"/>
    <w:rsid w:val="004C14BB"/>
    <w:rsid w:val="004C31EE"/>
    <w:rsid w:val="004C32AB"/>
    <w:rsid w:val="004C457A"/>
    <w:rsid w:val="004C5F44"/>
    <w:rsid w:val="004C649A"/>
    <w:rsid w:val="004C7449"/>
    <w:rsid w:val="004C7D4C"/>
    <w:rsid w:val="004D0328"/>
    <w:rsid w:val="004D0B3E"/>
    <w:rsid w:val="004D1FFD"/>
    <w:rsid w:val="004D3035"/>
    <w:rsid w:val="004D329C"/>
    <w:rsid w:val="004D3439"/>
    <w:rsid w:val="004D35A2"/>
    <w:rsid w:val="004D39A8"/>
    <w:rsid w:val="004D4615"/>
    <w:rsid w:val="004D570C"/>
    <w:rsid w:val="004D57B9"/>
    <w:rsid w:val="004D6B5F"/>
    <w:rsid w:val="004E19ED"/>
    <w:rsid w:val="004E22AC"/>
    <w:rsid w:val="004E30FC"/>
    <w:rsid w:val="004E3C56"/>
    <w:rsid w:val="004E3E9A"/>
    <w:rsid w:val="004E50EC"/>
    <w:rsid w:val="004E59BB"/>
    <w:rsid w:val="004E7822"/>
    <w:rsid w:val="004E7D23"/>
    <w:rsid w:val="004F00AD"/>
    <w:rsid w:val="004F0B9D"/>
    <w:rsid w:val="004F3179"/>
    <w:rsid w:val="004F36F2"/>
    <w:rsid w:val="004F510B"/>
    <w:rsid w:val="004F75FB"/>
    <w:rsid w:val="004F7717"/>
    <w:rsid w:val="005011E3"/>
    <w:rsid w:val="005039BF"/>
    <w:rsid w:val="00503DE1"/>
    <w:rsid w:val="00504BD3"/>
    <w:rsid w:val="00506A63"/>
    <w:rsid w:val="005111E5"/>
    <w:rsid w:val="00511409"/>
    <w:rsid w:val="005118B7"/>
    <w:rsid w:val="00512FE8"/>
    <w:rsid w:val="00513169"/>
    <w:rsid w:val="00513980"/>
    <w:rsid w:val="00516164"/>
    <w:rsid w:val="00516D0A"/>
    <w:rsid w:val="00521E7C"/>
    <w:rsid w:val="00522BB8"/>
    <w:rsid w:val="00523053"/>
    <w:rsid w:val="00524E3F"/>
    <w:rsid w:val="00525C8E"/>
    <w:rsid w:val="00526333"/>
    <w:rsid w:val="00527954"/>
    <w:rsid w:val="0053303E"/>
    <w:rsid w:val="00535486"/>
    <w:rsid w:val="005361DA"/>
    <w:rsid w:val="005401BE"/>
    <w:rsid w:val="00541266"/>
    <w:rsid w:val="0054140A"/>
    <w:rsid w:val="0054149A"/>
    <w:rsid w:val="0054187C"/>
    <w:rsid w:val="00542B30"/>
    <w:rsid w:val="00543906"/>
    <w:rsid w:val="00543949"/>
    <w:rsid w:val="00543B2F"/>
    <w:rsid w:val="00543C66"/>
    <w:rsid w:val="00544B28"/>
    <w:rsid w:val="0054600C"/>
    <w:rsid w:val="00547E90"/>
    <w:rsid w:val="00547EE4"/>
    <w:rsid w:val="005501EB"/>
    <w:rsid w:val="00550C02"/>
    <w:rsid w:val="00552D65"/>
    <w:rsid w:val="005544F8"/>
    <w:rsid w:val="00554DFE"/>
    <w:rsid w:val="005560BE"/>
    <w:rsid w:val="005565DF"/>
    <w:rsid w:val="005572D1"/>
    <w:rsid w:val="005606F5"/>
    <w:rsid w:val="00560AD8"/>
    <w:rsid w:val="00560EC6"/>
    <w:rsid w:val="00561B97"/>
    <w:rsid w:val="005627A8"/>
    <w:rsid w:val="00562F35"/>
    <w:rsid w:val="0056478A"/>
    <w:rsid w:val="00565080"/>
    <w:rsid w:val="005652F2"/>
    <w:rsid w:val="0056670E"/>
    <w:rsid w:val="00571464"/>
    <w:rsid w:val="00572908"/>
    <w:rsid w:val="00575E52"/>
    <w:rsid w:val="0057620F"/>
    <w:rsid w:val="00577764"/>
    <w:rsid w:val="00580A16"/>
    <w:rsid w:val="00581159"/>
    <w:rsid w:val="00582E5D"/>
    <w:rsid w:val="0058391F"/>
    <w:rsid w:val="00583C33"/>
    <w:rsid w:val="00584131"/>
    <w:rsid w:val="0058483F"/>
    <w:rsid w:val="00585BC5"/>
    <w:rsid w:val="00586257"/>
    <w:rsid w:val="0059081D"/>
    <w:rsid w:val="0059160D"/>
    <w:rsid w:val="00592E3C"/>
    <w:rsid w:val="0059452D"/>
    <w:rsid w:val="005953CE"/>
    <w:rsid w:val="00595649"/>
    <w:rsid w:val="005960EE"/>
    <w:rsid w:val="00597CE5"/>
    <w:rsid w:val="005A0360"/>
    <w:rsid w:val="005A12C8"/>
    <w:rsid w:val="005A12E3"/>
    <w:rsid w:val="005A1341"/>
    <w:rsid w:val="005A1BC2"/>
    <w:rsid w:val="005A60DE"/>
    <w:rsid w:val="005A7264"/>
    <w:rsid w:val="005B0953"/>
    <w:rsid w:val="005B3976"/>
    <w:rsid w:val="005B3D0D"/>
    <w:rsid w:val="005B5D00"/>
    <w:rsid w:val="005B5E1E"/>
    <w:rsid w:val="005B646A"/>
    <w:rsid w:val="005B6BF8"/>
    <w:rsid w:val="005B760C"/>
    <w:rsid w:val="005C001B"/>
    <w:rsid w:val="005C0D0D"/>
    <w:rsid w:val="005C1B6C"/>
    <w:rsid w:val="005C4B15"/>
    <w:rsid w:val="005C5C75"/>
    <w:rsid w:val="005C61BF"/>
    <w:rsid w:val="005C61E7"/>
    <w:rsid w:val="005C6440"/>
    <w:rsid w:val="005C6876"/>
    <w:rsid w:val="005C7B36"/>
    <w:rsid w:val="005D0B52"/>
    <w:rsid w:val="005D3657"/>
    <w:rsid w:val="005D5EC0"/>
    <w:rsid w:val="005D6CBC"/>
    <w:rsid w:val="005D7028"/>
    <w:rsid w:val="005D7FCF"/>
    <w:rsid w:val="005E003B"/>
    <w:rsid w:val="005E1460"/>
    <w:rsid w:val="005E235F"/>
    <w:rsid w:val="005E23EC"/>
    <w:rsid w:val="005E266D"/>
    <w:rsid w:val="005E26AB"/>
    <w:rsid w:val="005E286D"/>
    <w:rsid w:val="005E4615"/>
    <w:rsid w:val="005E507F"/>
    <w:rsid w:val="005E6348"/>
    <w:rsid w:val="005F351C"/>
    <w:rsid w:val="005F39B1"/>
    <w:rsid w:val="005F3A87"/>
    <w:rsid w:val="005F49F5"/>
    <w:rsid w:val="005F4ECC"/>
    <w:rsid w:val="005F5681"/>
    <w:rsid w:val="005F73CE"/>
    <w:rsid w:val="00600869"/>
    <w:rsid w:val="00600E6E"/>
    <w:rsid w:val="006012BB"/>
    <w:rsid w:val="006014D1"/>
    <w:rsid w:val="00601C93"/>
    <w:rsid w:val="00601DF2"/>
    <w:rsid w:val="00602F2A"/>
    <w:rsid w:val="00606379"/>
    <w:rsid w:val="00606453"/>
    <w:rsid w:val="006070DD"/>
    <w:rsid w:val="00607EE9"/>
    <w:rsid w:val="00611624"/>
    <w:rsid w:val="00612543"/>
    <w:rsid w:val="0061275C"/>
    <w:rsid w:val="006134D7"/>
    <w:rsid w:val="00614019"/>
    <w:rsid w:val="006140F8"/>
    <w:rsid w:val="006153DE"/>
    <w:rsid w:val="006153FC"/>
    <w:rsid w:val="00615E49"/>
    <w:rsid w:val="00616BD6"/>
    <w:rsid w:val="0061753F"/>
    <w:rsid w:val="006178C4"/>
    <w:rsid w:val="00621814"/>
    <w:rsid w:val="00622BA0"/>
    <w:rsid w:val="00623C03"/>
    <w:rsid w:val="00624D74"/>
    <w:rsid w:val="00624F14"/>
    <w:rsid w:val="00625F28"/>
    <w:rsid w:val="00627EC7"/>
    <w:rsid w:val="00627EEE"/>
    <w:rsid w:val="006328C5"/>
    <w:rsid w:val="00632AFA"/>
    <w:rsid w:val="006330EB"/>
    <w:rsid w:val="0063359D"/>
    <w:rsid w:val="00634903"/>
    <w:rsid w:val="00636A09"/>
    <w:rsid w:val="00637A5C"/>
    <w:rsid w:val="00637F6A"/>
    <w:rsid w:val="006425A9"/>
    <w:rsid w:val="00643925"/>
    <w:rsid w:val="00643A35"/>
    <w:rsid w:val="006449B0"/>
    <w:rsid w:val="006456A6"/>
    <w:rsid w:val="00645D85"/>
    <w:rsid w:val="006467CD"/>
    <w:rsid w:val="0064764D"/>
    <w:rsid w:val="00650B77"/>
    <w:rsid w:val="00650B80"/>
    <w:rsid w:val="00651216"/>
    <w:rsid w:val="00651EE7"/>
    <w:rsid w:val="00656578"/>
    <w:rsid w:val="0065672F"/>
    <w:rsid w:val="00657AC6"/>
    <w:rsid w:val="0066090B"/>
    <w:rsid w:val="0066127A"/>
    <w:rsid w:val="00662CB2"/>
    <w:rsid w:val="0066384A"/>
    <w:rsid w:val="006645C0"/>
    <w:rsid w:val="006645F3"/>
    <w:rsid w:val="00664D3D"/>
    <w:rsid w:val="00665046"/>
    <w:rsid w:val="0066639B"/>
    <w:rsid w:val="00667218"/>
    <w:rsid w:val="0066784D"/>
    <w:rsid w:val="00671319"/>
    <w:rsid w:val="00671F57"/>
    <w:rsid w:val="00672201"/>
    <w:rsid w:val="0067267D"/>
    <w:rsid w:val="00673C53"/>
    <w:rsid w:val="00676E52"/>
    <w:rsid w:val="00676F2E"/>
    <w:rsid w:val="006776AF"/>
    <w:rsid w:val="00677B92"/>
    <w:rsid w:val="00682106"/>
    <w:rsid w:val="006822E1"/>
    <w:rsid w:val="00685C6C"/>
    <w:rsid w:val="00685D3D"/>
    <w:rsid w:val="00685E41"/>
    <w:rsid w:val="006864DC"/>
    <w:rsid w:val="00687579"/>
    <w:rsid w:val="0069037C"/>
    <w:rsid w:val="00691215"/>
    <w:rsid w:val="00692353"/>
    <w:rsid w:val="00694819"/>
    <w:rsid w:val="00694964"/>
    <w:rsid w:val="00695439"/>
    <w:rsid w:val="00697C98"/>
    <w:rsid w:val="006A01FF"/>
    <w:rsid w:val="006A1046"/>
    <w:rsid w:val="006A10B4"/>
    <w:rsid w:val="006A1237"/>
    <w:rsid w:val="006A2468"/>
    <w:rsid w:val="006A2887"/>
    <w:rsid w:val="006A36AD"/>
    <w:rsid w:val="006A416F"/>
    <w:rsid w:val="006A42DD"/>
    <w:rsid w:val="006A521A"/>
    <w:rsid w:val="006A5EE8"/>
    <w:rsid w:val="006A687D"/>
    <w:rsid w:val="006A7BDD"/>
    <w:rsid w:val="006B01A5"/>
    <w:rsid w:val="006B07A1"/>
    <w:rsid w:val="006B15F6"/>
    <w:rsid w:val="006B1CA1"/>
    <w:rsid w:val="006B322A"/>
    <w:rsid w:val="006B4552"/>
    <w:rsid w:val="006B4E78"/>
    <w:rsid w:val="006B6BA7"/>
    <w:rsid w:val="006B7381"/>
    <w:rsid w:val="006B75D1"/>
    <w:rsid w:val="006B7788"/>
    <w:rsid w:val="006C056F"/>
    <w:rsid w:val="006C1341"/>
    <w:rsid w:val="006C2A44"/>
    <w:rsid w:val="006C4260"/>
    <w:rsid w:val="006C4800"/>
    <w:rsid w:val="006C4B1B"/>
    <w:rsid w:val="006C6013"/>
    <w:rsid w:val="006C680F"/>
    <w:rsid w:val="006C6DF8"/>
    <w:rsid w:val="006C6F0E"/>
    <w:rsid w:val="006C7897"/>
    <w:rsid w:val="006D21F0"/>
    <w:rsid w:val="006D2584"/>
    <w:rsid w:val="006D2D04"/>
    <w:rsid w:val="006D3E37"/>
    <w:rsid w:val="006D62AD"/>
    <w:rsid w:val="006D6503"/>
    <w:rsid w:val="006D6596"/>
    <w:rsid w:val="006D7F53"/>
    <w:rsid w:val="006E08EE"/>
    <w:rsid w:val="006E21F0"/>
    <w:rsid w:val="006E2EC5"/>
    <w:rsid w:val="006E3CAE"/>
    <w:rsid w:val="006E5BCD"/>
    <w:rsid w:val="006E618F"/>
    <w:rsid w:val="006E619A"/>
    <w:rsid w:val="006E6E00"/>
    <w:rsid w:val="006E73CA"/>
    <w:rsid w:val="006F0051"/>
    <w:rsid w:val="006F11E0"/>
    <w:rsid w:val="006F1239"/>
    <w:rsid w:val="006F4D59"/>
    <w:rsid w:val="006F75EB"/>
    <w:rsid w:val="0070174F"/>
    <w:rsid w:val="00701D0F"/>
    <w:rsid w:val="007023AC"/>
    <w:rsid w:val="00702F32"/>
    <w:rsid w:val="00703108"/>
    <w:rsid w:val="00703C8E"/>
    <w:rsid w:val="00704501"/>
    <w:rsid w:val="00704A74"/>
    <w:rsid w:val="00704C20"/>
    <w:rsid w:val="00705F48"/>
    <w:rsid w:val="007078D7"/>
    <w:rsid w:val="00710B71"/>
    <w:rsid w:val="00711566"/>
    <w:rsid w:val="007118B8"/>
    <w:rsid w:val="00711AA9"/>
    <w:rsid w:val="0071281F"/>
    <w:rsid w:val="007152E7"/>
    <w:rsid w:val="00715C66"/>
    <w:rsid w:val="007164AF"/>
    <w:rsid w:val="0071783E"/>
    <w:rsid w:val="007207DB"/>
    <w:rsid w:val="00721175"/>
    <w:rsid w:val="00721265"/>
    <w:rsid w:val="00721E94"/>
    <w:rsid w:val="00722D7D"/>
    <w:rsid w:val="0072304F"/>
    <w:rsid w:val="0072405F"/>
    <w:rsid w:val="0072501A"/>
    <w:rsid w:val="0072600F"/>
    <w:rsid w:val="007264AE"/>
    <w:rsid w:val="00727194"/>
    <w:rsid w:val="007302CD"/>
    <w:rsid w:val="00730893"/>
    <w:rsid w:val="007321D8"/>
    <w:rsid w:val="007343E9"/>
    <w:rsid w:val="00735DB3"/>
    <w:rsid w:val="0073631A"/>
    <w:rsid w:val="00736D2F"/>
    <w:rsid w:val="00740253"/>
    <w:rsid w:val="0074069A"/>
    <w:rsid w:val="007410E6"/>
    <w:rsid w:val="00741627"/>
    <w:rsid w:val="00741F27"/>
    <w:rsid w:val="0074248D"/>
    <w:rsid w:val="0074418B"/>
    <w:rsid w:val="00744C5F"/>
    <w:rsid w:val="007456D6"/>
    <w:rsid w:val="00753BED"/>
    <w:rsid w:val="007614D8"/>
    <w:rsid w:val="00761D80"/>
    <w:rsid w:val="007629C4"/>
    <w:rsid w:val="00763D99"/>
    <w:rsid w:val="00763EA3"/>
    <w:rsid w:val="007643DC"/>
    <w:rsid w:val="0076505B"/>
    <w:rsid w:val="0076562C"/>
    <w:rsid w:val="00765F6D"/>
    <w:rsid w:val="00766070"/>
    <w:rsid w:val="00767290"/>
    <w:rsid w:val="00767A78"/>
    <w:rsid w:val="00767C78"/>
    <w:rsid w:val="00770694"/>
    <w:rsid w:val="007706D7"/>
    <w:rsid w:val="00770A5E"/>
    <w:rsid w:val="00771C98"/>
    <w:rsid w:val="00772024"/>
    <w:rsid w:val="007727AE"/>
    <w:rsid w:val="00773FDF"/>
    <w:rsid w:val="0077523D"/>
    <w:rsid w:val="0077535A"/>
    <w:rsid w:val="00777111"/>
    <w:rsid w:val="00777D19"/>
    <w:rsid w:val="00784DB1"/>
    <w:rsid w:val="00785C31"/>
    <w:rsid w:val="00785C4F"/>
    <w:rsid w:val="00786C7E"/>
    <w:rsid w:val="00786D0A"/>
    <w:rsid w:val="00790B96"/>
    <w:rsid w:val="00791BC8"/>
    <w:rsid w:val="0079250A"/>
    <w:rsid w:val="00793897"/>
    <w:rsid w:val="007938FA"/>
    <w:rsid w:val="00793BAE"/>
    <w:rsid w:val="007943FF"/>
    <w:rsid w:val="007949CD"/>
    <w:rsid w:val="00794D8B"/>
    <w:rsid w:val="00795AF7"/>
    <w:rsid w:val="007965DC"/>
    <w:rsid w:val="00796D9A"/>
    <w:rsid w:val="00797583"/>
    <w:rsid w:val="00797CE2"/>
    <w:rsid w:val="007A1803"/>
    <w:rsid w:val="007A1D32"/>
    <w:rsid w:val="007A261A"/>
    <w:rsid w:val="007A2D70"/>
    <w:rsid w:val="007A37C6"/>
    <w:rsid w:val="007A3B9C"/>
    <w:rsid w:val="007A4C0D"/>
    <w:rsid w:val="007A4E81"/>
    <w:rsid w:val="007A4EA5"/>
    <w:rsid w:val="007A5E3C"/>
    <w:rsid w:val="007A7907"/>
    <w:rsid w:val="007B027E"/>
    <w:rsid w:val="007B07F5"/>
    <w:rsid w:val="007B1224"/>
    <w:rsid w:val="007B1E5A"/>
    <w:rsid w:val="007B26B9"/>
    <w:rsid w:val="007B28D2"/>
    <w:rsid w:val="007B3502"/>
    <w:rsid w:val="007B47D9"/>
    <w:rsid w:val="007B4BDE"/>
    <w:rsid w:val="007B53CE"/>
    <w:rsid w:val="007B5C5D"/>
    <w:rsid w:val="007B5F22"/>
    <w:rsid w:val="007B6607"/>
    <w:rsid w:val="007B79C6"/>
    <w:rsid w:val="007C09B6"/>
    <w:rsid w:val="007C0CCF"/>
    <w:rsid w:val="007C14CC"/>
    <w:rsid w:val="007C263D"/>
    <w:rsid w:val="007C27B5"/>
    <w:rsid w:val="007C4AB6"/>
    <w:rsid w:val="007C6C98"/>
    <w:rsid w:val="007D0F3C"/>
    <w:rsid w:val="007D12E4"/>
    <w:rsid w:val="007D1560"/>
    <w:rsid w:val="007D3809"/>
    <w:rsid w:val="007D4079"/>
    <w:rsid w:val="007D72D5"/>
    <w:rsid w:val="007E10D7"/>
    <w:rsid w:val="007E1873"/>
    <w:rsid w:val="007E1D5D"/>
    <w:rsid w:val="007E23D8"/>
    <w:rsid w:val="007E3A4B"/>
    <w:rsid w:val="007E4D78"/>
    <w:rsid w:val="007E5C9C"/>
    <w:rsid w:val="007E77A9"/>
    <w:rsid w:val="007E794A"/>
    <w:rsid w:val="007E7E29"/>
    <w:rsid w:val="007F0414"/>
    <w:rsid w:val="007F13DB"/>
    <w:rsid w:val="007F263D"/>
    <w:rsid w:val="007F383F"/>
    <w:rsid w:val="007F44E2"/>
    <w:rsid w:val="007F4ED6"/>
    <w:rsid w:val="007F50CB"/>
    <w:rsid w:val="007F5BC9"/>
    <w:rsid w:val="007F73A0"/>
    <w:rsid w:val="007F7AFD"/>
    <w:rsid w:val="00803751"/>
    <w:rsid w:val="00804434"/>
    <w:rsid w:val="00805220"/>
    <w:rsid w:val="008055FD"/>
    <w:rsid w:val="008058E3"/>
    <w:rsid w:val="00806B53"/>
    <w:rsid w:val="00806BF5"/>
    <w:rsid w:val="00806C61"/>
    <w:rsid w:val="00806E60"/>
    <w:rsid w:val="0080709A"/>
    <w:rsid w:val="0080736C"/>
    <w:rsid w:val="00807E28"/>
    <w:rsid w:val="0081050A"/>
    <w:rsid w:val="00810750"/>
    <w:rsid w:val="00810EBB"/>
    <w:rsid w:val="008127CA"/>
    <w:rsid w:val="00812A3E"/>
    <w:rsid w:val="00812D53"/>
    <w:rsid w:val="0081398B"/>
    <w:rsid w:val="00815A32"/>
    <w:rsid w:val="0081681E"/>
    <w:rsid w:val="00817B27"/>
    <w:rsid w:val="0082138A"/>
    <w:rsid w:val="00821ACD"/>
    <w:rsid w:val="00822B4D"/>
    <w:rsid w:val="00824FAD"/>
    <w:rsid w:val="00825A75"/>
    <w:rsid w:val="00825D62"/>
    <w:rsid w:val="00832042"/>
    <w:rsid w:val="00832569"/>
    <w:rsid w:val="0083268E"/>
    <w:rsid w:val="00832F76"/>
    <w:rsid w:val="008341EF"/>
    <w:rsid w:val="00835EFF"/>
    <w:rsid w:val="008362D9"/>
    <w:rsid w:val="00836D9A"/>
    <w:rsid w:val="00837EE9"/>
    <w:rsid w:val="008400EE"/>
    <w:rsid w:val="00842C60"/>
    <w:rsid w:val="00843FDD"/>
    <w:rsid w:val="00844912"/>
    <w:rsid w:val="00844E44"/>
    <w:rsid w:val="00851C06"/>
    <w:rsid w:val="0085256F"/>
    <w:rsid w:val="00852FDF"/>
    <w:rsid w:val="00854678"/>
    <w:rsid w:val="0085497D"/>
    <w:rsid w:val="008549DB"/>
    <w:rsid w:val="00855B69"/>
    <w:rsid w:val="00855BF6"/>
    <w:rsid w:val="00855EF4"/>
    <w:rsid w:val="0085673E"/>
    <w:rsid w:val="00857E0D"/>
    <w:rsid w:val="008616F4"/>
    <w:rsid w:val="0086247C"/>
    <w:rsid w:val="008624C7"/>
    <w:rsid w:val="00862758"/>
    <w:rsid w:val="00862CC9"/>
    <w:rsid w:val="008634DE"/>
    <w:rsid w:val="00864B29"/>
    <w:rsid w:val="00864B98"/>
    <w:rsid w:val="00865D36"/>
    <w:rsid w:val="00867ED5"/>
    <w:rsid w:val="00871428"/>
    <w:rsid w:val="008714C0"/>
    <w:rsid w:val="00873071"/>
    <w:rsid w:val="0087325D"/>
    <w:rsid w:val="008732AD"/>
    <w:rsid w:val="008732BA"/>
    <w:rsid w:val="00873301"/>
    <w:rsid w:val="00873E17"/>
    <w:rsid w:val="00874BB6"/>
    <w:rsid w:val="00874EE7"/>
    <w:rsid w:val="00875064"/>
    <w:rsid w:val="00875EC1"/>
    <w:rsid w:val="008761E6"/>
    <w:rsid w:val="008769C5"/>
    <w:rsid w:val="00876A6B"/>
    <w:rsid w:val="00877302"/>
    <w:rsid w:val="008776EC"/>
    <w:rsid w:val="00877E5A"/>
    <w:rsid w:val="0088061F"/>
    <w:rsid w:val="00880D21"/>
    <w:rsid w:val="0088264B"/>
    <w:rsid w:val="00882A8A"/>
    <w:rsid w:val="00882C06"/>
    <w:rsid w:val="008831B4"/>
    <w:rsid w:val="00884D2A"/>
    <w:rsid w:val="00887A23"/>
    <w:rsid w:val="00890A89"/>
    <w:rsid w:val="00890C72"/>
    <w:rsid w:val="0089378B"/>
    <w:rsid w:val="0089414B"/>
    <w:rsid w:val="00894A6C"/>
    <w:rsid w:val="008952C1"/>
    <w:rsid w:val="0089694D"/>
    <w:rsid w:val="008969E1"/>
    <w:rsid w:val="00897F67"/>
    <w:rsid w:val="008A09F7"/>
    <w:rsid w:val="008A0FD8"/>
    <w:rsid w:val="008A1F69"/>
    <w:rsid w:val="008A2DD1"/>
    <w:rsid w:val="008A33FC"/>
    <w:rsid w:val="008A3603"/>
    <w:rsid w:val="008A4401"/>
    <w:rsid w:val="008A4A7C"/>
    <w:rsid w:val="008A55CD"/>
    <w:rsid w:val="008A6565"/>
    <w:rsid w:val="008A65AB"/>
    <w:rsid w:val="008A6C4F"/>
    <w:rsid w:val="008A7AF8"/>
    <w:rsid w:val="008B10FA"/>
    <w:rsid w:val="008B3531"/>
    <w:rsid w:val="008B3981"/>
    <w:rsid w:val="008B4939"/>
    <w:rsid w:val="008B622D"/>
    <w:rsid w:val="008B7220"/>
    <w:rsid w:val="008C186B"/>
    <w:rsid w:val="008C25C6"/>
    <w:rsid w:val="008C3505"/>
    <w:rsid w:val="008C69D6"/>
    <w:rsid w:val="008C6B9C"/>
    <w:rsid w:val="008C6C7B"/>
    <w:rsid w:val="008D0412"/>
    <w:rsid w:val="008D0660"/>
    <w:rsid w:val="008D1254"/>
    <w:rsid w:val="008D1FC5"/>
    <w:rsid w:val="008D2639"/>
    <w:rsid w:val="008D27F7"/>
    <w:rsid w:val="008D3817"/>
    <w:rsid w:val="008D408A"/>
    <w:rsid w:val="008D4A2D"/>
    <w:rsid w:val="008D6A82"/>
    <w:rsid w:val="008E027D"/>
    <w:rsid w:val="008E25C3"/>
    <w:rsid w:val="008E30A7"/>
    <w:rsid w:val="008E344A"/>
    <w:rsid w:val="008E3744"/>
    <w:rsid w:val="008E46E4"/>
    <w:rsid w:val="008E483E"/>
    <w:rsid w:val="008E59A0"/>
    <w:rsid w:val="008F0546"/>
    <w:rsid w:val="008F0B49"/>
    <w:rsid w:val="008F19C5"/>
    <w:rsid w:val="008F1A02"/>
    <w:rsid w:val="008F1B7E"/>
    <w:rsid w:val="008F319C"/>
    <w:rsid w:val="008F3348"/>
    <w:rsid w:val="008F373E"/>
    <w:rsid w:val="008F37FF"/>
    <w:rsid w:val="008F3910"/>
    <w:rsid w:val="008F6A5F"/>
    <w:rsid w:val="009006A9"/>
    <w:rsid w:val="00901052"/>
    <w:rsid w:val="009020FE"/>
    <w:rsid w:val="00903D5D"/>
    <w:rsid w:val="009040A4"/>
    <w:rsid w:val="00904C51"/>
    <w:rsid w:val="00905375"/>
    <w:rsid w:val="00914823"/>
    <w:rsid w:val="00915742"/>
    <w:rsid w:val="0091654F"/>
    <w:rsid w:val="00916AA4"/>
    <w:rsid w:val="00917447"/>
    <w:rsid w:val="00921122"/>
    <w:rsid w:val="009216A2"/>
    <w:rsid w:val="009236CE"/>
    <w:rsid w:val="00925404"/>
    <w:rsid w:val="00925693"/>
    <w:rsid w:val="00926068"/>
    <w:rsid w:val="009269D8"/>
    <w:rsid w:val="00926C73"/>
    <w:rsid w:val="0092732C"/>
    <w:rsid w:val="00927AEB"/>
    <w:rsid w:val="009311AB"/>
    <w:rsid w:val="00931912"/>
    <w:rsid w:val="00931F3F"/>
    <w:rsid w:val="009328EA"/>
    <w:rsid w:val="00934DBF"/>
    <w:rsid w:val="009352A5"/>
    <w:rsid w:val="009353DE"/>
    <w:rsid w:val="009357A8"/>
    <w:rsid w:val="0093610C"/>
    <w:rsid w:val="00936F84"/>
    <w:rsid w:val="0093752A"/>
    <w:rsid w:val="00937A67"/>
    <w:rsid w:val="0094006F"/>
    <w:rsid w:val="009409D7"/>
    <w:rsid w:val="0094367C"/>
    <w:rsid w:val="00943D1A"/>
    <w:rsid w:val="009442DD"/>
    <w:rsid w:val="00946C4A"/>
    <w:rsid w:val="0094734E"/>
    <w:rsid w:val="00947386"/>
    <w:rsid w:val="00952A72"/>
    <w:rsid w:val="00952D20"/>
    <w:rsid w:val="00952F4C"/>
    <w:rsid w:val="009540C5"/>
    <w:rsid w:val="00955C71"/>
    <w:rsid w:val="0095617E"/>
    <w:rsid w:val="009569D7"/>
    <w:rsid w:val="009579D8"/>
    <w:rsid w:val="0096097A"/>
    <w:rsid w:val="00962106"/>
    <w:rsid w:val="00962F51"/>
    <w:rsid w:val="0096310A"/>
    <w:rsid w:val="00963785"/>
    <w:rsid w:val="00963B0F"/>
    <w:rsid w:val="009640C3"/>
    <w:rsid w:val="00964AC5"/>
    <w:rsid w:val="00965543"/>
    <w:rsid w:val="00965724"/>
    <w:rsid w:val="00967156"/>
    <w:rsid w:val="009673F5"/>
    <w:rsid w:val="00967899"/>
    <w:rsid w:val="00970761"/>
    <w:rsid w:val="0097102C"/>
    <w:rsid w:val="00971A9D"/>
    <w:rsid w:val="00972B13"/>
    <w:rsid w:val="00975210"/>
    <w:rsid w:val="00976223"/>
    <w:rsid w:val="009769AD"/>
    <w:rsid w:val="00976A58"/>
    <w:rsid w:val="00976F1B"/>
    <w:rsid w:val="00982C66"/>
    <w:rsid w:val="0098376B"/>
    <w:rsid w:val="00986D66"/>
    <w:rsid w:val="00986FCE"/>
    <w:rsid w:val="009873AE"/>
    <w:rsid w:val="00990C0B"/>
    <w:rsid w:val="009917DA"/>
    <w:rsid w:val="00991C51"/>
    <w:rsid w:val="0099254F"/>
    <w:rsid w:val="0099399D"/>
    <w:rsid w:val="00993ECD"/>
    <w:rsid w:val="00995AA5"/>
    <w:rsid w:val="00995B5B"/>
    <w:rsid w:val="009967FD"/>
    <w:rsid w:val="009A0E6C"/>
    <w:rsid w:val="009A0E85"/>
    <w:rsid w:val="009A4262"/>
    <w:rsid w:val="009A56C8"/>
    <w:rsid w:val="009A5C84"/>
    <w:rsid w:val="009A5F8B"/>
    <w:rsid w:val="009B1993"/>
    <w:rsid w:val="009B1E99"/>
    <w:rsid w:val="009B294D"/>
    <w:rsid w:val="009B2FDC"/>
    <w:rsid w:val="009B5696"/>
    <w:rsid w:val="009B5C9D"/>
    <w:rsid w:val="009B614F"/>
    <w:rsid w:val="009B63F6"/>
    <w:rsid w:val="009B7083"/>
    <w:rsid w:val="009C0425"/>
    <w:rsid w:val="009C08F6"/>
    <w:rsid w:val="009C14AF"/>
    <w:rsid w:val="009C2E40"/>
    <w:rsid w:val="009C3368"/>
    <w:rsid w:val="009C37A2"/>
    <w:rsid w:val="009C39DA"/>
    <w:rsid w:val="009C3B62"/>
    <w:rsid w:val="009C467E"/>
    <w:rsid w:val="009C572B"/>
    <w:rsid w:val="009C67C4"/>
    <w:rsid w:val="009C6CE6"/>
    <w:rsid w:val="009C758F"/>
    <w:rsid w:val="009D4D05"/>
    <w:rsid w:val="009D52C2"/>
    <w:rsid w:val="009D6A6A"/>
    <w:rsid w:val="009D76D4"/>
    <w:rsid w:val="009E0E12"/>
    <w:rsid w:val="009E0F75"/>
    <w:rsid w:val="009E1234"/>
    <w:rsid w:val="009E16A4"/>
    <w:rsid w:val="009E1B3D"/>
    <w:rsid w:val="009E205B"/>
    <w:rsid w:val="009E33E3"/>
    <w:rsid w:val="009E3CE8"/>
    <w:rsid w:val="009E411C"/>
    <w:rsid w:val="009E5497"/>
    <w:rsid w:val="009E5C0C"/>
    <w:rsid w:val="009E5F53"/>
    <w:rsid w:val="009E75E6"/>
    <w:rsid w:val="009F07D6"/>
    <w:rsid w:val="009F0A88"/>
    <w:rsid w:val="009F1FEB"/>
    <w:rsid w:val="009F2301"/>
    <w:rsid w:val="009F3DB1"/>
    <w:rsid w:val="009F4FE0"/>
    <w:rsid w:val="009F5DDA"/>
    <w:rsid w:val="00A00705"/>
    <w:rsid w:val="00A00C81"/>
    <w:rsid w:val="00A05C93"/>
    <w:rsid w:val="00A073B3"/>
    <w:rsid w:val="00A10C16"/>
    <w:rsid w:val="00A13829"/>
    <w:rsid w:val="00A15EC5"/>
    <w:rsid w:val="00A161EA"/>
    <w:rsid w:val="00A16923"/>
    <w:rsid w:val="00A16BAD"/>
    <w:rsid w:val="00A17315"/>
    <w:rsid w:val="00A17C58"/>
    <w:rsid w:val="00A21352"/>
    <w:rsid w:val="00A2193E"/>
    <w:rsid w:val="00A21C40"/>
    <w:rsid w:val="00A234B1"/>
    <w:rsid w:val="00A243A2"/>
    <w:rsid w:val="00A25197"/>
    <w:rsid w:val="00A254BE"/>
    <w:rsid w:val="00A25BF2"/>
    <w:rsid w:val="00A2670C"/>
    <w:rsid w:val="00A26C8C"/>
    <w:rsid w:val="00A26CF2"/>
    <w:rsid w:val="00A27242"/>
    <w:rsid w:val="00A272E0"/>
    <w:rsid w:val="00A31F34"/>
    <w:rsid w:val="00A32A82"/>
    <w:rsid w:val="00A338B1"/>
    <w:rsid w:val="00A33CD2"/>
    <w:rsid w:val="00A33F32"/>
    <w:rsid w:val="00A34F7C"/>
    <w:rsid w:val="00A35053"/>
    <w:rsid w:val="00A36B4F"/>
    <w:rsid w:val="00A41DF8"/>
    <w:rsid w:val="00A42B27"/>
    <w:rsid w:val="00A42F52"/>
    <w:rsid w:val="00A43627"/>
    <w:rsid w:val="00A437B4"/>
    <w:rsid w:val="00A43C12"/>
    <w:rsid w:val="00A440E7"/>
    <w:rsid w:val="00A44211"/>
    <w:rsid w:val="00A4448A"/>
    <w:rsid w:val="00A45403"/>
    <w:rsid w:val="00A45B87"/>
    <w:rsid w:val="00A47D2C"/>
    <w:rsid w:val="00A50193"/>
    <w:rsid w:val="00A55517"/>
    <w:rsid w:val="00A561A0"/>
    <w:rsid w:val="00A563FE"/>
    <w:rsid w:val="00A5710C"/>
    <w:rsid w:val="00A5768E"/>
    <w:rsid w:val="00A60876"/>
    <w:rsid w:val="00A615D3"/>
    <w:rsid w:val="00A6285A"/>
    <w:rsid w:val="00A63B9D"/>
    <w:rsid w:val="00A63F20"/>
    <w:rsid w:val="00A65B6C"/>
    <w:rsid w:val="00A67D02"/>
    <w:rsid w:val="00A708BC"/>
    <w:rsid w:val="00A7147F"/>
    <w:rsid w:val="00A71748"/>
    <w:rsid w:val="00A72F5D"/>
    <w:rsid w:val="00A73798"/>
    <w:rsid w:val="00A73CA7"/>
    <w:rsid w:val="00A756F8"/>
    <w:rsid w:val="00A75ED3"/>
    <w:rsid w:val="00A77376"/>
    <w:rsid w:val="00A77F90"/>
    <w:rsid w:val="00A80DEB"/>
    <w:rsid w:val="00A82325"/>
    <w:rsid w:val="00A83D4B"/>
    <w:rsid w:val="00A84028"/>
    <w:rsid w:val="00A864BA"/>
    <w:rsid w:val="00A86C76"/>
    <w:rsid w:val="00A870E5"/>
    <w:rsid w:val="00A906CF"/>
    <w:rsid w:val="00A922CF"/>
    <w:rsid w:val="00A92D14"/>
    <w:rsid w:val="00A9350D"/>
    <w:rsid w:val="00A93A1A"/>
    <w:rsid w:val="00A958F9"/>
    <w:rsid w:val="00A975CE"/>
    <w:rsid w:val="00A97C29"/>
    <w:rsid w:val="00A97F3B"/>
    <w:rsid w:val="00AA0255"/>
    <w:rsid w:val="00AA0C1F"/>
    <w:rsid w:val="00AA0F0D"/>
    <w:rsid w:val="00AA2693"/>
    <w:rsid w:val="00AA3E51"/>
    <w:rsid w:val="00AA56E2"/>
    <w:rsid w:val="00AA702E"/>
    <w:rsid w:val="00AA77C2"/>
    <w:rsid w:val="00AA7AE5"/>
    <w:rsid w:val="00AB167B"/>
    <w:rsid w:val="00AB261E"/>
    <w:rsid w:val="00AB458A"/>
    <w:rsid w:val="00AB4D58"/>
    <w:rsid w:val="00AB547B"/>
    <w:rsid w:val="00AB6D58"/>
    <w:rsid w:val="00AB7A9E"/>
    <w:rsid w:val="00AC1AFA"/>
    <w:rsid w:val="00AC1CB7"/>
    <w:rsid w:val="00AC306B"/>
    <w:rsid w:val="00AC36D3"/>
    <w:rsid w:val="00AC40E0"/>
    <w:rsid w:val="00AC523F"/>
    <w:rsid w:val="00AC6EED"/>
    <w:rsid w:val="00AD248D"/>
    <w:rsid w:val="00AD516B"/>
    <w:rsid w:val="00AD57A9"/>
    <w:rsid w:val="00AD5CC8"/>
    <w:rsid w:val="00AD5D68"/>
    <w:rsid w:val="00AD6287"/>
    <w:rsid w:val="00AD6911"/>
    <w:rsid w:val="00AE0111"/>
    <w:rsid w:val="00AE0B3E"/>
    <w:rsid w:val="00AE0B40"/>
    <w:rsid w:val="00AE173D"/>
    <w:rsid w:val="00AE2756"/>
    <w:rsid w:val="00AE29C6"/>
    <w:rsid w:val="00AE2B4A"/>
    <w:rsid w:val="00AE3AC4"/>
    <w:rsid w:val="00AE3D7C"/>
    <w:rsid w:val="00AE4503"/>
    <w:rsid w:val="00AE4643"/>
    <w:rsid w:val="00AE5E82"/>
    <w:rsid w:val="00AE63A5"/>
    <w:rsid w:val="00AE6787"/>
    <w:rsid w:val="00AE7110"/>
    <w:rsid w:val="00AE718D"/>
    <w:rsid w:val="00AE788B"/>
    <w:rsid w:val="00AE796C"/>
    <w:rsid w:val="00AE7B23"/>
    <w:rsid w:val="00AF2C2B"/>
    <w:rsid w:val="00AF2D91"/>
    <w:rsid w:val="00AF34DA"/>
    <w:rsid w:val="00AF40C9"/>
    <w:rsid w:val="00AF4E37"/>
    <w:rsid w:val="00AF59B4"/>
    <w:rsid w:val="00AF5B4E"/>
    <w:rsid w:val="00AF5FBD"/>
    <w:rsid w:val="00AF6299"/>
    <w:rsid w:val="00AF6F58"/>
    <w:rsid w:val="00AF778A"/>
    <w:rsid w:val="00AF79B8"/>
    <w:rsid w:val="00AF7B12"/>
    <w:rsid w:val="00B008B2"/>
    <w:rsid w:val="00B01307"/>
    <w:rsid w:val="00B0197E"/>
    <w:rsid w:val="00B01B41"/>
    <w:rsid w:val="00B029AF"/>
    <w:rsid w:val="00B02C5C"/>
    <w:rsid w:val="00B04775"/>
    <w:rsid w:val="00B04C24"/>
    <w:rsid w:val="00B05BEF"/>
    <w:rsid w:val="00B1112E"/>
    <w:rsid w:val="00B11280"/>
    <w:rsid w:val="00B11B7A"/>
    <w:rsid w:val="00B129B2"/>
    <w:rsid w:val="00B12D04"/>
    <w:rsid w:val="00B13001"/>
    <w:rsid w:val="00B1358C"/>
    <w:rsid w:val="00B163CC"/>
    <w:rsid w:val="00B17AFF"/>
    <w:rsid w:val="00B17DD5"/>
    <w:rsid w:val="00B20124"/>
    <w:rsid w:val="00B20C01"/>
    <w:rsid w:val="00B21CBC"/>
    <w:rsid w:val="00B21DA9"/>
    <w:rsid w:val="00B21ED6"/>
    <w:rsid w:val="00B2352E"/>
    <w:rsid w:val="00B245CE"/>
    <w:rsid w:val="00B2479A"/>
    <w:rsid w:val="00B25DF1"/>
    <w:rsid w:val="00B30C1A"/>
    <w:rsid w:val="00B30E7C"/>
    <w:rsid w:val="00B3169D"/>
    <w:rsid w:val="00B33B3F"/>
    <w:rsid w:val="00B35C3B"/>
    <w:rsid w:val="00B37AE2"/>
    <w:rsid w:val="00B37FB7"/>
    <w:rsid w:val="00B40649"/>
    <w:rsid w:val="00B40755"/>
    <w:rsid w:val="00B40765"/>
    <w:rsid w:val="00B416B1"/>
    <w:rsid w:val="00B425EA"/>
    <w:rsid w:val="00B427CF"/>
    <w:rsid w:val="00B44FE7"/>
    <w:rsid w:val="00B454FD"/>
    <w:rsid w:val="00B465F7"/>
    <w:rsid w:val="00B46778"/>
    <w:rsid w:val="00B47819"/>
    <w:rsid w:val="00B47CFA"/>
    <w:rsid w:val="00B5005F"/>
    <w:rsid w:val="00B5017F"/>
    <w:rsid w:val="00B509D4"/>
    <w:rsid w:val="00B50B11"/>
    <w:rsid w:val="00B51E7D"/>
    <w:rsid w:val="00B54F19"/>
    <w:rsid w:val="00B5589D"/>
    <w:rsid w:val="00B56C4C"/>
    <w:rsid w:val="00B62A19"/>
    <w:rsid w:val="00B6423F"/>
    <w:rsid w:val="00B65572"/>
    <w:rsid w:val="00B66A27"/>
    <w:rsid w:val="00B66E67"/>
    <w:rsid w:val="00B67B01"/>
    <w:rsid w:val="00B7134A"/>
    <w:rsid w:val="00B734A8"/>
    <w:rsid w:val="00B7376F"/>
    <w:rsid w:val="00B7506D"/>
    <w:rsid w:val="00B7572C"/>
    <w:rsid w:val="00B763A0"/>
    <w:rsid w:val="00B7747B"/>
    <w:rsid w:val="00B77625"/>
    <w:rsid w:val="00B801DF"/>
    <w:rsid w:val="00B802FE"/>
    <w:rsid w:val="00B84597"/>
    <w:rsid w:val="00B87985"/>
    <w:rsid w:val="00B87993"/>
    <w:rsid w:val="00B90159"/>
    <w:rsid w:val="00B91817"/>
    <w:rsid w:val="00B93432"/>
    <w:rsid w:val="00B95B31"/>
    <w:rsid w:val="00BA041B"/>
    <w:rsid w:val="00BA041F"/>
    <w:rsid w:val="00BA149C"/>
    <w:rsid w:val="00BA2077"/>
    <w:rsid w:val="00BA26A6"/>
    <w:rsid w:val="00BA310D"/>
    <w:rsid w:val="00BA4945"/>
    <w:rsid w:val="00BA4CE9"/>
    <w:rsid w:val="00BA4DAB"/>
    <w:rsid w:val="00BA51B5"/>
    <w:rsid w:val="00BA596B"/>
    <w:rsid w:val="00BA653F"/>
    <w:rsid w:val="00BA7154"/>
    <w:rsid w:val="00BB08E4"/>
    <w:rsid w:val="00BB28E6"/>
    <w:rsid w:val="00BB2FEC"/>
    <w:rsid w:val="00BB4CE8"/>
    <w:rsid w:val="00BB5A74"/>
    <w:rsid w:val="00BB7867"/>
    <w:rsid w:val="00BC1B44"/>
    <w:rsid w:val="00BC222C"/>
    <w:rsid w:val="00BC258F"/>
    <w:rsid w:val="00BC27B7"/>
    <w:rsid w:val="00BC2F41"/>
    <w:rsid w:val="00BC33CF"/>
    <w:rsid w:val="00BC3C8E"/>
    <w:rsid w:val="00BC3D2E"/>
    <w:rsid w:val="00BC3E8B"/>
    <w:rsid w:val="00BC44BB"/>
    <w:rsid w:val="00BC6002"/>
    <w:rsid w:val="00BC62E8"/>
    <w:rsid w:val="00BD03D4"/>
    <w:rsid w:val="00BD07FE"/>
    <w:rsid w:val="00BD0D53"/>
    <w:rsid w:val="00BD0E54"/>
    <w:rsid w:val="00BD1983"/>
    <w:rsid w:val="00BD2888"/>
    <w:rsid w:val="00BD33BC"/>
    <w:rsid w:val="00BD4757"/>
    <w:rsid w:val="00BD48F0"/>
    <w:rsid w:val="00BD4B05"/>
    <w:rsid w:val="00BD4ECA"/>
    <w:rsid w:val="00BE0583"/>
    <w:rsid w:val="00BE0C4F"/>
    <w:rsid w:val="00BE1E21"/>
    <w:rsid w:val="00BE2434"/>
    <w:rsid w:val="00BE25F0"/>
    <w:rsid w:val="00BE3ACD"/>
    <w:rsid w:val="00BE46BD"/>
    <w:rsid w:val="00BE5659"/>
    <w:rsid w:val="00BE5879"/>
    <w:rsid w:val="00BE65E6"/>
    <w:rsid w:val="00BE7A4F"/>
    <w:rsid w:val="00BE7CB1"/>
    <w:rsid w:val="00BF196E"/>
    <w:rsid w:val="00BF463A"/>
    <w:rsid w:val="00BF4FD4"/>
    <w:rsid w:val="00BF63CD"/>
    <w:rsid w:val="00BF6C6F"/>
    <w:rsid w:val="00BF7A8F"/>
    <w:rsid w:val="00C00521"/>
    <w:rsid w:val="00C03D22"/>
    <w:rsid w:val="00C04C83"/>
    <w:rsid w:val="00C04D0B"/>
    <w:rsid w:val="00C05A69"/>
    <w:rsid w:val="00C05EB6"/>
    <w:rsid w:val="00C1010D"/>
    <w:rsid w:val="00C10EE8"/>
    <w:rsid w:val="00C14BC7"/>
    <w:rsid w:val="00C14EA6"/>
    <w:rsid w:val="00C158BB"/>
    <w:rsid w:val="00C159C9"/>
    <w:rsid w:val="00C1753E"/>
    <w:rsid w:val="00C2080D"/>
    <w:rsid w:val="00C22BA5"/>
    <w:rsid w:val="00C23855"/>
    <w:rsid w:val="00C2689A"/>
    <w:rsid w:val="00C26DDC"/>
    <w:rsid w:val="00C26F87"/>
    <w:rsid w:val="00C2727D"/>
    <w:rsid w:val="00C27C1E"/>
    <w:rsid w:val="00C3091B"/>
    <w:rsid w:val="00C31063"/>
    <w:rsid w:val="00C31105"/>
    <w:rsid w:val="00C31508"/>
    <w:rsid w:val="00C319BF"/>
    <w:rsid w:val="00C31EE9"/>
    <w:rsid w:val="00C32F60"/>
    <w:rsid w:val="00C33241"/>
    <w:rsid w:val="00C33D43"/>
    <w:rsid w:val="00C344C0"/>
    <w:rsid w:val="00C35899"/>
    <w:rsid w:val="00C358C5"/>
    <w:rsid w:val="00C36041"/>
    <w:rsid w:val="00C36321"/>
    <w:rsid w:val="00C36A48"/>
    <w:rsid w:val="00C37F02"/>
    <w:rsid w:val="00C4256E"/>
    <w:rsid w:val="00C42C1A"/>
    <w:rsid w:val="00C44666"/>
    <w:rsid w:val="00C45BB1"/>
    <w:rsid w:val="00C46188"/>
    <w:rsid w:val="00C47005"/>
    <w:rsid w:val="00C5005E"/>
    <w:rsid w:val="00C52AE2"/>
    <w:rsid w:val="00C531DA"/>
    <w:rsid w:val="00C53B3F"/>
    <w:rsid w:val="00C53DDD"/>
    <w:rsid w:val="00C558D8"/>
    <w:rsid w:val="00C56D61"/>
    <w:rsid w:val="00C60647"/>
    <w:rsid w:val="00C615B7"/>
    <w:rsid w:val="00C61DB8"/>
    <w:rsid w:val="00C626EF"/>
    <w:rsid w:val="00C634B6"/>
    <w:rsid w:val="00C639AB"/>
    <w:rsid w:val="00C6428E"/>
    <w:rsid w:val="00C64A66"/>
    <w:rsid w:val="00C677CE"/>
    <w:rsid w:val="00C70D52"/>
    <w:rsid w:val="00C733E5"/>
    <w:rsid w:val="00C76110"/>
    <w:rsid w:val="00C770F4"/>
    <w:rsid w:val="00C778B6"/>
    <w:rsid w:val="00C77C38"/>
    <w:rsid w:val="00C8078E"/>
    <w:rsid w:val="00C81F30"/>
    <w:rsid w:val="00C82062"/>
    <w:rsid w:val="00C82CA2"/>
    <w:rsid w:val="00C85A91"/>
    <w:rsid w:val="00C85BB6"/>
    <w:rsid w:val="00C860C2"/>
    <w:rsid w:val="00C871D2"/>
    <w:rsid w:val="00C87A25"/>
    <w:rsid w:val="00C909AD"/>
    <w:rsid w:val="00C918E4"/>
    <w:rsid w:val="00C919FF"/>
    <w:rsid w:val="00C91A05"/>
    <w:rsid w:val="00C924F8"/>
    <w:rsid w:val="00C93095"/>
    <w:rsid w:val="00C947AB"/>
    <w:rsid w:val="00C95ED9"/>
    <w:rsid w:val="00CA0A30"/>
    <w:rsid w:val="00CA0E32"/>
    <w:rsid w:val="00CA137A"/>
    <w:rsid w:val="00CA1BCA"/>
    <w:rsid w:val="00CA20FE"/>
    <w:rsid w:val="00CA2574"/>
    <w:rsid w:val="00CA2665"/>
    <w:rsid w:val="00CA2C6F"/>
    <w:rsid w:val="00CA4838"/>
    <w:rsid w:val="00CA5F48"/>
    <w:rsid w:val="00CA6803"/>
    <w:rsid w:val="00CA79F5"/>
    <w:rsid w:val="00CB1864"/>
    <w:rsid w:val="00CB3C20"/>
    <w:rsid w:val="00CB7831"/>
    <w:rsid w:val="00CC133D"/>
    <w:rsid w:val="00CC24C4"/>
    <w:rsid w:val="00CC55C9"/>
    <w:rsid w:val="00CC7784"/>
    <w:rsid w:val="00CD0842"/>
    <w:rsid w:val="00CD2921"/>
    <w:rsid w:val="00CD2BCC"/>
    <w:rsid w:val="00CD35A8"/>
    <w:rsid w:val="00CD3AE5"/>
    <w:rsid w:val="00CD477F"/>
    <w:rsid w:val="00CD562D"/>
    <w:rsid w:val="00CD5962"/>
    <w:rsid w:val="00CD6EEB"/>
    <w:rsid w:val="00CE070E"/>
    <w:rsid w:val="00CE0870"/>
    <w:rsid w:val="00CE0D58"/>
    <w:rsid w:val="00CE19D9"/>
    <w:rsid w:val="00CE39AB"/>
    <w:rsid w:val="00CE53D8"/>
    <w:rsid w:val="00CE5E96"/>
    <w:rsid w:val="00CE5FE8"/>
    <w:rsid w:val="00CF0283"/>
    <w:rsid w:val="00CF0544"/>
    <w:rsid w:val="00CF17C6"/>
    <w:rsid w:val="00CF2718"/>
    <w:rsid w:val="00CF3BC9"/>
    <w:rsid w:val="00CF5905"/>
    <w:rsid w:val="00CF5CA7"/>
    <w:rsid w:val="00CF6534"/>
    <w:rsid w:val="00CF73D0"/>
    <w:rsid w:val="00CF7684"/>
    <w:rsid w:val="00D006E4"/>
    <w:rsid w:val="00D00D26"/>
    <w:rsid w:val="00D01A0B"/>
    <w:rsid w:val="00D03A3A"/>
    <w:rsid w:val="00D06B6E"/>
    <w:rsid w:val="00D0726F"/>
    <w:rsid w:val="00D07BE2"/>
    <w:rsid w:val="00D10F56"/>
    <w:rsid w:val="00D13B35"/>
    <w:rsid w:val="00D15988"/>
    <w:rsid w:val="00D16804"/>
    <w:rsid w:val="00D17119"/>
    <w:rsid w:val="00D17F18"/>
    <w:rsid w:val="00D2012E"/>
    <w:rsid w:val="00D20FCA"/>
    <w:rsid w:val="00D2233B"/>
    <w:rsid w:val="00D22E76"/>
    <w:rsid w:val="00D230EE"/>
    <w:rsid w:val="00D23D42"/>
    <w:rsid w:val="00D24541"/>
    <w:rsid w:val="00D2508C"/>
    <w:rsid w:val="00D27048"/>
    <w:rsid w:val="00D272B9"/>
    <w:rsid w:val="00D30740"/>
    <w:rsid w:val="00D3230F"/>
    <w:rsid w:val="00D329F7"/>
    <w:rsid w:val="00D337FB"/>
    <w:rsid w:val="00D34349"/>
    <w:rsid w:val="00D34419"/>
    <w:rsid w:val="00D36C4A"/>
    <w:rsid w:val="00D40281"/>
    <w:rsid w:val="00D42B20"/>
    <w:rsid w:val="00D42CDC"/>
    <w:rsid w:val="00D43716"/>
    <w:rsid w:val="00D438EA"/>
    <w:rsid w:val="00D442AD"/>
    <w:rsid w:val="00D4466D"/>
    <w:rsid w:val="00D45274"/>
    <w:rsid w:val="00D45CCD"/>
    <w:rsid w:val="00D476C9"/>
    <w:rsid w:val="00D47818"/>
    <w:rsid w:val="00D47BA1"/>
    <w:rsid w:val="00D5121C"/>
    <w:rsid w:val="00D51D05"/>
    <w:rsid w:val="00D51E09"/>
    <w:rsid w:val="00D525F6"/>
    <w:rsid w:val="00D542BE"/>
    <w:rsid w:val="00D54745"/>
    <w:rsid w:val="00D554BC"/>
    <w:rsid w:val="00D557BC"/>
    <w:rsid w:val="00D55EBF"/>
    <w:rsid w:val="00D57AF6"/>
    <w:rsid w:val="00D625F6"/>
    <w:rsid w:val="00D6274E"/>
    <w:rsid w:val="00D6307F"/>
    <w:rsid w:val="00D649F8"/>
    <w:rsid w:val="00D64B91"/>
    <w:rsid w:val="00D65047"/>
    <w:rsid w:val="00D671A4"/>
    <w:rsid w:val="00D70B40"/>
    <w:rsid w:val="00D70C93"/>
    <w:rsid w:val="00D70D73"/>
    <w:rsid w:val="00D70D9E"/>
    <w:rsid w:val="00D711AB"/>
    <w:rsid w:val="00D71807"/>
    <w:rsid w:val="00D71D8F"/>
    <w:rsid w:val="00D739C5"/>
    <w:rsid w:val="00D74FB8"/>
    <w:rsid w:val="00D765F8"/>
    <w:rsid w:val="00D77A40"/>
    <w:rsid w:val="00D77FB9"/>
    <w:rsid w:val="00D80370"/>
    <w:rsid w:val="00D8072F"/>
    <w:rsid w:val="00D809D7"/>
    <w:rsid w:val="00D80F47"/>
    <w:rsid w:val="00D80FA3"/>
    <w:rsid w:val="00D82162"/>
    <w:rsid w:val="00D85000"/>
    <w:rsid w:val="00D90205"/>
    <w:rsid w:val="00D906DA"/>
    <w:rsid w:val="00D90A54"/>
    <w:rsid w:val="00D9103E"/>
    <w:rsid w:val="00D91611"/>
    <w:rsid w:val="00D92733"/>
    <w:rsid w:val="00D934CA"/>
    <w:rsid w:val="00D94397"/>
    <w:rsid w:val="00D978FB"/>
    <w:rsid w:val="00DA0DEF"/>
    <w:rsid w:val="00DA103D"/>
    <w:rsid w:val="00DA14E8"/>
    <w:rsid w:val="00DA3CF4"/>
    <w:rsid w:val="00DA3D85"/>
    <w:rsid w:val="00DA41CD"/>
    <w:rsid w:val="00DA461D"/>
    <w:rsid w:val="00DA4E6B"/>
    <w:rsid w:val="00DA4EAD"/>
    <w:rsid w:val="00DA5974"/>
    <w:rsid w:val="00DA5981"/>
    <w:rsid w:val="00DA6F72"/>
    <w:rsid w:val="00DA730A"/>
    <w:rsid w:val="00DB0164"/>
    <w:rsid w:val="00DB038A"/>
    <w:rsid w:val="00DB19A7"/>
    <w:rsid w:val="00DB1F22"/>
    <w:rsid w:val="00DB2E88"/>
    <w:rsid w:val="00DB2FE7"/>
    <w:rsid w:val="00DB4F5D"/>
    <w:rsid w:val="00DB5208"/>
    <w:rsid w:val="00DB608E"/>
    <w:rsid w:val="00DB6B28"/>
    <w:rsid w:val="00DB7E50"/>
    <w:rsid w:val="00DB7FCA"/>
    <w:rsid w:val="00DC1248"/>
    <w:rsid w:val="00DC2935"/>
    <w:rsid w:val="00DC2C82"/>
    <w:rsid w:val="00DC2D5B"/>
    <w:rsid w:val="00DC37D1"/>
    <w:rsid w:val="00DC47F2"/>
    <w:rsid w:val="00DC501A"/>
    <w:rsid w:val="00DD1285"/>
    <w:rsid w:val="00DD2BE6"/>
    <w:rsid w:val="00DD2C03"/>
    <w:rsid w:val="00DD386E"/>
    <w:rsid w:val="00DD458A"/>
    <w:rsid w:val="00DD57CD"/>
    <w:rsid w:val="00DD7211"/>
    <w:rsid w:val="00DE32EE"/>
    <w:rsid w:val="00DE3856"/>
    <w:rsid w:val="00DE399B"/>
    <w:rsid w:val="00DE3ADD"/>
    <w:rsid w:val="00DE56A8"/>
    <w:rsid w:val="00DE6BCC"/>
    <w:rsid w:val="00DE77C9"/>
    <w:rsid w:val="00DF0985"/>
    <w:rsid w:val="00DF471E"/>
    <w:rsid w:val="00DF5720"/>
    <w:rsid w:val="00DF5A9D"/>
    <w:rsid w:val="00DF61E5"/>
    <w:rsid w:val="00DF7E33"/>
    <w:rsid w:val="00E078BF"/>
    <w:rsid w:val="00E1173B"/>
    <w:rsid w:val="00E11BA8"/>
    <w:rsid w:val="00E11C87"/>
    <w:rsid w:val="00E13912"/>
    <w:rsid w:val="00E143B2"/>
    <w:rsid w:val="00E143DB"/>
    <w:rsid w:val="00E14901"/>
    <w:rsid w:val="00E172ED"/>
    <w:rsid w:val="00E17860"/>
    <w:rsid w:val="00E17C24"/>
    <w:rsid w:val="00E20004"/>
    <w:rsid w:val="00E200EA"/>
    <w:rsid w:val="00E203E9"/>
    <w:rsid w:val="00E20EBC"/>
    <w:rsid w:val="00E24D4C"/>
    <w:rsid w:val="00E263B4"/>
    <w:rsid w:val="00E26552"/>
    <w:rsid w:val="00E310FB"/>
    <w:rsid w:val="00E31FC5"/>
    <w:rsid w:val="00E3360F"/>
    <w:rsid w:val="00E337B4"/>
    <w:rsid w:val="00E33F70"/>
    <w:rsid w:val="00E343E2"/>
    <w:rsid w:val="00E35E01"/>
    <w:rsid w:val="00E36341"/>
    <w:rsid w:val="00E372E6"/>
    <w:rsid w:val="00E37BE3"/>
    <w:rsid w:val="00E4247D"/>
    <w:rsid w:val="00E43222"/>
    <w:rsid w:val="00E43589"/>
    <w:rsid w:val="00E45447"/>
    <w:rsid w:val="00E5067F"/>
    <w:rsid w:val="00E50945"/>
    <w:rsid w:val="00E50A80"/>
    <w:rsid w:val="00E53E63"/>
    <w:rsid w:val="00E54090"/>
    <w:rsid w:val="00E545E0"/>
    <w:rsid w:val="00E55D1C"/>
    <w:rsid w:val="00E56729"/>
    <w:rsid w:val="00E56861"/>
    <w:rsid w:val="00E6051E"/>
    <w:rsid w:val="00E6152C"/>
    <w:rsid w:val="00E61EDD"/>
    <w:rsid w:val="00E61F7E"/>
    <w:rsid w:val="00E627E5"/>
    <w:rsid w:val="00E629EB"/>
    <w:rsid w:val="00E62F77"/>
    <w:rsid w:val="00E63BF7"/>
    <w:rsid w:val="00E6648D"/>
    <w:rsid w:val="00E665A9"/>
    <w:rsid w:val="00E67C99"/>
    <w:rsid w:val="00E67CD5"/>
    <w:rsid w:val="00E70138"/>
    <w:rsid w:val="00E71A1E"/>
    <w:rsid w:val="00E724BE"/>
    <w:rsid w:val="00E731A4"/>
    <w:rsid w:val="00E73F13"/>
    <w:rsid w:val="00E73FD8"/>
    <w:rsid w:val="00E7499C"/>
    <w:rsid w:val="00E76512"/>
    <w:rsid w:val="00E76E30"/>
    <w:rsid w:val="00E76F43"/>
    <w:rsid w:val="00E77D33"/>
    <w:rsid w:val="00E802D1"/>
    <w:rsid w:val="00E815A2"/>
    <w:rsid w:val="00E82C47"/>
    <w:rsid w:val="00E83924"/>
    <w:rsid w:val="00E84425"/>
    <w:rsid w:val="00E851B1"/>
    <w:rsid w:val="00E86E11"/>
    <w:rsid w:val="00E86E31"/>
    <w:rsid w:val="00E91E0A"/>
    <w:rsid w:val="00E92B29"/>
    <w:rsid w:val="00E930DB"/>
    <w:rsid w:val="00E93E3A"/>
    <w:rsid w:val="00E94407"/>
    <w:rsid w:val="00EA024F"/>
    <w:rsid w:val="00EA0FC5"/>
    <w:rsid w:val="00EA1780"/>
    <w:rsid w:val="00EA24A5"/>
    <w:rsid w:val="00EA2539"/>
    <w:rsid w:val="00EA257F"/>
    <w:rsid w:val="00EA2DB5"/>
    <w:rsid w:val="00EA3F01"/>
    <w:rsid w:val="00EA4DB5"/>
    <w:rsid w:val="00EA5246"/>
    <w:rsid w:val="00EA7DA0"/>
    <w:rsid w:val="00EB07E6"/>
    <w:rsid w:val="00EB29F2"/>
    <w:rsid w:val="00EB532B"/>
    <w:rsid w:val="00EB6221"/>
    <w:rsid w:val="00EB6C15"/>
    <w:rsid w:val="00EB7DC0"/>
    <w:rsid w:val="00EC0AC8"/>
    <w:rsid w:val="00EC1281"/>
    <w:rsid w:val="00EC1540"/>
    <w:rsid w:val="00EC3870"/>
    <w:rsid w:val="00EC402D"/>
    <w:rsid w:val="00EC50A6"/>
    <w:rsid w:val="00EC583F"/>
    <w:rsid w:val="00EC6D0C"/>
    <w:rsid w:val="00EC7A05"/>
    <w:rsid w:val="00EC7D58"/>
    <w:rsid w:val="00EC7EBB"/>
    <w:rsid w:val="00ED0CD0"/>
    <w:rsid w:val="00ED1307"/>
    <w:rsid w:val="00ED259F"/>
    <w:rsid w:val="00ED2621"/>
    <w:rsid w:val="00ED2835"/>
    <w:rsid w:val="00ED5361"/>
    <w:rsid w:val="00ED682B"/>
    <w:rsid w:val="00ED6CA8"/>
    <w:rsid w:val="00ED6CEB"/>
    <w:rsid w:val="00ED7594"/>
    <w:rsid w:val="00ED7E67"/>
    <w:rsid w:val="00EE06ED"/>
    <w:rsid w:val="00EE0C37"/>
    <w:rsid w:val="00EE0E2A"/>
    <w:rsid w:val="00EE18AD"/>
    <w:rsid w:val="00EE20EB"/>
    <w:rsid w:val="00EE2A4D"/>
    <w:rsid w:val="00EE3746"/>
    <w:rsid w:val="00EE4E45"/>
    <w:rsid w:val="00EE4E69"/>
    <w:rsid w:val="00EE4F26"/>
    <w:rsid w:val="00EE5192"/>
    <w:rsid w:val="00EE67B2"/>
    <w:rsid w:val="00EF2654"/>
    <w:rsid w:val="00EF266F"/>
    <w:rsid w:val="00EF36EC"/>
    <w:rsid w:val="00EF390A"/>
    <w:rsid w:val="00EF42F1"/>
    <w:rsid w:val="00EF4C32"/>
    <w:rsid w:val="00EF5529"/>
    <w:rsid w:val="00EF69FF"/>
    <w:rsid w:val="00F000BC"/>
    <w:rsid w:val="00F00216"/>
    <w:rsid w:val="00F0135D"/>
    <w:rsid w:val="00F01551"/>
    <w:rsid w:val="00F032D9"/>
    <w:rsid w:val="00F041CB"/>
    <w:rsid w:val="00F04526"/>
    <w:rsid w:val="00F06DFA"/>
    <w:rsid w:val="00F07769"/>
    <w:rsid w:val="00F10393"/>
    <w:rsid w:val="00F10B9A"/>
    <w:rsid w:val="00F112A2"/>
    <w:rsid w:val="00F131A7"/>
    <w:rsid w:val="00F13F60"/>
    <w:rsid w:val="00F140F6"/>
    <w:rsid w:val="00F15C80"/>
    <w:rsid w:val="00F170DC"/>
    <w:rsid w:val="00F17CDA"/>
    <w:rsid w:val="00F204F6"/>
    <w:rsid w:val="00F20A1D"/>
    <w:rsid w:val="00F20E51"/>
    <w:rsid w:val="00F22FDA"/>
    <w:rsid w:val="00F23F09"/>
    <w:rsid w:val="00F2468A"/>
    <w:rsid w:val="00F25A66"/>
    <w:rsid w:val="00F25F24"/>
    <w:rsid w:val="00F27D42"/>
    <w:rsid w:val="00F30AED"/>
    <w:rsid w:val="00F32BC7"/>
    <w:rsid w:val="00F333BC"/>
    <w:rsid w:val="00F33441"/>
    <w:rsid w:val="00F33864"/>
    <w:rsid w:val="00F33A0E"/>
    <w:rsid w:val="00F3409C"/>
    <w:rsid w:val="00F35195"/>
    <w:rsid w:val="00F37156"/>
    <w:rsid w:val="00F372A7"/>
    <w:rsid w:val="00F372F1"/>
    <w:rsid w:val="00F3772B"/>
    <w:rsid w:val="00F423D8"/>
    <w:rsid w:val="00F42C30"/>
    <w:rsid w:val="00F42CF3"/>
    <w:rsid w:val="00F43859"/>
    <w:rsid w:val="00F43D4B"/>
    <w:rsid w:val="00F474C5"/>
    <w:rsid w:val="00F50237"/>
    <w:rsid w:val="00F518EA"/>
    <w:rsid w:val="00F52175"/>
    <w:rsid w:val="00F52CCE"/>
    <w:rsid w:val="00F53799"/>
    <w:rsid w:val="00F539D5"/>
    <w:rsid w:val="00F542C0"/>
    <w:rsid w:val="00F5532C"/>
    <w:rsid w:val="00F55EF6"/>
    <w:rsid w:val="00F572DF"/>
    <w:rsid w:val="00F577AD"/>
    <w:rsid w:val="00F578AE"/>
    <w:rsid w:val="00F60394"/>
    <w:rsid w:val="00F61C82"/>
    <w:rsid w:val="00F630B8"/>
    <w:rsid w:val="00F63D13"/>
    <w:rsid w:val="00F6632A"/>
    <w:rsid w:val="00F66B55"/>
    <w:rsid w:val="00F670C8"/>
    <w:rsid w:val="00F713FD"/>
    <w:rsid w:val="00F7165E"/>
    <w:rsid w:val="00F71D49"/>
    <w:rsid w:val="00F71F21"/>
    <w:rsid w:val="00F725FE"/>
    <w:rsid w:val="00F7394B"/>
    <w:rsid w:val="00F74E51"/>
    <w:rsid w:val="00F75110"/>
    <w:rsid w:val="00F75278"/>
    <w:rsid w:val="00F779B5"/>
    <w:rsid w:val="00F8149C"/>
    <w:rsid w:val="00F81AD0"/>
    <w:rsid w:val="00F820E7"/>
    <w:rsid w:val="00F832A2"/>
    <w:rsid w:val="00F83F47"/>
    <w:rsid w:val="00F851D2"/>
    <w:rsid w:val="00F86354"/>
    <w:rsid w:val="00F863A2"/>
    <w:rsid w:val="00F86983"/>
    <w:rsid w:val="00F870C7"/>
    <w:rsid w:val="00F87484"/>
    <w:rsid w:val="00F87C01"/>
    <w:rsid w:val="00F90AB8"/>
    <w:rsid w:val="00F90E64"/>
    <w:rsid w:val="00F910EA"/>
    <w:rsid w:val="00F91123"/>
    <w:rsid w:val="00F926F1"/>
    <w:rsid w:val="00F946CD"/>
    <w:rsid w:val="00F94B6D"/>
    <w:rsid w:val="00F95297"/>
    <w:rsid w:val="00F96BA7"/>
    <w:rsid w:val="00F97884"/>
    <w:rsid w:val="00FA026D"/>
    <w:rsid w:val="00FA2444"/>
    <w:rsid w:val="00FA3036"/>
    <w:rsid w:val="00FA52BE"/>
    <w:rsid w:val="00FA652B"/>
    <w:rsid w:val="00FA68D5"/>
    <w:rsid w:val="00FA7A9E"/>
    <w:rsid w:val="00FB0F85"/>
    <w:rsid w:val="00FB32C2"/>
    <w:rsid w:val="00FB42CB"/>
    <w:rsid w:val="00FB4302"/>
    <w:rsid w:val="00FB4E20"/>
    <w:rsid w:val="00FB72DC"/>
    <w:rsid w:val="00FB7657"/>
    <w:rsid w:val="00FC0929"/>
    <w:rsid w:val="00FC152A"/>
    <w:rsid w:val="00FC51B1"/>
    <w:rsid w:val="00FC674E"/>
    <w:rsid w:val="00FC6951"/>
    <w:rsid w:val="00FD0AD9"/>
    <w:rsid w:val="00FD0EA7"/>
    <w:rsid w:val="00FD2CD7"/>
    <w:rsid w:val="00FD3311"/>
    <w:rsid w:val="00FD3BFC"/>
    <w:rsid w:val="00FD41AA"/>
    <w:rsid w:val="00FD4726"/>
    <w:rsid w:val="00FD5244"/>
    <w:rsid w:val="00FE047F"/>
    <w:rsid w:val="00FE07DA"/>
    <w:rsid w:val="00FE277C"/>
    <w:rsid w:val="00FE47B2"/>
    <w:rsid w:val="00FE60A4"/>
    <w:rsid w:val="00FE6116"/>
    <w:rsid w:val="00FE687F"/>
    <w:rsid w:val="00FE6B21"/>
    <w:rsid w:val="00FE75C7"/>
    <w:rsid w:val="00FF0F31"/>
    <w:rsid w:val="00FF0FAC"/>
    <w:rsid w:val="00FF3824"/>
    <w:rsid w:val="00FF38E1"/>
    <w:rsid w:val="00FF3981"/>
    <w:rsid w:val="00FF46CE"/>
    <w:rsid w:val="00FF4764"/>
    <w:rsid w:val="00FF5B7D"/>
    <w:rsid w:val="00FF69FE"/>
    <w:rsid w:val="00FF7B5B"/>
    <w:rsid w:val="016F0A91"/>
    <w:rsid w:val="02A76009"/>
    <w:rsid w:val="03276277"/>
    <w:rsid w:val="03675157"/>
    <w:rsid w:val="03AF1D51"/>
    <w:rsid w:val="03B723C8"/>
    <w:rsid w:val="03E14978"/>
    <w:rsid w:val="042E7FBF"/>
    <w:rsid w:val="04595D20"/>
    <w:rsid w:val="048B73F0"/>
    <w:rsid w:val="04956A61"/>
    <w:rsid w:val="0512765A"/>
    <w:rsid w:val="05587B6D"/>
    <w:rsid w:val="05ADE28D"/>
    <w:rsid w:val="062B171A"/>
    <w:rsid w:val="06414916"/>
    <w:rsid w:val="0708351A"/>
    <w:rsid w:val="07235BCB"/>
    <w:rsid w:val="075978CF"/>
    <w:rsid w:val="08204893"/>
    <w:rsid w:val="08400A92"/>
    <w:rsid w:val="08BB78C3"/>
    <w:rsid w:val="08CD362D"/>
    <w:rsid w:val="096D3B08"/>
    <w:rsid w:val="09C24888"/>
    <w:rsid w:val="0B203EB3"/>
    <w:rsid w:val="0B422D73"/>
    <w:rsid w:val="0B80044B"/>
    <w:rsid w:val="0BE87FCD"/>
    <w:rsid w:val="0C524449"/>
    <w:rsid w:val="0CE4368E"/>
    <w:rsid w:val="0D054058"/>
    <w:rsid w:val="0D3000CB"/>
    <w:rsid w:val="0D711F37"/>
    <w:rsid w:val="0D847672"/>
    <w:rsid w:val="0DCD3510"/>
    <w:rsid w:val="0DEA1A61"/>
    <w:rsid w:val="0E1408DD"/>
    <w:rsid w:val="0F2678A1"/>
    <w:rsid w:val="0FB129CD"/>
    <w:rsid w:val="101A25CF"/>
    <w:rsid w:val="10E16174"/>
    <w:rsid w:val="111F0CF2"/>
    <w:rsid w:val="112D7329"/>
    <w:rsid w:val="116C40A8"/>
    <w:rsid w:val="11E04CE1"/>
    <w:rsid w:val="11F748B7"/>
    <w:rsid w:val="12421F40"/>
    <w:rsid w:val="12B57E8A"/>
    <w:rsid w:val="137B5A03"/>
    <w:rsid w:val="13B70AC2"/>
    <w:rsid w:val="13D95275"/>
    <w:rsid w:val="13EC0B7B"/>
    <w:rsid w:val="14396C44"/>
    <w:rsid w:val="143A7E84"/>
    <w:rsid w:val="144C2F2D"/>
    <w:rsid w:val="145E46E7"/>
    <w:rsid w:val="14DD1C9C"/>
    <w:rsid w:val="152D6842"/>
    <w:rsid w:val="156378D5"/>
    <w:rsid w:val="158A15A7"/>
    <w:rsid w:val="16C60CFC"/>
    <w:rsid w:val="17514A69"/>
    <w:rsid w:val="17666D23"/>
    <w:rsid w:val="176A4CEF"/>
    <w:rsid w:val="179D48DD"/>
    <w:rsid w:val="17A13743"/>
    <w:rsid w:val="17EC27BD"/>
    <w:rsid w:val="18134225"/>
    <w:rsid w:val="1A33284E"/>
    <w:rsid w:val="1A615B2A"/>
    <w:rsid w:val="1A6C5EC0"/>
    <w:rsid w:val="1A7B2316"/>
    <w:rsid w:val="1AD147BD"/>
    <w:rsid w:val="1B763E31"/>
    <w:rsid w:val="1B9238A2"/>
    <w:rsid w:val="1BDB2B53"/>
    <w:rsid w:val="1BEF649A"/>
    <w:rsid w:val="1C143FD5"/>
    <w:rsid w:val="1C3A271C"/>
    <w:rsid w:val="1CAC2710"/>
    <w:rsid w:val="1CED557A"/>
    <w:rsid w:val="1DE32193"/>
    <w:rsid w:val="1DFFCD72"/>
    <w:rsid w:val="1E266EA0"/>
    <w:rsid w:val="1EDE091F"/>
    <w:rsid w:val="1F69C1D3"/>
    <w:rsid w:val="1F7F0333"/>
    <w:rsid w:val="1FFA3355"/>
    <w:rsid w:val="2008611B"/>
    <w:rsid w:val="205218C9"/>
    <w:rsid w:val="20835645"/>
    <w:rsid w:val="211F5E60"/>
    <w:rsid w:val="2152354F"/>
    <w:rsid w:val="21AC190B"/>
    <w:rsid w:val="21EC6AB9"/>
    <w:rsid w:val="239D43AD"/>
    <w:rsid w:val="24505746"/>
    <w:rsid w:val="24C26FA6"/>
    <w:rsid w:val="253D7782"/>
    <w:rsid w:val="256B67C4"/>
    <w:rsid w:val="264310AA"/>
    <w:rsid w:val="271D28BF"/>
    <w:rsid w:val="274D29D7"/>
    <w:rsid w:val="27D492FD"/>
    <w:rsid w:val="27EF1F64"/>
    <w:rsid w:val="28492B42"/>
    <w:rsid w:val="288C5597"/>
    <w:rsid w:val="28A96CBF"/>
    <w:rsid w:val="29312005"/>
    <w:rsid w:val="29736AC1"/>
    <w:rsid w:val="29E01C69"/>
    <w:rsid w:val="2A341E19"/>
    <w:rsid w:val="2B065713"/>
    <w:rsid w:val="2B112F6F"/>
    <w:rsid w:val="2B1313EF"/>
    <w:rsid w:val="2CA53778"/>
    <w:rsid w:val="2CA82C15"/>
    <w:rsid w:val="2CB70270"/>
    <w:rsid w:val="2E7A0BF5"/>
    <w:rsid w:val="2EC52239"/>
    <w:rsid w:val="2EF82E86"/>
    <w:rsid w:val="2EF95FF1"/>
    <w:rsid w:val="2F0303EE"/>
    <w:rsid w:val="2F061C83"/>
    <w:rsid w:val="2F447165"/>
    <w:rsid w:val="2F4A3383"/>
    <w:rsid w:val="2FB91171"/>
    <w:rsid w:val="2FCB6E87"/>
    <w:rsid w:val="2FEF6776"/>
    <w:rsid w:val="2FF12F99"/>
    <w:rsid w:val="304A6CBB"/>
    <w:rsid w:val="31627191"/>
    <w:rsid w:val="32390F78"/>
    <w:rsid w:val="32F017DF"/>
    <w:rsid w:val="333A29E6"/>
    <w:rsid w:val="33BC2E13"/>
    <w:rsid w:val="33D27A11"/>
    <w:rsid w:val="33E74A7F"/>
    <w:rsid w:val="34272982"/>
    <w:rsid w:val="34435EF5"/>
    <w:rsid w:val="355F07E1"/>
    <w:rsid w:val="35626EA3"/>
    <w:rsid w:val="35631613"/>
    <w:rsid w:val="35BC26A1"/>
    <w:rsid w:val="35CEE681"/>
    <w:rsid w:val="36216EFF"/>
    <w:rsid w:val="3657303F"/>
    <w:rsid w:val="36E262DB"/>
    <w:rsid w:val="36F93B8A"/>
    <w:rsid w:val="37A00633"/>
    <w:rsid w:val="384A68E2"/>
    <w:rsid w:val="38711C64"/>
    <w:rsid w:val="38779389"/>
    <w:rsid w:val="388B4CA3"/>
    <w:rsid w:val="38E10D3B"/>
    <w:rsid w:val="39714D50"/>
    <w:rsid w:val="3B323DA6"/>
    <w:rsid w:val="3B8F5FC8"/>
    <w:rsid w:val="3BF0239E"/>
    <w:rsid w:val="3BF81F60"/>
    <w:rsid w:val="3BFB4869"/>
    <w:rsid w:val="3C073C07"/>
    <w:rsid w:val="3C702988"/>
    <w:rsid w:val="3CBA53FF"/>
    <w:rsid w:val="3D5F37A2"/>
    <w:rsid w:val="3DCA07A1"/>
    <w:rsid w:val="3DDFCB2E"/>
    <w:rsid w:val="3DED2C23"/>
    <w:rsid w:val="3DF78ED1"/>
    <w:rsid w:val="3DFD8C26"/>
    <w:rsid w:val="3DFFD0E3"/>
    <w:rsid w:val="3E1C00F5"/>
    <w:rsid w:val="3E5720B6"/>
    <w:rsid w:val="3F413D85"/>
    <w:rsid w:val="3F415B5C"/>
    <w:rsid w:val="3F466008"/>
    <w:rsid w:val="3F582F74"/>
    <w:rsid w:val="3FEF89BA"/>
    <w:rsid w:val="3FEFA9A7"/>
    <w:rsid w:val="3FFE58B8"/>
    <w:rsid w:val="40103DAE"/>
    <w:rsid w:val="40771076"/>
    <w:rsid w:val="40A216C1"/>
    <w:rsid w:val="41074749"/>
    <w:rsid w:val="41720FB5"/>
    <w:rsid w:val="41B236D9"/>
    <w:rsid w:val="41C1460F"/>
    <w:rsid w:val="42220C2D"/>
    <w:rsid w:val="422B26C3"/>
    <w:rsid w:val="423030BD"/>
    <w:rsid w:val="42434A3E"/>
    <w:rsid w:val="425F0F55"/>
    <w:rsid w:val="42784A11"/>
    <w:rsid w:val="4295453E"/>
    <w:rsid w:val="437E00E5"/>
    <w:rsid w:val="43907D48"/>
    <w:rsid w:val="43D53265"/>
    <w:rsid w:val="445246C5"/>
    <w:rsid w:val="452B438F"/>
    <w:rsid w:val="45AF71B1"/>
    <w:rsid w:val="45B43C53"/>
    <w:rsid w:val="45BA7726"/>
    <w:rsid w:val="45CF4C28"/>
    <w:rsid w:val="478D6BD9"/>
    <w:rsid w:val="47921037"/>
    <w:rsid w:val="479C4073"/>
    <w:rsid w:val="48A110F8"/>
    <w:rsid w:val="48C22268"/>
    <w:rsid w:val="4909603F"/>
    <w:rsid w:val="4984191F"/>
    <w:rsid w:val="49B164D1"/>
    <w:rsid w:val="4B3953FE"/>
    <w:rsid w:val="4B53462F"/>
    <w:rsid w:val="4B5A4F93"/>
    <w:rsid w:val="4BD83648"/>
    <w:rsid w:val="4BE8259F"/>
    <w:rsid w:val="4BEE3869"/>
    <w:rsid w:val="4C625A98"/>
    <w:rsid w:val="4DD67B6B"/>
    <w:rsid w:val="4DE353AE"/>
    <w:rsid w:val="4E1B207A"/>
    <w:rsid w:val="4E345C08"/>
    <w:rsid w:val="4E8F9C25"/>
    <w:rsid w:val="4EF1153D"/>
    <w:rsid w:val="4EFB11F2"/>
    <w:rsid w:val="4F574BC0"/>
    <w:rsid w:val="4FE254CF"/>
    <w:rsid w:val="50146059"/>
    <w:rsid w:val="501F1302"/>
    <w:rsid w:val="502D6136"/>
    <w:rsid w:val="508029E8"/>
    <w:rsid w:val="50AA728B"/>
    <w:rsid w:val="513403C7"/>
    <w:rsid w:val="513F5357"/>
    <w:rsid w:val="51DC2BA6"/>
    <w:rsid w:val="528E645C"/>
    <w:rsid w:val="53101AD7"/>
    <w:rsid w:val="5353772F"/>
    <w:rsid w:val="53702556"/>
    <w:rsid w:val="538C14D6"/>
    <w:rsid w:val="5416743E"/>
    <w:rsid w:val="542874B1"/>
    <w:rsid w:val="545D6861"/>
    <w:rsid w:val="54A35BFD"/>
    <w:rsid w:val="552C0B0A"/>
    <w:rsid w:val="557914C7"/>
    <w:rsid w:val="557CCCA8"/>
    <w:rsid w:val="564D3310"/>
    <w:rsid w:val="56634BEE"/>
    <w:rsid w:val="56B55774"/>
    <w:rsid w:val="56CC3143"/>
    <w:rsid w:val="56ED1BAD"/>
    <w:rsid w:val="56FA48C0"/>
    <w:rsid w:val="574B6555"/>
    <w:rsid w:val="578C1CBC"/>
    <w:rsid w:val="57BAE39C"/>
    <w:rsid w:val="57BF897B"/>
    <w:rsid w:val="57BFDB92"/>
    <w:rsid w:val="57FA720F"/>
    <w:rsid w:val="57FF52F8"/>
    <w:rsid w:val="57FFDFA3"/>
    <w:rsid w:val="583601AC"/>
    <w:rsid w:val="59036FD6"/>
    <w:rsid w:val="59132050"/>
    <w:rsid w:val="5914026B"/>
    <w:rsid w:val="59734B9D"/>
    <w:rsid w:val="5AA763C0"/>
    <w:rsid w:val="5AE4700C"/>
    <w:rsid w:val="5B6FDA41"/>
    <w:rsid w:val="5CE657D1"/>
    <w:rsid w:val="5D062C63"/>
    <w:rsid w:val="5D263767"/>
    <w:rsid w:val="5D9B4548"/>
    <w:rsid w:val="5D9C10EB"/>
    <w:rsid w:val="5DDB65FF"/>
    <w:rsid w:val="5DEF5FBC"/>
    <w:rsid w:val="5E5166CA"/>
    <w:rsid w:val="5E6FBE4E"/>
    <w:rsid w:val="5EE11B69"/>
    <w:rsid w:val="5F2F47A3"/>
    <w:rsid w:val="5F634768"/>
    <w:rsid w:val="5F763738"/>
    <w:rsid w:val="5F97BF5C"/>
    <w:rsid w:val="5FED69A0"/>
    <w:rsid w:val="601539DA"/>
    <w:rsid w:val="61DC0043"/>
    <w:rsid w:val="62AA0157"/>
    <w:rsid w:val="637A3FCD"/>
    <w:rsid w:val="63862972"/>
    <w:rsid w:val="63892462"/>
    <w:rsid w:val="64EE2439"/>
    <w:rsid w:val="65672831"/>
    <w:rsid w:val="657E512B"/>
    <w:rsid w:val="65EA7923"/>
    <w:rsid w:val="6658120C"/>
    <w:rsid w:val="667D064A"/>
    <w:rsid w:val="67A8101C"/>
    <w:rsid w:val="67C972D1"/>
    <w:rsid w:val="67CDBC91"/>
    <w:rsid w:val="67DB0DB2"/>
    <w:rsid w:val="67FC1AF8"/>
    <w:rsid w:val="680504F0"/>
    <w:rsid w:val="68644EA1"/>
    <w:rsid w:val="699B6A4B"/>
    <w:rsid w:val="69FF6F75"/>
    <w:rsid w:val="6A890DAD"/>
    <w:rsid w:val="6AC01EF4"/>
    <w:rsid w:val="6AD761A9"/>
    <w:rsid w:val="6B656486"/>
    <w:rsid w:val="6B93461B"/>
    <w:rsid w:val="6C23648F"/>
    <w:rsid w:val="6CB71DEE"/>
    <w:rsid w:val="6CE2561C"/>
    <w:rsid w:val="6CFD2618"/>
    <w:rsid w:val="6D037880"/>
    <w:rsid w:val="6D7D747F"/>
    <w:rsid w:val="6DCE0BF4"/>
    <w:rsid w:val="6DE21E7D"/>
    <w:rsid w:val="6DFF5C2C"/>
    <w:rsid w:val="6EFA02FA"/>
    <w:rsid w:val="6F09487B"/>
    <w:rsid w:val="6F117F7A"/>
    <w:rsid w:val="6F261B5A"/>
    <w:rsid w:val="6F737236"/>
    <w:rsid w:val="6F8E7C92"/>
    <w:rsid w:val="6FD13581"/>
    <w:rsid w:val="6FE17692"/>
    <w:rsid w:val="6FFFB237"/>
    <w:rsid w:val="703D5E71"/>
    <w:rsid w:val="70F84783"/>
    <w:rsid w:val="71235CA4"/>
    <w:rsid w:val="716F1F67"/>
    <w:rsid w:val="71C568AA"/>
    <w:rsid w:val="720426B4"/>
    <w:rsid w:val="723BAD95"/>
    <w:rsid w:val="726D662A"/>
    <w:rsid w:val="72B92AF0"/>
    <w:rsid w:val="72CE4AA1"/>
    <w:rsid w:val="73FEB931"/>
    <w:rsid w:val="74137E87"/>
    <w:rsid w:val="741672D8"/>
    <w:rsid w:val="744B03A1"/>
    <w:rsid w:val="750D64AA"/>
    <w:rsid w:val="758C12D3"/>
    <w:rsid w:val="75D57144"/>
    <w:rsid w:val="767E1BCE"/>
    <w:rsid w:val="769766D6"/>
    <w:rsid w:val="76B13BBA"/>
    <w:rsid w:val="76B45CFE"/>
    <w:rsid w:val="77687FA3"/>
    <w:rsid w:val="78E73A5B"/>
    <w:rsid w:val="792B6596"/>
    <w:rsid w:val="7937DEB9"/>
    <w:rsid w:val="7A473353"/>
    <w:rsid w:val="7A4E3666"/>
    <w:rsid w:val="7A5EB92A"/>
    <w:rsid w:val="7A9462A9"/>
    <w:rsid w:val="7AE22A21"/>
    <w:rsid w:val="7B902188"/>
    <w:rsid w:val="7B923FE5"/>
    <w:rsid w:val="7BDA7103"/>
    <w:rsid w:val="7BEA674E"/>
    <w:rsid w:val="7BF2D866"/>
    <w:rsid w:val="7BFA03FD"/>
    <w:rsid w:val="7BFFCE6D"/>
    <w:rsid w:val="7C8C2C35"/>
    <w:rsid w:val="7D032E2D"/>
    <w:rsid w:val="7D6A6A08"/>
    <w:rsid w:val="7D980B86"/>
    <w:rsid w:val="7DB02960"/>
    <w:rsid w:val="7DB84496"/>
    <w:rsid w:val="7DBF5FC7"/>
    <w:rsid w:val="7DD33380"/>
    <w:rsid w:val="7E6A4050"/>
    <w:rsid w:val="7EABE97E"/>
    <w:rsid w:val="7EB77A88"/>
    <w:rsid w:val="7EEBB93C"/>
    <w:rsid w:val="7EFF7CB3"/>
    <w:rsid w:val="7F564A90"/>
    <w:rsid w:val="7F6F008D"/>
    <w:rsid w:val="7F77D150"/>
    <w:rsid w:val="7FAA7590"/>
    <w:rsid w:val="7FABF6F9"/>
    <w:rsid w:val="7FCFC004"/>
    <w:rsid w:val="7FD5BD61"/>
    <w:rsid w:val="7FDA536C"/>
    <w:rsid w:val="7FDBC16F"/>
    <w:rsid w:val="7FE799BD"/>
    <w:rsid w:val="7FFFB8BF"/>
    <w:rsid w:val="7FFFDA7C"/>
    <w:rsid w:val="887F0B82"/>
    <w:rsid w:val="97770142"/>
    <w:rsid w:val="9F9F5149"/>
    <w:rsid w:val="A6F62544"/>
    <w:rsid w:val="AAEF0EC5"/>
    <w:rsid w:val="B18F379B"/>
    <w:rsid w:val="B48F7F28"/>
    <w:rsid w:val="B9D1D11C"/>
    <w:rsid w:val="BEFF00E8"/>
    <w:rsid w:val="BF76E2E3"/>
    <w:rsid w:val="BFA9CC3C"/>
    <w:rsid w:val="BFBB47FE"/>
    <w:rsid w:val="BFFC9B15"/>
    <w:rsid w:val="BFFE4C9C"/>
    <w:rsid w:val="CBF7827C"/>
    <w:rsid w:val="CEEF55D0"/>
    <w:rsid w:val="CEFD9A2C"/>
    <w:rsid w:val="D6BB227B"/>
    <w:rsid w:val="D8B51BF1"/>
    <w:rsid w:val="DDE56F27"/>
    <w:rsid w:val="DFBE83E3"/>
    <w:rsid w:val="DFDACACF"/>
    <w:rsid w:val="E2DBE46C"/>
    <w:rsid w:val="E3FB54BB"/>
    <w:rsid w:val="E4DF5AE2"/>
    <w:rsid w:val="EBFDE1C3"/>
    <w:rsid w:val="ED9A092D"/>
    <w:rsid w:val="EE6BDE77"/>
    <w:rsid w:val="EFB7D9AD"/>
    <w:rsid w:val="EFDE275D"/>
    <w:rsid w:val="F35AA9B4"/>
    <w:rsid w:val="F47B9728"/>
    <w:rsid w:val="F6D53F76"/>
    <w:rsid w:val="F753E462"/>
    <w:rsid w:val="F7B86412"/>
    <w:rsid w:val="F8EF7062"/>
    <w:rsid w:val="F91D0AA5"/>
    <w:rsid w:val="FAE771EE"/>
    <w:rsid w:val="FAFD5AF1"/>
    <w:rsid w:val="FBF3F138"/>
    <w:rsid w:val="FBFDD320"/>
    <w:rsid w:val="FCFD4C5A"/>
    <w:rsid w:val="FD75379C"/>
    <w:rsid w:val="FEBFE9CD"/>
    <w:rsid w:val="FED34B9E"/>
    <w:rsid w:val="FEEFD34E"/>
    <w:rsid w:val="FEFD9365"/>
    <w:rsid w:val="FF6F782F"/>
    <w:rsid w:val="FFB746A4"/>
    <w:rsid w:val="FFD53C91"/>
    <w:rsid w:val="FFF478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0"/>
    <w:qFormat/>
    <w:uiPriority w:val="9"/>
    <w:pPr>
      <w:keepNext/>
      <w:autoSpaceDE w:val="0"/>
      <w:autoSpaceDN w:val="0"/>
      <w:adjustRightInd w:val="0"/>
      <w:jc w:val="left"/>
      <w:outlineLvl w:val="0"/>
    </w:pPr>
    <w:rPr>
      <w:rFonts w:ascii="仿宋_GB2312" w:eastAsia="仿宋_GB2312"/>
      <w:b/>
      <w:bCs/>
      <w:color w:val="000000"/>
      <w:kern w:val="0"/>
      <w:sz w:val="36"/>
      <w:szCs w:val="20"/>
    </w:rPr>
  </w:style>
  <w:style w:type="paragraph" w:styleId="3">
    <w:name w:val="heading 2"/>
    <w:basedOn w:val="1"/>
    <w:next w:val="1"/>
    <w:link w:val="353"/>
    <w:qFormat/>
    <w:uiPriority w:val="0"/>
    <w:pPr>
      <w:keepNext/>
      <w:tabs>
        <w:tab w:val="left" w:pos="420"/>
        <w:tab w:val="left" w:pos="6090"/>
      </w:tabs>
      <w:adjustRightInd w:val="0"/>
      <w:spacing w:before="120" w:line="360" w:lineRule="auto"/>
      <w:ind w:left="-2" w:leftChars="-1"/>
      <w:jc w:val="center"/>
      <w:textAlignment w:val="baseline"/>
      <w:outlineLvl w:val="1"/>
    </w:pPr>
    <w:rPr>
      <w:rFonts w:ascii="黑体" w:hAnsi="黑体" w:eastAsia="黑体"/>
      <w:b/>
      <w:kern w:val="0"/>
      <w:sz w:val="28"/>
      <w:szCs w:val="28"/>
    </w:rPr>
  </w:style>
  <w:style w:type="paragraph" w:styleId="4">
    <w:name w:val="heading 3"/>
    <w:basedOn w:val="1"/>
    <w:next w:val="1"/>
    <w:link w:val="318"/>
    <w:qFormat/>
    <w:uiPriority w:val="0"/>
    <w:pPr>
      <w:keepNext/>
      <w:keepLines/>
      <w:tabs>
        <w:tab w:val="left" w:pos="0"/>
      </w:tabs>
      <w:spacing w:line="360" w:lineRule="auto"/>
      <w:jc w:val="center"/>
      <w:outlineLvl w:val="2"/>
    </w:pPr>
    <w:rPr>
      <w:rFonts w:ascii="黑体" w:hAnsi="黑体" w:eastAsia="黑体"/>
      <w:b/>
      <w:bCs/>
      <w:sz w:val="28"/>
      <w:szCs w:val="28"/>
    </w:rPr>
  </w:style>
  <w:style w:type="paragraph" w:styleId="5">
    <w:name w:val="heading 4"/>
    <w:basedOn w:val="1"/>
    <w:next w:val="1"/>
    <w:link w:val="333"/>
    <w:qFormat/>
    <w:uiPriority w:val="0"/>
    <w:pPr>
      <w:keepNext/>
      <w:keepLines/>
      <w:spacing w:before="120" w:after="120" w:line="377" w:lineRule="auto"/>
      <w:jc w:val="center"/>
      <w:outlineLvl w:val="3"/>
    </w:pPr>
    <w:rPr>
      <w:rFonts w:ascii="Arial" w:hAnsi="Arial" w:eastAsia="黑体"/>
      <w:b/>
      <w:bCs/>
      <w:sz w:val="28"/>
      <w:szCs w:val="28"/>
    </w:rPr>
  </w:style>
  <w:style w:type="paragraph" w:styleId="6">
    <w:name w:val="heading 5"/>
    <w:basedOn w:val="1"/>
    <w:next w:val="1"/>
    <w:link w:val="435"/>
    <w:qFormat/>
    <w:uiPriority w:val="9"/>
    <w:pPr>
      <w:keepNext/>
      <w:keepLines/>
      <w:numPr>
        <w:ilvl w:val="4"/>
        <w:numId w:val="1"/>
      </w:numPr>
      <w:adjustRightInd w:val="0"/>
      <w:spacing w:before="280" w:after="290" w:line="376" w:lineRule="atLeast"/>
      <w:textAlignment w:val="baseline"/>
      <w:outlineLvl w:val="4"/>
    </w:pPr>
    <w:rPr>
      <w:b/>
      <w:kern w:val="0"/>
      <w:sz w:val="24"/>
    </w:rPr>
  </w:style>
  <w:style w:type="paragraph" w:styleId="7">
    <w:name w:val="heading 6"/>
    <w:basedOn w:val="3"/>
    <w:next w:val="1"/>
    <w:link w:val="426"/>
    <w:qFormat/>
    <w:uiPriority w:val="0"/>
    <w:pPr>
      <w:keepLines/>
      <w:tabs>
        <w:tab w:val="left" w:pos="-735"/>
        <w:tab w:val="clear" w:pos="420"/>
        <w:tab w:val="clear" w:pos="6090"/>
      </w:tabs>
      <w:spacing w:before="0" w:line="360" w:lineRule="atLeast"/>
      <w:outlineLvl w:val="5"/>
    </w:pPr>
    <w:rPr>
      <w:rFonts w:ascii="Times New Roman" w:hAnsi="Times New Roman" w:eastAsia="宋体"/>
      <w:b w:val="0"/>
      <w:sz w:val="24"/>
      <w:szCs w:val="20"/>
    </w:rPr>
  </w:style>
  <w:style w:type="paragraph" w:styleId="8">
    <w:name w:val="heading 7"/>
    <w:basedOn w:val="1"/>
    <w:next w:val="1"/>
    <w:link w:val="369"/>
    <w:qFormat/>
    <w:uiPriority w:val="0"/>
    <w:pPr>
      <w:keepNext/>
      <w:keepLines/>
      <w:adjustRightInd w:val="0"/>
      <w:spacing w:line="360" w:lineRule="atLeast"/>
      <w:textAlignment w:val="baseline"/>
      <w:outlineLvl w:val="6"/>
    </w:pPr>
    <w:rPr>
      <w:kern w:val="0"/>
      <w:sz w:val="24"/>
      <w:szCs w:val="20"/>
    </w:rPr>
  </w:style>
  <w:style w:type="paragraph" w:styleId="9">
    <w:name w:val="heading 8"/>
    <w:basedOn w:val="1"/>
    <w:next w:val="1"/>
    <w:link w:val="366"/>
    <w:qFormat/>
    <w:uiPriority w:val="99"/>
    <w:pPr>
      <w:keepNext/>
      <w:keepLines/>
      <w:spacing w:before="240" w:after="64" w:line="320" w:lineRule="auto"/>
      <w:outlineLvl w:val="7"/>
    </w:pPr>
    <w:rPr>
      <w:rFonts w:ascii="Cambria" w:hAnsi="Cambria"/>
      <w:sz w:val="24"/>
    </w:rPr>
  </w:style>
  <w:style w:type="paragraph" w:styleId="10">
    <w:name w:val="heading 9"/>
    <w:basedOn w:val="1"/>
    <w:next w:val="1"/>
    <w:link w:val="392"/>
    <w:qFormat/>
    <w:uiPriority w:val="0"/>
    <w:pPr>
      <w:keepNext/>
      <w:keepLines/>
      <w:adjustRightInd w:val="0"/>
      <w:spacing w:line="360" w:lineRule="atLeast"/>
      <w:textAlignment w:val="baseline"/>
      <w:outlineLvl w:val="8"/>
    </w:pPr>
    <w:rPr>
      <w:kern w:val="0"/>
      <w:sz w:val="24"/>
      <w:szCs w:val="20"/>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等线" w:eastAsia="等线"/>
      <w:sz w:val="18"/>
      <w:szCs w:val="18"/>
    </w:rPr>
  </w:style>
  <w:style w:type="paragraph" w:styleId="12">
    <w:name w:val="Normal Indent"/>
    <w:basedOn w:val="1"/>
    <w:next w:val="1"/>
    <w:link w:val="413"/>
    <w:qFormat/>
    <w:uiPriority w:val="0"/>
    <w:pPr>
      <w:tabs>
        <w:tab w:val="left" w:pos="750"/>
      </w:tabs>
      <w:spacing w:beforeLines="50" w:line="300" w:lineRule="auto"/>
      <w:ind w:firstLine="200" w:firstLineChars="200"/>
    </w:pPr>
    <w:rPr>
      <w:rFonts w:ascii="宋体"/>
      <w:szCs w:val="20"/>
    </w:rPr>
  </w:style>
  <w:style w:type="paragraph" w:styleId="13">
    <w:name w:val="caption"/>
    <w:basedOn w:val="1"/>
    <w:next w:val="1"/>
    <w:link w:val="423"/>
    <w:qFormat/>
    <w:uiPriority w:val="0"/>
    <w:pPr>
      <w:spacing w:line="300" w:lineRule="auto"/>
    </w:pPr>
    <w:rPr>
      <w:rFonts w:ascii="Cambria" w:hAnsi="Cambria" w:eastAsia="黑体"/>
      <w:kern w:val="0"/>
      <w:sz w:val="20"/>
      <w:szCs w:val="20"/>
    </w:rPr>
  </w:style>
  <w:style w:type="paragraph" w:styleId="14">
    <w:name w:val="Document Map"/>
    <w:basedOn w:val="1"/>
    <w:link w:val="380"/>
    <w:qFormat/>
    <w:uiPriority w:val="99"/>
    <w:pPr>
      <w:shd w:val="clear" w:color="auto" w:fill="000080"/>
    </w:pPr>
    <w:rPr>
      <w:kern w:val="0"/>
      <w:sz w:val="24"/>
    </w:rPr>
  </w:style>
  <w:style w:type="paragraph" w:styleId="15">
    <w:name w:val="toa heading"/>
    <w:basedOn w:val="1"/>
    <w:next w:val="1"/>
    <w:qFormat/>
    <w:uiPriority w:val="0"/>
    <w:pPr>
      <w:spacing w:before="120"/>
    </w:pPr>
    <w:rPr>
      <w:rFonts w:ascii="Cambria" w:hAnsi="Cambria"/>
      <w:sz w:val="24"/>
    </w:rPr>
  </w:style>
  <w:style w:type="paragraph" w:styleId="16">
    <w:name w:val="annotation text"/>
    <w:basedOn w:val="1"/>
    <w:link w:val="373"/>
    <w:qFormat/>
    <w:uiPriority w:val="99"/>
    <w:pPr>
      <w:jc w:val="left"/>
    </w:pPr>
    <w:rPr>
      <w:kern w:val="0"/>
      <w:sz w:val="24"/>
    </w:rPr>
  </w:style>
  <w:style w:type="paragraph" w:styleId="17">
    <w:name w:val="Body Text 3"/>
    <w:basedOn w:val="1"/>
    <w:link w:val="389"/>
    <w:qFormat/>
    <w:uiPriority w:val="0"/>
    <w:rPr>
      <w:rFonts w:ascii="宋体" w:hAnsi="宋体"/>
      <w:color w:val="0000FF"/>
      <w:sz w:val="20"/>
    </w:rPr>
  </w:style>
  <w:style w:type="paragraph" w:styleId="18">
    <w:name w:val="Body Text"/>
    <w:basedOn w:val="1"/>
    <w:link w:val="397"/>
    <w:unhideWhenUsed/>
    <w:qFormat/>
    <w:uiPriority w:val="99"/>
    <w:pPr>
      <w:spacing w:after="120"/>
    </w:pPr>
    <w:rPr>
      <w:kern w:val="0"/>
      <w:sz w:val="24"/>
    </w:rPr>
  </w:style>
  <w:style w:type="paragraph" w:styleId="19">
    <w:name w:val="Body Text Indent"/>
    <w:basedOn w:val="1"/>
    <w:link w:val="322"/>
    <w:qFormat/>
    <w:uiPriority w:val="99"/>
    <w:pPr>
      <w:ind w:firstLine="200" w:firstLineChars="200"/>
      <w:jc w:val="left"/>
    </w:pPr>
    <w:rPr>
      <w:rFonts w:ascii="仿宋_GB2312" w:eastAsia="仿宋_GB2312"/>
      <w:kern w:val="0"/>
      <w:sz w:val="24"/>
    </w:rPr>
  </w:style>
  <w:style w:type="paragraph" w:styleId="20">
    <w:name w:val="Block Text"/>
    <w:basedOn w:val="1"/>
    <w:qFormat/>
    <w:uiPriority w:val="0"/>
    <w:pPr>
      <w:adjustRightInd w:val="0"/>
      <w:ind w:left="420" w:right="33"/>
      <w:jc w:val="left"/>
      <w:textAlignment w:val="baseline"/>
    </w:pPr>
    <w:rPr>
      <w:kern w:val="0"/>
      <w:sz w:val="24"/>
      <w:szCs w:val="20"/>
    </w:rPr>
  </w:style>
  <w:style w:type="paragraph" w:styleId="21">
    <w:name w:val="toc 5"/>
    <w:basedOn w:val="1"/>
    <w:next w:val="1"/>
    <w:qFormat/>
    <w:uiPriority w:val="39"/>
    <w:pPr>
      <w:ind w:left="840"/>
      <w:jc w:val="left"/>
    </w:pPr>
    <w:rPr>
      <w:rFonts w:ascii="等线" w:eastAsia="等线"/>
      <w:sz w:val="18"/>
      <w:szCs w:val="18"/>
    </w:rPr>
  </w:style>
  <w:style w:type="paragraph" w:styleId="22">
    <w:name w:val="toc 3"/>
    <w:basedOn w:val="1"/>
    <w:next w:val="1"/>
    <w:qFormat/>
    <w:uiPriority w:val="39"/>
    <w:pPr>
      <w:ind w:left="420"/>
      <w:jc w:val="left"/>
    </w:pPr>
    <w:rPr>
      <w:rFonts w:ascii="等线" w:eastAsia="等线"/>
      <w:i/>
      <w:iCs/>
      <w:sz w:val="20"/>
      <w:szCs w:val="20"/>
    </w:rPr>
  </w:style>
  <w:style w:type="paragraph" w:styleId="23">
    <w:name w:val="Plain Text"/>
    <w:basedOn w:val="1"/>
    <w:link w:val="335"/>
    <w:autoRedefine/>
    <w:qFormat/>
    <w:uiPriority w:val="0"/>
    <w:pPr>
      <w:autoSpaceDE w:val="0"/>
      <w:autoSpaceDN w:val="0"/>
      <w:adjustRightInd w:val="0"/>
      <w:jc w:val="left"/>
    </w:pPr>
    <w:rPr>
      <w:rFonts w:ascii="宋体" w:hAnsi="Courier New"/>
      <w:szCs w:val="21"/>
    </w:rPr>
  </w:style>
  <w:style w:type="paragraph" w:styleId="24">
    <w:name w:val="toc 8"/>
    <w:basedOn w:val="1"/>
    <w:next w:val="1"/>
    <w:qFormat/>
    <w:uiPriority w:val="39"/>
    <w:pPr>
      <w:ind w:left="1470"/>
      <w:jc w:val="left"/>
    </w:pPr>
    <w:rPr>
      <w:rFonts w:ascii="等线" w:eastAsia="等线"/>
      <w:sz w:val="18"/>
      <w:szCs w:val="18"/>
    </w:rPr>
  </w:style>
  <w:style w:type="paragraph" w:styleId="25">
    <w:name w:val="Date"/>
    <w:basedOn w:val="1"/>
    <w:next w:val="1"/>
    <w:link w:val="408"/>
    <w:qFormat/>
    <w:uiPriority w:val="99"/>
    <w:pPr>
      <w:ind w:left="2500" w:leftChars="2500"/>
    </w:pPr>
    <w:rPr>
      <w:rFonts w:ascii="仿宋_GB2312" w:eastAsia="仿宋_GB2312"/>
      <w:kern w:val="0"/>
      <w:sz w:val="24"/>
    </w:rPr>
  </w:style>
  <w:style w:type="paragraph" w:styleId="26">
    <w:name w:val="Body Text Indent 2"/>
    <w:basedOn w:val="1"/>
    <w:link w:val="383"/>
    <w:autoRedefine/>
    <w:qFormat/>
    <w:uiPriority w:val="99"/>
    <w:pPr>
      <w:spacing w:line="60" w:lineRule="auto"/>
      <w:ind w:firstLine="128" w:firstLineChars="128"/>
    </w:pPr>
    <w:rPr>
      <w:rFonts w:ascii="仿宋_GB2312" w:eastAsia="仿宋_GB2312"/>
      <w:kern w:val="0"/>
      <w:sz w:val="24"/>
    </w:rPr>
  </w:style>
  <w:style w:type="paragraph" w:styleId="27">
    <w:name w:val="endnote text"/>
    <w:basedOn w:val="1"/>
    <w:link w:val="338"/>
    <w:qFormat/>
    <w:uiPriority w:val="0"/>
    <w:pPr>
      <w:widowControl/>
      <w:snapToGrid w:val="0"/>
      <w:jc w:val="left"/>
    </w:pPr>
    <w:rPr>
      <w:kern w:val="0"/>
      <w:sz w:val="20"/>
      <w:szCs w:val="20"/>
    </w:rPr>
  </w:style>
  <w:style w:type="paragraph" w:styleId="28">
    <w:name w:val="Balloon Text"/>
    <w:basedOn w:val="1"/>
    <w:link w:val="377"/>
    <w:autoRedefine/>
    <w:qFormat/>
    <w:uiPriority w:val="0"/>
    <w:rPr>
      <w:kern w:val="0"/>
      <w:sz w:val="18"/>
      <w:szCs w:val="18"/>
    </w:rPr>
  </w:style>
  <w:style w:type="paragraph" w:styleId="29">
    <w:name w:val="footer"/>
    <w:basedOn w:val="1"/>
    <w:link w:val="371"/>
    <w:unhideWhenUsed/>
    <w:qFormat/>
    <w:uiPriority w:val="99"/>
    <w:pPr>
      <w:tabs>
        <w:tab w:val="center" w:pos="4153"/>
        <w:tab w:val="right" w:pos="8306"/>
      </w:tabs>
      <w:snapToGrid w:val="0"/>
      <w:jc w:val="left"/>
    </w:pPr>
    <w:rPr>
      <w:kern w:val="0"/>
      <w:sz w:val="18"/>
      <w:szCs w:val="18"/>
    </w:rPr>
  </w:style>
  <w:style w:type="paragraph" w:styleId="30">
    <w:name w:val="header"/>
    <w:basedOn w:val="1"/>
    <w:link w:val="364"/>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autoRedefine/>
    <w:qFormat/>
    <w:uiPriority w:val="39"/>
    <w:pPr>
      <w:spacing w:before="120" w:after="120"/>
      <w:jc w:val="left"/>
    </w:pPr>
    <w:rPr>
      <w:rFonts w:ascii="等线" w:eastAsia="等线"/>
      <w:b/>
      <w:bCs/>
      <w:caps/>
      <w:sz w:val="20"/>
      <w:szCs w:val="20"/>
    </w:rPr>
  </w:style>
  <w:style w:type="paragraph" w:styleId="32">
    <w:name w:val="toc 4"/>
    <w:basedOn w:val="1"/>
    <w:next w:val="1"/>
    <w:autoRedefine/>
    <w:qFormat/>
    <w:uiPriority w:val="39"/>
    <w:pPr>
      <w:ind w:left="630"/>
      <w:jc w:val="left"/>
    </w:pPr>
    <w:rPr>
      <w:rFonts w:ascii="等线" w:eastAsia="等线"/>
      <w:sz w:val="18"/>
      <w:szCs w:val="18"/>
    </w:rPr>
  </w:style>
  <w:style w:type="paragraph" w:styleId="33">
    <w:name w:val="Subtitle"/>
    <w:basedOn w:val="1"/>
    <w:next w:val="1"/>
    <w:link w:val="444"/>
    <w:autoRedefine/>
    <w:qFormat/>
    <w:uiPriority w:val="0"/>
    <w:pPr>
      <w:numPr>
        <w:ilvl w:val="0"/>
        <w:numId w:val="1"/>
      </w:numPr>
      <w:tabs>
        <w:tab w:val="left" w:pos="360"/>
      </w:tabs>
      <w:jc w:val="left"/>
      <w:outlineLvl w:val="1"/>
    </w:pPr>
    <w:rPr>
      <w:rFonts w:ascii="Century Gothic" w:hAnsi="Century Gothic"/>
      <w:kern w:val="28"/>
      <w:szCs w:val="21"/>
    </w:rPr>
  </w:style>
  <w:style w:type="paragraph" w:styleId="34">
    <w:name w:val="footnote text"/>
    <w:basedOn w:val="1"/>
    <w:link w:val="421"/>
    <w:qFormat/>
    <w:uiPriority w:val="0"/>
    <w:pPr>
      <w:adjustRightInd w:val="0"/>
      <w:spacing w:line="312" w:lineRule="atLeast"/>
      <w:jc w:val="left"/>
      <w:textAlignment w:val="baseline"/>
    </w:pPr>
    <w:rPr>
      <w:kern w:val="0"/>
      <w:sz w:val="18"/>
      <w:szCs w:val="20"/>
    </w:rPr>
  </w:style>
  <w:style w:type="paragraph" w:styleId="35">
    <w:name w:val="toc 6"/>
    <w:basedOn w:val="1"/>
    <w:next w:val="1"/>
    <w:autoRedefine/>
    <w:qFormat/>
    <w:uiPriority w:val="39"/>
    <w:pPr>
      <w:ind w:left="1050"/>
      <w:jc w:val="left"/>
    </w:pPr>
    <w:rPr>
      <w:rFonts w:ascii="等线" w:eastAsia="等线"/>
      <w:sz w:val="18"/>
      <w:szCs w:val="18"/>
    </w:rPr>
  </w:style>
  <w:style w:type="paragraph" w:styleId="36">
    <w:name w:val="Body Text Indent 3"/>
    <w:basedOn w:val="1"/>
    <w:link w:val="316"/>
    <w:qFormat/>
    <w:uiPriority w:val="99"/>
    <w:pPr>
      <w:spacing w:line="360" w:lineRule="auto"/>
      <w:ind w:firstLine="192" w:firstLineChars="192"/>
    </w:pPr>
    <w:rPr>
      <w:rFonts w:ascii="仿宋_GB2312" w:eastAsia="仿宋_GB2312"/>
      <w:color w:val="3366FF"/>
      <w:kern w:val="0"/>
      <w:sz w:val="24"/>
    </w:rPr>
  </w:style>
  <w:style w:type="paragraph" w:styleId="37">
    <w:name w:val="toc 2"/>
    <w:basedOn w:val="1"/>
    <w:next w:val="1"/>
    <w:qFormat/>
    <w:uiPriority w:val="39"/>
    <w:pPr>
      <w:ind w:left="210"/>
      <w:jc w:val="left"/>
    </w:pPr>
    <w:rPr>
      <w:rFonts w:ascii="等线" w:eastAsia="等线"/>
      <w:smallCaps/>
      <w:sz w:val="20"/>
      <w:szCs w:val="20"/>
    </w:rPr>
  </w:style>
  <w:style w:type="paragraph" w:styleId="38">
    <w:name w:val="toc 9"/>
    <w:basedOn w:val="1"/>
    <w:next w:val="1"/>
    <w:autoRedefine/>
    <w:qFormat/>
    <w:uiPriority w:val="39"/>
    <w:pPr>
      <w:ind w:left="1680"/>
      <w:jc w:val="left"/>
    </w:pPr>
    <w:rPr>
      <w:rFonts w:ascii="等线" w:eastAsia="等线"/>
      <w:sz w:val="18"/>
      <w:szCs w:val="18"/>
    </w:rPr>
  </w:style>
  <w:style w:type="paragraph" w:styleId="39">
    <w:name w:val="Body Text 2"/>
    <w:basedOn w:val="1"/>
    <w:link w:val="456"/>
    <w:autoRedefine/>
    <w:qFormat/>
    <w:uiPriority w:val="99"/>
    <w:rPr>
      <w:rFonts w:ascii="宋体"/>
      <w:kern w:val="0"/>
      <w:sz w:val="20"/>
      <w:szCs w:val="20"/>
    </w:rPr>
  </w:style>
  <w:style w:type="paragraph" w:styleId="40">
    <w:name w:val="HTML Preformatted"/>
    <w:basedOn w:val="1"/>
    <w:link w:val="469"/>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widowControl/>
      <w:spacing w:after="200" w:line="220" w:lineRule="exact"/>
      <w:jc w:val="center"/>
    </w:pPr>
    <w:rPr>
      <w:rFonts w:ascii="仿宋_GB2312" w:hAnsi="Calibri" w:eastAsia="仿宋_GB2312"/>
      <w:kern w:val="0"/>
      <w:sz w:val="22"/>
      <w:szCs w:val="21"/>
    </w:rPr>
  </w:style>
  <w:style w:type="paragraph" w:styleId="43">
    <w:name w:val="Title"/>
    <w:basedOn w:val="1"/>
    <w:next w:val="1"/>
    <w:link w:val="320"/>
    <w:qFormat/>
    <w:uiPriority w:val="0"/>
    <w:pPr>
      <w:widowControl/>
      <w:pBdr>
        <w:bottom w:val="single" w:color="2DA2BF" w:sz="8" w:space="4"/>
      </w:pBdr>
      <w:spacing w:after="300"/>
      <w:contextualSpacing/>
      <w:jc w:val="left"/>
    </w:pPr>
    <w:rPr>
      <w:rFonts w:ascii="Cambria" w:hAnsi="Cambria"/>
      <w:color w:val="343434"/>
      <w:spacing w:val="5"/>
      <w:kern w:val="28"/>
      <w:sz w:val="52"/>
      <w:szCs w:val="52"/>
    </w:rPr>
  </w:style>
  <w:style w:type="paragraph" w:styleId="44">
    <w:name w:val="annotation subject"/>
    <w:basedOn w:val="16"/>
    <w:next w:val="16"/>
    <w:link w:val="341"/>
    <w:autoRedefine/>
    <w:qFormat/>
    <w:uiPriority w:val="99"/>
    <w:rPr>
      <w:b/>
      <w:bCs/>
    </w:rPr>
  </w:style>
  <w:style w:type="paragraph" w:styleId="45">
    <w:name w:val="Body Text First Indent"/>
    <w:basedOn w:val="18"/>
    <w:link w:val="394"/>
    <w:autoRedefine/>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46">
    <w:name w:val="Body Text First Indent 2"/>
    <w:basedOn w:val="19"/>
    <w:link w:val="344"/>
    <w:qFormat/>
    <w:uiPriority w:val="0"/>
    <w:pPr>
      <w:widowControl/>
      <w:tabs>
        <w:tab w:val="left" w:pos="3996"/>
      </w:tabs>
      <w:spacing w:after="120"/>
      <w:ind w:left="420" w:leftChars="200" w:firstLine="420"/>
    </w:pPr>
    <w:rPr>
      <w:rFonts w:ascii="Times New Roman"/>
      <w:sz w:val="20"/>
      <w:szCs w:val="20"/>
    </w:rPr>
  </w:style>
  <w:style w:type="table" w:styleId="48">
    <w:name w:val="Table Grid"/>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50">
    <w:name w:val="Strong"/>
    <w:autoRedefine/>
    <w:qFormat/>
    <w:uiPriority w:val="0"/>
    <w:rPr>
      <w:b/>
      <w:bCs/>
    </w:rPr>
  </w:style>
  <w:style w:type="character" w:styleId="51">
    <w:name w:val="page number"/>
    <w:autoRedefine/>
    <w:qFormat/>
    <w:uiPriority w:val="0"/>
    <w:rPr>
      <w:rFonts w:cs="Times New Roman"/>
    </w:rPr>
  </w:style>
  <w:style w:type="character" w:styleId="52">
    <w:name w:val="FollowedHyperlink"/>
    <w:autoRedefine/>
    <w:qFormat/>
    <w:uiPriority w:val="0"/>
    <w:rPr>
      <w:color w:val="800080"/>
      <w:u w:val="single"/>
    </w:rPr>
  </w:style>
  <w:style w:type="character" w:styleId="53">
    <w:name w:val="Emphasis"/>
    <w:autoRedefine/>
    <w:qFormat/>
    <w:uiPriority w:val="0"/>
    <w:rPr>
      <w:i/>
      <w:iCs/>
    </w:rPr>
  </w:style>
  <w:style w:type="character" w:styleId="54">
    <w:name w:val="Hyperlink"/>
    <w:autoRedefine/>
    <w:qFormat/>
    <w:uiPriority w:val="99"/>
    <w:rPr>
      <w:color w:val="0000FF"/>
      <w:u w:val="single"/>
    </w:rPr>
  </w:style>
  <w:style w:type="character" w:styleId="55">
    <w:name w:val="annotation reference"/>
    <w:autoRedefine/>
    <w:qFormat/>
    <w:uiPriority w:val="0"/>
    <w:rPr>
      <w:rFonts w:cs="Times New Roman"/>
      <w:sz w:val="21"/>
      <w:szCs w:val="21"/>
    </w:rPr>
  </w:style>
  <w:style w:type="character" w:styleId="56">
    <w:name w:val="footnote reference"/>
    <w:autoRedefine/>
    <w:qFormat/>
    <w:uiPriority w:val="0"/>
    <w:rPr>
      <w:vertAlign w:val="superscript"/>
    </w:rPr>
  </w:style>
  <w:style w:type="paragraph" w:customStyle="1" w:styleId="57">
    <w:name w:val="标题 5（有编号）（绿盟科技）"/>
    <w:basedOn w:val="1"/>
    <w:next w:val="58"/>
    <w:autoRedefine/>
    <w:qFormat/>
    <w:uiPriority w:val="0"/>
    <w:pPr>
      <w:keepNext/>
      <w:keepLines/>
      <w:numPr>
        <w:ilvl w:val="4"/>
        <w:numId w:val="2"/>
      </w:numPr>
      <w:tabs>
        <w:tab w:val="left" w:pos="0"/>
      </w:tabs>
      <w:spacing w:before="280" w:after="156" w:line="377" w:lineRule="auto"/>
      <w:outlineLvl w:val="4"/>
    </w:pPr>
    <w:rPr>
      <w:rFonts w:ascii="Arial" w:hAnsi="Arial" w:eastAsia="黑体"/>
      <w:b/>
      <w:kern w:val="0"/>
      <w:szCs w:val="28"/>
    </w:rPr>
  </w:style>
  <w:style w:type="paragraph" w:customStyle="1" w:styleId="58">
    <w:name w:val="正文（绿盟科技）"/>
    <w:autoRedefine/>
    <w:qFormat/>
    <w:uiPriority w:val="0"/>
    <w:pPr>
      <w:spacing w:line="300" w:lineRule="auto"/>
    </w:pPr>
    <w:rPr>
      <w:rFonts w:ascii="Arial" w:hAnsi="Arial" w:eastAsia="宋体" w:cs="黑体"/>
      <w:sz w:val="21"/>
      <w:szCs w:val="21"/>
      <w:lang w:val="en-US" w:eastAsia="zh-CN" w:bidi="ar-SA"/>
    </w:rPr>
  </w:style>
  <w:style w:type="paragraph" w:customStyle="1" w:styleId="59">
    <w:name w:val="样式1-1"/>
    <w:basedOn w:val="1"/>
    <w:link w:val="365"/>
    <w:autoRedefine/>
    <w:qFormat/>
    <w:uiPriority w:val="0"/>
    <w:pPr>
      <w:jc w:val="center"/>
      <w:outlineLvl w:val="0"/>
    </w:pPr>
    <w:rPr>
      <w:rFonts w:ascii="华文中宋" w:hAnsi="华文中宋" w:eastAsia="华文中宋"/>
      <w:b/>
      <w:color w:val="000000"/>
      <w:kern w:val="0"/>
      <w:sz w:val="48"/>
      <w:szCs w:val="52"/>
    </w:rPr>
  </w:style>
  <w:style w:type="paragraph" w:customStyle="1" w:styleId="60">
    <w:name w:val="样式4-2"/>
    <w:basedOn w:val="61"/>
    <w:link w:val="357"/>
    <w:autoRedefine/>
    <w:qFormat/>
    <w:uiPriority w:val="0"/>
    <w:pPr>
      <w:jc w:val="center"/>
    </w:pPr>
    <w:rPr>
      <w:sz w:val="22"/>
      <w:szCs w:val="20"/>
    </w:rPr>
  </w:style>
  <w:style w:type="paragraph" w:customStyle="1" w:styleId="61">
    <w:name w:val="样式4-1"/>
    <w:basedOn w:val="62"/>
    <w:link w:val="432"/>
    <w:autoRedefine/>
    <w:qFormat/>
    <w:uiPriority w:val="0"/>
    <w:pPr>
      <w:spacing w:beforeLines="0" w:afterLines="0"/>
      <w:outlineLvl w:val="3"/>
    </w:pPr>
    <w:rPr>
      <w:b/>
      <w:sz w:val="28"/>
      <w:szCs w:val="22"/>
    </w:rPr>
  </w:style>
  <w:style w:type="paragraph" w:customStyle="1" w:styleId="62">
    <w:name w:val="样式正文-1"/>
    <w:basedOn w:val="1"/>
    <w:link w:val="404"/>
    <w:autoRedefine/>
    <w:qFormat/>
    <w:uiPriority w:val="0"/>
    <w:pPr>
      <w:adjustRightInd w:val="0"/>
      <w:snapToGrid w:val="0"/>
      <w:spacing w:beforeLines="100" w:afterLines="100"/>
    </w:pPr>
    <w:rPr>
      <w:sz w:val="22"/>
      <w:szCs w:val="20"/>
    </w:rPr>
  </w:style>
  <w:style w:type="paragraph" w:customStyle="1" w:styleId="63">
    <w:name w:val="样式2-1"/>
    <w:basedOn w:val="1"/>
    <w:link w:val="352"/>
    <w:autoRedefine/>
    <w:qFormat/>
    <w:uiPriority w:val="0"/>
    <w:pPr>
      <w:adjustRightInd w:val="0"/>
      <w:snapToGrid w:val="0"/>
      <w:spacing w:beforeLines="100" w:afterLines="100"/>
      <w:jc w:val="center"/>
      <w:outlineLvl w:val="1"/>
    </w:pPr>
    <w:rPr>
      <w:rFonts w:ascii="华文中宋" w:hAnsi="华文中宋" w:eastAsia="华文中宋"/>
      <w:b/>
      <w:color w:val="000000"/>
      <w:sz w:val="36"/>
      <w:szCs w:val="44"/>
    </w:rPr>
  </w:style>
  <w:style w:type="paragraph" w:customStyle="1" w:styleId="64">
    <w:name w:val="样式3-2"/>
    <w:basedOn w:val="65"/>
    <w:link w:val="382"/>
    <w:autoRedefine/>
    <w:qFormat/>
    <w:uiPriority w:val="0"/>
    <w:pPr>
      <w:spacing w:beforeLines="100" w:afterLines="100"/>
      <w:jc w:val="center"/>
    </w:pPr>
    <w:rPr>
      <w:rFonts w:ascii="黑体" w:hAnsi="Times New Roman"/>
      <w:color w:val="auto"/>
    </w:rPr>
  </w:style>
  <w:style w:type="paragraph" w:customStyle="1" w:styleId="65">
    <w:name w:val="样式3-1"/>
    <w:basedOn w:val="1"/>
    <w:link w:val="324"/>
    <w:autoRedefine/>
    <w:qFormat/>
    <w:uiPriority w:val="0"/>
    <w:pPr>
      <w:autoSpaceDE w:val="0"/>
      <w:autoSpaceDN w:val="0"/>
      <w:adjustRightInd w:val="0"/>
      <w:snapToGrid w:val="0"/>
      <w:spacing w:beforeLines="50" w:afterLines="50"/>
      <w:jc w:val="left"/>
      <w:outlineLvl w:val="2"/>
    </w:pPr>
    <w:rPr>
      <w:rFonts w:ascii="Arial" w:hAnsi="Arial" w:eastAsia="黑体"/>
      <w:b/>
      <w:color w:val="000000"/>
      <w:kern w:val="0"/>
      <w:sz w:val="32"/>
      <w:szCs w:val="20"/>
    </w:rPr>
  </w:style>
  <w:style w:type="paragraph" w:customStyle="1" w:styleId="66">
    <w:name w:val="文章正文"/>
    <w:basedOn w:val="1"/>
    <w:link w:val="434"/>
    <w:autoRedefine/>
    <w:qFormat/>
    <w:uiPriority w:val="0"/>
    <w:pPr>
      <w:spacing w:line="360" w:lineRule="auto"/>
      <w:ind w:firstLine="420" w:firstLineChars="200"/>
    </w:pPr>
    <w:rPr>
      <w:rFonts w:ascii="宋体" w:hAnsi="宋体"/>
      <w:szCs w:val="20"/>
    </w:rPr>
  </w:style>
  <w:style w:type="paragraph" w:customStyle="1" w:styleId="67">
    <w:name w:val="样式5-2"/>
    <w:basedOn w:val="68"/>
    <w:link w:val="393"/>
    <w:autoRedefine/>
    <w:qFormat/>
    <w:uiPriority w:val="0"/>
    <w:pPr>
      <w:spacing w:before="312" w:after="312"/>
      <w:ind w:firstLine="482" w:firstLineChars="200"/>
    </w:pPr>
    <w:rPr>
      <w:sz w:val="24"/>
    </w:rPr>
  </w:style>
  <w:style w:type="paragraph" w:customStyle="1" w:styleId="68">
    <w:name w:val="样式5-1"/>
    <w:basedOn w:val="62"/>
    <w:link w:val="334"/>
    <w:autoRedefine/>
    <w:qFormat/>
    <w:uiPriority w:val="0"/>
    <w:pPr>
      <w:spacing w:beforeLines="0" w:afterLines="0"/>
      <w:outlineLvl w:val="4"/>
    </w:pPr>
    <w:rPr>
      <w:b/>
      <w:sz w:val="28"/>
      <w:szCs w:val="22"/>
    </w:rPr>
  </w:style>
  <w:style w:type="paragraph" w:customStyle="1" w:styleId="69">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70">
    <w:name w:val="1级标题（第一卷）"/>
    <w:basedOn w:val="1"/>
    <w:link w:val="315"/>
    <w:autoRedefine/>
    <w:qFormat/>
    <w:uiPriority w:val="0"/>
    <w:pPr>
      <w:adjustRightInd w:val="0"/>
      <w:snapToGrid w:val="0"/>
      <w:spacing w:beforeLines="100" w:afterLines="100"/>
      <w:jc w:val="center"/>
      <w:outlineLvl w:val="0"/>
    </w:pPr>
    <w:rPr>
      <w:rFonts w:ascii="黑体" w:hAnsi="华文中宋" w:eastAsia="黑体"/>
      <w:b/>
      <w:sz w:val="48"/>
      <w:szCs w:val="20"/>
    </w:rPr>
  </w:style>
  <w:style w:type="paragraph" w:customStyle="1" w:styleId="71">
    <w:name w:val="gyy正文"/>
    <w:basedOn w:val="1"/>
    <w:link w:val="372"/>
    <w:autoRedefine/>
    <w:qFormat/>
    <w:uiPriority w:val="0"/>
    <w:pPr>
      <w:spacing w:line="360" w:lineRule="auto"/>
      <w:ind w:firstLine="480" w:firstLineChars="200"/>
    </w:pPr>
    <w:rPr>
      <w:rFonts w:ascii="Verdana" w:hAnsi="Verdana"/>
      <w:sz w:val="24"/>
    </w:rPr>
  </w:style>
  <w:style w:type="paragraph" w:customStyle="1" w:styleId="72">
    <w:name w:val="样式正文-2"/>
    <w:basedOn w:val="73"/>
    <w:link w:val="427"/>
    <w:autoRedefine/>
    <w:qFormat/>
    <w:uiPriority w:val="0"/>
    <w:pPr>
      <w:snapToGrid w:val="0"/>
      <w:spacing w:beforeLines="50" w:line="360" w:lineRule="auto"/>
      <w:ind w:firstLine="480" w:firstLineChars="200"/>
    </w:pPr>
    <w:rPr>
      <w:rFonts w:ascii="Arial" w:hAnsi="Arial" w:eastAsia="宋体"/>
    </w:rPr>
  </w:style>
  <w:style w:type="paragraph" w:customStyle="1" w:styleId="73">
    <w:name w:val="Default"/>
    <w:link w:val="447"/>
    <w:autoRedefine/>
    <w:qFormat/>
    <w:uiPriority w:val="0"/>
    <w:pPr>
      <w:widowControl w:val="0"/>
      <w:autoSpaceDE w:val="0"/>
      <w:autoSpaceDN w:val="0"/>
      <w:adjustRightInd w:val="0"/>
    </w:pPr>
    <w:rPr>
      <w:rFonts w:ascii="......." w:hAnsi="......." w:eastAsia="......." w:cs="Times New Roman"/>
      <w:color w:val="000000"/>
      <w:sz w:val="24"/>
      <w:szCs w:val="24"/>
      <w:lang w:val="en-US" w:eastAsia="zh-CN" w:bidi="ar-SA"/>
    </w:rPr>
  </w:style>
  <w:style w:type="paragraph" w:customStyle="1" w:styleId="74">
    <w:name w:val="样式3"/>
    <w:basedOn w:val="3"/>
    <w:link w:val="351"/>
    <w:autoRedefine/>
    <w:qFormat/>
    <w:uiPriority w:val="0"/>
    <w:pPr>
      <w:keepNext w:val="0"/>
      <w:widowControl/>
      <w:tabs>
        <w:tab w:val="left" w:pos="0"/>
        <w:tab w:val="clear" w:pos="420"/>
        <w:tab w:val="clear" w:pos="6090"/>
      </w:tabs>
      <w:adjustRightInd/>
      <w:spacing w:after="120" w:line="500" w:lineRule="atLeast"/>
      <w:ind w:firstLine="720" w:firstLineChars="300"/>
      <w:contextualSpacing/>
      <w:jc w:val="left"/>
      <w:textAlignment w:val="auto"/>
    </w:pPr>
    <w:rPr>
      <w:rFonts w:ascii="Times New Roman" w:hAnsi="Times New Roman"/>
      <w:b w:val="0"/>
      <w:sz w:val="24"/>
      <w:szCs w:val="24"/>
    </w:rPr>
  </w:style>
  <w:style w:type="paragraph" w:customStyle="1" w:styleId="75">
    <w:name w:val="Char"/>
    <w:basedOn w:val="1"/>
    <w:autoRedefine/>
    <w:qFormat/>
    <w:uiPriority w:val="0"/>
  </w:style>
  <w:style w:type="paragraph" w:customStyle="1" w:styleId="76">
    <w:name w:val="2级标题（前附表）"/>
    <w:basedOn w:val="1"/>
    <w:link w:val="345"/>
    <w:autoRedefine/>
    <w:qFormat/>
    <w:uiPriority w:val="0"/>
    <w:pPr>
      <w:outlineLvl w:val="1"/>
    </w:pPr>
    <w:rPr>
      <w:rFonts w:ascii="黑体" w:eastAsia="黑体"/>
      <w:color w:val="000000"/>
      <w:sz w:val="28"/>
      <w:szCs w:val="20"/>
    </w:rPr>
  </w:style>
  <w:style w:type="paragraph" w:customStyle="1" w:styleId="77">
    <w:name w:val="CM104"/>
    <w:basedOn w:val="73"/>
    <w:next w:val="73"/>
    <w:link w:val="431"/>
    <w:autoRedefine/>
    <w:qFormat/>
    <w:uiPriority w:val="0"/>
  </w:style>
  <w:style w:type="paragraph" w:customStyle="1" w:styleId="78">
    <w:name w:val="3级标题（总则）"/>
    <w:basedOn w:val="79"/>
    <w:link w:val="411"/>
    <w:autoRedefine/>
    <w:qFormat/>
    <w:uiPriority w:val="0"/>
    <w:pPr>
      <w:jc w:val="both"/>
      <w:outlineLvl w:val="2"/>
    </w:pPr>
    <w:rPr>
      <w:rFonts w:cs="Times New Roman"/>
      <w:b/>
      <w:kern w:val="2"/>
    </w:rPr>
  </w:style>
  <w:style w:type="paragraph" w:customStyle="1" w:styleId="79">
    <w:name w:val="样式2"/>
    <w:basedOn w:val="1"/>
    <w:next w:val="31"/>
    <w:autoRedefine/>
    <w:qFormat/>
    <w:uiPriority w:val="0"/>
    <w:pPr>
      <w:spacing w:line="360" w:lineRule="auto"/>
      <w:jc w:val="center"/>
    </w:pPr>
    <w:rPr>
      <w:rFonts w:ascii="宋体" w:hAnsi="宋体" w:cs="宋体"/>
      <w:kern w:val="0"/>
      <w:sz w:val="24"/>
    </w:rPr>
  </w:style>
  <w:style w:type="paragraph" w:customStyle="1" w:styleId="80">
    <w:name w:val="CM107"/>
    <w:basedOn w:val="73"/>
    <w:next w:val="73"/>
    <w:autoRedefine/>
    <w:qFormat/>
    <w:uiPriority w:val="0"/>
    <w:rPr>
      <w:rFonts w:ascii="宋体" w:hAnsi="Calibri" w:eastAsia="宋体"/>
      <w:color w:val="auto"/>
    </w:rPr>
  </w:style>
  <w:style w:type="paragraph" w:customStyle="1" w:styleId="81">
    <w:name w:val="CM121"/>
    <w:basedOn w:val="73"/>
    <w:next w:val="73"/>
    <w:autoRedefine/>
    <w:qFormat/>
    <w:uiPriority w:val="0"/>
    <w:rPr>
      <w:rFonts w:ascii="宋体" w:hAnsi="Calibri" w:eastAsia="宋体"/>
      <w:color w:val="auto"/>
    </w:rPr>
  </w:style>
  <w:style w:type="paragraph" w:styleId="82">
    <w:name w:val="Quote"/>
    <w:basedOn w:val="1"/>
    <w:next w:val="1"/>
    <w:link w:val="354"/>
    <w:autoRedefine/>
    <w:qFormat/>
    <w:uiPriority w:val="0"/>
    <w:pPr>
      <w:widowControl/>
      <w:spacing w:after="200" w:line="276" w:lineRule="auto"/>
      <w:jc w:val="left"/>
    </w:pPr>
    <w:rPr>
      <w:i/>
      <w:iCs/>
      <w:color w:val="000000"/>
      <w:kern w:val="0"/>
      <w:sz w:val="20"/>
      <w:szCs w:val="20"/>
    </w:rPr>
  </w:style>
  <w:style w:type="paragraph" w:customStyle="1" w:styleId="83">
    <w:name w:val="样式3-3"/>
    <w:basedOn w:val="65"/>
    <w:link w:val="349"/>
    <w:autoRedefine/>
    <w:qFormat/>
    <w:uiPriority w:val="0"/>
    <w:pPr>
      <w:spacing w:beforeLines="0" w:afterLines="0"/>
    </w:pPr>
    <w:rPr>
      <w:rFonts w:ascii="黑体" w:hAnsi="华文中宋"/>
      <w:bCs/>
      <w:sz w:val="24"/>
      <w:szCs w:val="32"/>
    </w:rPr>
  </w:style>
  <w:style w:type="paragraph" w:customStyle="1" w:styleId="84">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85">
    <w:name w:val="样式5 Char"/>
    <w:link w:val="438"/>
    <w:autoRedefine/>
    <w:qFormat/>
    <w:uiPriority w:val="0"/>
    <w:pPr>
      <w:spacing w:beforeLines="80" w:afterLines="60"/>
      <w:jc w:val="center"/>
    </w:pPr>
    <w:rPr>
      <w:rFonts w:ascii="黑体" w:hAnsi="Times New Roman" w:eastAsia="黑体" w:cs="Times New Roman"/>
      <w:b/>
      <w:bCs/>
      <w:kern w:val="2"/>
      <w:sz w:val="32"/>
      <w:szCs w:val="32"/>
      <w:lang w:val="en-US" w:eastAsia="zh-CN" w:bidi="ar-SA"/>
    </w:rPr>
  </w:style>
  <w:style w:type="paragraph" w:styleId="86">
    <w:name w:val="Intense Quote"/>
    <w:basedOn w:val="1"/>
    <w:next w:val="1"/>
    <w:link w:val="384"/>
    <w:autoRedefine/>
    <w:qFormat/>
    <w:uiPriority w:val="0"/>
    <w:pPr>
      <w:widowControl/>
      <w:pBdr>
        <w:bottom w:val="single" w:color="2DA2BF" w:sz="4" w:space="4"/>
      </w:pBdr>
      <w:spacing w:before="200" w:after="280" w:line="276" w:lineRule="auto"/>
      <w:ind w:left="936" w:right="936"/>
      <w:jc w:val="left"/>
    </w:pPr>
    <w:rPr>
      <w:b/>
      <w:bCs/>
      <w:i/>
      <w:iCs/>
      <w:color w:val="2DA2BF"/>
      <w:kern w:val="0"/>
      <w:sz w:val="20"/>
      <w:szCs w:val="20"/>
    </w:rPr>
  </w:style>
  <w:style w:type="paragraph" w:customStyle="1" w:styleId="87">
    <w:name w:val="CM9"/>
    <w:basedOn w:val="73"/>
    <w:next w:val="73"/>
    <w:autoRedefine/>
    <w:qFormat/>
    <w:uiPriority w:val="0"/>
    <w:pPr>
      <w:spacing w:line="400" w:lineRule="atLeast"/>
    </w:pPr>
    <w:rPr>
      <w:rFonts w:ascii="宋体" w:hAnsi="Calibri" w:eastAsia="宋体"/>
      <w:color w:val="auto"/>
    </w:rPr>
  </w:style>
  <w:style w:type="paragraph" w:customStyle="1" w:styleId="88">
    <w:name w:val="样式4-3"/>
    <w:basedOn w:val="83"/>
    <w:link w:val="314"/>
    <w:autoRedefine/>
    <w:qFormat/>
    <w:uiPriority w:val="0"/>
    <w:pPr>
      <w:ind w:firstLine="482" w:firstLineChars="200"/>
      <w:outlineLvl w:val="3"/>
    </w:pPr>
  </w:style>
  <w:style w:type="paragraph" w:customStyle="1" w:styleId="89">
    <w:name w:val="4级标题（1.1项目概况)"/>
    <w:basedOn w:val="1"/>
    <w:link w:val="467"/>
    <w:autoRedefine/>
    <w:qFormat/>
    <w:uiPriority w:val="0"/>
    <w:pPr>
      <w:spacing w:line="360" w:lineRule="auto"/>
      <w:outlineLvl w:val="3"/>
    </w:pPr>
    <w:rPr>
      <w:rFonts w:ascii="宋体" w:hAnsi="宋体"/>
      <w:b/>
      <w:sz w:val="24"/>
      <w:szCs w:val="20"/>
    </w:rPr>
  </w:style>
  <w:style w:type="paragraph" w:customStyle="1" w:styleId="90">
    <w:name w:val="样式 标题 3 + (中文) 黑体 小四 非加粗 段前: 7.8 磅 段后: 0 磅 行距: 固定值 20 磅"/>
    <w:basedOn w:val="4"/>
    <w:autoRedefine/>
    <w:qFormat/>
    <w:uiPriority w:val="0"/>
    <w:pPr>
      <w:widowControl/>
      <w:spacing w:line="400" w:lineRule="exact"/>
      <w:jc w:val="left"/>
    </w:pPr>
    <w:rPr>
      <w:rFonts w:ascii="Cambria" w:hAnsi="Cambria" w:cs="宋体"/>
      <w:b w:val="0"/>
      <w:bCs w:val="0"/>
      <w:color w:val="2DA2BF"/>
      <w:sz w:val="24"/>
      <w:szCs w:val="20"/>
    </w:rPr>
  </w:style>
  <w:style w:type="paragraph" w:customStyle="1" w:styleId="91">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2">
    <w:name w:val="Char Char1 Char Char Char"/>
    <w:basedOn w:val="1"/>
    <w:autoRedefine/>
    <w:qFormat/>
    <w:uiPriority w:val="0"/>
    <w:rPr>
      <w:kern w:val="0"/>
      <w:sz w:val="20"/>
      <w:szCs w:val="20"/>
    </w:rPr>
  </w:style>
  <w:style w:type="paragraph" w:customStyle="1" w:styleId="93">
    <w:name w:val="第六行"/>
    <w:basedOn w:val="94"/>
    <w:autoRedefine/>
    <w:qFormat/>
    <w:uiPriority w:val="0"/>
    <w:pPr>
      <w:ind w:left="-200" w:leftChars="-200"/>
    </w:pPr>
  </w:style>
  <w:style w:type="paragraph" w:customStyle="1" w:styleId="94">
    <w:name w:val="样式 样式 样式 第五行 + 左侧:  -8 字符 段前: 2 行 + 左侧:  -6 字符 段前: 2 行 + 左侧:  -4..."/>
    <w:basedOn w:val="95"/>
    <w:autoRedefine/>
    <w:qFormat/>
    <w:uiPriority w:val="0"/>
    <w:rPr>
      <w:szCs w:val="28"/>
    </w:rPr>
  </w:style>
  <w:style w:type="paragraph" w:customStyle="1" w:styleId="95">
    <w:name w:val="样式 样式 第五行 + 左侧:  -8 字符 段前: 2 行 + 左侧:  -6 字符 段前: 2 行"/>
    <w:basedOn w:val="96"/>
    <w:autoRedefine/>
    <w:qFormat/>
    <w:uiPriority w:val="0"/>
    <w:pPr>
      <w:ind w:left="-400" w:leftChars="-400"/>
    </w:pPr>
  </w:style>
  <w:style w:type="paragraph" w:customStyle="1" w:styleId="96">
    <w:name w:val="样式 第五行 + 左侧:  -8 字符 段前: 2 行"/>
    <w:basedOn w:val="97"/>
    <w:autoRedefine/>
    <w:qFormat/>
    <w:uiPriority w:val="0"/>
    <w:pPr>
      <w:ind w:left="-600" w:leftChars="-600"/>
    </w:pPr>
    <w:rPr>
      <w:szCs w:val="20"/>
    </w:rPr>
  </w:style>
  <w:style w:type="paragraph" w:customStyle="1" w:styleId="97">
    <w:name w:val="第五行"/>
    <w:basedOn w:val="98"/>
    <w:autoRedefine/>
    <w:qFormat/>
    <w:uiPriority w:val="0"/>
    <w:pPr>
      <w:ind w:left="-800" w:leftChars="-800"/>
    </w:pPr>
  </w:style>
  <w:style w:type="paragraph" w:customStyle="1" w:styleId="98">
    <w:name w:val="第四行"/>
    <w:basedOn w:val="1"/>
    <w:autoRedefine/>
    <w:qFormat/>
    <w:uiPriority w:val="0"/>
    <w:pPr>
      <w:spacing w:beforeLines="200" w:line="360" w:lineRule="auto"/>
      <w:ind w:left="-400" w:leftChars="-400"/>
      <w:jc w:val="center"/>
    </w:pPr>
    <w:rPr>
      <w:rFonts w:ascii="宋体"/>
      <w:b/>
      <w:bCs/>
      <w:sz w:val="28"/>
      <w:szCs w:val="28"/>
    </w:rPr>
  </w:style>
  <w:style w:type="paragraph" w:customStyle="1" w:styleId="99">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0">
    <w:name w:val="菲页(卷)"/>
    <w:basedOn w:val="2"/>
    <w:next w:val="101"/>
    <w:autoRedefine/>
    <w:qFormat/>
    <w:uiPriority w:val="0"/>
    <w:pPr>
      <w:widowControl/>
      <w:tabs>
        <w:tab w:val="left" w:pos="425"/>
      </w:tabs>
      <w:autoSpaceDE/>
      <w:autoSpaceDN/>
      <w:adjustRightInd/>
      <w:ind w:left="425" w:hanging="425"/>
      <w:jc w:val="center"/>
      <w:outlineLvl w:val="1"/>
    </w:pPr>
    <w:rPr>
      <w:rFonts w:ascii="黑体" w:eastAsia="黑体"/>
      <w:b w:val="0"/>
      <w:bCs w:val="0"/>
      <w:color w:val="auto"/>
      <w:sz w:val="52"/>
    </w:rPr>
  </w:style>
  <w:style w:type="paragraph" w:customStyle="1" w:styleId="101">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02">
    <w:name w:val="Table Paragraph"/>
    <w:basedOn w:val="1"/>
    <w:autoRedefine/>
    <w:qFormat/>
    <w:uiPriority w:val="1"/>
    <w:rPr>
      <w:rFonts w:ascii="宋体" w:hAnsi="宋体" w:cs="宋体"/>
      <w:lang w:eastAsia="zh-TW"/>
    </w:rPr>
  </w:style>
  <w:style w:type="paragraph" w:customStyle="1" w:styleId="103">
    <w:name w:val="CM114"/>
    <w:basedOn w:val="73"/>
    <w:next w:val="73"/>
    <w:autoRedefine/>
    <w:qFormat/>
    <w:uiPriority w:val="0"/>
    <w:rPr>
      <w:rFonts w:ascii="宋体" w:hAnsi="Calibri" w:eastAsia="宋体"/>
      <w:color w:val="auto"/>
    </w:rPr>
  </w:style>
  <w:style w:type="paragraph" w:customStyle="1" w:styleId="104">
    <w:name w:val="样式1-正文-缩进"/>
    <w:basedOn w:val="1"/>
    <w:autoRedefine/>
    <w:qFormat/>
    <w:uiPriority w:val="0"/>
    <w:pPr>
      <w:spacing w:line="360" w:lineRule="auto"/>
      <w:ind w:firstLine="480" w:firstLineChars="200"/>
    </w:pPr>
    <w:rPr>
      <w:sz w:val="24"/>
    </w:rPr>
  </w:style>
  <w:style w:type="paragraph" w:customStyle="1" w:styleId="105">
    <w:name w:val="正文3"/>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06">
    <w:name w:val="CM11"/>
    <w:basedOn w:val="73"/>
    <w:next w:val="73"/>
    <w:autoRedefine/>
    <w:qFormat/>
    <w:uiPriority w:val="0"/>
    <w:pPr>
      <w:spacing w:line="403" w:lineRule="atLeast"/>
    </w:pPr>
    <w:rPr>
      <w:rFonts w:ascii="宋体" w:hAnsi="Calibri" w:eastAsia="宋体"/>
      <w:color w:val="auto"/>
    </w:rPr>
  </w:style>
  <w:style w:type="paragraph" w:customStyle="1" w:styleId="107">
    <w:name w:val="样式 段落编号 + (中文) 黑体 两端对齐 Char Char Char"/>
    <w:basedOn w:val="1"/>
    <w:autoRedefine/>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108">
    <w:name w:val="样式 标题 2 + Times New Roman 四号 非加粗 段前: 5 磅 段后: 0 磅 行距: 固定值 20..."/>
    <w:basedOn w:val="3"/>
    <w:autoRedefine/>
    <w:qFormat/>
    <w:uiPriority w:val="0"/>
    <w:pPr>
      <w:keepLines/>
      <w:widowControl/>
      <w:tabs>
        <w:tab w:val="left" w:pos="-735"/>
        <w:tab w:val="clear" w:pos="420"/>
        <w:tab w:val="clear" w:pos="6090"/>
      </w:tabs>
      <w:adjustRightInd/>
      <w:spacing w:before="100" w:line="400" w:lineRule="exact"/>
      <w:jc w:val="left"/>
      <w:textAlignment w:val="auto"/>
    </w:pPr>
    <w:rPr>
      <w:rFonts w:ascii="Times New Roman" w:hAnsi="Times New Roman" w:eastAsia="宋体" w:cs="宋体"/>
      <w:bCs/>
      <w:color w:val="2DA2BF"/>
      <w:szCs w:val="20"/>
    </w:rPr>
  </w:style>
  <w:style w:type="paragraph" w:customStyle="1" w:styleId="109">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110">
    <w:name w:val="表格文字"/>
    <w:basedOn w:val="1"/>
    <w:autoRedefine/>
    <w:qFormat/>
    <w:uiPriority w:val="0"/>
    <w:pPr>
      <w:widowControl/>
      <w:adjustRightInd w:val="0"/>
      <w:spacing w:after="200" w:line="420" w:lineRule="atLeast"/>
      <w:jc w:val="left"/>
      <w:textAlignment w:val="baseline"/>
    </w:pPr>
    <w:rPr>
      <w:rFonts w:ascii="Calibri" w:hAnsi="Calibri"/>
      <w:kern w:val="0"/>
      <w:sz w:val="22"/>
      <w:szCs w:val="20"/>
    </w:rPr>
  </w:style>
  <w:style w:type="paragraph" w:customStyle="1" w:styleId="111">
    <w:name w:val="菲页1"/>
    <w:basedOn w:val="3"/>
    <w:autoRedefine/>
    <w:qFormat/>
    <w:uiPriority w:val="0"/>
    <w:pPr>
      <w:keepLines/>
      <w:widowControl/>
      <w:tabs>
        <w:tab w:val="left" w:pos="-735"/>
        <w:tab w:val="clear" w:pos="420"/>
        <w:tab w:val="clear" w:pos="6090"/>
      </w:tabs>
      <w:adjustRightInd/>
      <w:spacing w:before="260" w:after="260" w:line="416" w:lineRule="auto"/>
      <w:textAlignment w:val="auto"/>
    </w:pPr>
    <w:rPr>
      <w:rFonts w:hAnsi="宋体"/>
      <w:bCs/>
      <w:sz w:val="52"/>
      <w:szCs w:val="20"/>
    </w:rPr>
  </w:style>
  <w:style w:type="paragraph" w:customStyle="1" w:styleId="112">
    <w:name w:val="Char11"/>
    <w:basedOn w:val="1"/>
    <w:autoRedefine/>
    <w:qFormat/>
    <w:uiPriority w:val="0"/>
  </w:style>
  <w:style w:type="paragraph" w:customStyle="1" w:styleId="113">
    <w:name w:val="CM50"/>
    <w:basedOn w:val="73"/>
    <w:next w:val="73"/>
    <w:autoRedefine/>
    <w:qFormat/>
    <w:uiPriority w:val="0"/>
    <w:rPr>
      <w:rFonts w:ascii="宋体" w:hAnsi="Calibri" w:eastAsia="宋体"/>
      <w:color w:val="auto"/>
    </w:rPr>
  </w:style>
  <w:style w:type="paragraph" w:customStyle="1" w:styleId="114">
    <w:name w:val="CM15"/>
    <w:basedOn w:val="73"/>
    <w:next w:val="73"/>
    <w:autoRedefine/>
    <w:qFormat/>
    <w:uiPriority w:val="0"/>
    <w:pPr>
      <w:spacing w:line="400" w:lineRule="atLeast"/>
    </w:pPr>
    <w:rPr>
      <w:rFonts w:ascii="宋体" w:hAnsi="Calibri" w:eastAsia="宋体"/>
      <w:color w:val="auto"/>
    </w:rPr>
  </w:style>
  <w:style w:type="paragraph" w:customStyle="1" w:styleId="115">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6">
    <w:name w:val="Char Char2 Char Char Char Char Char Char Char Char Char Char Char Char Char"/>
    <w:basedOn w:val="1"/>
    <w:autoRedefine/>
    <w:qFormat/>
    <w:uiPriority w:val="0"/>
    <w:pPr>
      <w:ind w:firstLine="360" w:firstLineChars="150"/>
    </w:pPr>
    <w:rPr>
      <w:rFonts w:ascii="Tahoma" w:hAnsi="Tahoma"/>
      <w:sz w:val="24"/>
      <w:szCs w:val="20"/>
    </w:rPr>
  </w:style>
  <w:style w:type="paragraph" w:customStyle="1" w:styleId="117">
    <w:name w:val="CM92"/>
    <w:basedOn w:val="73"/>
    <w:next w:val="73"/>
    <w:autoRedefine/>
    <w:qFormat/>
    <w:uiPriority w:val="0"/>
    <w:pPr>
      <w:spacing w:line="440" w:lineRule="atLeast"/>
    </w:pPr>
    <w:rPr>
      <w:rFonts w:ascii="宋体" w:hAnsi="Calibri" w:eastAsia="宋体"/>
      <w:color w:val="auto"/>
    </w:rPr>
  </w:style>
  <w:style w:type="paragraph" w:customStyle="1" w:styleId="118">
    <w:name w:val="CM85"/>
    <w:basedOn w:val="73"/>
    <w:next w:val="73"/>
    <w:autoRedefine/>
    <w:qFormat/>
    <w:uiPriority w:val="0"/>
    <w:pPr>
      <w:spacing w:line="440" w:lineRule="atLeast"/>
    </w:pPr>
    <w:rPr>
      <w:rFonts w:ascii="宋体" w:hAnsi="Calibri" w:eastAsia="宋体"/>
      <w:color w:val="auto"/>
    </w:rPr>
  </w:style>
  <w:style w:type="paragraph" w:customStyle="1" w:styleId="119">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20">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1">
    <w:name w:val="CM2"/>
    <w:basedOn w:val="73"/>
    <w:next w:val="73"/>
    <w:autoRedefine/>
    <w:qFormat/>
    <w:uiPriority w:val="0"/>
    <w:pPr>
      <w:spacing w:line="500" w:lineRule="atLeast"/>
    </w:pPr>
    <w:rPr>
      <w:rFonts w:ascii="宋体" w:hAnsi="Calibri" w:eastAsia="宋体"/>
      <w:color w:val="auto"/>
    </w:rPr>
  </w:style>
  <w:style w:type="paragraph" w:customStyle="1" w:styleId="122">
    <w:name w:val="Char Char Char Char Char Char Char1"/>
    <w:basedOn w:val="1"/>
    <w:autoRedefine/>
    <w:qFormat/>
    <w:uiPriority w:val="0"/>
    <w:pPr>
      <w:widowControl/>
      <w:spacing w:after="160" w:line="240" w:lineRule="exact"/>
      <w:jc w:val="left"/>
    </w:pPr>
  </w:style>
  <w:style w:type="paragraph" w:customStyle="1" w:styleId="123">
    <w:name w:val="TOC 标题1"/>
    <w:basedOn w:val="2"/>
    <w:next w:val="1"/>
    <w:autoRedefine/>
    <w:qFormat/>
    <w:uiPriority w:val="0"/>
    <w:pPr>
      <w:keepLines/>
      <w:widowControl/>
      <w:autoSpaceDE/>
      <w:autoSpaceDN/>
      <w:adjustRightInd/>
      <w:spacing w:line="276" w:lineRule="auto"/>
      <w:outlineLvl w:val="9"/>
    </w:pPr>
    <w:rPr>
      <w:rFonts w:ascii="Cambria" w:hAnsi="Cambria" w:eastAsia="宋体"/>
      <w:color w:val="365F91"/>
      <w:sz w:val="28"/>
      <w:szCs w:val="28"/>
    </w:rPr>
  </w:style>
  <w:style w:type="paragraph" w:customStyle="1" w:styleId="124">
    <w:name w:val="CM46"/>
    <w:basedOn w:val="73"/>
    <w:next w:val="73"/>
    <w:autoRedefine/>
    <w:qFormat/>
    <w:uiPriority w:val="0"/>
    <w:pPr>
      <w:spacing w:line="440" w:lineRule="atLeast"/>
    </w:pPr>
    <w:rPr>
      <w:rFonts w:ascii="宋体" w:hAnsi="Calibri" w:eastAsia="宋体"/>
      <w:color w:val="auto"/>
    </w:rPr>
  </w:style>
  <w:style w:type="paragraph" w:customStyle="1" w:styleId="125">
    <w:name w:val="Char3"/>
    <w:basedOn w:val="1"/>
    <w:autoRedefine/>
    <w:qFormat/>
    <w:uiPriority w:val="0"/>
    <w:pPr>
      <w:ind w:left="432" w:hanging="432"/>
    </w:pPr>
    <w:rPr>
      <w:sz w:val="24"/>
    </w:rPr>
  </w:style>
  <w:style w:type="paragraph" w:customStyle="1" w:styleId="126">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28">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29">
    <w:name w:val="+列表1"/>
    <w:basedOn w:val="1"/>
    <w:autoRedefine/>
    <w:qFormat/>
    <w:uiPriority w:val="0"/>
    <w:pPr>
      <w:jc w:val="center"/>
    </w:pPr>
  </w:style>
  <w:style w:type="paragraph" w:customStyle="1" w:styleId="130">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31">
    <w:name w:val="CM87"/>
    <w:basedOn w:val="73"/>
    <w:next w:val="73"/>
    <w:autoRedefine/>
    <w:qFormat/>
    <w:uiPriority w:val="0"/>
    <w:pPr>
      <w:spacing w:line="440" w:lineRule="atLeast"/>
    </w:pPr>
    <w:rPr>
      <w:rFonts w:ascii="宋体" w:hAnsi="Calibri" w:eastAsia="宋体"/>
      <w:color w:val="auto"/>
    </w:rPr>
  </w:style>
  <w:style w:type="paragraph" w:customStyle="1" w:styleId="132">
    <w:name w:val="菲页2"/>
    <w:basedOn w:val="4"/>
    <w:autoRedefine/>
    <w:qFormat/>
    <w:uiPriority w:val="0"/>
    <w:pPr>
      <w:widowControl/>
      <w:tabs>
        <w:tab w:val="left" w:pos="425"/>
      </w:tabs>
      <w:spacing w:line="312" w:lineRule="auto"/>
      <w:ind w:left="425" w:hanging="425"/>
      <w:jc w:val="both"/>
    </w:pPr>
    <w:rPr>
      <w:sz w:val="44"/>
      <w:szCs w:val="20"/>
    </w:rPr>
  </w:style>
  <w:style w:type="paragraph" w:customStyle="1" w:styleId="133">
    <w:name w:val="CM47"/>
    <w:basedOn w:val="73"/>
    <w:next w:val="73"/>
    <w:autoRedefine/>
    <w:qFormat/>
    <w:uiPriority w:val="0"/>
    <w:pPr>
      <w:spacing w:line="400" w:lineRule="atLeast"/>
    </w:pPr>
    <w:rPr>
      <w:rFonts w:ascii="宋体" w:hAnsi="Calibri" w:eastAsia="宋体"/>
      <w:color w:val="auto"/>
    </w:rPr>
  </w:style>
  <w:style w:type="paragraph" w:customStyle="1" w:styleId="134">
    <w:name w:val="+正文"/>
    <w:basedOn w:val="1"/>
    <w:autoRedefine/>
    <w:qFormat/>
    <w:uiPriority w:val="0"/>
    <w:pPr>
      <w:spacing w:line="360" w:lineRule="auto"/>
      <w:ind w:firstLine="200" w:firstLineChars="200"/>
    </w:pPr>
    <w:rPr>
      <w:sz w:val="24"/>
      <w:szCs w:val="28"/>
    </w:rPr>
  </w:style>
  <w:style w:type="paragraph" w:customStyle="1" w:styleId="135">
    <w:name w:val="Char1"/>
    <w:basedOn w:val="1"/>
    <w:autoRedefine/>
    <w:qFormat/>
    <w:uiPriority w:val="0"/>
    <w:pPr>
      <w:widowControl/>
      <w:tabs>
        <w:tab w:val="left" w:pos="360"/>
      </w:tabs>
      <w:spacing w:after="200" w:line="276" w:lineRule="auto"/>
      <w:jc w:val="left"/>
    </w:pPr>
    <w:rPr>
      <w:rFonts w:ascii="Calibri" w:hAnsi="Calibri"/>
      <w:kern w:val="0"/>
      <w:sz w:val="24"/>
      <w:szCs w:val="22"/>
    </w:rPr>
  </w:style>
  <w:style w:type="paragraph" w:customStyle="1" w:styleId="136">
    <w:name w:val="Char2"/>
    <w:basedOn w:val="1"/>
    <w:autoRedefine/>
    <w:qFormat/>
    <w:uiPriority w:val="0"/>
    <w:pPr>
      <w:ind w:left="432" w:hanging="432"/>
    </w:pPr>
    <w:rPr>
      <w:sz w:val="24"/>
    </w:rPr>
  </w:style>
  <w:style w:type="paragraph" w:customStyle="1" w:styleId="137">
    <w:name w:val="CM10"/>
    <w:basedOn w:val="73"/>
    <w:next w:val="73"/>
    <w:autoRedefine/>
    <w:qFormat/>
    <w:uiPriority w:val="0"/>
    <w:rPr>
      <w:rFonts w:ascii="宋体" w:hAnsi="Calibri" w:eastAsia="宋体"/>
      <w:color w:val="auto"/>
    </w:rPr>
  </w:style>
  <w:style w:type="paragraph" w:customStyle="1" w:styleId="138">
    <w:name w:val="列出段落1"/>
    <w:basedOn w:val="1"/>
    <w:autoRedefine/>
    <w:qFormat/>
    <w:uiPriority w:val="0"/>
    <w:pPr>
      <w:ind w:firstLine="420" w:firstLineChars="200"/>
    </w:pPr>
    <w:rPr>
      <w:rFonts w:ascii="Calibri" w:hAnsi="Calibri" w:cs="黑体"/>
      <w:szCs w:val="22"/>
    </w:rPr>
  </w:style>
  <w:style w:type="paragraph" w:customStyle="1" w:styleId="139">
    <w:name w:val="CM59"/>
    <w:basedOn w:val="73"/>
    <w:next w:val="73"/>
    <w:autoRedefine/>
    <w:qFormat/>
    <w:uiPriority w:val="0"/>
    <w:rPr>
      <w:rFonts w:ascii="宋体" w:hAnsi="Calibri" w:eastAsia="宋体"/>
      <w:color w:val="auto"/>
    </w:rPr>
  </w:style>
  <w:style w:type="paragraph" w:customStyle="1" w:styleId="140">
    <w:name w:val="CM18"/>
    <w:basedOn w:val="73"/>
    <w:next w:val="73"/>
    <w:autoRedefine/>
    <w:qFormat/>
    <w:uiPriority w:val="0"/>
    <w:pPr>
      <w:spacing w:line="400" w:lineRule="atLeast"/>
    </w:pPr>
    <w:rPr>
      <w:rFonts w:ascii="宋体" w:hAnsi="Calibri" w:eastAsia="宋体"/>
      <w:color w:val="auto"/>
    </w:rPr>
  </w:style>
  <w:style w:type="paragraph" w:customStyle="1" w:styleId="141">
    <w:name w:val="CM109"/>
    <w:basedOn w:val="73"/>
    <w:next w:val="73"/>
    <w:autoRedefine/>
    <w:qFormat/>
    <w:uiPriority w:val="0"/>
    <w:rPr>
      <w:rFonts w:ascii="宋体" w:hAnsi="Calibri" w:eastAsia="宋体"/>
      <w:color w:val="auto"/>
    </w:rPr>
  </w:style>
  <w:style w:type="paragraph" w:customStyle="1" w:styleId="142">
    <w:name w:val="样式 样式 第四行 + 左侧:  -4 字符 段前: 2 行 + 左侧:  -3 字符 段前: 2 行"/>
    <w:basedOn w:val="143"/>
    <w:autoRedefine/>
    <w:qFormat/>
    <w:uiPriority w:val="0"/>
    <w:pPr>
      <w:ind w:left="-200" w:leftChars="-200"/>
    </w:pPr>
  </w:style>
  <w:style w:type="paragraph" w:customStyle="1" w:styleId="143">
    <w:name w:val="样式 第四行 + 左侧:  -4 字符 段前: 2 行"/>
    <w:basedOn w:val="98"/>
    <w:autoRedefine/>
    <w:qFormat/>
    <w:uiPriority w:val="0"/>
    <w:pPr>
      <w:ind w:left="-300" w:leftChars="-300"/>
    </w:pPr>
    <w:rPr>
      <w:szCs w:val="20"/>
    </w:rPr>
  </w:style>
  <w:style w:type="paragraph" w:customStyle="1" w:styleId="144">
    <w:name w:val="Char Char Char Char Char Char Char"/>
    <w:basedOn w:val="1"/>
    <w:autoRedefine/>
    <w:qFormat/>
    <w:uiPriority w:val="0"/>
    <w:pPr>
      <w:widowControl/>
      <w:spacing w:after="160" w:line="240" w:lineRule="exact"/>
      <w:jc w:val="left"/>
    </w:pPr>
  </w:style>
  <w:style w:type="paragraph" w:customStyle="1" w:styleId="145">
    <w:name w:val="CM122"/>
    <w:basedOn w:val="73"/>
    <w:next w:val="73"/>
    <w:autoRedefine/>
    <w:qFormat/>
    <w:uiPriority w:val="0"/>
    <w:rPr>
      <w:rFonts w:ascii="宋体" w:hAnsi="Calibri" w:eastAsia="宋体"/>
      <w:color w:val="auto"/>
    </w:rPr>
  </w:style>
  <w:style w:type="paragraph" w:customStyle="1" w:styleId="146">
    <w:name w:val="表标题"/>
    <w:basedOn w:val="1"/>
    <w:autoRedefine/>
    <w:qFormat/>
    <w:uiPriority w:val="0"/>
    <w:pPr>
      <w:widowControl/>
      <w:spacing w:beforeLines="100" w:line="280" w:lineRule="exact"/>
      <w:ind w:firstLine="50" w:firstLineChars="50"/>
      <w:jc w:val="left"/>
    </w:pPr>
    <w:rPr>
      <w:rFonts w:eastAsia="黑体"/>
      <w:kern w:val="0"/>
      <w:sz w:val="24"/>
    </w:rPr>
  </w:style>
  <w:style w:type="paragraph" w:customStyle="1" w:styleId="147">
    <w:name w:val="CM62"/>
    <w:basedOn w:val="73"/>
    <w:next w:val="73"/>
    <w:autoRedefine/>
    <w:qFormat/>
    <w:uiPriority w:val="0"/>
    <w:pPr>
      <w:spacing w:line="468" w:lineRule="atLeast"/>
    </w:pPr>
    <w:rPr>
      <w:rFonts w:ascii="宋体" w:hAnsi="Calibri" w:eastAsia="宋体"/>
      <w:color w:val="auto"/>
    </w:rPr>
  </w:style>
  <w:style w:type="paragraph" w:customStyle="1" w:styleId="148">
    <w:name w:val="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9">
    <w:name w:val="1级标题（第一章）"/>
    <w:basedOn w:val="1"/>
    <w:autoRedefine/>
    <w:qFormat/>
    <w:uiPriority w:val="0"/>
    <w:pPr>
      <w:spacing w:beforeLines="50" w:afterLines="50"/>
      <w:jc w:val="center"/>
      <w:outlineLvl w:val="0"/>
    </w:pPr>
    <w:rPr>
      <w:rFonts w:ascii="黑体" w:hAnsi="宋体" w:eastAsia="黑体"/>
      <w:sz w:val="32"/>
      <w:szCs w:val="32"/>
    </w:rPr>
  </w:style>
  <w:style w:type="paragraph" w:customStyle="1" w:styleId="150">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2"/>
      <w:szCs w:val="22"/>
    </w:rPr>
  </w:style>
  <w:style w:type="paragraph" w:customStyle="1" w:styleId="151">
    <w:name w:val="_Style 147"/>
    <w:autoRedefine/>
    <w:qFormat/>
    <w:uiPriority w:val="0"/>
    <w:rPr>
      <w:rFonts w:ascii="Times New Roman" w:hAnsi="Times New Roman" w:eastAsia="宋体" w:cs="Times New Roman"/>
      <w:kern w:val="2"/>
      <w:sz w:val="21"/>
      <w:szCs w:val="24"/>
      <w:lang w:val="en-US" w:eastAsia="zh-CN" w:bidi="ar-SA"/>
    </w:rPr>
  </w:style>
  <w:style w:type="paragraph" w:customStyle="1" w:styleId="152">
    <w:name w:val="CM71"/>
    <w:basedOn w:val="73"/>
    <w:next w:val="73"/>
    <w:autoRedefine/>
    <w:qFormat/>
    <w:uiPriority w:val="0"/>
    <w:pPr>
      <w:spacing w:line="468" w:lineRule="atLeast"/>
    </w:pPr>
    <w:rPr>
      <w:rFonts w:ascii="宋体" w:hAnsi="Calibri" w:eastAsia="宋体"/>
      <w:color w:val="auto"/>
    </w:rPr>
  </w:style>
  <w:style w:type="paragraph" w:customStyle="1" w:styleId="153">
    <w:name w:val="CM14"/>
    <w:basedOn w:val="73"/>
    <w:next w:val="73"/>
    <w:autoRedefine/>
    <w:qFormat/>
    <w:uiPriority w:val="0"/>
    <w:pPr>
      <w:spacing w:line="400" w:lineRule="atLeast"/>
    </w:pPr>
    <w:rPr>
      <w:rFonts w:ascii="宋体" w:hAnsi="Calibri" w:eastAsia="宋体"/>
      <w:color w:val="auto"/>
    </w:rPr>
  </w:style>
  <w:style w:type="paragraph" w:customStyle="1" w:styleId="154">
    <w:name w:val="CM96"/>
    <w:basedOn w:val="73"/>
    <w:next w:val="73"/>
    <w:autoRedefine/>
    <w:qFormat/>
    <w:uiPriority w:val="0"/>
    <w:pPr>
      <w:spacing w:line="626" w:lineRule="atLeast"/>
    </w:pPr>
    <w:rPr>
      <w:rFonts w:ascii="宋体" w:hAnsi="Calibri" w:eastAsia="宋体"/>
      <w:color w:val="auto"/>
    </w:rPr>
  </w:style>
  <w:style w:type="paragraph" w:customStyle="1" w:styleId="155">
    <w:name w:val="样式5"/>
    <w:basedOn w:val="156"/>
    <w:autoRedefine/>
    <w:qFormat/>
    <w:uiPriority w:val="0"/>
    <w:pPr>
      <w:spacing w:beforeLines="80" w:afterLines="60"/>
      <w:ind w:firstLine="0" w:firstLineChars="0"/>
      <w:jc w:val="center"/>
    </w:pPr>
    <w:rPr>
      <w:rFonts w:ascii="黑体" w:eastAsia="黑体"/>
      <w:sz w:val="32"/>
      <w:szCs w:val="32"/>
    </w:rPr>
  </w:style>
  <w:style w:type="paragraph" w:customStyle="1" w:styleId="156">
    <w:name w:val="样式4"/>
    <w:basedOn w:val="18"/>
    <w:autoRedefine/>
    <w:qFormat/>
    <w:uiPriority w:val="0"/>
    <w:pPr>
      <w:spacing w:after="0" w:line="500" w:lineRule="exact"/>
      <w:ind w:firstLine="480" w:firstLineChars="200"/>
    </w:pPr>
    <w:rPr>
      <w:kern w:val="2"/>
    </w:rPr>
  </w:style>
  <w:style w:type="paragraph" w:customStyle="1" w:styleId="157">
    <w:name w:val="+标题4"/>
    <w:basedOn w:val="5"/>
    <w:autoRedefine/>
    <w:qFormat/>
    <w:uiPriority w:val="0"/>
    <w:pPr>
      <w:tabs>
        <w:tab w:val="left" w:pos="1680"/>
      </w:tabs>
      <w:spacing w:line="360" w:lineRule="auto"/>
      <w:ind w:left="1680" w:hanging="420"/>
    </w:pPr>
    <w:rPr>
      <w:rFonts w:ascii="Times New Roman" w:hAnsi="Times New Roman" w:eastAsia="宋体"/>
      <w:sz w:val="24"/>
    </w:rPr>
  </w:style>
  <w:style w:type="paragraph" w:customStyle="1" w:styleId="158">
    <w:name w:val="样式 标题 2 + 左侧:  0 厘米 首行缩进:  0 厘米"/>
    <w:basedOn w:val="3"/>
    <w:autoRedefine/>
    <w:qFormat/>
    <w:uiPriority w:val="0"/>
    <w:pPr>
      <w:keepLines/>
      <w:tabs>
        <w:tab w:val="left" w:pos="600"/>
        <w:tab w:val="clear" w:pos="420"/>
        <w:tab w:val="clear" w:pos="6090"/>
      </w:tabs>
      <w:snapToGrid w:val="0"/>
      <w:spacing w:before="240" w:after="160" w:line="240" w:lineRule="auto"/>
      <w:ind w:left="707" w:hanging="707"/>
      <w:jc w:val="left"/>
    </w:pPr>
    <w:rPr>
      <w:rFonts w:ascii="Times New Roman" w:hAnsi="宋体" w:cs="宋体"/>
      <w:b w:val="0"/>
      <w:bCs/>
      <w:spacing w:val="4"/>
    </w:rPr>
  </w:style>
  <w:style w:type="paragraph" w:customStyle="1" w:styleId="159">
    <w:name w:val="第一行"/>
    <w:basedOn w:val="1"/>
    <w:autoRedefine/>
    <w:qFormat/>
    <w:uiPriority w:val="0"/>
    <w:pPr>
      <w:spacing w:beforeLines="100" w:line="360" w:lineRule="auto"/>
      <w:jc w:val="center"/>
    </w:pPr>
    <w:rPr>
      <w:rFonts w:ascii="宋体"/>
      <w:b/>
      <w:bCs/>
      <w:sz w:val="32"/>
      <w:szCs w:val="32"/>
    </w:rPr>
  </w:style>
  <w:style w:type="paragraph" w:customStyle="1" w:styleId="160">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61">
    <w:name w:val="Char Char Char1"/>
    <w:basedOn w:val="1"/>
    <w:autoRedefine/>
    <w:qFormat/>
    <w:uiPriority w:val="0"/>
    <w:pPr>
      <w:ind w:left="432" w:hanging="432"/>
    </w:pPr>
    <w:rPr>
      <w:sz w:val="24"/>
    </w:rPr>
  </w:style>
  <w:style w:type="paragraph" w:customStyle="1" w:styleId="162">
    <w:name w:val="Char Char Char Char Char Char Char Char Char Char11"/>
    <w:basedOn w:val="1"/>
    <w:autoRedefine/>
    <w:qFormat/>
    <w:uiPriority w:val="0"/>
    <w:pPr>
      <w:tabs>
        <w:tab w:val="left" w:pos="425"/>
      </w:tabs>
      <w:ind w:left="425" w:hanging="425"/>
    </w:pPr>
    <w:rPr>
      <w:rFonts w:ascii="Arial" w:hAnsi="Arial" w:eastAsia="黑体" w:cs="宋体"/>
      <w:b/>
      <w:bCs/>
      <w:sz w:val="32"/>
      <w:szCs w:val="32"/>
    </w:rPr>
  </w:style>
  <w:style w:type="paragraph" w:customStyle="1" w:styleId="163">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64">
    <w:name w:val="CM91"/>
    <w:basedOn w:val="73"/>
    <w:next w:val="73"/>
    <w:autoRedefine/>
    <w:qFormat/>
    <w:uiPriority w:val="0"/>
    <w:pPr>
      <w:spacing w:line="443" w:lineRule="atLeast"/>
    </w:pPr>
    <w:rPr>
      <w:rFonts w:ascii="宋体" w:hAnsi="Calibri" w:eastAsia="宋体"/>
      <w:color w:val="auto"/>
    </w:rPr>
  </w:style>
  <w:style w:type="paragraph" w:customStyle="1" w:styleId="165">
    <w:name w:val="CM5"/>
    <w:basedOn w:val="73"/>
    <w:next w:val="73"/>
    <w:autoRedefine/>
    <w:qFormat/>
    <w:uiPriority w:val="0"/>
    <w:pPr>
      <w:spacing w:line="313" w:lineRule="atLeast"/>
    </w:pPr>
    <w:rPr>
      <w:rFonts w:ascii="宋体" w:hAnsi="Calibri" w:eastAsia="宋体"/>
      <w:color w:val="auto"/>
    </w:rPr>
  </w:style>
  <w:style w:type="paragraph" w:customStyle="1" w:styleId="166">
    <w:name w:val="Char Char"/>
    <w:basedOn w:val="1"/>
    <w:autoRedefine/>
    <w:qFormat/>
    <w:uiPriority w:val="0"/>
    <w:rPr>
      <w:rFonts w:ascii="Tahoma" w:hAnsi="Tahoma"/>
      <w:sz w:val="24"/>
      <w:szCs w:val="20"/>
    </w:rPr>
  </w:style>
  <w:style w:type="paragraph" w:customStyle="1" w:styleId="167">
    <w:name w:val="CM63"/>
    <w:basedOn w:val="73"/>
    <w:next w:val="73"/>
    <w:autoRedefine/>
    <w:qFormat/>
    <w:uiPriority w:val="0"/>
    <w:pPr>
      <w:spacing w:line="468" w:lineRule="atLeast"/>
    </w:pPr>
    <w:rPr>
      <w:rFonts w:ascii="宋体" w:hAnsi="Calibri" w:eastAsia="宋体"/>
      <w:color w:val="auto"/>
    </w:rPr>
  </w:style>
  <w:style w:type="paragraph" w:customStyle="1" w:styleId="168">
    <w:name w:val="抬头"/>
    <w:basedOn w:val="1"/>
    <w:autoRedefine/>
    <w:qFormat/>
    <w:uiPriority w:val="0"/>
    <w:pPr>
      <w:spacing w:line="360" w:lineRule="auto"/>
    </w:pPr>
    <w:rPr>
      <w:rFonts w:ascii="宋体"/>
      <w:szCs w:val="21"/>
    </w:rPr>
  </w:style>
  <w:style w:type="paragraph" w:customStyle="1" w:styleId="169">
    <w:name w:val="样式 样式 第六行 + 左侧:  -2 字符 段前: 2 行 + 左侧:  -10 字符 段前: 2 行"/>
    <w:basedOn w:val="170"/>
    <w:autoRedefine/>
    <w:qFormat/>
    <w:uiPriority w:val="0"/>
    <w:pPr>
      <w:ind w:left="-1100" w:leftChars="-1100"/>
    </w:pPr>
    <w:rPr>
      <w:szCs w:val="28"/>
    </w:rPr>
  </w:style>
  <w:style w:type="paragraph" w:customStyle="1" w:styleId="170">
    <w:name w:val="样式 第六行 + 左侧:  -2 字符 段前: 2 行"/>
    <w:basedOn w:val="93"/>
    <w:qFormat/>
    <w:uiPriority w:val="0"/>
    <w:pPr>
      <w:ind w:left="-1000" w:leftChars="-1000"/>
    </w:pPr>
    <w:rPr>
      <w:szCs w:val="20"/>
    </w:rPr>
  </w:style>
  <w:style w:type="paragraph" w:customStyle="1" w:styleId="171">
    <w:name w:val="CM27"/>
    <w:basedOn w:val="1"/>
    <w:next w:val="1"/>
    <w:autoRedefine/>
    <w:qFormat/>
    <w:uiPriority w:val="0"/>
    <w:pPr>
      <w:autoSpaceDE w:val="0"/>
      <w:autoSpaceDN w:val="0"/>
      <w:adjustRightInd w:val="0"/>
      <w:spacing w:after="128"/>
      <w:jc w:val="left"/>
    </w:pPr>
    <w:rPr>
      <w:rFonts w:ascii="宋体" w:cs="宋体"/>
      <w:kern w:val="0"/>
      <w:sz w:val="24"/>
    </w:rPr>
  </w:style>
  <w:style w:type="paragraph" w:customStyle="1" w:styleId="172">
    <w:name w:val="样式 第五行 + 左侧:  -8 字符 段前: 2 行1"/>
    <w:basedOn w:val="97"/>
    <w:autoRedefine/>
    <w:qFormat/>
    <w:uiPriority w:val="0"/>
    <w:pPr>
      <w:ind w:left="-300" w:leftChars="-300"/>
    </w:pPr>
    <w:rPr>
      <w:szCs w:val="20"/>
    </w:rPr>
  </w:style>
  <w:style w:type="paragraph" w:customStyle="1" w:styleId="173">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174">
    <w:name w:val="_Style 170"/>
    <w:basedOn w:val="2"/>
    <w:next w:val="1"/>
    <w:autoRedefine/>
    <w:qFormat/>
    <w:uiPriority w:val="0"/>
    <w:pPr>
      <w:keepLines/>
      <w:widowControl/>
      <w:autoSpaceDE/>
      <w:autoSpaceDN/>
      <w:adjustRightInd/>
      <w:spacing w:before="240" w:line="259" w:lineRule="auto"/>
      <w:outlineLvl w:val="9"/>
    </w:pPr>
    <w:rPr>
      <w:rFonts w:ascii="等线 Light" w:hAnsi="等线 Light" w:eastAsia="等线 Light"/>
      <w:b w:val="0"/>
      <w:bCs w:val="0"/>
      <w:color w:val="2E74B5"/>
      <w:sz w:val="32"/>
      <w:szCs w:val="32"/>
    </w:rPr>
  </w:style>
  <w:style w:type="paragraph" w:customStyle="1" w:styleId="175">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76">
    <w:name w:val="样式8"/>
    <w:basedOn w:val="4"/>
    <w:qFormat/>
    <w:uiPriority w:val="0"/>
    <w:pPr>
      <w:widowControl/>
      <w:tabs>
        <w:tab w:val="left" w:pos="3660"/>
      </w:tabs>
      <w:spacing w:before="160" w:after="240" w:line="500" w:lineRule="exact"/>
      <w:ind w:left="3660" w:hanging="720"/>
      <w:jc w:val="left"/>
    </w:pPr>
    <w:rPr>
      <w:rFonts w:ascii="Times New Roman"/>
      <w:bCs w:val="0"/>
      <w:sz w:val="21"/>
      <w:szCs w:val="21"/>
    </w:rPr>
  </w:style>
  <w:style w:type="paragraph" w:customStyle="1" w:styleId="177">
    <w:name w:val="Char Char2 Char Char Char Char Char Char Char Char Char Char Char Char Char11"/>
    <w:basedOn w:val="1"/>
    <w:autoRedefine/>
    <w:qFormat/>
    <w:uiPriority w:val="0"/>
    <w:pPr>
      <w:ind w:firstLine="360" w:firstLineChars="150"/>
    </w:pPr>
    <w:rPr>
      <w:rFonts w:ascii="Tahoma" w:hAnsi="Tahoma"/>
      <w:sz w:val="24"/>
      <w:szCs w:val="20"/>
    </w:rPr>
  </w:style>
  <w:style w:type="paragraph" w:customStyle="1" w:styleId="178">
    <w:name w:val="样式7"/>
    <w:basedOn w:val="179"/>
    <w:qFormat/>
    <w:uiPriority w:val="0"/>
  </w:style>
  <w:style w:type="paragraph" w:customStyle="1" w:styleId="179">
    <w:name w:val="表格内容"/>
    <w:basedOn w:val="1"/>
    <w:autoRedefine/>
    <w:qFormat/>
    <w:uiPriority w:val="0"/>
    <w:pPr>
      <w:widowControl/>
      <w:spacing w:line="260" w:lineRule="exact"/>
      <w:jc w:val="center"/>
    </w:pPr>
    <w:rPr>
      <w:kern w:val="0"/>
      <w:sz w:val="20"/>
      <w:szCs w:val="20"/>
    </w:rPr>
  </w:style>
  <w:style w:type="paragraph" w:styleId="180">
    <w:name w:val="List Paragraph"/>
    <w:basedOn w:val="1"/>
    <w:autoRedefine/>
    <w:qFormat/>
    <w:uiPriority w:val="34"/>
    <w:pPr>
      <w:ind w:firstLine="420" w:firstLineChars="200"/>
    </w:pPr>
    <w:rPr>
      <w:rFonts w:ascii="Calibri" w:hAnsi="Calibri"/>
      <w:szCs w:val="22"/>
    </w:rPr>
  </w:style>
  <w:style w:type="paragraph" w:customStyle="1" w:styleId="181">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82">
    <w:name w:val="正文_3"/>
    <w:autoRedefine/>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183">
    <w:name w:val="第1行"/>
    <w:basedOn w:val="1"/>
    <w:autoRedefine/>
    <w:qFormat/>
    <w:uiPriority w:val="0"/>
    <w:pPr>
      <w:tabs>
        <w:tab w:val="left" w:pos="927"/>
      </w:tabs>
      <w:snapToGrid w:val="0"/>
      <w:spacing w:line="460" w:lineRule="exact"/>
      <w:ind w:firstLine="567"/>
    </w:pPr>
    <w:rPr>
      <w:rFonts w:ascii="宋体" w:hAnsi="宋体"/>
      <w:szCs w:val="28"/>
    </w:rPr>
  </w:style>
  <w:style w:type="paragraph" w:customStyle="1" w:styleId="184">
    <w:name w:val="正文2"/>
    <w:basedOn w:val="1"/>
    <w:autoRedefine/>
    <w:qFormat/>
    <w:uiPriority w:val="0"/>
    <w:pPr>
      <w:spacing w:line="360" w:lineRule="auto"/>
      <w:ind w:right="200" w:rightChars="200"/>
      <w:jc w:val="right"/>
    </w:pPr>
    <w:rPr>
      <w:rFonts w:ascii="宋体"/>
      <w:szCs w:val="21"/>
    </w:rPr>
  </w:style>
  <w:style w:type="paragraph" w:customStyle="1" w:styleId="185">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86">
    <w:name w:val="CM41"/>
    <w:basedOn w:val="73"/>
    <w:next w:val="73"/>
    <w:autoRedefine/>
    <w:qFormat/>
    <w:uiPriority w:val="0"/>
    <w:pPr>
      <w:spacing w:line="400" w:lineRule="atLeast"/>
    </w:pPr>
    <w:rPr>
      <w:rFonts w:ascii="宋体" w:hAnsi="Calibri" w:eastAsia="宋体"/>
      <w:color w:val="auto"/>
    </w:rPr>
  </w:style>
  <w:style w:type="paragraph" w:customStyle="1" w:styleId="187">
    <w:name w:val="TOC 标题11"/>
    <w:basedOn w:val="2"/>
    <w:next w:val="1"/>
    <w:autoRedefine/>
    <w:qFormat/>
    <w:uiPriority w:val="0"/>
    <w:pPr>
      <w:keepLines/>
      <w:widowControl/>
      <w:autoSpaceDE/>
      <w:autoSpaceDN/>
      <w:adjustRightInd/>
      <w:spacing w:line="276" w:lineRule="auto"/>
      <w:outlineLvl w:val="9"/>
    </w:pPr>
    <w:rPr>
      <w:rFonts w:ascii="Cambria" w:hAnsi="Cambria" w:eastAsia="宋体"/>
      <w:color w:val="365F91"/>
      <w:sz w:val="28"/>
      <w:szCs w:val="28"/>
    </w:rPr>
  </w:style>
  <w:style w:type="paragraph" w:customStyle="1" w:styleId="188">
    <w:name w:val="CM99"/>
    <w:basedOn w:val="73"/>
    <w:next w:val="73"/>
    <w:autoRedefine/>
    <w:qFormat/>
    <w:uiPriority w:val="0"/>
    <w:rPr>
      <w:rFonts w:ascii="宋体" w:hAnsi="Calibri" w:eastAsia="宋体"/>
      <w:color w:val="auto"/>
    </w:rPr>
  </w:style>
  <w:style w:type="paragraph" w:customStyle="1" w:styleId="189">
    <w:name w:val="CM24"/>
    <w:basedOn w:val="73"/>
    <w:next w:val="73"/>
    <w:autoRedefine/>
    <w:qFormat/>
    <w:uiPriority w:val="0"/>
    <w:pPr>
      <w:spacing w:line="400" w:lineRule="atLeast"/>
    </w:pPr>
    <w:rPr>
      <w:rFonts w:ascii="宋体" w:hAnsi="Calibri" w:eastAsia="宋体"/>
      <w:color w:val="auto"/>
    </w:rPr>
  </w:style>
  <w:style w:type="paragraph" w:customStyle="1" w:styleId="190">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91">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92">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93">
    <w:name w:val="CM17"/>
    <w:basedOn w:val="73"/>
    <w:next w:val="73"/>
    <w:autoRedefine/>
    <w:qFormat/>
    <w:uiPriority w:val="0"/>
    <w:rPr>
      <w:rFonts w:ascii="宋体" w:hAnsi="Calibri" w:eastAsia="宋体"/>
      <w:color w:val="auto"/>
    </w:rPr>
  </w:style>
  <w:style w:type="paragraph" w:customStyle="1" w:styleId="194">
    <w:name w:val="_Style 99"/>
    <w:autoRedefine/>
    <w:qFormat/>
    <w:uiPriority w:val="0"/>
    <w:rPr>
      <w:rFonts w:ascii="Times New Roman" w:hAnsi="Times New Roman" w:eastAsia="宋体" w:cs="Times New Roman"/>
      <w:sz w:val="24"/>
      <w:szCs w:val="24"/>
      <w:lang w:val="en-US" w:eastAsia="zh-CN" w:bidi="ar-SA"/>
    </w:rPr>
  </w:style>
  <w:style w:type="paragraph" w:customStyle="1" w:styleId="195">
    <w:name w:val="CM44"/>
    <w:basedOn w:val="73"/>
    <w:next w:val="73"/>
    <w:autoRedefine/>
    <w:qFormat/>
    <w:uiPriority w:val="0"/>
    <w:rPr>
      <w:rFonts w:ascii="宋体" w:hAnsi="Calibri" w:eastAsia="宋体"/>
      <w:color w:val="auto"/>
    </w:rPr>
  </w:style>
  <w:style w:type="paragraph" w:customStyle="1" w:styleId="196">
    <w:name w:val="目录"/>
    <w:basedOn w:val="1"/>
    <w:autoRedefine/>
    <w:qFormat/>
    <w:uiPriority w:val="0"/>
    <w:pPr>
      <w:widowControl/>
      <w:jc w:val="center"/>
    </w:pPr>
    <w:rPr>
      <w:rFonts w:ascii="宋体"/>
      <w:b/>
      <w:kern w:val="0"/>
      <w:sz w:val="36"/>
      <w:szCs w:val="20"/>
    </w:rPr>
  </w:style>
  <w:style w:type="paragraph" w:customStyle="1" w:styleId="197">
    <w:name w:val="CM108"/>
    <w:basedOn w:val="73"/>
    <w:next w:val="73"/>
    <w:autoRedefine/>
    <w:qFormat/>
    <w:uiPriority w:val="0"/>
    <w:rPr>
      <w:rFonts w:ascii="宋体" w:hAnsi="Calibri" w:eastAsia="宋体"/>
      <w:color w:val="auto"/>
    </w:rPr>
  </w:style>
  <w:style w:type="paragraph" w:customStyle="1" w:styleId="198">
    <w:name w:val="CM117"/>
    <w:basedOn w:val="73"/>
    <w:next w:val="73"/>
    <w:autoRedefine/>
    <w:qFormat/>
    <w:uiPriority w:val="0"/>
    <w:rPr>
      <w:rFonts w:ascii="宋体" w:hAnsi="Calibri" w:eastAsia="宋体"/>
      <w:color w:val="auto"/>
    </w:rPr>
  </w:style>
  <w:style w:type="paragraph" w:customStyle="1" w:styleId="199">
    <w:name w:val="CM37"/>
    <w:basedOn w:val="73"/>
    <w:next w:val="73"/>
    <w:autoRedefine/>
    <w:qFormat/>
    <w:uiPriority w:val="0"/>
    <w:rPr>
      <w:rFonts w:ascii="宋体" w:hAnsi="Calibri" w:eastAsia="宋体"/>
      <w:color w:val="auto"/>
    </w:rPr>
  </w:style>
  <w:style w:type="paragraph" w:customStyle="1" w:styleId="200">
    <w:name w:val="样式1"/>
    <w:basedOn w:val="1"/>
    <w:autoRedefine/>
    <w:qFormat/>
    <w:uiPriority w:val="0"/>
    <w:pPr>
      <w:spacing w:before="120" w:after="120" w:line="300" w:lineRule="auto"/>
    </w:pPr>
    <w:rPr>
      <w:rFonts w:ascii="宋体" w:hAnsi="宋体"/>
      <w:b/>
      <w:sz w:val="24"/>
      <w:szCs w:val="20"/>
    </w:rPr>
  </w:style>
  <w:style w:type="paragraph" w:customStyle="1" w:styleId="201">
    <w:name w:val="Char Char Char Char Char Char Char Char Char Char12"/>
    <w:basedOn w:val="1"/>
    <w:autoRedefine/>
    <w:qFormat/>
    <w:uiPriority w:val="0"/>
    <w:pPr>
      <w:tabs>
        <w:tab w:val="left" w:pos="425"/>
      </w:tabs>
      <w:ind w:left="425" w:hanging="425"/>
    </w:pPr>
    <w:rPr>
      <w:rFonts w:ascii="Arial" w:hAnsi="Arial" w:eastAsia="黑体" w:cs="宋体"/>
      <w:b/>
      <w:bCs/>
      <w:sz w:val="32"/>
      <w:szCs w:val="32"/>
    </w:rPr>
  </w:style>
  <w:style w:type="paragraph" w:customStyle="1" w:styleId="202">
    <w:name w:val="CM31"/>
    <w:basedOn w:val="73"/>
    <w:next w:val="73"/>
    <w:autoRedefine/>
    <w:qFormat/>
    <w:uiPriority w:val="0"/>
    <w:rPr>
      <w:rFonts w:ascii="宋体" w:hAnsi="Calibri" w:eastAsia="宋体"/>
      <w:color w:val="auto"/>
    </w:rPr>
  </w:style>
  <w:style w:type="paragraph" w:customStyle="1" w:styleId="203">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204">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205">
    <w:name w:val="CM67"/>
    <w:basedOn w:val="73"/>
    <w:next w:val="73"/>
    <w:autoRedefine/>
    <w:qFormat/>
    <w:uiPriority w:val="0"/>
    <w:pPr>
      <w:spacing w:line="471" w:lineRule="atLeast"/>
    </w:pPr>
    <w:rPr>
      <w:rFonts w:ascii="宋体" w:hAnsi="Calibri" w:eastAsia="宋体"/>
      <w:color w:val="auto"/>
    </w:rPr>
  </w:style>
  <w:style w:type="paragraph" w:customStyle="1" w:styleId="206">
    <w:name w:val="CM32"/>
    <w:basedOn w:val="73"/>
    <w:next w:val="73"/>
    <w:autoRedefine/>
    <w:qFormat/>
    <w:uiPriority w:val="0"/>
    <w:pPr>
      <w:spacing w:line="400" w:lineRule="atLeast"/>
    </w:pPr>
    <w:rPr>
      <w:rFonts w:ascii="宋体" w:hAnsi="Calibri" w:eastAsia="宋体"/>
      <w:color w:val="auto"/>
    </w:rPr>
  </w:style>
  <w:style w:type="paragraph" w:customStyle="1" w:styleId="207">
    <w:name w:val="样式 样式 样式 标题 3 + 首行缩进:  2 字符 + 首行缩进:  2 字符 + 首行缩进:  2 字符 Char"/>
    <w:basedOn w:val="1"/>
    <w:autoRedefine/>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208">
    <w:name w:val="CM106"/>
    <w:basedOn w:val="73"/>
    <w:next w:val="73"/>
    <w:autoRedefine/>
    <w:qFormat/>
    <w:uiPriority w:val="0"/>
    <w:rPr>
      <w:rFonts w:ascii="宋体" w:hAnsi="Calibri" w:eastAsia="宋体"/>
      <w:color w:val="auto"/>
    </w:rPr>
  </w:style>
  <w:style w:type="paragraph" w:customStyle="1" w:styleId="209">
    <w:name w:val="CM23"/>
    <w:basedOn w:val="73"/>
    <w:next w:val="73"/>
    <w:autoRedefine/>
    <w:qFormat/>
    <w:uiPriority w:val="0"/>
    <w:pPr>
      <w:spacing w:line="400" w:lineRule="atLeast"/>
    </w:pPr>
    <w:rPr>
      <w:rFonts w:ascii="宋体" w:hAnsi="Calibri" w:eastAsia="宋体"/>
      <w:color w:val="auto"/>
    </w:rPr>
  </w:style>
  <w:style w:type="paragraph" w:customStyle="1" w:styleId="210">
    <w:name w:val="样式 正文文本缩进 + 首行缩进:  2 字符"/>
    <w:basedOn w:val="19"/>
    <w:autoRedefine/>
    <w:qFormat/>
    <w:uiPriority w:val="0"/>
    <w:pPr>
      <w:tabs>
        <w:tab w:val="left" w:pos="9016"/>
      </w:tabs>
      <w:spacing w:line="500" w:lineRule="exact"/>
      <w:ind w:firstLine="480"/>
    </w:pPr>
    <w:rPr>
      <w:rFonts w:ascii="Times New Roman" w:eastAsia="宋体" w:cs="宋体"/>
    </w:rPr>
  </w:style>
  <w:style w:type="paragraph" w:customStyle="1" w:styleId="211">
    <w:name w:val="CM116"/>
    <w:basedOn w:val="73"/>
    <w:next w:val="73"/>
    <w:qFormat/>
    <w:uiPriority w:val="0"/>
    <w:rPr>
      <w:rFonts w:ascii="宋体" w:hAnsi="Calibri" w:eastAsia="宋体"/>
      <w:color w:val="auto"/>
    </w:rPr>
  </w:style>
  <w:style w:type="paragraph" w:customStyle="1" w:styleId="212">
    <w:name w:val="样式1-正文-缩进-加粗"/>
    <w:basedOn w:val="1"/>
    <w:autoRedefine/>
    <w:qFormat/>
    <w:uiPriority w:val="0"/>
    <w:pPr>
      <w:spacing w:line="360" w:lineRule="auto"/>
      <w:ind w:firstLine="482"/>
    </w:pPr>
    <w:rPr>
      <w:b/>
      <w:bCs/>
      <w:sz w:val="24"/>
    </w:rPr>
  </w:style>
  <w:style w:type="paragraph" w:customStyle="1" w:styleId="213">
    <w:name w:val="修订1"/>
    <w:autoRedefine/>
    <w:qFormat/>
    <w:uiPriority w:val="0"/>
    <w:pPr>
      <w:spacing w:after="200" w:line="276" w:lineRule="auto"/>
    </w:pPr>
    <w:rPr>
      <w:rFonts w:ascii="Calibri" w:hAnsi="Calibri" w:eastAsia="宋体" w:cs="Times New Roman"/>
      <w:kern w:val="2"/>
      <w:sz w:val="21"/>
      <w:szCs w:val="24"/>
      <w:lang w:val="en-US" w:eastAsia="zh-CN" w:bidi="ar-SA"/>
    </w:rPr>
  </w:style>
  <w:style w:type="paragraph" w:customStyle="1" w:styleId="214">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215">
    <w:name w:val="_Style 208"/>
    <w:next w:val="1"/>
    <w:autoRedefine/>
    <w:qFormat/>
    <w:uiPriority w:val="0"/>
    <w:rPr>
      <w:rFonts w:ascii="Times New Roman" w:hAnsi="Times New Roman" w:eastAsia="宋体" w:cs="Times New Roman"/>
      <w:sz w:val="24"/>
      <w:szCs w:val="24"/>
      <w:lang w:val="en-US" w:eastAsia="zh-CN" w:bidi="ar-SA"/>
    </w:rPr>
  </w:style>
  <w:style w:type="paragraph" w:customStyle="1" w:styleId="216">
    <w:name w:val="横表名"/>
    <w:basedOn w:val="1"/>
    <w:qFormat/>
    <w:uiPriority w:val="0"/>
    <w:pPr>
      <w:spacing w:beforeLines="50" w:line="360" w:lineRule="auto"/>
      <w:jc w:val="center"/>
    </w:pPr>
    <w:rPr>
      <w:rFonts w:ascii="宋体"/>
      <w:b/>
      <w:szCs w:val="21"/>
    </w:rPr>
  </w:style>
  <w:style w:type="paragraph" w:customStyle="1" w:styleId="217">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218">
    <w:name w:val="样式 样式 样式 第四行 + 左侧:  -4 字符 段前: 2 行 + 左侧:  -3 字符 段前: 2 行 + 左侧:  -2..."/>
    <w:basedOn w:val="142"/>
    <w:qFormat/>
    <w:uiPriority w:val="0"/>
    <w:pPr>
      <w:ind w:left="0" w:leftChars="0"/>
    </w:pPr>
  </w:style>
  <w:style w:type="paragraph" w:customStyle="1" w:styleId="219">
    <w:name w:val="xl23"/>
    <w:next w:val="220"/>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20">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221">
    <w:name w:val="CM43"/>
    <w:basedOn w:val="73"/>
    <w:next w:val="73"/>
    <w:autoRedefine/>
    <w:qFormat/>
    <w:uiPriority w:val="0"/>
    <w:pPr>
      <w:spacing w:line="440" w:lineRule="atLeast"/>
    </w:pPr>
    <w:rPr>
      <w:rFonts w:ascii="宋体" w:hAnsi="Calibri" w:eastAsia="宋体"/>
      <w:color w:val="auto"/>
    </w:rPr>
  </w:style>
  <w:style w:type="paragraph" w:customStyle="1" w:styleId="222">
    <w:name w:val="横表格"/>
    <w:basedOn w:val="216"/>
    <w:qFormat/>
    <w:uiPriority w:val="0"/>
    <w:pPr>
      <w:spacing w:beforeLines="0" w:line="240" w:lineRule="auto"/>
    </w:pPr>
    <w:rPr>
      <w:b w:val="0"/>
    </w:rPr>
  </w:style>
  <w:style w:type="paragraph" w:customStyle="1" w:styleId="223">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224">
    <w:name w:val="正文11"/>
    <w:basedOn w:val="1"/>
    <w:autoRedefine/>
    <w:qFormat/>
    <w:uiPriority w:val="0"/>
    <w:pPr>
      <w:spacing w:line="360" w:lineRule="auto"/>
      <w:ind w:firstLine="200" w:firstLineChars="200"/>
    </w:pPr>
    <w:rPr>
      <w:rFonts w:ascii="宋体"/>
      <w:szCs w:val="21"/>
    </w:rPr>
  </w:style>
  <w:style w:type="paragraph" w:customStyle="1" w:styleId="225">
    <w:name w:val="CM66"/>
    <w:basedOn w:val="73"/>
    <w:next w:val="73"/>
    <w:autoRedefine/>
    <w:qFormat/>
    <w:uiPriority w:val="0"/>
    <w:rPr>
      <w:rFonts w:ascii="宋体" w:hAnsi="Calibri" w:eastAsia="宋体"/>
      <w:color w:val="auto"/>
    </w:rPr>
  </w:style>
  <w:style w:type="paragraph" w:customStyle="1" w:styleId="226">
    <w:name w:val="CM103"/>
    <w:basedOn w:val="73"/>
    <w:next w:val="73"/>
    <w:autoRedefine/>
    <w:qFormat/>
    <w:uiPriority w:val="0"/>
    <w:rPr>
      <w:rFonts w:ascii="宋体" w:hAnsi="Calibri" w:eastAsia="宋体"/>
      <w:color w:val="auto"/>
    </w:rPr>
  </w:style>
  <w:style w:type="paragraph" w:customStyle="1" w:styleId="227">
    <w:name w:val="CM110"/>
    <w:basedOn w:val="73"/>
    <w:next w:val="73"/>
    <w:qFormat/>
    <w:uiPriority w:val="0"/>
    <w:rPr>
      <w:rFonts w:ascii="宋体" w:hAnsi="Calibri" w:eastAsia="宋体"/>
      <w:color w:val="auto"/>
    </w:rPr>
  </w:style>
  <w:style w:type="paragraph" w:customStyle="1" w:styleId="22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9">
    <w:name w:val="CM6"/>
    <w:basedOn w:val="73"/>
    <w:next w:val="73"/>
    <w:qFormat/>
    <w:uiPriority w:val="0"/>
    <w:pPr>
      <w:spacing w:line="313" w:lineRule="atLeast"/>
    </w:pPr>
    <w:rPr>
      <w:rFonts w:ascii="宋体" w:hAnsi="Calibri" w:eastAsia="宋体"/>
      <w:color w:val="auto"/>
    </w:rPr>
  </w:style>
  <w:style w:type="paragraph" w:customStyle="1" w:styleId="230">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231">
    <w:name w:val="CM16"/>
    <w:basedOn w:val="73"/>
    <w:next w:val="73"/>
    <w:qFormat/>
    <w:uiPriority w:val="0"/>
    <w:pPr>
      <w:spacing w:line="440" w:lineRule="atLeast"/>
    </w:pPr>
    <w:rPr>
      <w:rFonts w:ascii="宋体" w:hAnsi="Calibri" w:eastAsia="宋体"/>
      <w:color w:val="auto"/>
    </w:rPr>
  </w:style>
  <w:style w:type="paragraph" w:customStyle="1" w:styleId="232">
    <w:name w:val="CM126"/>
    <w:basedOn w:val="73"/>
    <w:next w:val="73"/>
    <w:qFormat/>
    <w:uiPriority w:val="0"/>
    <w:rPr>
      <w:rFonts w:ascii="宋体" w:hAnsi="Calibri" w:eastAsia="宋体"/>
      <w:color w:val="auto"/>
    </w:rPr>
  </w:style>
  <w:style w:type="paragraph" w:customStyle="1" w:styleId="233">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234">
    <w:name w:val="正文 A"/>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235">
    <w:name w:val="样式1-标题1"/>
    <w:basedOn w:val="1"/>
    <w:next w:val="1"/>
    <w:qFormat/>
    <w:uiPriority w:val="0"/>
    <w:pPr>
      <w:spacing w:beforeLines="100" w:afterLines="100"/>
      <w:jc w:val="center"/>
      <w:outlineLvl w:val="0"/>
    </w:pPr>
    <w:rPr>
      <w:rFonts w:ascii="华文中宋" w:hAnsi="华文中宋" w:eastAsia="华文中宋"/>
      <w:b/>
      <w:sz w:val="36"/>
    </w:rPr>
  </w:style>
  <w:style w:type="paragraph" w:customStyle="1" w:styleId="236">
    <w:name w:val="Char Char1"/>
    <w:basedOn w:val="1"/>
    <w:qFormat/>
    <w:uiPriority w:val="0"/>
    <w:rPr>
      <w:rFonts w:ascii="Tahoma" w:hAnsi="Tahoma"/>
      <w:sz w:val="24"/>
      <w:szCs w:val="20"/>
    </w:rPr>
  </w:style>
  <w:style w:type="paragraph" w:customStyle="1" w:styleId="237">
    <w:name w:val="p0"/>
    <w:basedOn w:val="1"/>
    <w:qFormat/>
    <w:uiPriority w:val="0"/>
    <w:pPr>
      <w:widowControl/>
    </w:pPr>
    <w:rPr>
      <w:kern w:val="0"/>
      <w:szCs w:val="21"/>
    </w:rPr>
  </w:style>
  <w:style w:type="paragraph" w:customStyle="1" w:styleId="238">
    <w:name w:val="CM105"/>
    <w:basedOn w:val="73"/>
    <w:next w:val="73"/>
    <w:qFormat/>
    <w:uiPriority w:val="0"/>
    <w:rPr>
      <w:rFonts w:ascii="宋体" w:hAnsi="Calibri" w:eastAsia="宋体"/>
      <w:color w:val="auto"/>
    </w:rPr>
  </w:style>
  <w:style w:type="paragraph" w:customStyle="1" w:styleId="239">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240">
    <w:name w:val="CM36"/>
    <w:basedOn w:val="73"/>
    <w:next w:val="73"/>
    <w:qFormat/>
    <w:uiPriority w:val="0"/>
    <w:pPr>
      <w:spacing w:line="400" w:lineRule="atLeast"/>
    </w:pPr>
    <w:rPr>
      <w:rFonts w:ascii="宋体" w:hAnsi="Calibri" w:eastAsia="宋体"/>
      <w:color w:val="auto"/>
    </w:rPr>
  </w:style>
  <w:style w:type="paragraph" w:customStyle="1" w:styleId="241">
    <w:name w:val="CM21"/>
    <w:basedOn w:val="73"/>
    <w:next w:val="73"/>
    <w:qFormat/>
    <w:uiPriority w:val="0"/>
    <w:pPr>
      <w:spacing w:line="400" w:lineRule="atLeast"/>
    </w:pPr>
    <w:rPr>
      <w:rFonts w:ascii="宋体" w:hAnsi="Calibri" w:eastAsia="宋体"/>
      <w:color w:val="auto"/>
    </w:rPr>
  </w:style>
  <w:style w:type="paragraph" w:customStyle="1" w:styleId="242">
    <w:name w:val="表格"/>
    <w:basedOn w:val="1"/>
    <w:qFormat/>
    <w:uiPriority w:val="0"/>
    <w:pPr>
      <w:widowControl/>
      <w:spacing w:after="200" w:line="276" w:lineRule="auto"/>
      <w:jc w:val="center"/>
      <w:textAlignment w:val="center"/>
    </w:pPr>
    <w:rPr>
      <w:rFonts w:ascii="华文细黑" w:hAnsi="华文细黑"/>
      <w:kern w:val="0"/>
      <w:sz w:val="22"/>
      <w:szCs w:val="20"/>
    </w:rPr>
  </w:style>
  <w:style w:type="paragraph" w:customStyle="1" w:styleId="243">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styleId="244">
    <w:name w:val="No Spacing"/>
    <w:qFormat/>
    <w:uiPriority w:val="0"/>
    <w:rPr>
      <w:rFonts w:ascii="Calibri" w:hAnsi="Calibri" w:eastAsia="宋体" w:cs="Times New Roman"/>
      <w:sz w:val="22"/>
      <w:szCs w:val="22"/>
      <w:lang w:val="en-US" w:eastAsia="zh-CN" w:bidi="ar-SA"/>
    </w:rPr>
  </w:style>
  <w:style w:type="paragraph" w:customStyle="1" w:styleId="245">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246">
    <w:name w:val="CM54"/>
    <w:basedOn w:val="73"/>
    <w:next w:val="73"/>
    <w:qFormat/>
    <w:uiPriority w:val="0"/>
    <w:pPr>
      <w:spacing w:line="468" w:lineRule="atLeast"/>
    </w:pPr>
    <w:rPr>
      <w:rFonts w:ascii="宋体" w:hAnsi="Calibri" w:eastAsia="宋体"/>
      <w:color w:val="auto"/>
    </w:rPr>
  </w:style>
  <w:style w:type="paragraph" w:customStyle="1" w:styleId="247">
    <w:name w:val="CM45"/>
    <w:basedOn w:val="73"/>
    <w:next w:val="73"/>
    <w:qFormat/>
    <w:uiPriority w:val="0"/>
    <w:pPr>
      <w:spacing w:line="443" w:lineRule="atLeast"/>
    </w:pPr>
    <w:rPr>
      <w:rFonts w:ascii="宋体" w:hAnsi="Calibri" w:eastAsia="宋体"/>
      <w:color w:val="auto"/>
    </w:rPr>
  </w:style>
  <w:style w:type="paragraph" w:customStyle="1" w:styleId="248">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249">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250">
    <w:name w:val="CM86"/>
    <w:basedOn w:val="73"/>
    <w:next w:val="73"/>
    <w:qFormat/>
    <w:uiPriority w:val="0"/>
    <w:pPr>
      <w:spacing w:line="440" w:lineRule="atLeast"/>
    </w:pPr>
    <w:rPr>
      <w:rFonts w:ascii="宋体" w:hAnsi="Calibri" w:eastAsia="宋体"/>
      <w:color w:val="auto"/>
    </w:rPr>
  </w:style>
  <w:style w:type="paragraph" w:customStyle="1" w:styleId="25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252">
    <w:name w:val="font8"/>
    <w:basedOn w:val="1"/>
    <w:qFormat/>
    <w:uiPriority w:val="0"/>
    <w:pPr>
      <w:widowControl/>
      <w:spacing w:before="100" w:beforeAutospacing="1" w:after="100" w:afterAutospacing="1"/>
      <w:jc w:val="left"/>
    </w:pPr>
    <w:rPr>
      <w:kern w:val="0"/>
      <w:sz w:val="20"/>
      <w:szCs w:val="20"/>
    </w:rPr>
  </w:style>
  <w:style w:type="paragraph" w:customStyle="1" w:styleId="253">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254">
    <w:name w:val="样式 样式 样式 样式 第六行 + 左侧:  -2 字符 段前: 2 行 + 左侧:  -10 字符 段前: 2 行 + 左侧:..."/>
    <w:basedOn w:val="255"/>
    <w:qFormat/>
    <w:uiPriority w:val="0"/>
    <w:pPr>
      <w:ind w:left="-1000" w:leftChars="-1000"/>
    </w:pPr>
  </w:style>
  <w:style w:type="paragraph" w:customStyle="1" w:styleId="255">
    <w:name w:val="样式 样式 样式 第六行 + 左侧:  -2 字符 段前: 2 行 + 左侧:  -10 字符 段前: 2 行 + 左侧:  -..."/>
    <w:basedOn w:val="169"/>
    <w:qFormat/>
    <w:uiPriority w:val="0"/>
    <w:pPr>
      <w:ind w:left="-1200" w:leftChars="-1200"/>
    </w:pPr>
    <w:rPr>
      <w:szCs w:val="20"/>
    </w:rPr>
  </w:style>
  <w:style w:type="paragraph" w:customStyle="1" w:styleId="256">
    <w:name w:val="CM1"/>
    <w:basedOn w:val="73"/>
    <w:next w:val="73"/>
    <w:qFormat/>
    <w:uiPriority w:val="0"/>
    <w:rPr>
      <w:rFonts w:ascii="宋体" w:hAnsi="Calibri" w:eastAsia="宋体"/>
      <w:color w:val="auto"/>
    </w:rPr>
  </w:style>
  <w:style w:type="paragraph" w:customStyle="1" w:styleId="257">
    <w:name w:val="CM113"/>
    <w:basedOn w:val="73"/>
    <w:next w:val="73"/>
    <w:qFormat/>
    <w:uiPriority w:val="0"/>
    <w:rPr>
      <w:rFonts w:ascii="宋体" w:hAnsi="Calibri" w:eastAsia="宋体"/>
      <w:color w:val="auto"/>
    </w:rPr>
  </w:style>
  <w:style w:type="paragraph" w:customStyle="1" w:styleId="258">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259">
    <w:name w:val="默认段落字体 Para Char"/>
    <w:basedOn w:val="1"/>
    <w:qFormat/>
    <w:uiPriority w:val="0"/>
    <w:rPr>
      <w:szCs w:val="20"/>
    </w:rPr>
  </w:style>
  <w:style w:type="paragraph" w:customStyle="1" w:styleId="260">
    <w:name w:val="样式6"/>
    <w:basedOn w:val="179"/>
    <w:qFormat/>
    <w:uiPriority w:val="0"/>
  </w:style>
  <w:style w:type="paragraph" w:customStyle="1" w:styleId="261">
    <w:name w:val="+标题1"/>
    <w:basedOn w:val="2"/>
    <w:qFormat/>
    <w:uiPriority w:val="0"/>
    <w:pPr>
      <w:keepLines/>
      <w:pageBreakBefore/>
      <w:tabs>
        <w:tab w:val="left" w:pos="927"/>
      </w:tabs>
      <w:autoSpaceDE/>
      <w:autoSpaceDN/>
      <w:adjustRightInd/>
      <w:spacing w:before="240" w:after="240" w:line="360" w:lineRule="auto"/>
      <w:ind w:firstLine="567"/>
      <w:jc w:val="center"/>
    </w:pPr>
    <w:rPr>
      <w:rFonts w:ascii="Times New Roman" w:eastAsia="黑体"/>
      <w:color w:val="auto"/>
      <w:kern w:val="32"/>
      <w:sz w:val="32"/>
      <w:szCs w:val="32"/>
    </w:rPr>
  </w:style>
  <w:style w:type="paragraph" w:customStyle="1" w:styleId="262">
    <w:name w:val="样式 样式5 + 首行缩进:  2 字符"/>
    <w:basedOn w:val="85"/>
    <w:qFormat/>
    <w:uiPriority w:val="0"/>
    <w:pPr>
      <w:ind w:firstLine="200" w:firstLineChars="200"/>
      <w:jc w:val="both"/>
    </w:pPr>
    <w:rPr>
      <w:rFonts w:ascii="Times New Roman" w:eastAsia="宋体" w:cs="宋体"/>
      <w:sz w:val="24"/>
      <w:szCs w:val="24"/>
    </w:rPr>
  </w:style>
  <w:style w:type="paragraph" w:customStyle="1" w:styleId="263">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264">
    <w:name w:val="+标题3"/>
    <w:basedOn w:val="4"/>
    <w:qFormat/>
    <w:uiPriority w:val="0"/>
    <w:pPr>
      <w:tabs>
        <w:tab w:val="left" w:pos="1260"/>
      </w:tabs>
      <w:ind w:left="1260" w:hanging="420"/>
      <w:jc w:val="both"/>
    </w:pPr>
    <w:rPr>
      <w:rFonts w:ascii="Times New Roman"/>
      <w:sz w:val="21"/>
    </w:rPr>
  </w:style>
  <w:style w:type="paragraph" w:customStyle="1" w:styleId="265">
    <w:name w:val="Char Char Char"/>
    <w:basedOn w:val="1"/>
    <w:qFormat/>
    <w:uiPriority w:val="0"/>
    <w:pPr>
      <w:ind w:left="432" w:hanging="432"/>
    </w:pPr>
    <w:rPr>
      <w:sz w:val="24"/>
    </w:rPr>
  </w:style>
  <w:style w:type="paragraph" w:customStyle="1" w:styleId="266">
    <w:name w:val="样式 样式 样式5 + 首行缩进:  2 字符 + 首行缩进:  2 字符 段前: 0.8 行 段后: 0.6 行"/>
    <w:basedOn w:val="262"/>
    <w:qFormat/>
    <w:uiPriority w:val="0"/>
    <w:pPr>
      <w:spacing w:beforeLines="0" w:afterLines="0"/>
      <w:ind w:firstLine="0" w:firstLineChars="0"/>
    </w:pPr>
    <w:rPr>
      <w:rFonts w:ascii="仿宋_GB2312" w:hAnsi="仿宋" w:eastAsia="仿宋_GB2312"/>
      <w:b w:val="0"/>
      <w:sz w:val="20"/>
      <w:szCs w:val="20"/>
    </w:rPr>
  </w:style>
  <w:style w:type="paragraph" w:customStyle="1" w:styleId="267">
    <w:name w:val="No Spacing1"/>
    <w:qFormat/>
    <w:uiPriority w:val="0"/>
    <w:pPr>
      <w:widowControl w:val="0"/>
      <w:jc w:val="both"/>
    </w:pPr>
    <w:rPr>
      <w:rFonts w:ascii="Cambria" w:hAnsi="Cambria" w:eastAsia="华文楷体" w:cs="Times New Roman"/>
      <w:kern w:val="2"/>
      <w:sz w:val="21"/>
      <w:szCs w:val="22"/>
      <w:lang w:val="en-US" w:eastAsia="zh-CN" w:bidi="ar-SA"/>
    </w:rPr>
  </w:style>
  <w:style w:type="paragraph" w:customStyle="1" w:styleId="268">
    <w:name w:val="第二行"/>
    <w:basedOn w:val="1"/>
    <w:qFormat/>
    <w:uiPriority w:val="0"/>
    <w:pPr>
      <w:spacing w:beforeLines="100" w:line="360" w:lineRule="auto"/>
      <w:jc w:val="center"/>
    </w:pPr>
    <w:rPr>
      <w:rFonts w:ascii="宋体"/>
      <w:b/>
      <w:bCs/>
      <w:sz w:val="36"/>
      <w:szCs w:val="36"/>
    </w:rPr>
  </w:style>
  <w:style w:type="paragraph" w:customStyle="1" w:styleId="269">
    <w:name w:val="样式 标题 1 + 黑体 三号 非加粗 居中 段前: 6 磅 段后: 6 磅 行距: 固定值 20 磅"/>
    <w:basedOn w:val="2"/>
    <w:qFormat/>
    <w:uiPriority w:val="0"/>
    <w:pPr>
      <w:keepLines/>
      <w:widowControl/>
      <w:autoSpaceDE/>
      <w:autoSpaceDN/>
      <w:adjustRightInd/>
      <w:spacing w:before="120" w:after="120" w:line="400" w:lineRule="exact"/>
      <w:jc w:val="center"/>
    </w:pPr>
    <w:rPr>
      <w:rFonts w:ascii="黑体" w:hAnsi="黑体" w:eastAsia="黑体" w:cs="宋体"/>
      <w:b w:val="0"/>
      <w:bCs w:val="0"/>
      <w:color w:val="21798E"/>
      <w:sz w:val="32"/>
    </w:rPr>
  </w:style>
  <w:style w:type="paragraph" w:customStyle="1" w:styleId="270">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271">
    <w:name w:val="修订11"/>
    <w:qFormat/>
    <w:uiPriority w:val="0"/>
    <w:rPr>
      <w:rFonts w:ascii="Times New Roman" w:hAnsi="Times New Roman" w:eastAsia="宋体" w:cs="Times New Roman"/>
      <w:sz w:val="24"/>
      <w:szCs w:val="24"/>
      <w:lang w:val="en-US" w:eastAsia="zh-CN" w:bidi="ar-SA"/>
    </w:rPr>
  </w:style>
  <w:style w:type="paragraph" w:customStyle="1" w:styleId="272">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273">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274">
    <w:name w:val="CM52"/>
    <w:basedOn w:val="73"/>
    <w:next w:val="73"/>
    <w:qFormat/>
    <w:uiPriority w:val="0"/>
    <w:pPr>
      <w:spacing w:line="468" w:lineRule="atLeast"/>
    </w:pPr>
    <w:rPr>
      <w:rFonts w:ascii="宋体" w:hAnsi="Calibri" w:eastAsia="宋体"/>
      <w:color w:val="auto"/>
    </w:rPr>
  </w:style>
  <w:style w:type="paragraph" w:customStyle="1" w:styleId="275">
    <w:name w:val="默认段落字体 Para Char Char Char Char"/>
    <w:basedOn w:val="1"/>
    <w:qFormat/>
    <w:uiPriority w:val="0"/>
  </w:style>
  <w:style w:type="paragraph" w:customStyle="1" w:styleId="276">
    <w:name w:val="Char4"/>
    <w:basedOn w:val="1"/>
    <w:qFormat/>
    <w:uiPriority w:val="0"/>
    <w:pPr>
      <w:ind w:left="432" w:hanging="432"/>
    </w:pPr>
    <w:rPr>
      <w:sz w:val="24"/>
    </w:rPr>
  </w:style>
  <w:style w:type="paragraph" w:customStyle="1" w:styleId="277">
    <w:name w:val="6'"/>
    <w:basedOn w:val="1"/>
    <w:qFormat/>
    <w:uiPriority w:val="0"/>
    <w:pPr>
      <w:widowControl/>
      <w:autoSpaceDE w:val="0"/>
      <w:autoSpaceDN w:val="0"/>
      <w:adjustRightInd w:val="0"/>
      <w:snapToGrid w:val="0"/>
      <w:spacing w:after="200" w:line="320" w:lineRule="exact"/>
      <w:jc w:val="center"/>
      <w:textAlignment w:val="baseline"/>
    </w:pPr>
    <w:rPr>
      <w:rFonts w:ascii="Calibri" w:hAnsi="Calibri"/>
      <w:spacing w:val="20"/>
      <w:kern w:val="28"/>
      <w:sz w:val="22"/>
      <w:szCs w:val="20"/>
    </w:rPr>
  </w:style>
  <w:style w:type="paragraph" w:customStyle="1" w:styleId="278">
    <w:name w:val="CM56"/>
    <w:basedOn w:val="73"/>
    <w:next w:val="73"/>
    <w:qFormat/>
    <w:uiPriority w:val="0"/>
    <w:pPr>
      <w:spacing w:line="468" w:lineRule="atLeast"/>
    </w:pPr>
    <w:rPr>
      <w:rFonts w:ascii="宋体" w:hAnsi="Calibri" w:eastAsia="宋体"/>
      <w:color w:val="auto"/>
    </w:rPr>
  </w:style>
  <w:style w:type="paragraph" w:customStyle="1" w:styleId="279">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280">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281">
    <w:name w:val="Char Char Char Char Char Char Char2"/>
    <w:basedOn w:val="1"/>
    <w:qFormat/>
    <w:uiPriority w:val="0"/>
    <w:pPr>
      <w:widowControl/>
      <w:spacing w:after="160" w:line="240" w:lineRule="exact"/>
      <w:jc w:val="left"/>
    </w:pPr>
  </w:style>
  <w:style w:type="paragraph" w:customStyle="1" w:styleId="282">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283">
    <w:name w:val="正文21"/>
    <w:basedOn w:val="1"/>
    <w:qFormat/>
    <w:uiPriority w:val="0"/>
    <w:pPr>
      <w:spacing w:line="360" w:lineRule="auto"/>
      <w:ind w:right="200" w:rightChars="200"/>
      <w:jc w:val="right"/>
    </w:pPr>
    <w:rPr>
      <w:rFonts w:ascii="宋体"/>
      <w:szCs w:val="21"/>
    </w:rPr>
  </w:style>
  <w:style w:type="paragraph" w:customStyle="1" w:styleId="284">
    <w:name w:val="CM89"/>
    <w:basedOn w:val="73"/>
    <w:next w:val="73"/>
    <w:qFormat/>
    <w:uiPriority w:val="0"/>
    <w:pPr>
      <w:spacing w:line="440" w:lineRule="atLeast"/>
    </w:pPr>
    <w:rPr>
      <w:rFonts w:ascii="宋体" w:hAnsi="Calibri" w:eastAsia="宋体"/>
      <w:color w:val="auto"/>
    </w:rPr>
  </w:style>
  <w:style w:type="paragraph" w:customStyle="1" w:styleId="285">
    <w:name w:val="CM102"/>
    <w:basedOn w:val="73"/>
    <w:next w:val="73"/>
    <w:qFormat/>
    <w:uiPriority w:val="0"/>
    <w:rPr>
      <w:rFonts w:ascii="宋体" w:hAnsi="Calibri" w:eastAsia="宋体"/>
      <w:color w:val="auto"/>
    </w:rPr>
  </w:style>
  <w:style w:type="paragraph" w:customStyle="1" w:styleId="286">
    <w:name w:val="CM3"/>
    <w:basedOn w:val="73"/>
    <w:next w:val="73"/>
    <w:qFormat/>
    <w:uiPriority w:val="0"/>
    <w:pPr>
      <w:spacing w:line="433" w:lineRule="atLeast"/>
    </w:pPr>
    <w:rPr>
      <w:rFonts w:ascii="宋体" w:hAnsi="Calibri" w:eastAsia="宋体"/>
      <w:color w:val="auto"/>
    </w:rPr>
  </w:style>
  <w:style w:type="paragraph" w:customStyle="1" w:styleId="287">
    <w:name w:val="CM4"/>
    <w:basedOn w:val="73"/>
    <w:next w:val="73"/>
    <w:qFormat/>
    <w:uiPriority w:val="0"/>
    <w:pPr>
      <w:spacing w:line="433" w:lineRule="atLeast"/>
    </w:pPr>
    <w:rPr>
      <w:rFonts w:ascii="宋体" w:hAnsi="Calibri" w:eastAsia="宋体"/>
      <w:color w:val="auto"/>
    </w:rPr>
  </w:style>
  <w:style w:type="paragraph" w:customStyle="1" w:styleId="288">
    <w:name w:val="Bullet_Title"/>
    <w:basedOn w:val="1"/>
    <w:qFormat/>
    <w:uiPriority w:val="0"/>
    <w:pPr>
      <w:numPr>
        <w:ilvl w:val="0"/>
        <w:numId w:val="3"/>
      </w:numPr>
      <w:spacing w:after="78" w:line="300" w:lineRule="auto"/>
    </w:pPr>
    <w:rPr>
      <w:rFonts w:ascii="Arial Narrow" w:hAnsi="Arial Narrow"/>
      <w:sz w:val="24"/>
      <w:szCs w:val="20"/>
    </w:rPr>
  </w:style>
  <w:style w:type="paragraph" w:customStyle="1" w:styleId="289">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290">
    <w:name w:val="CM29"/>
    <w:basedOn w:val="73"/>
    <w:next w:val="73"/>
    <w:qFormat/>
    <w:uiPriority w:val="0"/>
    <w:rPr>
      <w:rFonts w:ascii="宋体" w:hAnsi="Calibri" w:eastAsia="宋体"/>
      <w:color w:val="auto"/>
    </w:rPr>
  </w:style>
  <w:style w:type="paragraph" w:customStyle="1" w:styleId="291">
    <w:name w:val="Char2 Char Char Char Char Char Char"/>
    <w:basedOn w:val="14"/>
    <w:qFormat/>
    <w:uiPriority w:val="0"/>
    <w:rPr>
      <w:kern w:val="2"/>
      <w:sz w:val="21"/>
      <w:szCs w:val="20"/>
    </w:rPr>
  </w:style>
  <w:style w:type="paragraph" w:customStyle="1" w:styleId="292">
    <w:name w:val="CM97"/>
    <w:basedOn w:val="73"/>
    <w:next w:val="73"/>
    <w:qFormat/>
    <w:uiPriority w:val="0"/>
    <w:pPr>
      <w:spacing w:line="440" w:lineRule="atLeast"/>
    </w:pPr>
    <w:rPr>
      <w:rFonts w:ascii="宋体" w:hAnsi="Calibri" w:eastAsia="宋体"/>
      <w:color w:val="auto"/>
    </w:rPr>
  </w:style>
  <w:style w:type="paragraph" w:customStyle="1" w:styleId="293">
    <w:name w:val="CM51"/>
    <w:basedOn w:val="73"/>
    <w:next w:val="73"/>
    <w:qFormat/>
    <w:uiPriority w:val="0"/>
    <w:rPr>
      <w:rFonts w:ascii="宋体" w:hAnsi="Calibri" w:eastAsia="宋体"/>
      <w:color w:val="auto"/>
    </w:rPr>
  </w:style>
  <w:style w:type="paragraph" w:customStyle="1" w:styleId="294">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295">
    <w:name w:val="标题1"/>
    <w:basedOn w:val="2"/>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296">
    <w:name w:val="Char Char2 Char Char Char Char Char Char Char Char Char Char Char Char Char1"/>
    <w:basedOn w:val="1"/>
    <w:qFormat/>
    <w:uiPriority w:val="0"/>
    <w:pPr>
      <w:ind w:firstLine="360" w:firstLineChars="150"/>
    </w:pPr>
    <w:rPr>
      <w:rFonts w:ascii="Tahoma" w:hAnsi="Tahoma"/>
      <w:sz w:val="24"/>
      <w:szCs w:val="20"/>
    </w:rPr>
  </w:style>
  <w:style w:type="paragraph" w:customStyle="1" w:styleId="297">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298">
    <w:name w:val="Char12"/>
    <w:basedOn w:val="1"/>
    <w:qFormat/>
    <w:uiPriority w:val="0"/>
  </w:style>
  <w:style w:type="paragraph" w:customStyle="1" w:styleId="299">
    <w:name w:val="样式 表格内容 + 居中"/>
    <w:basedOn w:val="179"/>
    <w:qFormat/>
    <w:uiPriority w:val="0"/>
    <w:rPr>
      <w:rFonts w:cs="宋体"/>
    </w:rPr>
  </w:style>
  <w:style w:type="paragraph" w:customStyle="1" w:styleId="300">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301">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302">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03">
    <w:name w:val="样式 日期 + 黑体 三号"/>
    <w:basedOn w:val="25"/>
    <w:qFormat/>
    <w:uiPriority w:val="0"/>
    <w:pPr>
      <w:spacing w:line="600" w:lineRule="exact"/>
      <w:ind w:left="0" w:leftChars="0"/>
    </w:pPr>
    <w:rPr>
      <w:rFonts w:ascii="黑体" w:hAnsi="黑体" w:eastAsia="黑体"/>
      <w:kern w:val="2"/>
      <w:sz w:val="32"/>
    </w:rPr>
  </w:style>
  <w:style w:type="paragraph" w:customStyle="1" w:styleId="304">
    <w:name w:val="CM111"/>
    <w:basedOn w:val="73"/>
    <w:next w:val="73"/>
    <w:qFormat/>
    <w:uiPriority w:val="0"/>
    <w:rPr>
      <w:rFonts w:ascii="宋体" w:hAnsi="Calibri" w:eastAsia="宋体"/>
      <w:color w:val="auto"/>
    </w:rPr>
  </w:style>
  <w:style w:type="paragraph" w:customStyle="1" w:styleId="305">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306">
    <w:name w:val="CM112"/>
    <w:basedOn w:val="73"/>
    <w:next w:val="73"/>
    <w:qFormat/>
    <w:uiPriority w:val="0"/>
    <w:rPr>
      <w:rFonts w:ascii="宋体" w:hAnsi="Calibri" w:eastAsia="宋体"/>
      <w:color w:val="auto"/>
    </w:rPr>
  </w:style>
  <w:style w:type="paragraph" w:customStyle="1" w:styleId="307">
    <w:name w:val="Char Char Char Char Char Char Char Char Char Char"/>
    <w:basedOn w:val="1"/>
    <w:qFormat/>
    <w:uiPriority w:val="0"/>
    <w:rPr>
      <w:rFonts w:ascii="Tahoma" w:hAnsi="Tahoma"/>
      <w:sz w:val="24"/>
      <w:szCs w:val="20"/>
    </w:rPr>
  </w:style>
  <w:style w:type="paragraph" w:customStyle="1" w:styleId="308">
    <w:name w:val="无间隔1"/>
    <w:qFormat/>
    <w:uiPriority w:val="0"/>
    <w:pPr>
      <w:widowControl w:val="0"/>
      <w:jc w:val="both"/>
    </w:pPr>
    <w:rPr>
      <w:rFonts w:ascii="Cambria" w:hAnsi="Cambria" w:eastAsia="华文楷体" w:cs="Times New Roman"/>
      <w:kern w:val="2"/>
      <w:sz w:val="21"/>
      <w:szCs w:val="22"/>
      <w:lang w:val="en-US" w:eastAsia="zh-CN" w:bidi="ar-SA"/>
    </w:rPr>
  </w:style>
  <w:style w:type="paragraph" w:customStyle="1" w:styleId="309">
    <w:name w:val="+标题2"/>
    <w:basedOn w:val="3"/>
    <w:qFormat/>
    <w:uiPriority w:val="0"/>
    <w:pPr>
      <w:keepLines/>
      <w:tabs>
        <w:tab w:val="left" w:pos="-735"/>
        <w:tab w:val="clear" w:pos="420"/>
        <w:tab w:val="clear" w:pos="6090"/>
      </w:tabs>
      <w:adjustRightInd/>
      <w:spacing w:after="120"/>
      <w:ind w:left="840" w:hanging="420"/>
      <w:textAlignment w:val="auto"/>
    </w:pPr>
    <w:rPr>
      <w:rFonts w:ascii="Times New Roman" w:hAnsi="Times New Roman" w:eastAsia="宋体"/>
      <w:b w:val="0"/>
    </w:rPr>
  </w:style>
  <w:style w:type="paragraph" w:customStyle="1" w:styleId="310">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311">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312">
    <w:name w:val="Char13"/>
    <w:basedOn w:val="1"/>
    <w:qFormat/>
    <w:uiPriority w:val="0"/>
  </w:style>
  <w:style w:type="paragraph" w:customStyle="1" w:styleId="313">
    <w:name w:val="样式9"/>
    <w:basedOn w:val="4"/>
    <w:qFormat/>
    <w:uiPriority w:val="0"/>
    <w:pPr>
      <w:widowControl/>
      <w:tabs>
        <w:tab w:val="left" w:pos="3660"/>
      </w:tabs>
      <w:spacing w:before="160" w:line="500" w:lineRule="exact"/>
      <w:ind w:left="3660" w:hanging="720"/>
      <w:jc w:val="left"/>
    </w:pPr>
    <w:rPr>
      <w:rFonts w:ascii="Times New Roman"/>
      <w:bCs w:val="0"/>
      <w:sz w:val="21"/>
      <w:szCs w:val="21"/>
    </w:rPr>
  </w:style>
  <w:style w:type="character" w:customStyle="1" w:styleId="314">
    <w:name w:val="样式4-3 Char Char Char"/>
    <w:link w:val="88"/>
    <w:qFormat/>
    <w:uiPriority w:val="0"/>
    <w:rPr>
      <w:rFonts w:ascii="黑体" w:hAnsi="华文中宋" w:eastAsia="黑体" w:cs="Arial"/>
      <w:b/>
      <w:bCs/>
      <w:color w:val="000000"/>
      <w:sz w:val="24"/>
      <w:szCs w:val="32"/>
    </w:rPr>
  </w:style>
  <w:style w:type="character" w:customStyle="1" w:styleId="315">
    <w:name w:val="1级标题（第一卷） Char Char"/>
    <w:link w:val="70"/>
    <w:qFormat/>
    <w:uiPriority w:val="0"/>
    <w:rPr>
      <w:rFonts w:ascii="黑体" w:hAnsi="华文中宋" w:eastAsia="黑体"/>
      <w:b/>
      <w:kern w:val="2"/>
      <w:sz w:val="48"/>
    </w:rPr>
  </w:style>
  <w:style w:type="character" w:customStyle="1" w:styleId="316">
    <w:name w:val="正文文本缩进 3 字符1"/>
    <w:link w:val="36"/>
    <w:qFormat/>
    <w:locked/>
    <w:uiPriority w:val="99"/>
    <w:rPr>
      <w:rFonts w:ascii="仿宋_GB2312" w:hAnsi="Times New Roman" w:eastAsia="仿宋_GB2312" w:cs="Times New Roman"/>
      <w:color w:val="3366FF"/>
      <w:sz w:val="24"/>
      <w:szCs w:val="24"/>
    </w:rPr>
  </w:style>
  <w:style w:type="character" w:customStyle="1" w:styleId="317">
    <w:name w:val="题注 字符"/>
    <w:qFormat/>
    <w:uiPriority w:val="0"/>
    <w:rPr>
      <w:rFonts w:ascii="Cambria" w:hAnsi="Cambria" w:eastAsia="黑体"/>
    </w:rPr>
  </w:style>
  <w:style w:type="character" w:customStyle="1" w:styleId="318">
    <w:name w:val="标题 3 字符1"/>
    <w:link w:val="4"/>
    <w:qFormat/>
    <w:locked/>
    <w:uiPriority w:val="0"/>
    <w:rPr>
      <w:rFonts w:ascii="黑体" w:hAnsi="黑体" w:eastAsia="黑体"/>
      <w:b/>
      <w:bCs/>
      <w:kern w:val="2"/>
      <w:sz w:val="28"/>
      <w:szCs w:val="28"/>
    </w:rPr>
  </w:style>
  <w:style w:type="character" w:customStyle="1" w:styleId="319">
    <w:name w:val="样式 段落编号 + (中文) 黑体 两端对齐 Char Char Char Char Char"/>
    <w:qFormat/>
    <w:uiPriority w:val="0"/>
    <w:rPr>
      <w:rFonts w:ascii="宋体" w:hAnsi="宋体" w:eastAsia="黑体" w:cs="宋体"/>
      <w:kern w:val="2"/>
      <w:sz w:val="24"/>
      <w:szCs w:val="24"/>
      <w:lang w:val="en-US" w:eastAsia="zh-CN" w:bidi="ar-SA"/>
    </w:rPr>
  </w:style>
  <w:style w:type="character" w:customStyle="1" w:styleId="320">
    <w:name w:val="标题 字符1"/>
    <w:link w:val="43"/>
    <w:qFormat/>
    <w:uiPriority w:val="0"/>
    <w:rPr>
      <w:rFonts w:ascii="Cambria" w:hAnsi="Cambria"/>
      <w:color w:val="343434"/>
      <w:spacing w:val="5"/>
      <w:kern w:val="28"/>
      <w:sz w:val="52"/>
      <w:szCs w:val="52"/>
    </w:rPr>
  </w:style>
  <w:style w:type="character" w:customStyle="1" w:styleId="321">
    <w:name w:val="_Style 317"/>
    <w:qFormat/>
    <w:uiPriority w:val="0"/>
    <w:rPr>
      <w:b/>
      <w:bCs/>
      <w:smallCaps/>
      <w:color w:val="DA1F28"/>
      <w:spacing w:val="5"/>
      <w:u w:val="single"/>
    </w:rPr>
  </w:style>
  <w:style w:type="character" w:customStyle="1" w:styleId="322">
    <w:name w:val="正文文本缩进 字符1"/>
    <w:link w:val="19"/>
    <w:qFormat/>
    <w:locked/>
    <w:uiPriority w:val="99"/>
    <w:rPr>
      <w:rFonts w:ascii="仿宋_GB2312" w:hAnsi="Times New Roman" w:eastAsia="仿宋_GB2312" w:cs="Times New Roman"/>
      <w:sz w:val="24"/>
      <w:szCs w:val="24"/>
    </w:rPr>
  </w:style>
  <w:style w:type="character" w:customStyle="1" w:styleId="323">
    <w:name w:val="标题 3 Char Char"/>
    <w:qFormat/>
    <w:uiPriority w:val="0"/>
    <w:rPr>
      <w:rFonts w:ascii="仿宋_GB2312" w:eastAsia="仿宋_GB2312"/>
      <w:b/>
      <w:sz w:val="28"/>
      <w:szCs w:val="28"/>
      <w:lang w:val="en-US" w:eastAsia="zh-CN" w:bidi="ar-SA"/>
    </w:rPr>
  </w:style>
  <w:style w:type="character" w:customStyle="1" w:styleId="324">
    <w:name w:val="样式3-1 Char Char"/>
    <w:link w:val="65"/>
    <w:qFormat/>
    <w:uiPriority w:val="0"/>
    <w:rPr>
      <w:rFonts w:ascii="Arial" w:hAnsi="Arial" w:eastAsia="黑体"/>
      <w:b/>
      <w:color w:val="000000"/>
      <w:sz w:val="32"/>
    </w:rPr>
  </w:style>
  <w:style w:type="character" w:customStyle="1" w:styleId="325">
    <w:name w:val="_Style 321"/>
    <w:qFormat/>
    <w:uiPriority w:val="0"/>
    <w:rPr>
      <w:smallCaps/>
      <w:color w:val="DA1F28"/>
      <w:u w:val="single"/>
    </w:rPr>
  </w:style>
  <w:style w:type="character" w:customStyle="1" w:styleId="326">
    <w:name w:val="明显引用 Char"/>
    <w:qFormat/>
    <w:uiPriority w:val="99"/>
    <w:rPr>
      <w:b/>
      <w:bCs/>
      <w:i/>
      <w:iCs/>
      <w:color w:val="4F81BD"/>
      <w:kern w:val="2"/>
      <w:sz w:val="21"/>
      <w:szCs w:val="24"/>
    </w:rPr>
  </w:style>
  <w:style w:type="character" w:customStyle="1" w:styleId="327">
    <w:name w:val="样式4-1 Char Char"/>
    <w:qFormat/>
    <w:uiPriority w:val="0"/>
    <w:rPr>
      <w:rFonts w:ascii="Calibri" w:hAnsi="Calibri" w:eastAsia="宋体"/>
      <w:b/>
      <w:kern w:val="2"/>
      <w:sz w:val="22"/>
      <w:lang w:val="en-US" w:eastAsia="zh-CN"/>
    </w:rPr>
  </w:style>
  <w:style w:type="character" w:customStyle="1" w:styleId="328">
    <w:name w:val="Document Map Char"/>
    <w:qFormat/>
    <w:uiPriority w:val="0"/>
    <w:rPr>
      <w:rFonts w:eastAsia="宋体" w:cs="Times New Roman"/>
      <w:kern w:val="2"/>
      <w:sz w:val="24"/>
      <w:lang w:val="en-US" w:eastAsia="zh-CN"/>
    </w:rPr>
  </w:style>
  <w:style w:type="character" w:customStyle="1" w:styleId="329">
    <w:name w:val="标题 6 Char"/>
    <w:semiHidden/>
    <w:qFormat/>
    <w:uiPriority w:val="9"/>
    <w:rPr>
      <w:rFonts w:ascii="Cambria" w:hAnsi="Cambria" w:eastAsia="宋体" w:cs="Times New Roman"/>
      <w:b/>
      <w:bCs/>
      <w:kern w:val="2"/>
      <w:sz w:val="24"/>
      <w:szCs w:val="24"/>
    </w:rPr>
  </w:style>
  <w:style w:type="character" w:customStyle="1" w:styleId="330">
    <w:name w:val="页脚 字符"/>
    <w:qFormat/>
    <w:uiPriority w:val="99"/>
  </w:style>
  <w:style w:type="character" w:customStyle="1" w:styleId="331">
    <w:name w:val="标题 6 字符"/>
    <w:semiHidden/>
    <w:qFormat/>
    <w:uiPriority w:val="9"/>
    <w:rPr>
      <w:rFonts w:ascii="等线 Light" w:hAnsi="等线 Light" w:eastAsia="等线 Light" w:cs="Times New Roman"/>
      <w:b/>
      <w:bCs/>
      <w:kern w:val="2"/>
      <w:sz w:val="24"/>
      <w:szCs w:val="24"/>
    </w:rPr>
  </w:style>
  <w:style w:type="character" w:customStyle="1" w:styleId="332">
    <w:name w:val="脚注文本 字符"/>
    <w:semiHidden/>
    <w:qFormat/>
    <w:uiPriority w:val="99"/>
    <w:rPr>
      <w:rFonts w:ascii="Times New Roman" w:hAnsi="Times New Roman"/>
      <w:kern w:val="2"/>
      <w:sz w:val="18"/>
      <w:szCs w:val="18"/>
    </w:rPr>
  </w:style>
  <w:style w:type="character" w:customStyle="1" w:styleId="333">
    <w:name w:val="标题 4 字符1"/>
    <w:link w:val="5"/>
    <w:qFormat/>
    <w:uiPriority w:val="0"/>
    <w:rPr>
      <w:rFonts w:ascii="Arial" w:hAnsi="Arial" w:eastAsia="黑体"/>
      <w:b/>
      <w:bCs/>
      <w:kern w:val="2"/>
      <w:sz w:val="28"/>
      <w:szCs w:val="28"/>
    </w:rPr>
  </w:style>
  <w:style w:type="character" w:customStyle="1" w:styleId="334">
    <w:name w:val="样式5-1 Char Char Char"/>
    <w:link w:val="68"/>
    <w:qFormat/>
    <w:uiPriority w:val="0"/>
    <w:rPr>
      <w:b/>
      <w:kern w:val="2"/>
      <w:sz w:val="28"/>
      <w:szCs w:val="22"/>
    </w:rPr>
  </w:style>
  <w:style w:type="character" w:customStyle="1" w:styleId="335">
    <w:name w:val="纯文本 字符3"/>
    <w:link w:val="23"/>
    <w:qFormat/>
    <w:uiPriority w:val="0"/>
    <w:rPr>
      <w:rFonts w:ascii="宋体" w:hAnsi="Courier New" w:cs="Courier New"/>
      <w:kern w:val="2"/>
      <w:sz w:val="21"/>
      <w:szCs w:val="21"/>
    </w:rPr>
  </w:style>
  <w:style w:type="character" w:customStyle="1" w:styleId="336">
    <w:name w:val="标题 5 字符"/>
    <w:qFormat/>
    <w:locked/>
    <w:uiPriority w:val="0"/>
    <w:rPr>
      <w:rFonts w:ascii="Times New Roman" w:hAnsi="Times New Roman"/>
      <w:b/>
      <w:sz w:val="24"/>
      <w:szCs w:val="24"/>
    </w:rPr>
  </w:style>
  <w:style w:type="character" w:customStyle="1" w:styleId="337">
    <w:name w:val="Heading 2 Char"/>
    <w:qFormat/>
    <w:uiPriority w:val="0"/>
    <w:rPr>
      <w:rFonts w:ascii="宋体" w:hAnsi="Arial" w:cs="Times New Roman"/>
      <w:b/>
      <w:kern w:val="2"/>
      <w:sz w:val="24"/>
    </w:rPr>
  </w:style>
  <w:style w:type="character" w:customStyle="1" w:styleId="338">
    <w:name w:val="尾注文本 字符1"/>
    <w:link w:val="27"/>
    <w:qFormat/>
    <w:uiPriority w:val="0"/>
  </w:style>
  <w:style w:type="character" w:customStyle="1" w:styleId="339">
    <w:name w:val="Footer Char"/>
    <w:qFormat/>
    <w:uiPriority w:val="0"/>
    <w:rPr>
      <w:rFonts w:cs="Times New Roman"/>
      <w:sz w:val="18"/>
    </w:rPr>
  </w:style>
  <w:style w:type="character" w:customStyle="1" w:styleId="340">
    <w:name w:val="普通文字 Char Char1"/>
    <w:qFormat/>
    <w:uiPriority w:val="0"/>
    <w:rPr>
      <w:rFonts w:ascii="宋体" w:eastAsia="宋体" w:cs="Times New Roman"/>
      <w:kern w:val="2"/>
      <w:sz w:val="21"/>
      <w:lang w:val="en-US" w:eastAsia="zh-CN" w:bidi="ar-SA"/>
    </w:rPr>
  </w:style>
  <w:style w:type="character" w:customStyle="1" w:styleId="341">
    <w:name w:val="批注主题 字符1"/>
    <w:link w:val="44"/>
    <w:semiHidden/>
    <w:qFormat/>
    <w:locked/>
    <w:uiPriority w:val="99"/>
    <w:rPr>
      <w:rFonts w:ascii="Times New Roman" w:hAnsi="Times New Roman" w:eastAsia="宋体" w:cs="Times New Roman"/>
      <w:b/>
      <w:bCs/>
      <w:sz w:val="24"/>
      <w:szCs w:val="24"/>
    </w:rPr>
  </w:style>
  <w:style w:type="character" w:customStyle="1" w:styleId="342">
    <w:name w:val="标题 2 字符"/>
    <w:qFormat/>
    <w:locked/>
    <w:uiPriority w:val="0"/>
    <w:rPr>
      <w:rFonts w:ascii="Arial" w:hAnsi="Arial" w:eastAsia="宋体" w:cs="Times New Roman"/>
      <w:b/>
      <w:bCs/>
      <w:sz w:val="32"/>
      <w:szCs w:val="32"/>
    </w:rPr>
  </w:style>
  <w:style w:type="character" w:customStyle="1" w:styleId="343">
    <w:name w:val="纯文本 字符"/>
    <w:qFormat/>
    <w:uiPriority w:val="0"/>
    <w:rPr>
      <w:rFonts w:ascii="宋体" w:hAnsi="Courier New" w:cs="Courier New"/>
      <w:kern w:val="2"/>
      <w:sz w:val="21"/>
      <w:szCs w:val="21"/>
    </w:rPr>
  </w:style>
  <w:style w:type="character" w:customStyle="1" w:styleId="344">
    <w:name w:val="正文文本首行缩进 2 字符1"/>
    <w:link w:val="46"/>
    <w:qFormat/>
    <w:uiPriority w:val="0"/>
    <w:rPr>
      <w:rFonts w:eastAsia="仿宋_GB2312"/>
    </w:rPr>
  </w:style>
  <w:style w:type="character" w:customStyle="1" w:styleId="345">
    <w:name w:val="2级标题（前附表） Char Char"/>
    <w:link w:val="76"/>
    <w:qFormat/>
    <w:uiPriority w:val="0"/>
    <w:rPr>
      <w:rFonts w:ascii="黑体" w:eastAsia="黑体"/>
      <w:color w:val="000000"/>
      <w:kern w:val="2"/>
      <w:sz w:val="28"/>
    </w:rPr>
  </w:style>
  <w:style w:type="character" w:customStyle="1" w:styleId="346">
    <w:name w:val="apple-converted-space"/>
    <w:qFormat/>
    <w:uiPriority w:val="0"/>
  </w:style>
  <w:style w:type="character" w:customStyle="1" w:styleId="347">
    <w:name w:val="尾注文本 Char"/>
    <w:semiHidden/>
    <w:qFormat/>
    <w:uiPriority w:val="99"/>
    <w:rPr>
      <w:kern w:val="2"/>
      <w:sz w:val="21"/>
      <w:szCs w:val="24"/>
    </w:rPr>
  </w:style>
  <w:style w:type="character" w:customStyle="1" w:styleId="348">
    <w:name w:val="标题 9 字符"/>
    <w:semiHidden/>
    <w:qFormat/>
    <w:uiPriority w:val="9"/>
    <w:rPr>
      <w:rFonts w:ascii="等线 Light" w:hAnsi="等线 Light" w:eastAsia="等线 Light" w:cs="Times New Roman"/>
      <w:kern w:val="2"/>
      <w:sz w:val="21"/>
      <w:szCs w:val="21"/>
    </w:rPr>
  </w:style>
  <w:style w:type="character" w:customStyle="1" w:styleId="349">
    <w:name w:val="样式3-3 Char Char Char"/>
    <w:link w:val="83"/>
    <w:qFormat/>
    <w:uiPriority w:val="0"/>
    <w:rPr>
      <w:rFonts w:ascii="黑体" w:hAnsi="华文中宋" w:eastAsia="黑体" w:cs="Arial"/>
      <w:b/>
      <w:bCs/>
      <w:color w:val="000000"/>
      <w:sz w:val="24"/>
      <w:szCs w:val="32"/>
    </w:rPr>
  </w:style>
  <w:style w:type="character" w:customStyle="1" w:styleId="350">
    <w:name w:val="Heading 4 Char"/>
    <w:qFormat/>
    <w:uiPriority w:val="0"/>
    <w:rPr>
      <w:rFonts w:ascii="宋体" w:hAnsi="Arial" w:eastAsia="宋体" w:cs="Times New Roman"/>
      <w:b/>
      <w:kern w:val="2"/>
      <w:sz w:val="24"/>
      <w:lang w:val="en-US" w:eastAsia="zh-CN"/>
    </w:rPr>
  </w:style>
  <w:style w:type="character" w:customStyle="1" w:styleId="351">
    <w:name w:val="样式3 Char Char Char"/>
    <w:link w:val="74"/>
    <w:qFormat/>
    <w:uiPriority w:val="0"/>
    <w:rPr>
      <w:rFonts w:eastAsia="黑体"/>
      <w:sz w:val="24"/>
      <w:szCs w:val="24"/>
    </w:rPr>
  </w:style>
  <w:style w:type="character" w:customStyle="1" w:styleId="352">
    <w:name w:val="样式2-1 Char Char Char"/>
    <w:link w:val="63"/>
    <w:qFormat/>
    <w:uiPriority w:val="0"/>
    <w:rPr>
      <w:rFonts w:ascii="华文中宋" w:hAnsi="华文中宋" w:eastAsia="华文中宋"/>
      <w:b/>
      <w:color w:val="000000"/>
      <w:kern w:val="2"/>
      <w:sz w:val="36"/>
      <w:szCs w:val="44"/>
    </w:rPr>
  </w:style>
  <w:style w:type="character" w:customStyle="1" w:styleId="353">
    <w:name w:val="标题 2 字符1"/>
    <w:link w:val="3"/>
    <w:qFormat/>
    <w:locked/>
    <w:uiPriority w:val="0"/>
    <w:rPr>
      <w:rFonts w:ascii="黑体" w:hAnsi="黑体" w:eastAsia="黑体"/>
      <w:b/>
      <w:sz w:val="28"/>
      <w:szCs w:val="28"/>
    </w:rPr>
  </w:style>
  <w:style w:type="character" w:customStyle="1" w:styleId="354">
    <w:name w:val="引用 字符1"/>
    <w:link w:val="82"/>
    <w:qFormat/>
    <w:uiPriority w:val="0"/>
    <w:rPr>
      <w:i/>
      <w:iCs/>
      <w:color w:val="000000"/>
    </w:rPr>
  </w:style>
  <w:style w:type="character" w:customStyle="1" w:styleId="355">
    <w:name w:val="ls"/>
    <w:qFormat/>
    <w:uiPriority w:val="0"/>
    <w:rPr>
      <w:rFonts w:ascii="Arial" w:hAnsi="Arial" w:eastAsia="宋体" w:cs="Arial"/>
      <w:color w:val="auto"/>
      <w:sz w:val="18"/>
      <w:szCs w:val="20"/>
    </w:rPr>
  </w:style>
  <w:style w:type="character" w:customStyle="1" w:styleId="356">
    <w:name w:val="不明显强调1"/>
    <w:qFormat/>
    <w:uiPriority w:val="0"/>
    <w:rPr>
      <w:i/>
      <w:color w:val="808080"/>
    </w:rPr>
  </w:style>
  <w:style w:type="character" w:customStyle="1" w:styleId="357">
    <w:name w:val="样式4-2 Char Char"/>
    <w:link w:val="60"/>
    <w:qFormat/>
    <w:uiPriority w:val="0"/>
    <w:rPr>
      <w:b/>
      <w:kern w:val="2"/>
      <w:sz w:val="22"/>
    </w:rPr>
  </w:style>
  <w:style w:type="character" w:customStyle="1" w:styleId="358">
    <w:name w:val="样式2-1 Char Char"/>
    <w:qFormat/>
    <w:uiPriority w:val="0"/>
    <w:rPr>
      <w:rFonts w:ascii="华文中宋" w:hAnsi="华文中宋" w:eastAsia="华文中宋"/>
      <w:b/>
      <w:color w:val="000000"/>
      <w:kern w:val="2"/>
      <w:sz w:val="44"/>
      <w:lang w:val="en-US" w:eastAsia="zh-CN"/>
    </w:rPr>
  </w:style>
  <w:style w:type="character" w:customStyle="1" w:styleId="359">
    <w:name w:val="脚注文本 Char"/>
    <w:semiHidden/>
    <w:qFormat/>
    <w:uiPriority w:val="99"/>
    <w:rPr>
      <w:kern w:val="2"/>
      <w:sz w:val="18"/>
      <w:szCs w:val="18"/>
    </w:rPr>
  </w:style>
  <w:style w:type="character" w:customStyle="1" w:styleId="360">
    <w:name w:val="纯文本 字符1"/>
    <w:qFormat/>
    <w:uiPriority w:val="0"/>
    <w:rPr>
      <w:rFonts w:ascii="宋体" w:hAnsi="Times New Roman" w:eastAsia="宋体" w:cs="Times New Roman"/>
      <w:szCs w:val="20"/>
    </w:rPr>
  </w:style>
  <w:style w:type="character" w:customStyle="1" w:styleId="361">
    <w:name w:val="正文首行缩进 2 字符"/>
    <w:semiHidden/>
    <w:qFormat/>
    <w:uiPriority w:val="99"/>
    <w:rPr>
      <w:rFonts w:ascii="Times New Roman" w:hAnsi="Times New Roman" w:eastAsia="仿宋_GB2312" w:cs="Times New Roman"/>
      <w:kern w:val="2"/>
      <w:sz w:val="21"/>
      <w:szCs w:val="24"/>
    </w:rPr>
  </w:style>
  <w:style w:type="character" w:customStyle="1" w:styleId="362">
    <w:name w:val="标题 4 字符"/>
    <w:qFormat/>
    <w:uiPriority w:val="0"/>
    <w:rPr>
      <w:rFonts w:ascii="Arial" w:hAnsi="Arial" w:eastAsia="黑体"/>
      <w:b/>
      <w:bCs/>
      <w:kern w:val="2"/>
      <w:sz w:val="28"/>
      <w:szCs w:val="28"/>
    </w:rPr>
  </w:style>
  <w:style w:type="character" w:customStyle="1" w:styleId="363">
    <w:name w:val="标题 3 字符"/>
    <w:qFormat/>
    <w:locked/>
    <w:uiPriority w:val="0"/>
    <w:rPr>
      <w:rFonts w:ascii="宋体" w:hAnsi="Times New Roman" w:eastAsia="宋体" w:cs="Times New Roman"/>
      <w:b/>
      <w:bCs/>
      <w:sz w:val="32"/>
      <w:szCs w:val="32"/>
    </w:rPr>
  </w:style>
  <w:style w:type="character" w:customStyle="1" w:styleId="364">
    <w:name w:val="页眉 字符1"/>
    <w:link w:val="30"/>
    <w:qFormat/>
    <w:locked/>
    <w:uiPriority w:val="0"/>
    <w:rPr>
      <w:rFonts w:cs="Times New Roman"/>
      <w:sz w:val="18"/>
      <w:szCs w:val="18"/>
    </w:rPr>
  </w:style>
  <w:style w:type="character" w:customStyle="1" w:styleId="365">
    <w:name w:val="样式1-1 Char Char Char"/>
    <w:link w:val="59"/>
    <w:qFormat/>
    <w:uiPriority w:val="0"/>
    <w:rPr>
      <w:rFonts w:ascii="华文中宋" w:hAnsi="华文中宋" w:eastAsia="华文中宋"/>
      <w:b/>
      <w:color w:val="000000"/>
      <w:sz w:val="48"/>
      <w:szCs w:val="52"/>
    </w:rPr>
  </w:style>
  <w:style w:type="character" w:customStyle="1" w:styleId="366">
    <w:name w:val="标题 8 字符2"/>
    <w:link w:val="9"/>
    <w:qFormat/>
    <w:uiPriority w:val="99"/>
    <w:rPr>
      <w:rFonts w:ascii="Cambria" w:hAnsi="Cambria" w:eastAsia="宋体" w:cs="Times New Roman"/>
      <w:kern w:val="2"/>
      <w:sz w:val="24"/>
      <w:szCs w:val="24"/>
    </w:rPr>
  </w:style>
  <w:style w:type="character" w:customStyle="1" w:styleId="367">
    <w:name w:val="样式 黑体 小四 自定义颜色(RGB(1500))"/>
    <w:qFormat/>
    <w:uiPriority w:val="0"/>
    <w:rPr>
      <w:rFonts w:ascii="Times New Roman" w:hAnsi="Times New Roman" w:eastAsia="黑体"/>
      <w:color w:val="0F0000"/>
      <w:kern w:val="0"/>
      <w:sz w:val="24"/>
      <w:szCs w:val="24"/>
    </w:rPr>
  </w:style>
  <w:style w:type="character" w:customStyle="1" w:styleId="368">
    <w:name w:val="para1"/>
    <w:qFormat/>
    <w:uiPriority w:val="0"/>
    <w:rPr>
      <w:rFonts w:ascii="Arial" w:hAnsi="Arial"/>
      <w:sz w:val="18"/>
    </w:rPr>
  </w:style>
  <w:style w:type="character" w:customStyle="1" w:styleId="369">
    <w:name w:val="标题 7 字符1"/>
    <w:link w:val="8"/>
    <w:qFormat/>
    <w:uiPriority w:val="0"/>
    <w:rPr>
      <w:sz w:val="24"/>
    </w:rPr>
  </w:style>
  <w:style w:type="character" w:customStyle="1" w:styleId="370">
    <w:name w:val="HTML Markup"/>
    <w:qFormat/>
    <w:uiPriority w:val="0"/>
    <w:rPr>
      <w:vanish/>
      <w:color w:val="FF0000"/>
    </w:rPr>
  </w:style>
  <w:style w:type="character" w:customStyle="1" w:styleId="371">
    <w:name w:val="页脚 字符2"/>
    <w:link w:val="29"/>
    <w:qFormat/>
    <w:locked/>
    <w:uiPriority w:val="99"/>
    <w:rPr>
      <w:rFonts w:cs="Times New Roman"/>
      <w:sz w:val="18"/>
      <w:szCs w:val="18"/>
    </w:rPr>
  </w:style>
  <w:style w:type="character" w:customStyle="1" w:styleId="372">
    <w:name w:val="gyy正文 Char Char"/>
    <w:link w:val="71"/>
    <w:qFormat/>
    <w:uiPriority w:val="0"/>
    <w:rPr>
      <w:rFonts w:ascii="Verdana" w:hAnsi="Verdana"/>
      <w:kern w:val="2"/>
      <w:sz w:val="24"/>
      <w:szCs w:val="24"/>
    </w:rPr>
  </w:style>
  <w:style w:type="character" w:customStyle="1" w:styleId="373">
    <w:name w:val="批注文字 字符1"/>
    <w:link w:val="16"/>
    <w:semiHidden/>
    <w:qFormat/>
    <w:locked/>
    <w:uiPriority w:val="99"/>
    <w:rPr>
      <w:rFonts w:ascii="Times New Roman" w:hAnsi="Times New Roman" w:eastAsia="宋体" w:cs="Times New Roman"/>
      <w:sz w:val="24"/>
      <w:szCs w:val="24"/>
    </w:rPr>
  </w:style>
  <w:style w:type="character" w:customStyle="1" w:styleId="374">
    <w:name w:val="标题 8 字符"/>
    <w:semiHidden/>
    <w:qFormat/>
    <w:uiPriority w:val="9"/>
    <w:rPr>
      <w:rFonts w:ascii="等线 Light" w:hAnsi="等线 Light" w:eastAsia="等线 Light" w:cs="Times New Roman"/>
      <w:kern w:val="2"/>
      <w:sz w:val="24"/>
      <w:szCs w:val="24"/>
    </w:rPr>
  </w:style>
  <w:style w:type="character" w:customStyle="1" w:styleId="375">
    <w:name w:val="正文文本 3 字符"/>
    <w:semiHidden/>
    <w:qFormat/>
    <w:uiPriority w:val="99"/>
    <w:rPr>
      <w:rFonts w:ascii="Times New Roman" w:hAnsi="Times New Roman"/>
      <w:kern w:val="2"/>
      <w:sz w:val="16"/>
      <w:szCs w:val="16"/>
    </w:rPr>
  </w:style>
  <w:style w:type="character" w:customStyle="1" w:styleId="376">
    <w:name w:val="页眉 字符"/>
    <w:qFormat/>
    <w:locked/>
    <w:uiPriority w:val="0"/>
    <w:rPr>
      <w:rFonts w:cs="Times New Roman"/>
      <w:sz w:val="18"/>
      <w:szCs w:val="18"/>
    </w:rPr>
  </w:style>
  <w:style w:type="character" w:customStyle="1" w:styleId="377">
    <w:name w:val="批注框文本 字符1"/>
    <w:link w:val="28"/>
    <w:qFormat/>
    <w:locked/>
    <w:uiPriority w:val="0"/>
    <w:rPr>
      <w:rFonts w:ascii="Times New Roman" w:hAnsi="Times New Roman" w:eastAsia="宋体" w:cs="Times New Roman"/>
      <w:sz w:val="18"/>
      <w:szCs w:val="18"/>
    </w:rPr>
  </w:style>
  <w:style w:type="character" w:customStyle="1" w:styleId="378">
    <w:name w:val="副标题 Char1"/>
    <w:qFormat/>
    <w:uiPriority w:val="0"/>
    <w:rPr>
      <w:rFonts w:ascii="Cambria" w:hAnsi="Cambria" w:cs="Times New Roman"/>
      <w:b/>
      <w:bCs/>
      <w:kern w:val="28"/>
      <w:sz w:val="32"/>
      <w:szCs w:val="32"/>
    </w:rPr>
  </w:style>
  <w:style w:type="character" w:customStyle="1" w:styleId="379">
    <w:name w:val="样式正文-2 Char Char"/>
    <w:qFormat/>
    <w:uiPriority w:val="0"/>
    <w:rPr>
      <w:rFonts w:ascii="Arial" w:hAnsi="Arial" w:eastAsia="宋体"/>
      <w:color w:val="000000"/>
      <w:sz w:val="24"/>
      <w:lang w:val="en-US" w:eastAsia="zh-CN"/>
    </w:rPr>
  </w:style>
  <w:style w:type="character" w:customStyle="1" w:styleId="380">
    <w:name w:val="文档结构图 字符1"/>
    <w:link w:val="14"/>
    <w:qFormat/>
    <w:locked/>
    <w:uiPriority w:val="99"/>
    <w:rPr>
      <w:rFonts w:ascii="Times New Roman" w:hAnsi="Times New Roman" w:eastAsia="宋体" w:cs="Times New Roman"/>
      <w:sz w:val="24"/>
      <w:szCs w:val="24"/>
      <w:shd w:val="clear" w:color="auto" w:fill="000080"/>
    </w:rPr>
  </w:style>
  <w:style w:type="character" w:customStyle="1" w:styleId="381">
    <w:name w:val="标题 字符"/>
    <w:qFormat/>
    <w:uiPriority w:val="10"/>
    <w:rPr>
      <w:rFonts w:ascii="等线 Light" w:hAnsi="等线 Light" w:cs="Times New Roman"/>
      <w:b/>
      <w:bCs/>
      <w:kern w:val="2"/>
      <w:sz w:val="32"/>
      <w:szCs w:val="32"/>
    </w:rPr>
  </w:style>
  <w:style w:type="character" w:customStyle="1" w:styleId="382">
    <w:name w:val="样式3-2 Char Char"/>
    <w:link w:val="64"/>
    <w:qFormat/>
    <w:uiPriority w:val="0"/>
    <w:rPr>
      <w:rFonts w:ascii="黑体" w:eastAsia="黑体"/>
      <w:b/>
      <w:sz w:val="32"/>
    </w:rPr>
  </w:style>
  <w:style w:type="character" w:customStyle="1" w:styleId="383">
    <w:name w:val="正文文本缩进 2 字符1"/>
    <w:link w:val="26"/>
    <w:qFormat/>
    <w:locked/>
    <w:uiPriority w:val="99"/>
    <w:rPr>
      <w:rFonts w:ascii="仿宋_GB2312" w:hAnsi="Times New Roman" w:eastAsia="仿宋_GB2312" w:cs="Times New Roman"/>
      <w:sz w:val="24"/>
      <w:szCs w:val="24"/>
    </w:rPr>
  </w:style>
  <w:style w:type="character" w:customStyle="1" w:styleId="384">
    <w:name w:val="明显引用 字符1"/>
    <w:link w:val="86"/>
    <w:qFormat/>
    <w:uiPriority w:val="0"/>
    <w:rPr>
      <w:b/>
      <w:bCs/>
      <w:i/>
      <w:iCs/>
      <w:color w:val="2DA2BF"/>
    </w:rPr>
  </w:style>
  <w:style w:type="character" w:customStyle="1" w:styleId="385">
    <w:name w:val="引用 字符"/>
    <w:qFormat/>
    <w:uiPriority w:val="29"/>
    <w:rPr>
      <w:rFonts w:ascii="Times New Roman" w:hAnsi="Times New Roman"/>
      <w:i/>
      <w:iCs/>
      <w:color w:val="404040"/>
      <w:kern w:val="2"/>
      <w:sz w:val="21"/>
      <w:szCs w:val="24"/>
    </w:rPr>
  </w:style>
  <w:style w:type="character" w:customStyle="1" w:styleId="386">
    <w:name w:val="fontstyle01"/>
    <w:qFormat/>
    <w:uiPriority w:val="0"/>
    <w:rPr>
      <w:rFonts w:hint="eastAsia" w:ascii="宋体" w:hAnsi="宋体" w:eastAsia="宋体"/>
      <w:color w:val="000000"/>
      <w:sz w:val="24"/>
      <w:szCs w:val="24"/>
    </w:rPr>
  </w:style>
  <w:style w:type="character" w:customStyle="1" w:styleId="387">
    <w:name w:val="样式3-3 Char Char"/>
    <w:qFormat/>
    <w:uiPriority w:val="0"/>
    <w:rPr>
      <w:rFonts w:ascii="黑体" w:hAnsi="华文中宋" w:eastAsia="黑体"/>
      <w:b/>
      <w:color w:val="000000"/>
      <w:sz w:val="32"/>
      <w:lang w:val="en-US" w:eastAsia="zh-CN"/>
    </w:rPr>
  </w:style>
  <w:style w:type="character" w:customStyle="1" w:styleId="388">
    <w:name w:val="正文文本缩进 3 字符"/>
    <w:qFormat/>
    <w:locked/>
    <w:uiPriority w:val="0"/>
    <w:rPr>
      <w:rFonts w:ascii="仿宋_GB2312" w:hAnsi="Times New Roman" w:eastAsia="仿宋_GB2312" w:cs="Times New Roman"/>
      <w:color w:val="3366FF"/>
      <w:sz w:val="24"/>
      <w:szCs w:val="24"/>
    </w:rPr>
  </w:style>
  <w:style w:type="character" w:customStyle="1" w:styleId="389">
    <w:name w:val="正文文本 3 字符1"/>
    <w:link w:val="17"/>
    <w:qFormat/>
    <w:uiPriority w:val="0"/>
    <w:rPr>
      <w:rFonts w:ascii="宋体" w:hAnsi="宋体"/>
      <w:color w:val="0000FF"/>
      <w:kern w:val="2"/>
      <w:szCs w:val="24"/>
    </w:rPr>
  </w:style>
  <w:style w:type="character" w:customStyle="1" w:styleId="390">
    <w:name w:val="日期 字符"/>
    <w:qFormat/>
    <w:locked/>
    <w:uiPriority w:val="0"/>
    <w:rPr>
      <w:rFonts w:ascii="仿宋_GB2312" w:hAnsi="Times New Roman" w:eastAsia="仿宋_GB2312" w:cs="Times New Roman"/>
      <w:sz w:val="24"/>
      <w:szCs w:val="24"/>
    </w:rPr>
  </w:style>
  <w:style w:type="character" w:customStyle="1" w:styleId="391">
    <w:name w:val="Default Char Char"/>
    <w:qFormat/>
    <w:uiPriority w:val="0"/>
    <w:rPr>
      <w:rFonts w:ascii="宋体" w:hAnsi="Calibri"/>
      <w:color w:val="000000"/>
      <w:sz w:val="24"/>
      <w:lang w:val="en-US" w:eastAsia="zh-CN"/>
    </w:rPr>
  </w:style>
  <w:style w:type="character" w:customStyle="1" w:styleId="392">
    <w:name w:val="标题 9 字符1"/>
    <w:link w:val="10"/>
    <w:qFormat/>
    <w:uiPriority w:val="0"/>
    <w:rPr>
      <w:sz w:val="24"/>
    </w:rPr>
  </w:style>
  <w:style w:type="character" w:customStyle="1" w:styleId="393">
    <w:name w:val="样式5-2 Char Char Char"/>
    <w:link w:val="67"/>
    <w:qFormat/>
    <w:uiPriority w:val="0"/>
    <w:rPr>
      <w:b/>
      <w:kern w:val="2"/>
      <w:sz w:val="24"/>
      <w:szCs w:val="22"/>
    </w:rPr>
  </w:style>
  <w:style w:type="character" w:customStyle="1" w:styleId="394">
    <w:name w:val="正文文本首行缩进 字符1"/>
    <w:link w:val="45"/>
    <w:qFormat/>
    <w:locked/>
    <w:uiPriority w:val="99"/>
    <w:rPr>
      <w:rFonts w:ascii="楷体_GB2312" w:hAnsi="Times New Roman" w:eastAsia="楷体_GB2312" w:cs="Times New Roman"/>
      <w:spacing w:val="4"/>
      <w:sz w:val="20"/>
      <w:szCs w:val="20"/>
    </w:rPr>
  </w:style>
  <w:style w:type="character" w:customStyle="1" w:styleId="395">
    <w:name w:val="纯文本 Char"/>
    <w:qFormat/>
    <w:uiPriority w:val="0"/>
    <w:rPr>
      <w:rFonts w:ascii="宋体" w:hAnsi="Courier New" w:eastAsia="宋体" w:cs="Courier New"/>
      <w:sz w:val="21"/>
      <w:szCs w:val="21"/>
    </w:rPr>
  </w:style>
  <w:style w:type="character" w:customStyle="1" w:styleId="396">
    <w:name w:val="纯文本 字符2"/>
    <w:qFormat/>
    <w:uiPriority w:val="0"/>
    <w:rPr>
      <w:rFonts w:ascii="宋体"/>
      <w:kern w:val="2"/>
      <w:sz w:val="21"/>
    </w:rPr>
  </w:style>
  <w:style w:type="character" w:customStyle="1" w:styleId="397">
    <w:name w:val="正文文本 字符1"/>
    <w:link w:val="18"/>
    <w:semiHidden/>
    <w:qFormat/>
    <w:locked/>
    <w:uiPriority w:val="99"/>
    <w:rPr>
      <w:rFonts w:ascii="Times New Roman" w:hAnsi="Times New Roman" w:eastAsia="宋体" w:cs="Times New Roman"/>
      <w:sz w:val="24"/>
      <w:szCs w:val="24"/>
    </w:rPr>
  </w:style>
  <w:style w:type="character" w:customStyle="1" w:styleId="398">
    <w:name w:val="样式5 Char Char Char Char"/>
    <w:qFormat/>
    <w:uiPriority w:val="0"/>
    <w:rPr>
      <w:rFonts w:ascii="黑体" w:eastAsia="黑体"/>
      <w:kern w:val="2"/>
      <w:sz w:val="32"/>
      <w:lang w:val="en-US" w:eastAsia="zh-CN"/>
    </w:rPr>
  </w:style>
  <w:style w:type="character" w:customStyle="1" w:styleId="399">
    <w:name w:val="样式4-3 Char Char"/>
    <w:qFormat/>
    <w:uiPriority w:val="0"/>
    <w:rPr>
      <w:rFonts w:ascii="黑体" w:hAnsi="华文中宋" w:eastAsia="黑体"/>
      <w:b/>
      <w:color w:val="000000"/>
      <w:sz w:val="32"/>
      <w:lang w:val="en-US" w:eastAsia="zh-CN"/>
    </w:rPr>
  </w:style>
  <w:style w:type="character" w:customStyle="1" w:styleId="400">
    <w:name w:val="正文首行缩进 字符"/>
    <w:qFormat/>
    <w:locked/>
    <w:uiPriority w:val="0"/>
    <w:rPr>
      <w:rFonts w:ascii="楷体_GB2312" w:hAnsi="Times New Roman" w:eastAsia="楷体_GB2312" w:cs="Times New Roman"/>
      <w:spacing w:val="4"/>
      <w:sz w:val="20"/>
      <w:szCs w:val="20"/>
    </w:rPr>
  </w:style>
  <w:style w:type="character" w:customStyle="1" w:styleId="401">
    <w:name w:val="标题 8 字符1"/>
    <w:qFormat/>
    <w:uiPriority w:val="0"/>
    <w:rPr>
      <w:rFonts w:ascii="Times New Roman" w:hAnsi="Times New Roman"/>
      <w:sz w:val="24"/>
    </w:rPr>
  </w:style>
  <w:style w:type="character" w:customStyle="1" w:styleId="402">
    <w:name w:val="正文文本缩进 2 字符"/>
    <w:qFormat/>
    <w:locked/>
    <w:uiPriority w:val="0"/>
    <w:rPr>
      <w:rFonts w:ascii="仿宋_GB2312" w:hAnsi="Times New Roman" w:eastAsia="仿宋_GB2312" w:cs="Times New Roman"/>
      <w:sz w:val="24"/>
      <w:szCs w:val="24"/>
    </w:rPr>
  </w:style>
  <w:style w:type="character" w:customStyle="1" w:styleId="403">
    <w:name w:val="3级标题（总则） Char Char"/>
    <w:qFormat/>
    <w:uiPriority w:val="0"/>
    <w:rPr>
      <w:rFonts w:ascii="宋体" w:hAnsi="宋体" w:eastAsia="宋体"/>
      <w:b/>
      <w:kern w:val="2"/>
      <w:sz w:val="24"/>
      <w:lang w:val="en-US" w:eastAsia="zh-CN"/>
    </w:rPr>
  </w:style>
  <w:style w:type="character" w:customStyle="1" w:styleId="404">
    <w:name w:val="样式正文-1 Char Char"/>
    <w:link w:val="62"/>
    <w:qFormat/>
    <w:uiPriority w:val="0"/>
    <w:rPr>
      <w:kern w:val="2"/>
      <w:sz w:val="22"/>
    </w:rPr>
  </w:style>
  <w:style w:type="character" w:customStyle="1" w:styleId="405">
    <w:name w:val="Header Char"/>
    <w:qFormat/>
    <w:uiPriority w:val="0"/>
    <w:rPr>
      <w:rFonts w:ascii="宋体" w:eastAsia="宋体" w:cs="Times New Roman"/>
      <w:kern w:val="2"/>
      <w:sz w:val="18"/>
      <w:lang w:val="en-US" w:eastAsia="zh-CN"/>
    </w:rPr>
  </w:style>
  <w:style w:type="character" w:customStyle="1" w:styleId="406">
    <w:name w:val="批注文字 字符"/>
    <w:qFormat/>
    <w:locked/>
    <w:uiPriority w:val="0"/>
    <w:rPr>
      <w:rFonts w:ascii="Times New Roman" w:hAnsi="Times New Roman" w:eastAsia="宋体" w:cs="Times New Roman"/>
      <w:sz w:val="24"/>
      <w:szCs w:val="24"/>
    </w:rPr>
  </w:style>
  <w:style w:type="character" w:customStyle="1" w:styleId="407">
    <w:name w:val="标题 Char"/>
    <w:qFormat/>
    <w:uiPriority w:val="10"/>
    <w:rPr>
      <w:rFonts w:ascii="Cambria" w:hAnsi="Cambria" w:cs="Times New Roman"/>
      <w:b/>
      <w:bCs/>
      <w:kern w:val="2"/>
      <w:sz w:val="32"/>
      <w:szCs w:val="32"/>
    </w:rPr>
  </w:style>
  <w:style w:type="character" w:customStyle="1" w:styleId="408">
    <w:name w:val="日期 字符1"/>
    <w:link w:val="25"/>
    <w:qFormat/>
    <w:locked/>
    <w:uiPriority w:val="99"/>
    <w:rPr>
      <w:rFonts w:ascii="仿宋_GB2312" w:hAnsi="Times New Roman" w:eastAsia="仿宋_GB2312" w:cs="Times New Roman"/>
      <w:sz w:val="24"/>
      <w:szCs w:val="24"/>
    </w:rPr>
  </w:style>
  <w:style w:type="character" w:customStyle="1" w:styleId="409">
    <w:name w:val="Heading 1 Char"/>
    <w:qFormat/>
    <w:uiPriority w:val="0"/>
    <w:rPr>
      <w:rFonts w:ascii="宋体" w:eastAsia="宋体" w:cs="Times New Roman"/>
      <w:b/>
      <w:kern w:val="44"/>
      <w:sz w:val="30"/>
      <w:lang w:val="en-US" w:eastAsia="zh-CN"/>
    </w:rPr>
  </w:style>
  <w:style w:type="character" w:customStyle="1" w:styleId="410">
    <w:name w:val="_Style 406"/>
    <w:qFormat/>
    <w:uiPriority w:val="0"/>
    <w:rPr>
      <w:b/>
      <w:bCs/>
      <w:smallCaps/>
      <w:spacing w:val="5"/>
    </w:rPr>
  </w:style>
  <w:style w:type="character" w:customStyle="1" w:styleId="411">
    <w:name w:val="3级标题（总则） Char Char Char"/>
    <w:link w:val="78"/>
    <w:qFormat/>
    <w:uiPriority w:val="0"/>
    <w:rPr>
      <w:rFonts w:ascii="宋体" w:hAnsi="宋体"/>
      <w:b/>
      <w:kern w:val="2"/>
      <w:sz w:val="24"/>
      <w:szCs w:val="24"/>
    </w:rPr>
  </w:style>
  <w:style w:type="character" w:customStyle="1" w:styleId="412">
    <w:name w:val="Comment Subject Char"/>
    <w:qFormat/>
    <w:uiPriority w:val="0"/>
    <w:rPr>
      <w:rFonts w:ascii="宋体" w:hAnsi="Times New Roman" w:eastAsia="宋体" w:cs="Times New Roman"/>
      <w:b/>
      <w:kern w:val="2"/>
      <w:sz w:val="24"/>
      <w:szCs w:val="24"/>
      <w:lang w:val="en-US" w:eastAsia="zh-CN"/>
    </w:rPr>
  </w:style>
  <w:style w:type="character" w:customStyle="1" w:styleId="413">
    <w:name w:val="正文缩进 字符1"/>
    <w:link w:val="12"/>
    <w:qFormat/>
    <w:locked/>
    <w:uiPriority w:val="0"/>
    <w:rPr>
      <w:rFonts w:ascii="宋体" w:hAnsi="Times New Roman"/>
      <w:kern w:val="2"/>
      <w:sz w:val="21"/>
    </w:rPr>
  </w:style>
  <w:style w:type="character" w:customStyle="1" w:styleId="414">
    <w:name w:val="正文文本 字符"/>
    <w:qFormat/>
    <w:locked/>
    <w:uiPriority w:val="0"/>
    <w:rPr>
      <w:rFonts w:ascii="Times New Roman" w:hAnsi="Times New Roman" w:eastAsia="宋体" w:cs="Times New Roman"/>
      <w:sz w:val="24"/>
      <w:szCs w:val="24"/>
    </w:rPr>
  </w:style>
  <w:style w:type="character" w:customStyle="1" w:styleId="415">
    <w:name w:val="_Style 411"/>
    <w:qFormat/>
    <w:uiPriority w:val="0"/>
    <w:rPr>
      <w:rFonts w:eastAsia="仿宋_GB2312"/>
      <w:iCs/>
      <w:color w:val="auto"/>
      <w:sz w:val="24"/>
    </w:rPr>
  </w:style>
  <w:style w:type="character" w:customStyle="1" w:styleId="416">
    <w:name w:val="标题 7 字符"/>
    <w:semiHidden/>
    <w:qFormat/>
    <w:uiPriority w:val="9"/>
    <w:rPr>
      <w:rFonts w:ascii="Times New Roman" w:hAnsi="Times New Roman"/>
      <w:b/>
      <w:bCs/>
      <w:kern w:val="2"/>
      <w:sz w:val="24"/>
      <w:szCs w:val="24"/>
    </w:rPr>
  </w:style>
  <w:style w:type="character" w:customStyle="1" w:styleId="417">
    <w:name w:val="font161"/>
    <w:qFormat/>
    <w:uiPriority w:val="0"/>
    <w:rPr>
      <w:b/>
      <w:bCs/>
      <w:sz w:val="32"/>
      <w:szCs w:val="32"/>
    </w:rPr>
  </w:style>
  <w:style w:type="character" w:customStyle="1" w:styleId="418">
    <w:name w:val="批注主题 字符"/>
    <w:qFormat/>
    <w:locked/>
    <w:uiPriority w:val="0"/>
    <w:rPr>
      <w:rFonts w:ascii="Times New Roman" w:hAnsi="Times New Roman" w:eastAsia="宋体" w:cs="Times New Roman"/>
      <w:b/>
      <w:bCs/>
      <w:sz w:val="24"/>
      <w:szCs w:val="24"/>
    </w:rPr>
  </w:style>
  <w:style w:type="character" w:customStyle="1" w:styleId="419">
    <w:name w:val="副标题 字符1"/>
    <w:qFormat/>
    <w:uiPriority w:val="0"/>
    <w:rPr>
      <w:rFonts w:ascii="等线 Light" w:hAnsi="等线 Light" w:cs="Times New Roman"/>
      <w:b/>
      <w:bCs/>
      <w:kern w:val="28"/>
      <w:sz w:val="32"/>
      <w:szCs w:val="32"/>
    </w:rPr>
  </w:style>
  <w:style w:type="character" w:customStyle="1" w:styleId="420">
    <w:name w:val="Char Char39"/>
    <w:qFormat/>
    <w:uiPriority w:val="0"/>
    <w:rPr>
      <w:rFonts w:ascii="Arial" w:hAnsi="Arial" w:eastAsia="黑体" w:cs="Times New Roman"/>
      <w:b/>
      <w:bCs/>
      <w:sz w:val="32"/>
      <w:szCs w:val="32"/>
      <w:lang w:bidi="ar-SA"/>
    </w:rPr>
  </w:style>
  <w:style w:type="character" w:customStyle="1" w:styleId="421">
    <w:name w:val="脚注文本 字符1"/>
    <w:link w:val="34"/>
    <w:qFormat/>
    <w:uiPriority w:val="0"/>
    <w:rPr>
      <w:sz w:val="18"/>
    </w:rPr>
  </w:style>
  <w:style w:type="character" w:customStyle="1" w:styleId="422">
    <w:name w:val="Char Char61"/>
    <w:qFormat/>
    <w:uiPriority w:val="0"/>
    <w:rPr>
      <w:rFonts w:ascii="黑体" w:hAnsi="宋体" w:eastAsia="黑体"/>
      <w:kern w:val="2"/>
      <w:sz w:val="28"/>
      <w:lang w:val="en-US" w:eastAsia="zh-CN"/>
    </w:rPr>
  </w:style>
  <w:style w:type="character" w:customStyle="1" w:styleId="423">
    <w:name w:val="题注 字符1"/>
    <w:link w:val="13"/>
    <w:qFormat/>
    <w:uiPriority w:val="0"/>
    <w:rPr>
      <w:rFonts w:ascii="Cambria" w:hAnsi="Cambria" w:eastAsia="黑体"/>
    </w:rPr>
  </w:style>
  <w:style w:type="character" w:customStyle="1" w:styleId="424">
    <w:name w:val="样式 正文文本缩进 + 首行缩进:  2 字符 Char Char Char Char"/>
    <w:qFormat/>
    <w:uiPriority w:val="0"/>
    <w:rPr>
      <w:rFonts w:eastAsia="宋体"/>
      <w:sz w:val="24"/>
      <w:lang w:val="en-US" w:eastAsia="zh-CN"/>
    </w:rPr>
  </w:style>
  <w:style w:type="character" w:customStyle="1" w:styleId="425">
    <w:name w:val="Char Char6"/>
    <w:qFormat/>
    <w:uiPriority w:val="0"/>
    <w:rPr>
      <w:rFonts w:ascii="黑体" w:hAnsi="宋体" w:eastAsia="黑体"/>
      <w:bCs/>
      <w:kern w:val="2"/>
      <w:sz w:val="28"/>
      <w:szCs w:val="28"/>
      <w:lang w:val="en-US" w:eastAsia="zh-CN" w:bidi="ar-SA"/>
    </w:rPr>
  </w:style>
  <w:style w:type="character" w:customStyle="1" w:styleId="426">
    <w:name w:val="标题 6 字符1"/>
    <w:link w:val="7"/>
    <w:qFormat/>
    <w:uiPriority w:val="0"/>
    <w:rPr>
      <w:sz w:val="24"/>
    </w:rPr>
  </w:style>
  <w:style w:type="character" w:customStyle="1" w:styleId="427">
    <w:name w:val="样式正文-2 Char Char Char"/>
    <w:link w:val="72"/>
    <w:qFormat/>
    <w:uiPriority w:val="0"/>
    <w:rPr>
      <w:rFonts w:ascii="Arial" w:hAnsi="Arial" w:cs="宋体"/>
      <w:color w:val="000000"/>
      <w:sz w:val="24"/>
      <w:szCs w:val="24"/>
    </w:rPr>
  </w:style>
  <w:style w:type="character" w:customStyle="1" w:styleId="428">
    <w:name w:val="明显引用 字符"/>
    <w:qFormat/>
    <w:uiPriority w:val="30"/>
    <w:rPr>
      <w:rFonts w:ascii="Times New Roman" w:hAnsi="Times New Roman"/>
      <w:i/>
      <w:iCs/>
      <w:color w:val="4472C4"/>
      <w:kern w:val="2"/>
      <w:sz w:val="21"/>
      <w:szCs w:val="24"/>
    </w:rPr>
  </w:style>
  <w:style w:type="character" w:customStyle="1" w:styleId="429">
    <w:name w:val="Heading 3 Char"/>
    <w:qFormat/>
    <w:uiPriority w:val="0"/>
    <w:rPr>
      <w:rFonts w:ascii="仿宋_GB2312" w:eastAsia="仿宋_GB2312" w:cs="Times New Roman"/>
      <w:b/>
      <w:sz w:val="28"/>
      <w:lang w:val="en-US" w:eastAsia="zh-CN"/>
    </w:rPr>
  </w:style>
  <w:style w:type="character" w:customStyle="1" w:styleId="430">
    <w:name w:val="_Style 426"/>
    <w:unhideWhenUsed/>
    <w:qFormat/>
    <w:uiPriority w:val="99"/>
    <w:rPr>
      <w:color w:val="2B579A"/>
      <w:shd w:val="clear" w:color="auto" w:fill="E6E6E6"/>
    </w:rPr>
  </w:style>
  <w:style w:type="character" w:customStyle="1" w:styleId="431">
    <w:name w:val="CM104 Char Char Char"/>
    <w:link w:val="77"/>
    <w:qFormat/>
    <w:uiPriority w:val="0"/>
  </w:style>
  <w:style w:type="character" w:customStyle="1" w:styleId="432">
    <w:name w:val="样式4-1 Char Char Char"/>
    <w:link w:val="61"/>
    <w:qFormat/>
    <w:uiPriority w:val="0"/>
    <w:rPr>
      <w:b/>
      <w:kern w:val="2"/>
      <w:sz w:val="28"/>
      <w:szCs w:val="22"/>
    </w:rPr>
  </w:style>
  <w:style w:type="character" w:customStyle="1" w:styleId="433">
    <w:name w:val="style11"/>
    <w:qFormat/>
    <w:uiPriority w:val="0"/>
    <w:rPr>
      <w:b/>
      <w:bCs/>
    </w:rPr>
  </w:style>
  <w:style w:type="character" w:customStyle="1" w:styleId="434">
    <w:name w:val="文章正文 Char Char"/>
    <w:link w:val="66"/>
    <w:qFormat/>
    <w:uiPriority w:val="0"/>
    <w:rPr>
      <w:rFonts w:ascii="宋体" w:hAnsi="宋体"/>
      <w:kern w:val="2"/>
      <w:sz w:val="21"/>
    </w:rPr>
  </w:style>
  <w:style w:type="character" w:customStyle="1" w:styleId="435">
    <w:name w:val="标题 5 字符1"/>
    <w:link w:val="6"/>
    <w:qFormat/>
    <w:locked/>
    <w:uiPriority w:val="9"/>
    <w:rPr>
      <w:rFonts w:ascii="Times New Roman" w:hAnsi="Times New Roman"/>
      <w:b/>
      <w:sz w:val="24"/>
      <w:szCs w:val="24"/>
    </w:rPr>
  </w:style>
  <w:style w:type="character" w:customStyle="1" w:styleId="436">
    <w:name w:val="_Style 432"/>
    <w:unhideWhenUsed/>
    <w:qFormat/>
    <w:uiPriority w:val="99"/>
    <w:rPr>
      <w:color w:val="808080"/>
      <w:shd w:val="clear" w:color="auto" w:fill="E6E6E6"/>
    </w:rPr>
  </w:style>
  <w:style w:type="character" w:customStyle="1" w:styleId="437">
    <w:name w:val="尾注文本 字符"/>
    <w:semiHidden/>
    <w:qFormat/>
    <w:uiPriority w:val="99"/>
    <w:rPr>
      <w:rFonts w:ascii="Times New Roman" w:hAnsi="Times New Roman"/>
      <w:kern w:val="2"/>
      <w:sz w:val="21"/>
      <w:szCs w:val="24"/>
    </w:rPr>
  </w:style>
  <w:style w:type="character" w:customStyle="1" w:styleId="438">
    <w:name w:val="样式5 Char Char Char Char Char"/>
    <w:link w:val="85"/>
    <w:qFormat/>
    <w:uiPriority w:val="0"/>
    <w:rPr>
      <w:rFonts w:ascii="黑体" w:eastAsia="黑体"/>
      <w:b/>
      <w:bCs/>
      <w:kern w:val="2"/>
      <w:sz w:val="32"/>
      <w:szCs w:val="32"/>
      <w:lang w:val="en-US" w:eastAsia="zh-CN" w:bidi="ar-SA"/>
    </w:rPr>
  </w:style>
  <w:style w:type="character" w:customStyle="1" w:styleId="439">
    <w:name w:val="正文文本缩进 字符"/>
    <w:qFormat/>
    <w:locked/>
    <w:uiPriority w:val="0"/>
    <w:rPr>
      <w:rFonts w:ascii="仿宋_GB2312" w:hAnsi="Times New Roman" w:eastAsia="仿宋_GB2312" w:cs="Times New Roman"/>
      <w:sz w:val="24"/>
      <w:szCs w:val="24"/>
    </w:rPr>
  </w:style>
  <w:style w:type="character" w:customStyle="1" w:styleId="440">
    <w:name w:val="标题 1 字符1"/>
    <w:link w:val="2"/>
    <w:qFormat/>
    <w:locked/>
    <w:uiPriority w:val="9"/>
    <w:rPr>
      <w:rFonts w:ascii="仿宋_GB2312" w:hAnsi="Times New Roman" w:eastAsia="仿宋_GB2312"/>
      <w:b/>
      <w:bCs/>
      <w:color w:val="000000"/>
      <w:sz w:val="36"/>
    </w:rPr>
  </w:style>
  <w:style w:type="character" w:customStyle="1" w:styleId="441">
    <w:name w:val="副标题 字符"/>
    <w:qFormat/>
    <w:uiPriority w:val="11"/>
    <w:rPr>
      <w:rFonts w:ascii="等线 Light" w:hAnsi="等线 Light" w:cs="Times New Roman"/>
      <w:b/>
      <w:bCs/>
      <w:kern w:val="28"/>
      <w:sz w:val="32"/>
      <w:szCs w:val="32"/>
    </w:rPr>
  </w:style>
  <w:style w:type="character" w:customStyle="1" w:styleId="442">
    <w:name w:val="样式4 Char Char Char Char"/>
    <w:qFormat/>
    <w:uiPriority w:val="0"/>
    <w:rPr>
      <w:rFonts w:ascii="宋体" w:eastAsia="宋体"/>
      <w:b/>
      <w:kern w:val="2"/>
      <w:sz w:val="24"/>
      <w:lang w:val="en-US" w:eastAsia="zh-CN"/>
    </w:rPr>
  </w:style>
  <w:style w:type="character" w:customStyle="1" w:styleId="443">
    <w:name w:val="样式3 Char Char"/>
    <w:qFormat/>
    <w:uiPriority w:val="0"/>
    <w:rPr>
      <w:rFonts w:eastAsia="黑体"/>
      <w:sz w:val="24"/>
      <w:lang w:val="en-US" w:eastAsia="zh-CN"/>
    </w:rPr>
  </w:style>
  <w:style w:type="character" w:customStyle="1" w:styleId="444">
    <w:name w:val="副标题 字符2"/>
    <w:link w:val="33"/>
    <w:qFormat/>
    <w:uiPriority w:val="0"/>
    <w:rPr>
      <w:rFonts w:ascii="Century Gothic" w:hAnsi="Century Gothic" w:cs="Century Gothic"/>
      <w:kern w:val="28"/>
      <w:sz w:val="21"/>
      <w:szCs w:val="21"/>
    </w:rPr>
  </w:style>
  <w:style w:type="character" w:customStyle="1" w:styleId="445">
    <w:name w:val="CM104 Char Char"/>
    <w:qFormat/>
    <w:uiPriority w:val="0"/>
    <w:rPr>
      <w:rFonts w:ascii="宋体" w:hAnsi="Calibri"/>
      <w:color w:val="000000"/>
      <w:sz w:val="24"/>
      <w:lang w:val="en-US" w:eastAsia="zh-CN"/>
    </w:rPr>
  </w:style>
  <w:style w:type="character" w:customStyle="1" w:styleId="446">
    <w:name w:val="标题 9 Char"/>
    <w:semiHidden/>
    <w:qFormat/>
    <w:uiPriority w:val="9"/>
    <w:rPr>
      <w:rFonts w:ascii="Cambria" w:hAnsi="Cambria" w:eastAsia="宋体" w:cs="Times New Roman"/>
      <w:kern w:val="2"/>
      <w:sz w:val="21"/>
      <w:szCs w:val="21"/>
    </w:rPr>
  </w:style>
  <w:style w:type="character" w:customStyle="1" w:styleId="447">
    <w:name w:val="Default Char Char Char"/>
    <w:link w:val="73"/>
    <w:qFormat/>
    <w:uiPriority w:val="0"/>
    <w:rPr>
      <w:rFonts w:ascii="......." w:hAnsi="......." w:eastAsia="......."/>
      <w:color w:val="000000"/>
      <w:sz w:val="24"/>
      <w:szCs w:val="24"/>
      <w:lang w:val="en-US" w:eastAsia="zh-CN" w:bidi="ar-SA"/>
    </w:rPr>
  </w:style>
  <w:style w:type="character" w:customStyle="1" w:styleId="448">
    <w:name w:val="标题 7 Char"/>
    <w:semiHidden/>
    <w:qFormat/>
    <w:uiPriority w:val="9"/>
    <w:rPr>
      <w:b/>
      <w:bCs/>
      <w:kern w:val="2"/>
      <w:sz w:val="24"/>
      <w:szCs w:val="24"/>
    </w:rPr>
  </w:style>
  <w:style w:type="character" w:customStyle="1" w:styleId="449">
    <w:name w:val="grame"/>
    <w:qFormat/>
    <w:uiPriority w:val="0"/>
    <w:rPr>
      <w:rFonts w:cs="Times New Roman"/>
    </w:rPr>
  </w:style>
  <w:style w:type="character" w:customStyle="1" w:styleId="450">
    <w:name w:val="样式1-1 Char Char"/>
    <w:qFormat/>
    <w:uiPriority w:val="0"/>
    <w:rPr>
      <w:rFonts w:ascii="华文中宋" w:hAnsi="华文中宋" w:eastAsia="华文中宋"/>
      <w:b/>
      <w:color w:val="000000"/>
      <w:sz w:val="52"/>
      <w:lang w:val="en-US" w:eastAsia="zh-CN"/>
    </w:rPr>
  </w:style>
  <w:style w:type="character" w:customStyle="1" w:styleId="451">
    <w:name w:val="_Style 447"/>
    <w:qFormat/>
    <w:uiPriority w:val="0"/>
    <w:rPr>
      <w:b/>
      <w:bCs/>
      <w:i/>
      <w:iCs/>
      <w:color w:val="2DA2BF"/>
    </w:rPr>
  </w:style>
  <w:style w:type="character" w:customStyle="1" w:styleId="452">
    <w:name w:val="样式 段落编号 + (中文) 黑体 两端对齐 Char Char Char Char Char Char Char"/>
    <w:qFormat/>
    <w:uiPriority w:val="0"/>
    <w:rPr>
      <w:rFonts w:ascii="宋体" w:hAnsi="宋体" w:eastAsia="黑体"/>
      <w:kern w:val="2"/>
      <w:sz w:val="24"/>
      <w:lang w:val="en-US" w:eastAsia="zh-CN"/>
    </w:rPr>
  </w:style>
  <w:style w:type="character" w:customStyle="1" w:styleId="453">
    <w:name w:val="Body Text Char"/>
    <w:qFormat/>
    <w:uiPriority w:val="0"/>
    <w:rPr>
      <w:rFonts w:eastAsia="宋体" w:cs="Times New Roman"/>
      <w:kern w:val="2"/>
      <w:sz w:val="24"/>
      <w:lang w:val="en-US" w:eastAsia="zh-CN"/>
    </w:rPr>
  </w:style>
  <w:style w:type="character" w:customStyle="1" w:styleId="454">
    <w:name w:val="正文首行缩进 Char1"/>
    <w:qFormat/>
    <w:uiPriority w:val="0"/>
    <w:rPr>
      <w:rFonts w:eastAsia="宋体"/>
      <w:kern w:val="2"/>
      <w:sz w:val="24"/>
      <w:szCs w:val="24"/>
      <w:lang w:val="en-US" w:eastAsia="zh-CN" w:bidi="ar-SA"/>
    </w:rPr>
  </w:style>
  <w:style w:type="character" w:customStyle="1" w:styleId="455">
    <w:name w:val="正文缩进 字符"/>
    <w:qFormat/>
    <w:locked/>
    <w:uiPriority w:val="0"/>
    <w:rPr>
      <w:rFonts w:ascii="宋体" w:hAnsi="Times New Roman"/>
      <w:kern w:val="2"/>
      <w:sz w:val="21"/>
    </w:rPr>
  </w:style>
  <w:style w:type="character" w:customStyle="1" w:styleId="456">
    <w:name w:val="正文文本 2 字符1"/>
    <w:link w:val="39"/>
    <w:qFormat/>
    <w:locked/>
    <w:uiPriority w:val="99"/>
    <w:rPr>
      <w:rFonts w:ascii="宋体" w:hAnsi="Times New Roman" w:eastAsia="宋体" w:cs="Times New Roman"/>
      <w:sz w:val="20"/>
      <w:szCs w:val="20"/>
    </w:rPr>
  </w:style>
  <w:style w:type="character" w:customStyle="1" w:styleId="457">
    <w:name w:val="标题 2 Char Char Char"/>
    <w:qFormat/>
    <w:uiPriority w:val="0"/>
    <w:rPr>
      <w:sz w:val="28"/>
    </w:rPr>
  </w:style>
  <w:style w:type="character" w:customStyle="1" w:styleId="458">
    <w:name w:val="批注框文本 字符"/>
    <w:qFormat/>
    <w:locked/>
    <w:uiPriority w:val="0"/>
    <w:rPr>
      <w:rFonts w:ascii="Times New Roman" w:hAnsi="Times New Roman" w:eastAsia="宋体" w:cs="Times New Roman"/>
      <w:sz w:val="18"/>
      <w:szCs w:val="18"/>
    </w:rPr>
  </w:style>
  <w:style w:type="character" w:customStyle="1" w:styleId="459">
    <w:name w:val="引用 Char"/>
    <w:qFormat/>
    <w:uiPriority w:val="99"/>
    <w:rPr>
      <w:i/>
      <w:iCs/>
      <w:color w:val="000000"/>
      <w:kern w:val="2"/>
      <w:sz w:val="21"/>
      <w:szCs w:val="24"/>
    </w:rPr>
  </w:style>
  <w:style w:type="character" w:customStyle="1" w:styleId="460">
    <w:name w:val="样式5-2 Char Char"/>
    <w:qFormat/>
    <w:uiPriority w:val="0"/>
    <w:rPr>
      <w:rFonts w:ascii="Calibri" w:hAnsi="Calibri" w:eastAsia="宋体"/>
      <w:b/>
      <w:kern w:val="2"/>
      <w:sz w:val="22"/>
      <w:lang w:val="en-US" w:eastAsia="zh-CN"/>
    </w:rPr>
  </w:style>
  <w:style w:type="character" w:customStyle="1" w:styleId="461">
    <w:name w:val="正文文本 2 字符"/>
    <w:qFormat/>
    <w:locked/>
    <w:uiPriority w:val="0"/>
    <w:rPr>
      <w:rFonts w:ascii="宋体" w:hAnsi="Times New Roman" w:eastAsia="宋体" w:cs="Times New Roman"/>
      <w:sz w:val="20"/>
      <w:szCs w:val="20"/>
    </w:rPr>
  </w:style>
  <w:style w:type="character" w:customStyle="1" w:styleId="462">
    <w:name w:val="正文文本 3 Char"/>
    <w:semiHidden/>
    <w:qFormat/>
    <w:uiPriority w:val="99"/>
    <w:rPr>
      <w:kern w:val="2"/>
      <w:sz w:val="16"/>
      <w:szCs w:val="16"/>
    </w:rPr>
  </w:style>
  <w:style w:type="character" w:customStyle="1" w:styleId="463">
    <w:name w:val="样式5-1 Char Char"/>
    <w:qFormat/>
    <w:uiPriority w:val="0"/>
    <w:rPr>
      <w:rFonts w:ascii="Calibri" w:hAnsi="Calibri" w:eastAsia="宋体"/>
      <w:b/>
      <w:kern w:val="2"/>
      <w:sz w:val="22"/>
      <w:lang w:val="en-US" w:eastAsia="zh-CN"/>
    </w:rPr>
  </w:style>
  <w:style w:type="character" w:customStyle="1" w:styleId="464">
    <w:name w:val="文档结构图 字符"/>
    <w:qFormat/>
    <w:locked/>
    <w:uiPriority w:val="0"/>
    <w:rPr>
      <w:rFonts w:ascii="Times New Roman" w:hAnsi="Times New Roman" w:eastAsia="宋体" w:cs="Times New Roman"/>
      <w:sz w:val="24"/>
      <w:szCs w:val="24"/>
      <w:shd w:val="clear" w:color="auto" w:fill="000080"/>
    </w:rPr>
  </w:style>
  <w:style w:type="character" w:customStyle="1" w:styleId="465">
    <w:name w:val="标题 1 字符"/>
    <w:autoRedefine/>
    <w:qFormat/>
    <w:locked/>
    <w:uiPriority w:val="0"/>
    <w:rPr>
      <w:rFonts w:ascii="仿宋_GB2312" w:hAnsi="Times New Roman" w:eastAsia="仿宋_GB2312"/>
      <w:b/>
      <w:bCs/>
      <w:color w:val="000000"/>
      <w:sz w:val="36"/>
    </w:rPr>
  </w:style>
  <w:style w:type="character" w:customStyle="1" w:styleId="466">
    <w:name w:val="页脚 字符1"/>
    <w:qFormat/>
    <w:locked/>
    <w:uiPriority w:val="0"/>
    <w:rPr>
      <w:rFonts w:cs="Times New Roman"/>
      <w:sz w:val="18"/>
      <w:szCs w:val="18"/>
    </w:rPr>
  </w:style>
  <w:style w:type="character" w:customStyle="1" w:styleId="467">
    <w:name w:val="4级标题（1.1项目概况) Char Char"/>
    <w:link w:val="89"/>
    <w:qFormat/>
    <w:uiPriority w:val="0"/>
    <w:rPr>
      <w:rFonts w:ascii="宋体" w:hAnsi="宋体"/>
      <w:b/>
      <w:kern w:val="2"/>
      <w:sz w:val="24"/>
    </w:rPr>
  </w:style>
  <w:style w:type="character" w:customStyle="1" w:styleId="468">
    <w:name w:val="Char Char62"/>
    <w:qFormat/>
    <w:uiPriority w:val="0"/>
    <w:rPr>
      <w:rFonts w:ascii="黑体" w:hAnsi="宋体" w:eastAsia="黑体"/>
      <w:kern w:val="2"/>
      <w:sz w:val="28"/>
      <w:lang w:val="en-US" w:eastAsia="zh-CN"/>
    </w:rPr>
  </w:style>
  <w:style w:type="character" w:customStyle="1" w:styleId="469">
    <w:name w:val="HTML 预设格式 字符"/>
    <w:basedOn w:val="49"/>
    <w:link w:val="40"/>
    <w:qFormat/>
    <w:uiPriority w:val="0"/>
    <w:rPr>
      <w:rFonts w:hint="eastAsia" w:ascii="宋体" w:hAnsi="宋体" w:eastAsia="宋体" w:cs="宋体"/>
      <w:sz w:val="24"/>
      <w:szCs w:val="24"/>
    </w:rPr>
  </w:style>
  <w:style w:type="character" w:customStyle="1" w:styleId="470">
    <w:name w:val="正文文本首行缩进 字符"/>
    <w:qFormat/>
    <w:uiPriority w:val="0"/>
    <w:rPr>
      <w:rFonts w:hint="eastAsia" w:ascii="楷体_GB2312" w:eastAsia="楷体_GB2312" w:cs="楷体_GB2312"/>
      <w:spacing w:val="4"/>
      <w:kern w:val="2"/>
      <w:sz w:val="21"/>
      <w:szCs w:val="24"/>
    </w:rPr>
  </w:style>
  <w:style w:type="character" w:customStyle="1" w:styleId="471">
    <w:name w:val="正文文本首行缩进 2 字符"/>
    <w:qFormat/>
    <w:uiPriority w:val="0"/>
    <w:rPr>
      <w:rFonts w:hint="eastAsia" w:ascii="仿宋_GB2312" w:eastAsia="仿宋_GB2312" w:cs="仿宋_GB2312"/>
      <w:kern w:val="2"/>
      <w:sz w:val="21"/>
      <w:szCs w:val="24"/>
    </w:rPr>
  </w:style>
  <w:style w:type="table" w:customStyle="1" w:styleId="472">
    <w:name w:val="Table Normal"/>
    <w:semiHidden/>
    <w:unhideWhenUsed/>
    <w:qFormat/>
    <w:uiPriority w:val="0"/>
    <w:tblPr>
      <w:tblCellMar>
        <w:top w:w="0" w:type="dxa"/>
        <w:left w:w="0" w:type="dxa"/>
        <w:bottom w:w="0" w:type="dxa"/>
        <w:right w:w="0" w:type="dxa"/>
      </w:tblCellMar>
    </w:tblPr>
  </w:style>
  <w:style w:type="character" w:customStyle="1" w:styleId="473">
    <w:name w:val="font71"/>
    <w:basedOn w:val="49"/>
    <w:uiPriority w:val="0"/>
    <w:rPr>
      <w:rFonts w:hint="eastAsia" w:ascii="宋体" w:hAnsi="宋体" w:eastAsia="宋体" w:cs="宋体"/>
      <w:color w:val="000000"/>
      <w:sz w:val="22"/>
      <w:szCs w:val="22"/>
      <w:u w:val="none"/>
      <w:vertAlign w:val="superscript"/>
    </w:rPr>
  </w:style>
  <w:style w:type="character" w:customStyle="1" w:styleId="474">
    <w:name w:val="font01"/>
    <w:basedOn w:val="49"/>
    <w:uiPriority w:val="0"/>
    <w:rPr>
      <w:rFonts w:hint="eastAsia" w:ascii="宋体" w:hAnsi="宋体" w:eastAsia="宋体" w:cs="宋体"/>
      <w:color w:val="000000"/>
      <w:sz w:val="24"/>
      <w:szCs w:val="24"/>
      <w:u w:val="none"/>
    </w:rPr>
  </w:style>
  <w:style w:type="character" w:customStyle="1" w:styleId="475">
    <w:name w:val="font81"/>
    <w:basedOn w:val="49"/>
    <w:uiPriority w:val="0"/>
    <w:rPr>
      <w:rFonts w:hint="default" w:ascii="Times New Roman" w:hAnsi="Times New Roman" w:cs="Times New Roman"/>
      <w:color w:val="000000"/>
      <w:sz w:val="22"/>
      <w:szCs w:val="22"/>
      <w:u w:val="none"/>
      <w:vertAlign w:val="superscript"/>
    </w:rPr>
  </w:style>
  <w:style w:type="character" w:customStyle="1" w:styleId="476">
    <w:name w:val="font61"/>
    <w:basedOn w:val="49"/>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103</Pages>
  <Words>30991</Words>
  <Characters>32874</Characters>
  <Lines>126</Lines>
  <Paragraphs>134</Paragraphs>
  <TotalTime>40</TotalTime>
  <ScaleCrop>false</ScaleCrop>
  <LinksUpToDate>false</LinksUpToDate>
  <CharactersWithSpaces>33955</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2024-03-07T08:25:00Z</dcterms:created>
  <dc:creator>Administrator</dc:creator>
  <cp:lastModifiedBy>黑桃♠</cp:lastModifiedBy>
  <cp:lastPrinted>2023-05-30T07:55:00Z</cp:lastPrinted>
  <dcterms:modified xsi:type="dcterms:W3CDTF">2025-11-18T16:34:38Z</dcterms:modified>
  <dc:title>谈判文件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8770933F203F0C73782D1C692C518D26_43</vt:lpwstr>
  </property>
  <property fmtid="{D5CDD505-2E9C-101B-9397-08002B2CF9AE}" pid="4" name="KSOTemplateDocerSaveRecord">
    <vt:lpwstr>eyJoZGlkIjoiOTAzYWU2Mzk2ODk4MmEzOTY4OGFiMjEwZDQxZDgzNTkiLCJ1c2VySWQiOiIyODMxMjk0NzIifQ==</vt:lpwstr>
  </property>
</Properties>
</file>