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C178A14">
      <w:pPr>
        <w:pStyle w:val="114"/>
        <w:jc w:val="center"/>
        <w:rPr>
          <w:rFonts w:hint="eastAsia" w:ascii="宋体" w:hAnsi="宋体" w:eastAsia="宋体" w:cs="宋体"/>
          <w:b w:val="0"/>
          <w:bCs w:val="0"/>
          <w:color w:val="auto"/>
          <w:w w:val="90"/>
          <w:sz w:val="72"/>
          <w:szCs w:val="72"/>
          <w:highlight w:val="none"/>
        </w:rPr>
      </w:pPr>
      <w:bookmarkStart w:id="0" w:name="_Toc259909709"/>
      <w:bookmarkStart w:id="1" w:name="_Toc247957875"/>
      <w:bookmarkStart w:id="2" w:name="_Toc259909821"/>
      <w:r>
        <w:rPr>
          <w:rFonts w:hint="eastAsia" w:ascii="宋体" w:hAnsi="宋体" w:eastAsia="宋体" w:cs="宋体"/>
          <w:b w:val="0"/>
          <w:bCs w:val="0"/>
          <w:color w:val="auto"/>
          <w:w w:val="90"/>
          <w:sz w:val="72"/>
          <w:szCs w:val="72"/>
          <w:highlight w:val="none"/>
          <w:lang w:val="en-US" w:eastAsia="zh-CN"/>
        </w:rPr>
        <w:t>2025年上海松江区对口协作昭通特色农产品推介会服务</w:t>
      </w:r>
    </w:p>
    <w:p w14:paraId="2FDDDA98">
      <w:pPr>
        <w:pStyle w:val="5"/>
        <w:ind w:left="0" w:leftChars="0" w:firstLine="0" w:firstLineChars="0"/>
        <w:jc w:val="center"/>
        <w:rPr>
          <w:rFonts w:hint="eastAsia" w:ascii="微软雅黑" w:hAnsi="微软雅黑" w:eastAsia="微软雅黑" w:cs="微软雅黑"/>
          <w:b w:val="0"/>
          <w:bCs w:val="0"/>
          <w:color w:val="auto"/>
          <w:w w:val="90"/>
          <w:sz w:val="72"/>
          <w:szCs w:val="72"/>
          <w:highlight w:val="none"/>
          <w:lang w:val="en-US" w:eastAsia="zh-CN"/>
        </w:rPr>
      </w:pPr>
    </w:p>
    <w:p w14:paraId="2BA3D1A7">
      <w:pPr>
        <w:pStyle w:val="5"/>
        <w:jc w:val="center"/>
        <w:rPr>
          <w:rFonts w:hint="eastAsia" w:ascii="微软雅黑" w:hAnsi="微软雅黑" w:eastAsia="微软雅黑" w:cs="微软雅黑"/>
          <w:b w:val="0"/>
          <w:bCs w:val="0"/>
          <w:color w:val="auto"/>
          <w:w w:val="90"/>
          <w:sz w:val="72"/>
          <w:szCs w:val="72"/>
          <w:highlight w:val="none"/>
          <w:lang w:val="en-US" w:eastAsia="zh-CN"/>
        </w:rPr>
      </w:pPr>
    </w:p>
    <w:p w14:paraId="180EB5DA">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微软雅黑" w:hAnsi="微软雅黑" w:eastAsia="微软雅黑" w:cs="微软雅黑"/>
          <w:b w:val="0"/>
          <w:bCs w:val="0"/>
          <w:color w:val="auto"/>
          <w:w w:val="90"/>
          <w:sz w:val="40"/>
          <w:szCs w:val="40"/>
          <w:highlight w:val="none"/>
          <w:lang w:val="en-US" w:eastAsia="zh-CN"/>
        </w:rPr>
      </w:pPr>
    </w:p>
    <w:p w14:paraId="0A198F14">
      <w:pPr>
        <w:keepNext w:val="0"/>
        <w:keepLines w:val="0"/>
        <w:pageBreakBefore w:val="0"/>
        <w:widowControl w:val="0"/>
        <w:kinsoku/>
        <w:wordWrap/>
        <w:overflowPunct/>
        <w:topLinePunct w:val="0"/>
        <w:autoSpaceDE/>
        <w:autoSpaceDN/>
        <w:bidi w:val="0"/>
        <w:adjustRightInd/>
        <w:snapToGrid/>
        <w:spacing w:line="240" w:lineRule="auto"/>
        <w:jc w:val="center"/>
        <w:textAlignment w:val="auto"/>
        <w:outlineLvl w:val="0"/>
        <w:rPr>
          <w:rFonts w:hint="eastAsia" w:ascii="微软雅黑" w:hAnsi="微软雅黑" w:eastAsia="微软雅黑" w:cs="微软雅黑"/>
          <w:b w:val="0"/>
          <w:bCs w:val="0"/>
          <w:color w:val="auto"/>
          <w:w w:val="90"/>
          <w:sz w:val="72"/>
          <w:szCs w:val="72"/>
          <w:highlight w:val="none"/>
          <w:lang w:val="en-US" w:eastAsia="zh-CN"/>
        </w:rPr>
      </w:pPr>
      <w:bookmarkStart w:id="3" w:name="_Toc16426"/>
      <w:bookmarkStart w:id="4" w:name="_Toc26633"/>
      <w:bookmarkStart w:id="5" w:name="_Toc645"/>
      <w:r>
        <w:rPr>
          <w:rFonts w:hint="eastAsia" w:ascii="微软雅黑" w:hAnsi="微软雅黑" w:eastAsia="微软雅黑" w:cs="微软雅黑"/>
          <w:b w:val="0"/>
          <w:bCs w:val="0"/>
          <w:color w:val="auto"/>
          <w:w w:val="90"/>
          <w:sz w:val="72"/>
          <w:szCs w:val="72"/>
          <w:highlight w:val="none"/>
          <w:lang w:val="en-US" w:eastAsia="zh-CN"/>
        </w:rPr>
        <w:t>竞争性磋商文件</w:t>
      </w:r>
      <w:bookmarkEnd w:id="3"/>
      <w:bookmarkEnd w:id="4"/>
      <w:bookmarkEnd w:id="5"/>
    </w:p>
    <w:p w14:paraId="171AF5E0">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3150" w:firstLineChars="1500"/>
        <w:jc w:val="both"/>
        <w:textAlignment w:val="auto"/>
        <w:rPr>
          <w:rFonts w:hint="default" w:ascii="微软雅黑" w:hAnsi="微软雅黑" w:eastAsia="微软雅黑" w:cs="微软雅黑"/>
          <w:b w:val="0"/>
          <w:bCs w:val="0"/>
          <w:i w:val="0"/>
          <w:iCs w:val="0"/>
          <w:caps w:val="0"/>
          <w:color w:val="auto"/>
          <w:spacing w:val="0"/>
          <w:sz w:val="21"/>
          <w:szCs w:val="21"/>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1"/>
          <w:szCs w:val="21"/>
          <w:highlight w:val="none"/>
          <w:shd w:val="clear" w:fill="FFFFFF"/>
          <w:lang w:val="en-US" w:eastAsia="zh-CN"/>
        </w:rPr>
        <w:t>采购计划编号：4530600JH202501944</w:t>
      </w:r>
    </w:p>
    <w:p w14:paraId="7C08753C">
      <w:pPr>
        <w:spacing w:line="240" w:lineRule="auto"/>
        <w:jc w:val="both"/>
        <w:rPr>
          <w:rFonts w:hint="eastAsia" w:ascii="微软雅黑" w:hAnsi="微软雅黑" w:eastAsia="微软雅黑" w:cs="微软雅黑"/>
          <w:b w:val="0"/>
          <w:bCs w:val="0"/>
          <w:color w:val="auto"/>
          <w:w w:val="90"/>
          <w:sz w:val="36"/>
          <w:szCs w:val="36"/>
          <w:highlight w:val="none"/>
          <w:lang w:val="en-US" w:eastAsia="zh-CN"/>
        </w:rPr>
      </w:pPr>
    </w:p>
    <w:p w14:paraId="601F998E">
      <w:pPr>
        <w:spacing w:line="400" w:lineRule="exact"/>
        <w:rPr>
          <w:rFonts w:hint="eastAsia" w:ascii="微软雅黑" w:hAnsi="微软雅黑" w:eastAsia="微软雅黑" w:cs="微软雅黑"/>
          <w:b w:val="0"/>
          <w:bCs w:val="0"/>
          <w:color w:val="auto"/>
          <w:w w:val="90"/>
          <w:sz w:val="36"/>
          <w:szCs w:val="36"/>
          <w:highlight w:val="none"/>
          <w:lang w:val="en-US" w:eastAsia="zh-CN"/>
        </w:rPr>
      </w:pPr>
      <w:r>
        <w:rPr>
          <w:rFonts w:hint="eastAsia" w:eastAsiaTheme="minorEastAsia"/>
          <w:color w:val="auto"/>
          <w:highlight w:val="none"/>
          <w:lang w:eastAsia="zh-CN"/>
        </w:rPr>
        <w:drawing>
          <wp:anchor distT="0" distB="0" distL="114300" distR="114300" simplePos="0" relativeHeight="251659264" behindDoc="1" locked="0" layoutInCell="1" allowOverlap="1">
            <wp:simplePos x="0" y="0"/>
            <wp:positionH relativeFrom="column">
              <wp:posOffset>2266315</wp:posOffset>
            </wp:positionH>
            <wp:positionV relativeFrom="paragraph">
              <wp:posOffset>205105</wp:posOffset>
            </wp:positionV>
            <wp:extent cx="1704975" cy="897890"/>
            <wp:effectExtent l="0" t="0" r="9525" b="16510"/>
            <wp:wrapNone/>
            <wp:docPr id="8" name="图片 8"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云南泽诚公司log"/>
                    <pic:cNvPicPr>
                      <a:picLocks noChangeAspect="1"/>
                    </pic:cNvPicPr>
                  </pic:nvPicPr>
                  <pic:blipFill>
                    <a:blip r:embed="rId22"/>
                    <a:stretch>
                      <a:fillRect/>
                    </a:stretch>
                  </pic:blipFill>
                  <pic:spPr>
                    <a:xfrm>
                      <a:off x="0" y="0"/>
                      <a:ext cx="1704975" cy="897890"/>
                    </a:xfrm>
                    <a:prstGeom prst="rect">
                      <a:avLst/>
                    </a:prstGeom>
                  </pic:spPr>
                </pic:pic>
              </a:graphicData>
            </a:graphic>
          </wp:anchor>
        </w:drawing>
      </w:r>
    </w:p>
    <w:p w14:paraId="0B483A11">
      <w:pPr>
        <w:spacing w:line="400" w:lineRule="exact"/>
        <w:jc w:val="center"/>
        <w:rPr>
          <w:rFonts w:hint="eastAsia" w:ascii="微软雅黑" w:hAnsi="微软雅黑" w:eastAsia="微软雅黑" w:cs="微软雅黑"/>
          <w:b w:val="0"/>
          <w:bCs w:val="0"/>
          <w:color w:val="auto"/>
          <w:sz w:val="21"/>
          <w:szCs w:val="21"/>
          <w:highlight w:val="none"/>
        </w:rPr>
      </w:pPr>
    </w:p>
    <w:p w14:paraId="630AA9C5">
      <w:pPr>
        <w:spacing w:line="400" w:lineRule="exact"/>
        <w:rPr>
          <w:rFonts w:hint="eastAsia" w:ascii="微软雅黑" w:hAnsi="微软雅黑" w:eastAsia="微软雅黑" w:cs="微软雅黑"/>
          <w:b w:val="0"/>
          <w:bCs w:val="0"/>
          <w:color w:val="auto"/>
          <w:sz w:val="21"/>
          <w:szCs w:val="21"/>
          <w:highlight w:val="none"/>
        </w:rPr>
      </w:pPr>
    </w:p>
    <w:p w14:paraId="268F2CF8">
      <w:pPr>
        <w:spacing w:line="400" w:lineRule="exact"/>
        <w:rPr>
          <w:rFonts w:hint="eastAsia" w:ascii="微软雅黑" w:hAnsi="微软雅黑" w:eastAsia="微软雅黑" w:cs="微软雅黑"/>
          <w:b w:val="0"/>
          <w:bCs w:val="0"/>
          <w:color w:val="auto"/>
          <w:sz w:val="21"/>
          <w:szCs w:val="21"/>
          <w:highlight w:val="none"/>
        </w:rPr>
      </w:pPr>
    </w:p>
    <w:p w14:paraId="1BF95697">
      <w:pPr>
        <w:pStyle w:val="5"/>
        <w:rPr>
          <w:rFonts w:hint="eastAsia" w:ascii="微软雅黑" w:hAnsi="微软雅黑" w:eastAsia="微软雅黑" w:cs="微软雅黑"/>
          <w:b w:val="0"/>
          <w:bCs w:val="0"/>
          <w:color w:val="auto"/>
          <w:sz w:val="21"/>
          <w:szCs w:val="21"/>
          <w:highlight w:val="none"/>
        </w:rPr>
      </w:pPr>
    </w:p>
    <w:p w14:paraId="02DDAEE7">
      <w:pPr>
        <w:spacing w:line="400" w:lineRule="exact"/>
        <w:rPr>
          <w:rFonts w:hint="eastAsia" w:ascii="微软雅黑" w:hAnsi="微软雅黑" w:eastAsia="微软雅黑" w:cs="微软雅黑"/>
          <w:b w:val="0"/>
          <w:bCs w:val="0"/>
          <w:color w:val="auto"/>
          <w:sz w:val="21"/>
          <w:szCs w:val="21"/>
          <w:highlight w:val="none"/>
        </w:rPr>
      </w:pPr>
    </w:p>
    <w:p w14:paraId="5DA617B4">
      <w:pPr>
        <w:spacing w:line="400" w:lineRule="exact"/>
        <w:rPr>
          <w:rFonts w:hint="eastAsia" w:ascii="微软雅黑" w:hAnsi="微软雅黑" w:eastAsia="微软雅黑" w:cs="微软雅黑"/>
          <w:b w:val="0"/>
          <w:bCs w:val="0"/>
          <w:color w:val="auto"/>
          <w:sz w:val="32"/>
          <w:szCs w:val="32"/>
          <w:highlight w:val="none"/>
        </w:rPr>
      </w:pPr>
      <w:r>
        <w:rPr>
          <w:rFonts w:hint="eastAsia" w:ascii="微软雅黑" w:hAnsi="微软雅黑" w:eastAsia="微软雅黑" w:cs="微软雅黑"/>
          <w:b w:val="0"/>
          <w:bCs w:val="0"/>
          <w:color w:val="auto"/>
          <w:sz w:val="21"/>
          <w:szCs w:val="21"/>
          <w:highlight w:val="none"/>
        </w:rPr>
        <w:t xml:space="preserve"> </w:t>
      </w:r>
    </w:p>
    <w:p w14:paraId="3E1FB4EC">
      <w:pPr>
        <w:spacing w:line="1020" w:lineRule="exact"/>
        <w:ind w:left="17" w:leftChars="8" w:firstLine="1718" w:firstLineChars="537"/>
        <w:jc w:val="left"/>
        <w:rPr>
          <w:rFonts w:hint="eastAsia" w:ascii="微软雅黑" w:hAnsi="微软雅黑" w:eastAsia="微软雅黑" w:cs="微软雅黑"/>
          <w:b w:val="0"/>
          <w:bCs w:val="0"/>
          <w:color w:val="auto"/>
          <w:sz w:val="32"/>
          <w:szCs w:val="32"/>
          <w:highlight w:val="none"/>
        </w:rPr>
      </w:pPr>
    </w:p>
    <w:p w14:paraId="26B0AC60">
      <w:pPr>
        <w:spacing w:line="1020" w:lineRule="exact"/>
        <w:ind w:left="17" w:leftChars="8" w:firstLine="1718" w:firstLineChars="537"/>
        <w:jc w:val="left"/>
        <w:rPr>
          <w:rFonts w:hint="default" w:ascii="微软雅黑" w:hAnsi="微软雅黑" w:eastAsia="微软雅黑" w:cs="微软雅黑"/>
          <w:b w:val="0"/>
          <w:bCs w:val="0"/>
          <w:color w:val="auto"/>
          <w:sz w:val="32"/>
          <w:szCs w:val="32"/>
          <w:highlight w:val="none"/>
          <w:lang w:val="en-US" w:eastAsia="zh-CN"/>
        </w:rPr>
      </w:pPr>
      <w:r>
        <w:rPr>
          <w:rFonts w:hint="eastAsia" w:ascii="微软雅黑" w:hAnsi="微软雅黑" w:eastAsia="微软雅黑" w:cs="微软雅黑"/>
          <w:b w:val="0"/>
          <w:bCs w:val="0"/>
          <w:color w:val="auto"/>
          <w:sz w:val="32"/>
          <w:szCs w:val="32"/>
          <w:highlight w:val="none"/>
          <w:lang w:val="en-US" w:eastAsia="zh-CN"/>
        </w:rPr>
        <w:t>采购人</w:t>
      </w:r>
      <w:r>
        <w:rPr>
          <w:rFonts w:hint="eastAsia" w:ascii="微软雅黑" w:hAnsi="微软雅黑" w:eastAsia="微软雅黑" w:cs="微软雅黑"/>
          <w:b w:val="0"/>
          <w:bCs w:val="0"/>
          <w:color w:val="auto"/>
          <w:sz w:val="32"/>
          <w:szCs w:val="32"/>
          <w:highlight w:val="none"/>
        </w:rPr>
        <w:t>：</w:t>
      </w:r>
      <w:r>
        <w:rPr>
          <w:rFonts w:hint="eastAsia" w:ascii="微软雅黑" w:hAnsi="微软雅黑" w:eastAsia="微软雅黑" w:cs="微软雅黑"/>
          <w:b w:val="0"/>
          <w:bCs w:val="0"/>
          <w:color w:val="auto"/>
          <w:kern w:val="2"/>
          <w:sz w:val="32"/>
          <w:szCs w:val="32"/>
          <w:highlight w:val="none"/>
          <w:lang w:val="en-US" w:eastAsia="zh-CN" w:bidi="ar-SA"/>
        </w:rPr>
        <w:t>昭通市农业农村局</w:t>
      </w:r>
    </w:p>
    <w:p w14:paraId="4AA28F58">
      <w:pPr>
        <w:spacing w:line="1020" w:lineRule="exact"/>
        <w:ind w:left="17" w:leftChars="8" w:firstLine="1718" w:firstLineChars="537"/>
        <w:jc w:val="left"/>
        <w:rPr>
          <w:rFonts w:hint="eastAsia" w:ascii="微软雅黑" w:hAnsi="微软雅黑" w:eastAsia="微软雅黑" w:cs="微软雅黑"/>
          <w:b w:val="0"/>
          <w:bCs w:val="0"/>
          <w:color w:val="auto"/>
          <w:sz w:val="32"/>
          <w:szCs w:val="32"/>
          <w:highlight w:val="none"/>
          <w:lang w:eastAsia="zh-CN"/>
        </w:rPr>
      </w:pPr>
      <w:r>
        <w:rPr>
          <w:rFonts w:hint="eastAsia" w:ascii="微软雅黑" w:hAnsi="微软雅黑" w:eastAsia="微软雅黑" w:cs="微软雅黑"/>
          <w:b w:val="0"/>
          <w:bCs w:val="0"/>
          <w:color w:val="auto"/>
          <w:sz w:val="32"/>
          <w:szCs w:val="32"/>
          <w:highlight w:val="none"/>
        </w:rPr>
        <w:t>采购代理机构：</w:t>
      </w:r>
      <w:r>
        <w:rPr>
          <w:rFonts w:hint="eastAsia" w:ascii="微软雅黑" w:hAnsi="微软雅黑" w:eastAsia="微软雅黑" w:cs="微软雅黑"/>
          <w:b w:val="0"/>
          <w:bCs w:val="0"/>
          <w:color w:val="auto"/>
          <w:sz w:val="32"/>
          <w:szCs w:val="32"/>
          <w:highlight w:val="none"/>
          <w:lang w:val="en-US" w:eastAsia="zh-CN"/>
        </w:rPr>
        <w:t>云南泽诚工程项目管理有限公司</w:t>
      </w:r>
    </w:p>
    <w:p w14:paraId="45B76220">
      <w:pPr>
        <w:spacing w:line="1020" w:lineRule="exact"/>
        <w:ind w:left="17" w:leftChars="8" w:firstLine="1718" w:firstLineChars="537"/>
        <w:jc w:val="left"/>
        <w:rPr>
          <w:rFonts w:hint="eastAsia" w:ascii="微软雅黑" w:hAnsi="微软雅黑" w:eastAsia="微软雅黑" w:cs="微软雅黑"/>
          <w:b w:val="0"/>
          <w:bCs w:val="0"/>
          <w:color w:val="auto"/>
          <w:sz w:val="32"/>
          <w:szCs w:val="32"/>
          <w:highlight w:val="none"/>
        </w:rPr>
      </w:pPr>
      <w:r>
        <w:rPr>
          <w:rFonts w:hint="eastAsia" w:ascii="微软雅黑" w:hAnsi="微软雅黑" w:eastAsia="微软雅黑" w:cs="微软雅黑"/>
          <w:b w:val="0"/>
          <w:bCs w:val="0"/>
          <w:color w:val="auto"/>
          <w:sz w:val="32"/>
          <w:szCs w:val="32"/>
          <w:highlight w:val="none"/>
        </w:rPr>
        <w:t>日    期：二O二</w:t>
      </w:r>
      <w:r>
        <w:rPr>
          <w:rFonts w:hint="eastAsia" w:ascii="微软雅黑" w:hAnsi="微软雅黑" w:eastAsia="微软雅黑" w:cs="微软雅黑"/>
          <w:b w:val="0"/>
          <w:bCs w:val="0"/>
          <w:color w:val="auto"/>
          <w:sz w:val="32"/>
          <w:szCs w:val="32"/>
          <w:highlight w:val="none"/>
          <w:lang w:val="en-US" w:eastAsia="zh-CN"/>
        </w:rPr>
        <w:t>五</w:t>
      </w:r>
      <w:r>
        <w:rPr>
          <w:rFonts w:hint="eastAsia" w:ascii="微软雅黑" w:hAnsi="微软雅黑" w:eastAsia="微软雅黑" w:cs="微软雅黑"/>
          <w:b w:val="0"/>
          <w:bCs w:val="0"/>
          <w:color w:val="auto"/>
          <w:sz w:val="32"/>
          <w:szCs w:val="32"/>
          <w:highlight w:val="none"/>
        </w:rPr>
        <w:t>年</w:t>
      </w:r>
      <w:r>
        <w:rPr>
          <w:rFonts w:hint="eastAsia" w:ascii="微软雅黑" w:hAnsi="微软雅黑" w:eastAsia="微软雅黑" w:cs="微软雅黑"/>
          <w:b w:val="0"/>
          <w:bCs w:val="0"/>
          <w:color w:val="auto"/>
          <w:sz w:val="32"/>
          <w:szCs w:val="32"/>
          <w:highlight w:val="none"/>
          <w:lang w:val="en-US" w:eastAsia="zh-CN"/>
        </w:rPr>
        <w:t>十</w:t>
      </w:r>
      <w:r>
        <w:rPr>
          <w:rFonts w:hint="eastAsia" w:ascii="微软雅黑" w:hAnsi="微软雅黑" w:eastAsia="微软雅黑" w:cs="微软雅黑"/>
          <w:b w:val="0"/>
          <w:bCs w:val="0"/>
          <w:color w:val="auto"/>
          <w:sz w:val="32"/>
          <w:szCs w:val="32"/>
          <w:highlight w:val="none"/>
        </w:rPr>
        <w:t>月</w:t>
      </w:r>
    </w:p>
    <w:p w14:paraId="1D000D53">
      <w:pPr>
        <w:pStyle w:val="2"/>
        <w:spacing w:line="360" w:lineRule="auto"/>
        <w:jc w:val="center"/>
        <w:outlineLvl w:val="9"/>
        <w:rPr>
          <w:rFonts w:hint="eastAsia" w:ascii="微软雅黑" w:hAnsi="微软雅黑" w:eastAsia="微软雅黑" w:cs="微软雅黑"/>
          <w:b w:val="0"/>
          <w:bCs w:val="0"/>
          <w:color w:val="auto"/>
          <w:kern w:val="1"/>
          <w:sz w:val="44"/>
          <w:szCs w:val="44"/>
          <w:highlight w:val="none"/>
        </w:rPr>
        <w:sectPr>
          <w:headerReference r:id="rId4" w:type="first"/>
          <w:footerReference r:id="rId6" w:type="first"/>
          <w:headerReference r:id="rId3" w:type="default"/>
          <w:footerReference r:id="rId5" w:type="default"/>
          <w:pgSz w:w="11907" w:h="16840"/>
          <w:pgMar w:top="1077" w:right="1060" w:bottom="1077" w:left="1020" w:header="850" w:footer="680" w:gutter="0"/>
          <w:pgNumType w:start="0"/>
          <w:cols w:space="425" w:num="1"/>
          <w:titlePg/>
          <w:docGrid w:linePitch="312" w:charSpace="0"/>
        </w:sectPr>
      </w:pPr>
    </w:p>
    <w:p w14:paraId="0092A9A3">
      <w:pPr>
        <w:keepNext w:val="0"/>
        <w:keepLines w:val="0"/>
        <w:widowControl/>
        <w:suppressLineNumbers w:val="0"/>
        <w:jc w:val="center"/>
        <w:rPr>
          <w:rFonts w:ascii="宋体" w:hAnsi="宋体" w:eastAsia="宋体" w:cs="宋体"/>
          <w:b/>
          <w:bCs/>
          <w:color w:val="auto"/>
          <w:kern w:val="0"/>
          <w:sz w:val="48"/>
          <w:szCs w:val="48"/>
          <w:highlight w:val="none"/>
          <w:lang w:val="en-US" w:eastAsia="zh-CN" w:bidi="ar"/>
        </w:rPr>
      </w:pPr>
      <w:bookmarkStart w:id="6" w:name="_Toc14773"/>
      <w:bookmarkStart w:id="7" w:name="_Toc18116"/>
      <w:r>
        <w:rPr>
          <w:rFonts w:ascii="宋体" w:hAnsi="宋体" w:eastAsia="宋体" w:cs="宋体"/>
          <w:b/>
          <w:bCs/>
          <w:color w:val="auto"/>
          <w:kern w:val="0"/>
          <w:sz w:val="48"/>
          <w:szCs w:val="48"/>
          <w:highlight w:val="none"/>
          <w:lang w:val="en-US" w:eastAsia="zh-CN" w:bidi="ar"/>
        </w:rPr>
        <w:t>注意事项</w:t>
      </w:r>
    </w:p>
    <w:p w14:paraId="72DE9804">
      <w:pPr>
        <w:pStyle w:val="30"/>
        <w:rPr>
          <w:color w:val="auto"/>
          <w:highlight w:val="none"/>
        </w:rPr>
      </w:pPr>
    </w:p>
    <w:p w14:paraId="1D49236C">
      <w:pPr>
        <w:keepNext w:val="0"/>
        <w:keepLines w:val="0"/>
        <w:pageBreakBefore w:val="0"/>
        <w:numPr>
          <w:ilvl w:val="0"/>
          <w:numId w:val="0"/>
        </w:numPr>
        <w:kinsoku/>
        <w:wordWrap/>
        <w:overflowPunct/>
        <w:topLinePunct w:val="0"/>
        <w:autoSpaceDE/>
        <w:autoSpaceDN/>
        <w:bidi w:val="0"/>
        <w:adjustRightInd/>
        <w:snapToGrid/>
        <w:spacing w:line="480" w:lineRule="auto"/>
        <w:ind w:left="0" w:leftChars="0" w:firstLine="560" w:firstLineChars="200"/>
        <w:textAlignment w:val="auto"/>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t>1.本项目为全流程电子化的政府采购项目，请各投标人熟悉“政采云”相关投标程序， 不到现场参加投标，应提前在自有场地配置可音视频通话 (带摄像头及话筒的计算机)的稳定网络环境，并按“政采云”开标大厅中的提示完成投标活动。</w:t>
      </w:r>
    </w:p>
    <w:p w14:paraId="5E67AEB9">
      <w:pPr>
        <w:keepNext w:val="0"/>
        <w:keepLines w:val="0"/>
        <w:pageBreakBefore w:val="0"/>
        <w:numPr>
          <w:ilvl w:val="0"/>
          <w:numId w:val="0"/>
        </w:numPr>
        <w:kinsoku/>
        <w:wordWrap/>
        <w:overflowPunct/>
        <w:topLinePunct w:val="0"/>
        <w:autoSpaceDE/>
        <w:autoSpaceDN/>
        <w:bidi w:val="0"/>
        <w:adjustRightInd/>
        <w:snapToGrid/>
        <w:spacing w:line="480" w:lineRule="auto"/>
        <w:ind w:left="0" w:leftChars="0" w:firstLine="560" w:firstLineChars="200"/>
        <w:textAlignment w:val="auto"/>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t xml:space="preserve">2.请各投标人认真阅读本项目提供的关于“政采云”及“CA”的相关办理及操作流程， 以免影响投标。 </w:t>
      </w:r>
    </w:p>
    <w:p w14:paraId="09048CBB">
      <w:pPr>
        <w:keepNext w:val="0"/>
        <w:keepLines w:val="0"/>
        <w:pageBreakBefore w:val="0"/>
        <w:numPr>
          <w:ilvl w:val="0"/>
          <w:numId w:val="0"/>
        </w:numPr>
        <w:kinsoku/>
        <w:wordWrap/>
        <w:overflowPunct/>
        <w:topLinePunct w:val="0"/>
        <w:autoSpaceDE/>
        <w:autoSpaceDN/>
        <w:bidi w:val="0"/>
        <w:adjustRightInd/>
        <w:snapToGrid/>
        <w:spacing w:line="480" w:lineRule="auto"/>
        <w:ind w:left="0" w:leftChars="0" w:firstLine="560" w:firstLineChars="200"/>
        <w:textAlignment w:val="auto"/>
        <w:outlineLvl w:val="1"/>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t>3.投标期间，如有技术问题可致电“政采云”进行咨询。</w:t>
      </w:r>
    </w:p>
    <w:p w14:paraId="7B4B2116">
      <w:pPr>
        <w:keepNext w:val="0"/>
        <w:keepLines w:val="0"/>
        <w:pageBreakBefore w:val="0"/>
        <w:numPr>
          <w:ilvl w:val="0"/>
          <w:numId w:val="0"/>
        </w:numPr>
        <w:kinsoku/>
        <w:wordWrap/>
        <w:overflowPunct/>
        <w:topLinePunct w:val="0"/>
        <w:autoSpaceDE/>
        <w:autoSpaceDN/>
        <w:bidi w:val="0"/>
        <w:adjustRightInd/>
        <w:snapToGrid/>
        <w:spacing w:line="480" w:lineRule="auto"/>
        <w:ind w:left="0" w:leftChars="0" w:firstLine="560" w:firstLineChars="200"/>
        <w:textAlignment w:val="auto"/>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8"/>
          <w:szCs w:val="28"/>
          <w:highlight w:val="none"/>
          <w:shd w:val="clear" w:fill="FFFFFF"/>
          <w:lang w:val="en-US" w:eastAsia="zh-CN"/>
        </w:rPr>
        <w:t xml:space="preserve">政采云技术支持电话：95763。 </w:t>
      </w:r>
    </w:p>
    <w:p w14:paraId="313D5669">
      <w:pPr>
        <w:rPr>
          <w:rFonts w:hint="eastAsia" w:ascii="微软雅黑" w:hAnsi="微软雅黑" w:eastAsia="微软雅黑" w:cs="微软雅黑"/>
          <w:b w:val="0"/>
          <w:bCs w:val="0"/>
          <w:color w:val="auto"/>
          <w:kern w:val="1"/>
          <w:sz w:val="44"/>
          <w:szCs w:val="44"/>
          <w:highlight w:val="none"/>
        </w:rPr>
      </w:pPr>
    </w:p>
    <w:p w14:paraId="39248071">
      <w:pPr>
        <w:pStyle w:val="16"/>
        <w:rPr>
          <w:rFonts w:hint="eastAsia" w:ascii="微软雅黑" w:hAnsi="微软雅黑" w:eastAsia="微软雅黑" w:cs="微软雅黑"/>
          <w:b w:val="0"/>
          <w:bCs w:val="0"/>
          <w:color w:val="auto"/>
          <w:kern w:val="1"/>
          <w:sz w:val="44"/>
          <w:szCs w:val="44"/>
          <w:highlight w:val="none"/>
        </w:rPr>
      </w:pPr>
    </w:p>
    <w:p w14:paraId="1349274C">
      <w:pPr>
        <w:pStyle w:val="20"/>
        <w:rPr>
          <w:rFonts w:hint="eastAsia" w:ascii="微软雅黑" w:hAnsi="微软雅黑" w:eastAsia="微软雅黑" w:cs="微软雅黑"/>
          <w:b w:val="0"/>
          <w:bCs w:val="0"/>
          <w:color w:val="auto"/>
          <w:kern w:val="1"/>
          <w:sz w:val="44"/>
          <w:szCs w:val="44"/>
          <w:highlight w:val="none"/>
        </w:rPr>
      </w:pPr>
    </w:p>
    <w:p w14:paraId="77AACC7E">
      <w:pPr>
        <w:pStyle w:val="16"/>
        <w:spacing w:after="0"/>
        <w:rPr>
          <w:rFonts w:hint="eastAsia"/>
          <w:color w:val="auto"/>
          <w:highlight w:val="none"/>
        </w:rPr>
      </w:pPr>
    </w:p>
    <w:p w14:paraId="645B924D">
      <w:pPr>
        <w:rPr>
          <w:rFonts w:hint="eastAsia"/>
          <w:color w:val="auto"/>
          <w:highlight w:val="none"/>
        </w:rPr>
      </w:pPr>
    </w:p>
    <w:p w14:paraId="5D019A40">
      <w:pPr>
        <w:rPr>
          <w:rFonts w:hint="eastAsia"/>
          <w:color w:val="auto"/>
          <w:highlight w:val="none"/>
        </w:rPr>
      </w:pPr>
    </w:p>
    <w:p w14:paraId="25044FBB">
      <w:pPr>
        <w:rPr>
          <w:rFonts w:hint="eastAsia"/>
          <w:color w:val="auto"/>
          <w:highlight w:val="none"/>
        </w:rPr>
      </w:pPr>
    </w:p>
    <w:p w14:paraId="1CAFF909">
      <w:pPr>
        <w:rPr>
          <w:rFonts w:hint="eastAsia"/>
          <w:color w:val="auto"/>
          <w:highlight w:val="none"/>
        </w:rPr>
      </w:pPr>
    </w:p>
    <w:p w14:paraId="63545F5B">
      <w:pPr>
        <w:rPr>
          <w:rFonts w:hint="eastAsia"/>
          <w:color w:val="auto"/>
          <w:highlight w:val="none"/>
        </w:rPr>
      </w:pPr>
    </w:p>
    <w:p w14:paraId="033E6AF3">
      <w:pPr>
        <w:rPr>
          <w:rFonts w:hint="eastAsia"/>
          <w:color w:val="auto"/>
          <w:highlight w:val="none"/>
        </w:rPr>
      </w:pPr>
    </w:p>
    <w:p w14:paraId="153D18C1">
      <w:pPr>
        <w:rPr>
          <w:rFonts w:hint="eastAsia"/>
          <w:color w:val="auto"/>
          <w:highlight w:val="none"/>
        </w:rPr>
      </w:pPr>
    </w:p>
    <w:p w14:paraId="31978DAF">
      <w:pPr>
        <w:rPr>
          <w:rFonts w:hint="eastAsia"/>
          <w:color w:val="auto"/>
          <w:highlight w:val="none"/>
        </w:rPr>
      </w:pPr>
    </w:p>
    <w:p w14:paraId="6E32C43F">
      <w:pPr>
        <w:rPr>
          <w:rFonts w:hint="eastAsia"/>
          <w:color w:val="auto"/>
          <w:highlight w:val="none"/>
        </w:rPr>
      </w:pPr>
    </w:p>
    <w:p w14:paraId="5E8E9624">
      <w:pPr>
        <w:rPr>
          <w:rFonts w:hint="eastAsia"/>
          <w:color w:val="auto"/>
          <w:highlight w:val="none"/>
        </w:rPr>
      </w:pPr>
    </w:p>
    <w:p w14:paraId="38616702">
      <w:pPr>
        <w:rPr>
          <w:rFonts w:hint="eastAsia"/>
          <w:color w:val="auto"/>
          <w:highlight w:val="none"/>
        </w:rPr>
      </w:pPr>
    </w:p>
    <w:bookmarkEnd w:id="0"/>
    <w:bookmarkEnd w:id="1"/>
    <w:bookmarkEnd w:id="2"/>
    <w:bookmarkEnd w:id="6"/>
    <w:bookmarkEnd w:id="7"/>
    <w:sdt>
      <w:sdtPr>
        <w:rPr>
          <w:rFonts w:ascii="宋体" w:hAnsi="宋体" w:eastAsia="宋体" w:cs="Times New Roman"/>
          <w:color w:val="auto"/>
          <w:kern w:val="2"/>
          <w:sz w:val="56"/>
          <w:szCs w:val="56"/>
          <w:highlight w:val="none"/>
          <w:lang w:val="en-US" w:eastAsia="zh-CN" w:bidi="ar-SA"/>
        </w:rPr>
        <w:id w:val="147459017"/>
        <w15:color w:val="DBDBDB"/>
        <w:docPartObj>
          <w:docPartGallery w:val="Table of Contents"/>
          <w:docPartUnique/>
        </w:docPartObj>
      </w:sdtPr>
      <w:sdtEndPr>
        <w:rPr>
          <w:rFonts w:hint="eastAsia" w:ascii="Times New Roman" w:hAnsi="Times New Roman" w:eastAsia="宋体" w:cs="Times New Roman"/>
          <w:color w:val="auto"/>
          <w:kern w:val="2"/>
          <w:sz w:val="28"/>
          <w:szCs w:val="28"/>
          <w:highlight w:val="none"/>
          <w:lang w:val="en-US" w:eastAsia="zh-CN" w:bidi="ar-SA"/>
        </w:rPr>
      </w:sdtEndPr>
      <w:sdtContent>
        <w:p w14:paraId="3202FF2A">
          <w:pPr>
            <w:spacing w:before="0" w:beforeLines="0" w:after="0" w:afterLines="0" w:line="240" w:lineRule="auto"/>
            <w:ind w:left="0" w:leftChars="0" w:right="0" w:rightChars="0" w:firstLine="0" w:firstLineChars="0"/>
            <w:jc w:val="center"/>
            <w:rPr>
              <w:color w:val="auto"/>
              <w:sz w:val="56"/>
              <w:szCs w:val="56"/>
              <w:highlight w:val="none"/>
            </w:rPr>
          </w:pPr>
          <w:r>
            <w:rPr>
              <w:rFonts w:ascii="宋体" w:hAnsi="宋体" w:eastAsia="宋体"/>
              <w:color w:val="auto"/>
              <w:sz w:val="56"/>
              <w:szCs w:val="56"/>
              <w:highlight w:val="none"/>
            </w:rPr>
            <w:t>目录</w:t>
          </w:r>
        </w:p>
        <w:p w14:paraId="2C61BB32">
          <w:pPr>
            <w:pStyle w:val="30"/>
            <w:tabs>
              <w:tab w:val="right" w:leader="dot" w:pos="9469"/>
            </w:tabs>
            <w:rPr>
              <w:b/>
              <w:bCs w:val="0"/>
            </w:rPr>
          </w:pPr>
          <w:r>
            <w:rPr>
              <w:rFonts w:hint="eastAsia" w:ascii="Times New Roman" w:hAnsi="Times New Roman" w:eastAsia="宋体" w:cs="Times New Roman"/>
              <w:b/>
              <w:bCs w:val="0"/>
              <w:color w:val="auto"/>
              <w:kern w:val="2"/>
              <w:sz w:val="28"/>
              <w:szCs w:val="28"/>
              <w:highlight w:val="none"/>
              <w:lang w:val="en-US" w:eastAsia="zh-CN" w:bidi="ar-SA"/>
            </w:rPr>
            <w:fldChar w:fldCharType="begin"/>
          </w:r>
          <w:r>
            <w:rPr>
              <w:rFonts w:hint="eastAsia" w:ascii="Times New Roman" w:hAnsi="Times New Roman" w:eastAsia="宋体" w:cs="Times New Roman"/>
              <w:b/>
              <w:bCs w:val="0"/>
              <w:color w:val="auto"/>
              <w:kern w:val="2"/>
              <w:sz w:val="28"/>
              <w:szCs w:val="28"/>
              <w:highlight w:val="none"/>
              <w:lang w:val="en-US" w:eastAsia="zh-CN" w:bidi="ar-SA"/>
            </w:rPr>
            <w:instrText xml:space="preserve">TOC \o "1-1" \h \u </w:instrText>
          </w:r>
          <w:r>
            <w:rPr>
              <w:rFonts w:hint="eastAsia" w:ascii="Times New Roman" w:hAnsi="Times New Roman" w:eastAsia="宋体" w:cs="Times New Roman"/>
              <w:b/>
              <w:bCs w:val="0"/>
              <w:color w:val="auto"/>
              <w:kern w:val="2"/>
              <w:sz w:val="28"/>
              <w:szCs w:val="28"/>
              <w:highlight w:val="none"/>
              <w:lang w:val="en-US" w:eastAsia="zh-CN" w:bidi="ar-SA"/>
            </w:rPr>
            <w:fldChar w:fldCharType="separate"/>
          </w:r>
          <w:r>
            <w:rPr>
              <w:rFonts w:hint="eastAsia" w:ascii="Times New Roman" w:hAnsi="Times New Roman" w:eastAsia="宋体" w:cs="Times New Roman"/>
              <w:b/>
              <w:bCs w:val="0"/>
              <w:color w:val="auto"/>
              <w:kern w:val="2"/>
              <w:szCs w:val="28"/>
              <w:highlight w:val="none"/>
              <w:lang w:val="en-US" w:eastAsia="zh-CN" w:bidi="ar-SA"/>
            </w:rPr>
            <w:fldChar w:fldCharType="begin"/>
          </w:r>
          <w:r>
            <w:rPr>
              <w:rFonts w:hint="eastAsia" w:ascii="Times New Roman" w:hAnsi="Times New Roman" w:eastAsia="宋体" w:cs="Times New Roman"/>
              <w:b/>
              <w:bCs w:val="0"/>
              <w:kern w:val="2"/>
              <w:szCs w:val="28"/>
              <w:highlight w:val="none"/>
              <w:lang w:val="en-US" w:eastAsia="zh-CN" w:bidi="ar-SA"/>
            </w:rPr>
            <w:instrText xml:space="preserve"> HYPERLINK \l _Toc26633 </w:instrText>
          </w:r>
          <w:r>
            <w:rPr>
              <w:rFonts w:hint="eastAsia" w:ascii="Times New Roman" w:hAnsi="Times New Roman" w:eastAsia="宋体" w:cs="Times New Roman"/>
              <w:b/>
              <w:bCs w:val="0"/>
              <w:kern w:val="2"/>
              <w:szCs w:val="28"/>
              <w:highlight w:val="none"/>
              <w:lang w:val="en-US" w:eastAsia="zh-CN" w:bidi="ar-SA"/>
            </w:rPr>
            <w:fldChar w:fldCharType="separate"/>
          </w:r>
          <w:r>
            <w:rPr>
              <w:rFonts w:hint="eastAsia" w:ascii="Times New Roman" w:hAnsi="Times New Roman" w:eastAsia="宋体" w:cs="Times New Roman"/>
              <w:b/>
              <w:bCs w:val="0"/>
              <w:color w:val="auto"/>
              <w:kern w:val="2"/>
              <w:szCs w:val="28"/>
              <w:highlight w:val="none"/>
              <w:lang w:val="en-US" w:eastAsia="zh-CN" w:bidi="ar-SA"/>
            </w:rPr>
            <w:fldChar w:fldCharType="end"/>
          </w:r>
        </w:p>
        <w:p w14:paraId="1ECF5DCC">
          <w:pPr>
            <w:pStyle w:val="30"/>
            <w:tabs>
              <w:tab w:val="right" w:leader="dot" w:pos="9469"/>
            </w:tabs>
            <w:rPr>
              <w:b w:val="0"/>
              <w:bCs/>
              <w:sz w:val="32"/>
              <w:szCs w:val="32"/>
            </w:rPr>
          </w:pPr>
          <w:r>
            <w:rPr>
              <w:rFonts w:hint="eastAsia" w:ascii="Times New Roman" w:hAnsi="Times New Roman" w:eastAsia="宋体" w:cs="Times New Roman"/>
              <w:b w:val="0"/>
              <w:bCs/>
              <w:color w:val="auto"/>
              <w:kern w:val="2"/>
              <w:sz w:val="32"/>
              <w:szCs w:val="48"/>
              <w:highlight w:val="none"/>
              <w:lang w:val="en-US" w:eastAsia="zh-CN" w:bidi="ar-SA"/>
            </w:rPr>
            <w:fldChar w:fldCharType="begin"/>
          </w:r>
          <w:r>
            <w:rPr>
              <w:rFonts w:hint="eastAsia" w:ascii="Times New Roman" w:hAnsi="Times New Roman" w:eastAsia="宋体" w:cs="Times New Roman"/>
              <w:b w:val="0"/>
              <w:bCs/>
              <w:kern w:val="2"/>
              <w:sz w:val="32"/>
              <w:szCs w:val="48"/>
              <w:highlight w:val="none"/>
              <w:lang w:val="en-US" w:eastAsia="zh-CN" w:bidi="ar-SA"/>
            </w:rPr>
            <w:instrText xml:space="preserve"> HYPERLINK \l _Toc15973 </w:instrText>
          </w:r>
          <w:r>
            <w:rPr>
              <w:rFonts w:hint="eastAsia" w:ascii="Times New Roman" w:hAnsi="Times New Roman" w:eastAsia="宋体" w:cs="Times New Roman"/>
              <w:b w:val="0"/>
              <w:bCs/>
              <w:kern w:val="2"/>
              <w:sz w:val="32"/>
              <w:szCs w:val="48"/>
              <w:highlight w:val="none"/>
              <w:lang w:val="en-US" w:eastAsia="zh-CN" w:bidi="ar-SA"/>
            </w:rPr>
            <w:fldChar w:fldCharType="separate"/>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第一章</w:t>
          </w:r>
          <w:r>
            <w:rPr>
              <w:rFonts w:hint="eastAsia" w:ascii="微软雅黑" w:hAnsi="微软雅黑" w:eastAsia="微软雅黑" w:cs="微软雅黑"/>
              <w:b w:val="0"/>
              <w:bCs/>
              <w:i w:val="0"/>
              <w:iCs w:val="0"/>
              <w:caps w:val="0"/>
              <w:spacing w:val="0"/>
              <w:kern w:val="2"/>
              <w:sz w:val="32"/>
              <w:szCs w:val="56"/>
              <w:highlight w:val="none"/>
              <w:shd w:val="clear" w:fill="FFFFFF"/>
              <w:lang w:val="zh-CN" w:eastAsia="zh-CN" w:bidi="ar-SA"/>
            </w:rPr>
            <w:t xml:space="preserve"> </w:t>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 xml:space="preserve"> </w:t>
          </w:r>
          <w:r>
            <w:rPr>
              <w:rFonts w:hint="eastAsia" w:ascii="微软雅黑" w:hAnsi="微软雅黑" w:eastAsia="微软雅黑" w:cs="微软雅黑"/>
              <w:b w:val="0"/>
              <w:bCs/>
              <w:i w:val="0"/>
              <w:iCs w:val="0"/>
              <w:caps w:val="0"/>
              <w:spacing w:val="0"/>
              <w:kern w:val="2"/>
              <w:sz w:val="32"/>
              <w:szCs w:val="56"/>
              <w:highlight w:val="none"/>
              <w:shd w:val="clear" w:fill="FFFFFF"/>
              <w:lang w:val="zh-CN" w:eastAsia="zh-CN" w:bidi="ar-SA"/>
            </w:rPr>
            <w:t>竞争性磋商公告</w:t>
          </w:r>
          <w:r>
            <w:rPr>
              <w:b w:val="0"/>
              <w:bCs/>
              <w:sz w:val="32"/>
              <w:szCs w:val="32"/>
            </w:rPr>
            <w:tab/>
          </w:r>
          <w:r>
            <w:rPr>
              <w:b w:val="0"/>
              <w:bCs/>
              <w:sz w:val="32"/>
              <w:szCs w:val="32"/>
            </w:rPr>
            <w:fldChar w:fldCharType="begin"/>
          </w:r>
          <w:r>
            <w:rPr>
              <w:b w:val="0"/>
              <w:bCs/>
              <w:sz w:val="32"/>
              <w:szCs w:val="32"/>
            </w:rPr>
            <w:instrText xml:space="preserve"> PAGEREF _Toc15973 \h </w:instrText>
          </w:r>
          <w:r>
            <w:rPr>
              <w:b w:val="0"/>
              <w:bCs/>
              <w:sz w:val="32"/>
              <w:szCs w:val="32"/>
            </w:rPr>
            <w:fldChar w:fldCharType="separate"/>
          </w:r>
          <w:r>
            <w:rPr>
              <w:b w:val="0"/>
              <w:bCs/>
              <w:sz w:val="32"/>
              <w:szCs w:val="32"/>
            </w:rPr>
            <w:t>3</w:t>
          </w:r>
          <w:r>
            <w:rPr>
              <w:b w:val="0"/>
              <w:bCs/>
              <w:sz w:val="32"/>
              <w:szCs w:val="32"/>
            </w:rPr>
            <w:fldChar w:fldCharType="end"/>
          </w:r>
          <w:r>
            <w:rPr>
              <w:rFonts w:hint="eastAsia" w:ascii="Times New Roman" w:hAnsi="Times New Roman" w:eastAsia="宋体" w:cs="Times New Roman"/>
              <w:b w:val="0"/>
              <w:bCs/>
              <w:color w:val="auto"/>
              <w:kern w:val="2"/>
              <w:sz w:val="32"/>
              <w:szCs w:val="48"/>
              <w:highlight w:val="none"/>
              <w:lang w:val="en-US" w:eastAsia="zh-CN" w:bidi="ar-SA"/>
            </w:rPr>
            <w:fldChar w:fldCharType="end"/>
          </w:r>
        </w:p>
        <w:p w14:paraId="5D3504DA">
          <w:pPr>
            <w:pStyle w:val="30"/>
            <w:tabs>
              <w:tab w:val="right" w:leader="dot" w:pos="9469"/>
            </w:tabs>
            <w:rPr>
              <w:b w:val="0"/>
              <w:bCs/>
              <w:sz w:val="32"/>
              <w:szCs w:val="32"/>
            </w:rPr>
          </w:pPr>
          <w:r>
            <w:rPr>
              <w:rFonts w:hint="eastAsia" w:ascii="Times New Roman" w:hAnsi="Times New Roman" w:eastAsia="宋体" w:cs="Times New Roman"/>
              <w:b w:val="0"/>
              <w:bCs/>
              <w:color w:val="auto"/>
              <w:kern w:val="2"/>
              <w:sz w:val="32"/>
              <w:szCs w:val="48"/>
              <w:highlight w:val="none"/>
              <w:lang w:val="en-US" w:eastAsia="zh-CN" w:bidi="ar-SA"/>
            </w:rPr>
            <w:fldChar w:fldCharType="begin"/>
          </w:r>
          <w:r>
            <w:rPr>
              <w:rFonts w:hint="eastAsia" w:ascii="Times New Roman" w:hAnsi="Times New Roman" w:eastAsia="宋体" w:cs="Times New Roman"/>
              <w:b w:val="0"/>
              <w:bCs/>
              <w:kern w:val="2"/>
              <w:sz w:val="32"/>
              <w:szCs w:val="48"/>
              <w:highlight w:val="none"/>
              <w:lang w:val="en-US" w:eastAsia="zh-CN" w:bidi="ar-SA"/>
            </w:rPr>
            <w:instrText xml:space="preserve"> HYPERLINK \l _Toc14040 </w:instrText>
          </w:r>
          <w:r>
            <w:rPr>
              <w:rFonts w:hint="eastAsia" w:ascii="Times New Roman" w:hAnsi="Times New Roman" w:eastAsia="宋体" w:cs="Times New Roman"/>
              <w:b w:val="0"/>
              <w:bCs/>
              <w:kern w:val="2"/>
              <w:sz w:val="32"/>
              <w:szCs w:val="48"/>
              <w:highlight w:val="none"/>
              <w:lang w:val="en-US" w:eastAsia="zh-CN" w:bidi="ar-SA"/>
            </w:rPr>
            <w:fldChar w:fldCharType="separate"/>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第二章  磋商申请人须知</w:t>
          </w:r>
          <w:r>
            <w:rPr>
              <w:b w:val="0"/>
              <w:bCs/>
              <w:sz w:val="32"/>
              <w:szCs w:val="32"/>
            </w:rPr>
            <w:tab/>
          </w:r>
          <w:r>
            <w:rPr>
              <w:b w:val="0"/>
              <w:bCs/>
              <w:sz w:val="32"/>
              <w:szCs w:val="32"/>
            </w:rPr>
            <w:fldChar w:fldCharType="begin"/>
          </w:r>
          <w:r>
            <w:rPr>
              <w:b w:val="0"/>
              <w:bCs/>
              <w:sz w:val="32"/>
              <w:szCs w:val="32"/>
            </w:rPr>
            <w:instrText xml:space="preserve"> PAGEREF _Toc14040 \h </w:instrText>
          </w:r>
          <w:r>
            <w:rPr>
              <w:b w:val="0"/>
              <w:bCs/>
              <w:sz w:val="32"/>
              <w:szCs w:val="32"/>
            </w:rPr>
            <w:fldChar w:fldCharType="separate"/>
          </w:r>
          <w:r>
            <w:rPr>
              <w:b w:val="0"/>
              <w:bCs/>
              <w:sz w:val="32"/>
              <w:szCs w:val="32"/>
            </w:rPr>
            <w:t>7</w:t>
          </w:r>
          <w:r>
            <w:rPr>
              <w:b w:val="0"/>
              <w:bCs/>
              <w:sz w:val="32"/>
              <w:szCs w:val="32"/>
            </w:rPr>
            <w:fldChar w:fldCharType="end"/>
          </w:r>
          <w:r>
            <w:rPr>
              <w:rFonts w:hint="eastAsia" w:ascii="Times New Roman" w:hAnsi="Times New Roman" w:eastAsia="宋体" w:cs="Times New Roman"/>
              <w:b w:val="0"/>
              <w:bCs/>
              <w:color w:val="auto"/>
              <w:kern w:val="2"/>
              <w:sz w:val="32"/>
              <w:szCs w:val="48"/>
              <w:highlight w:val="none"/>
              <w:lang w:val="en-US" w:eastAsia="zh-CN" w:bidi="ar-SA"/>
            </w:rPr>
            <w:fldChar w:fldCharType="end"/>
          </w:r>
        </w:p>
        <w:p w14:paraId="0CE42D8D">
          <w:pPr>
            <w:pStyle w:val="30"/>
            <w:tabs>
              <w:tab w:val="right" w:leader="dot" w:pos="9469"/>
            </w:tabs>
            <w:rPr>
              <w:b w:val="0"/>
              <w:bCs/>
              <w:sz w:val="32"/>
              <w:szCs w:val="32"/>
            </w:rPr>
          </w:pPr>
          <w:r>
            <w:rPr>
              <w:rFonts w:hint="eastAsia" w:ascii="Times New Roman" w:hAnsi="Times New Roman" w:eastAsia="宋体" w:cs="Times New Roman"/>
              <w:b w:val="0"/>
              <w:bCs/>
              <w:color w:val="auto"/>
              <w:kern w:val="2"/>
              <w:sz w:val="32"/>
              <w:szCs w:val="48"/>
              <w:highlight w:val="none"/>
              <w:lang w:val="en-US" w:eastAsia="zh-CN" w:bidi="ar-SA"/>
            </w:rPr>
            <w:fldChar w:fldCharType="begin"/>
          </w:r>
          <w:r>
            <w:rPr>
              <w:rFonts w:hint="eastAsia" w:ascii="Times New Roman" w:hAnsi="Times New Roman" w:eastAsia="宋体" w:cs="Times New Roman"/>
              <w:b w:val="0"/>
              <w:bCs/>
              <w:kern w:val="2"/>
              <w:sz w:val="32"/>
              <w:szCs w:val="48"/>
              <w:highlight w:val="none"/>
              <w:lang w:val="en-US" w:eastAsia="zh-CN" w:bidi="ar-SA"/>
            </w:rPr>
            <w:instrText xml:space="preserve"> HYPERLINK \l _Toc27420 </w:instrText>
          </w:r>
          <w:r>
            <w:rPr>
              <w:rFonts w:hint="eastAsia" w:ascii="Times New Roman" w:hAnsi="Times New Roman" w:eastAsia="宋体" w:cs="Times New Roman"/>
              <w:b w:val="0"/>
              <w:bCs/>
              <w:kern w:val="2"/>
              <w:sz w:val="32"/>
              <w:szCs w:val="48"/>
              <w:highlight w:val="none"/>
              <w:lang w:val="en-US" w:eastAsia="zh-CN" w:bidi="ar-SA"/>
            </w:rPr>
            <w:fldChar w:fldCharType="separate"/>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第三章  评标办法（综合评分法）</w:t>
          </w:r>
          <w:r>
            <w:rPr>
              <w:b w:val="0"/>
              <w:bCs/>
              <w:sz w:val="32"/>
              <w:szCs w:val="32"/>
            </w:rPr>
            <w:tab/>
          </w:r>
          <w:r>
            <w:rPr>
              <w:b w:val="0"/>
              <w:bCs/>
              <w:sz w:val="32"/>
              <w:szCs w:val="32"/>
            </w:rPr>
            <w:fldChar w:fldCharType="begin"/>
          </w:r>
          <w:r>
            <w:rPr>
              <w:b w:val="0"/>
              <w:bCs/>
              <w:sz w:val="32"/>
              <w:szCs w:val="32"/>
            </w:rPr>
            <w:instrText xml:space="preserve"> PAGEREF _Toc27420 \h </w:instrText>
          </w:r>
          <w:r>
            <w:rPr>
              <w:b w:val="0"/>
              <w:bCs/>
              <w:sz w:val="32"/>
              <w:szCs w:val="32"/>
            </w:rPr>
            <w:fldChar w:fldCharType="separate"/>
          </w:r>
          <w:r>
            <w:rPr>
              <w:b w:val="0"/>
              <w:bCs/>
              <w:sz w:val="32"/>
              <w:szCs w:val="32"/>
            </w:rPr>
            <w:t>23</w:t>
          </w:r>
          <w:r>
            <w:rPr>
              <w:b w:val="0"/>
              <w:bCs/>
              <w:sz w:val="32"/>
              <w:szCs w:val="32"/>
            </w:rPr>
            <w:fldChar w:fldCharType="end"/>
          </w:r>
          <w:r>
            <w:rPr>
              <w:rFonts w:hint="eastAsia" w:ascii="Times New Roman" w:hAnsi="Times New Roman" w:eastAsia="宋体" w:cs="Times New Roman"/>
              <w:b w:val="0"/>
              <w:bCs/>
              <w:color w:val="auto"/>
              <w:kern w:val="2"/>
              <w:sz w:val="32"/>
              <w:szCs w:val="48"/>
              <w:highlight w:val="none"/>
              <w:lang w:val="en-US" w:eastAsia="zh-CN" w:bidi="ar-SA"/>
            </w:rPr>
            <w:fldChar w:fldCharType="end"/>
          </w:r>
        </w:p>
        <w:p w14:paraId="0CD4FA5A">
          <w:pPr>
            <w:pStyle w:val="30"/>
            <w:tabs>
              <w:tab w:val="right" w:leader="dot" w:pos="9469"/>
            </w:tabs>
            <w:rPr>
              <w:b w:val="0"/>
              <w:bCs/>
              <w:sz w:val="32"/>
              <w:szCs w:val="32"/>
            </w:rPr>
          </w:pPr>
          <w:r>
            <w:rPr>
              <w:rFonts w:hint="eastAsia" w:ascii="Times New Roman" w:hAnsi="Times New Roman" w:eastAsia="宋体" w:cs="Times New Roman"/>
              <w:b w:val="0"/>
              <w:bCs/>
              <w:color w:val="auto"/>
              <w:kern w:val="2"/>
              <w:sz w:val="32"/>
              <w:szCs w:val="48"/>
              <w:highlight w:val="none"/>
              <w:lang w:val="en-US" w:eastAsia="zh-CN" w:bidi="ar-SA"/>
            </w:rPr>
            <w:fldChar w:fldCharType="begin"/>
          </w:r>
          <w:r>
            <w:rPr>
              <w:rFonts w:hint="eastAsia" w:ascii="Times New Roman" w:hAnsi="Times New Roman" w:eastAsia="宋体" w:cs="Times New Roman"/>
              <w:b w:val="0"/>
              <w:bCs/>
              <w:kern w:val="2"/>
              <w:sz w:val="32"/>
              <w:szCs w:val="48"/>
              <w:highlight w:val="none"/>
              <w:lang w:val="en-US" w:eastAsia="zh-CN" w:bidi="ar-SA"/>
            </w:rPr>
            <w:instrText xml:space="preserve"> HYPERLINK \l _Toc1258 </w:instrText>
          </w:r>
          <w:r>
            <w:rPr>
              <w:rFonts w:hint="eastAsia" w:ascii="Times New Roman" w:hAnsi="Times New Roman" w:eastAsia="宋体" w:cs="Times New Roman"/>
              <w:b w:val="0"/>
              <w:bCs/>
              <w:kern w:val="2"/>
              <w:sz w:val="32"/>
              <w:szCs w:val="48"/>
              <w:highlight w:val="none"/>
              <w:lang w:val="en-US" w:eastAsia="zh-CN" w:bidi="ar-SA"/>
            </w:rPr>
            <w:fldChar w:fldCharType="separate"/>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第四章  合同基本格式</w:t>
          </w:r>
          <w:r>
            <w:rPr>
              <w:b w:val="0"/>
              <w:bCs/>
              <w:sz w:val="32"/>
              <w:szCs w:val="32"/>
            </w:rPr>
            <w:tab/>
          </w:r>
          <w:r>
            <w:rPr>
              <w:b w:val="0"/>
              <w:bCs/>
              <w:sz w:val="32"/>
              <w:szCs w:val="32"/>
            </w:rPr>
            <w:fldChar w:fldCharType="begin"/>
          </w:r>
          <w:r>
            <w:rPr>
              <w:b w:val="0"/>
              <w:bCs/>
              <w:sz w:val="32"/>
              <w:szCs w:val="32"/>
            </w:rPr>
            <w:instrText xml:space="preserve"> PAGEREF _Toc1258 \h </w:instrText>
          </w:r>
          <w:r>
            <w:rPr>
              <w:b w:val="0"/>
              <w:bCs/>
              <w:sz w:val="32"/>
              <w:szCs w:val="32"/>
            </w:rPr>
            <w:fldChar w:fldCharType="separate"/>
          </w:r>
          <w:r>
            <w:rPr>
              <w:b w:val="0"/>
              <w:bCs/>
              <w:sz w:val="32"/>
              <w:szCs w:val="32"/>
            </w:rPr>
            <w:t>32</w:t>
          </w:r>
          <w:r>
            <w:rPr>
              <w:b w:val="0"/>
              <w:bCs/>
              <w:sz w:val="32"/>
              <w:szCs w:val="32"/>
            </w:rPr>
            <w:fldChar w:fldCharType="end"/>
          </w:r>
          <w:r>
            <w:rPr>
              <w:rFonts w:hint="eastAsia" w:ascii="Times New Roman" w:hAnsi="Times New Roman" w:eastAsia="宋体" w:cs="Times New Roman"/>
              <w:b w:val="0"/>
              <w:bCs/>
              <w:color w:val="auto"/>
              <w:kern w:val="2"/>
              <w:sz w:val="32"/>
              <w:szCs w:val="48"/>
              <w:highlight w:val="none"/>
              <w:lang w:val="en-US" w:eastAsia="zh-CN" w:bidi="ar-SA"/>
            </w:rPr>
            <w:fldChar w:fldCharType="end"/>
          </w:r>
        </w:p>
        <w:p w14:paraId="3DA4EDDC">
          <w:pPr>
            <w:pStyle w:val="30"/>
            <w:tabs>
              <w:tab w:val="right" w:leader="dot" w:pos="9469"/>
            </w:tabs>
            <w:rPr>
              <w:b w:val="0"/>
              <w:bCs/>
              <w:sz w:val="32"/>
              <w:szCs w:val="32"/>
            </w:rPr>
          </w:pPr>
          <w:r>
            <w:rPr>
              <w:rFonts w:hint="eastAsia" w:ascii="Times New Roman" w:hAnsi="Times New Roman" w:eastAsia="宋体" w:cs="Times New Roman"/>
              <w:b w:val="0"/>
              <w:bCs/>
              <w:color w:val="auto"/>
              <w:kern w:val="2"/>
              <w:sz w:val="32"/>
              <w:szCs w:val="48"/>
              <w:highlight w:val="none"/>
              <w:lang w:val="en-US" w:eastAsia="zh-CN" w:bidi="ar-SA"/>
            </w:rPr>
            <w:fldChar w:fldCharType="begin"/>
          </w:r>
          <w:r>
            <w:rPr>
              <w:rFonts w:hint="eastAsia" w:ascii="Times New Roman" w:hAnsi="Times New Roman" w:eastAsia="宋体" w:cs="Times New Roman"/>
              <w:b w:val="0"/>
              <w:bCs/>
              <w:kern w:val="2"/>
              <w:sz w:val="32"/>
              <w:szCs w:val="48"/>
              <w:highlight w:val="none"/>
              <w:lang w:val="en-US" w:eastAsia="zh-CN" w:bidi="ar-SA"/>
            </w:rPr>
            <w:instrText xml:space="preserve"> HYPERLINK \l _Toc9574 </w:instrText>
          </w:r>
          <w:r>
            <w:rPr>
              <w:rFonts w:hint="eastAsia" w:ascii="Times New Roman" w:hAnsi="Times New Roman" w:eastAsia="宋体" w:cs="Times New Roman"/>
              <w:b w:val="0"/>
              <w:bCs/>
              <w:kern w:val="2"/>
              <w:sz w:val="32"/>
              <w:szCs w:val="48"/>
              <w:highlight w:val="none"/>
              <w:lang w:val="en-US" w:eastAsia="zh-CN" w:bidi="ar-SA"/>
            </w:rPr>
            <w:fldChar w:fldCharType="separate"/>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第五章 采购内容</w:t>
          </w:r>
          <w:r>
            <w:rPr>
              <w:b w:val="0"/>
              <w:bCs/>
              <w:sz w:val="32"/>
              <w:szCs w:val="32"/>
            </w:rPr>
            <w:tab/>
          </w:r>
          <w:r>
            <w:rPr>
              <w:b w:val="0"/>
              <w:bCs/>
              <w:sz w:val="32"/>
              <w:szCs w:val="32"/>
            </w:rPr>
            <w:fldChar w:fldCharType="begin"/>
          </w:r>
          <w:r>
            <w:rPr>
              <w:b w:val="0"/>
              <w:bCs/>
              <w:sz w:val="32"/>
              <w:szCs w:val="32"/>
            </w:rPr>
            <w:instrText xml:space="preserve"> PAGEREF _Toc9574 \h </w:instrText>
          </w:r>
          <w:r>
            <w:rPr>
              <w:b w:val="0"/>
              <w:bCs/>
              <w:sz w:val="32"/>
              <w:szCs w:val="32"/>
            </w:rPr>
            <w:fldChar w:fldCharType="separate"/>
          </w:r>
          <w:r>
            <w:rPr>
              <w:b w:val="0"/>
              <w:bCs/>
              <w:sz w:val="32"/>
              <w:szCs w:val="32"/>
            </w:rPr>
            <w:t>35</w:t>
          </w:r>
          <w:r>
            <w:rPr>
              <w:b w:val="0"/>
              <w:bCs/>
              <w:sz w:val="32"/>
              <w:szCs w:val="32"/>
            </w:rPr>
            <w:fldChar w:fldCharType="end"/>
          </w:r>
          <w:r>
            <w:rPr>
              <w:rFonts w:hint="eastAsia" w:ascii="Times New Roman" w:hAnsi="Times New Roman" w:eastAsia="宋体" w:cs="Times New Roman"/>
              <w:b w:val="0"/>
              <w:bCs/>
              <w:color w:val="auto"/>
              <w:kern w:val="2"/>
              <w:sz w:val="32"/>
              <w:szCs w:val="48"/>
              <w:highlight w:val="none"/>
              <w:lang w:val="en-US" w:eastAsia="zh-CN" w:bidi="ar-SA"/>
            </w:rPr>
            <w:fldChar w:fldCharType="end"/>
          </w:r>
        </w:p>
        <w:p w14:paraId="11E5A455">
          <w:pPr>
            <w:pStyle w:val="30"/>
            <w:tabs>
              <w:tab w:val="right" w:leader="dot" w:pos="9469"/>
            </w:tabs>
            <w:rPr>
              <w:b w:val="0"/>
              <w:bCs/>
            </w:rPr>
          </w:pPr>
          <w:r>
            <w:rPr>
              <w:rFonts w:hint="eastAsia" w:ascii="Times New Roman" w:hAnsi="Times New Roman" w:eastAsia="宋体" w:cs="Times New Roman"/>
              <w:b w:val="0"/>
              <w:bCs/>
              <w:color w:val="auto"/>
              <w:kern w:val="2"/>
              <w:sz w:val="32"/>
              <w:szCs w:val="48"/>
              <w:highlight w:val="none"/>
              <w:lang w:val="en-US" w:eastAsia="zh-CN" w:bidi="ar-SA"/>
            </w:rPr>
            <w:fldChar w:fldCharType="begin"/>
          </w:r>
          <w:r>
            <w:rPr>
              <w:rFonts w:hint="eastAsia" w:ascii="Times New Roman" w:hAnsi="Times New Roman" w:eastAsia="宋体" w:cs="Times New Roman"/>
              <w:b w:val="0"/>
              <w:bCs/>
              <w:kern w:val="2"/>
              <w:sz w:val="32"/>
              <w:szCs w:val="48"/>
              <w:highlight w:val="none"/>
              <w:lang w:val="en-US" w:eastAsia="zh-CN" w:bidi="ar-SA"/>
            </w:rPr>
            <w:instrText xml:space="preserve"> HYPERLINK \l _Toc1327 </w:instrText>
          </w:r>
          <w:r>
            <w:rPr>
              <w:rFonts w:hint="eastAsia" w:ascii="Times New Roman" w:hAnsi="Times New Roman" w:eastAsia="宋体" w:cs="Times New Roman"/>
              <w:b w:val="0"/>
              <w:bCs/>
              <w:kern w:val="2"/>
              <w:sz w:val="32"/>
              <w:szCs w:val="48"/>
              <w:highlight w:val="none"/>
              <w:lang w:val="en-US" w:eastAsia="zh-CN" w:bidi="ar-SA"/>
            </w:rPr>
            <w:fldChar w:fldCharType="separate"/>
          </w:r>
          <w:r>
            <w:rPr>
              <w:rFonts w:hint="eastAsia" w:ascii="微软雅黑" w:hAnsi="微软雅黑" w:eastAsia="微软雅黑" w:cs="微软雅黑"/>
              <w:b w:val="0"/>
              <w:bCs/>
              <w:i w:val="0"/>
              <w:iCs w:val="0"/>
              <w:caps w:val="0"/>
              <w:spacing w:val="0"/>
              <w:kern w:val="2"/>
              <w:sz w:val="32"/>
              <w:szCs w:val="56"/>
              <w:highlight w:val="none"/>
              <w:shd w:val="clear" w:fill="FFFFFF"/>
              <w:lang w:val="en-US" w:eastAsia="zh-CN" w:bidi="ar-SA"/>
            </w:rPr>
            <w:t>第六章  竞争性磋商响应文件格式</w:t>
          </w:r>
          <w:r>
            <w:rPr>
              <w:b w:val="0"/>
              <w:bCs/>
              <w:sz w:val="32"/>
              <w:szCs w:val="32"/>
            </w:rPr>
            <w:tab/>
          </w:r>
          <w:r>
            <w:rPr>
              <w:b w:val="0"/>
              <w:bCs/>
              <w:sz w:val="32"/>
              <w:szCs w:val="32"/>
            </w:rPr>
            <w:fldChar w:fldCharType="begin"/>
          </w:r>
          <w:r>
            <w:rPr>
              <w:b w:val="0"/>
              <w:bCs/>
              <w:sz w:val="32"/>
              <w:szCs w:val="32"/>
            </w:rPr>
            <w:instrText xml:space="preserve"> PAGEREF _Toc1327 \h </w:instrText>
          </w:r>
          <w:r>
            <w:rPr>
              <w:b w:val="0"/>
              <w:bCs/>
              <w:sz w:val="32"/>
              <w:szCs w:val="32"/>
            </w:rPr>
            <w:fldChar w:fldCharType="separate"/>
          </w:r>
          <w:r>
            <w:rPr>
              <w:b w:val="0"/>
              <w:bCs/>
              <w:sz w:val="32"/>
              <w:szCs w:val="32"/>
            </w:rPr>
            <w:t>37</w:t>
          </w:r>
          <w:r>
            <w:rPr>
              <w:b w:val="0"/>
              <w:bCs/>
              <w:sz w:val="32"/>
              <w:szCs w:val="32"/>
            </w:rPr>
            <w:fldChar w:fldCharType="end"/>
          </w:r>
          <w:r>
            <w:rPr>
              <w:rFonts w:hint="eastAsia" w:ascii="Times New Roman" w:hAnsi="Times New Roman" w:eastAsia="宋体" w:cs="Times New Roman"/>
              <w:b w:val="0"/>
              <w:bCs/>
              <w:color w:val="auto"/>
              <w:kern w:val="2"/>
              <w:sz w:val="32"/>
              <w:szCs w:val="48"/>
              <w:highlight w:val="none"/>
              <w:lang w:val="en-US" w:eastAsia="zh-CN" w:bidi="ar-SA"/>
            </w:rPr>
            <w:fldChar w:fldCharType="end"/>
          </w:r>
        </w:p>
        <w:p w14:paraId="34967515">
          <w:pPr>
            <w:spacing w:line="360" w:lineRule="auto"/>
            <w:outlineLvl w:val="9"/>
            <w:rPr>
              <w:rFonts w:hint="eastAsia" w:ascii="Times New Roman" w:hAnsi="Times New Roman" w:eastAsia="宋体" w:cs="Times New Roman"/>
              <w:color w:val="auto"/>
              <w:kern w:val="2"/>
              <w:sz w:val="28"/>
              <w:szCs w:val="28"/>
              <w:highlight w:val="none"/>
              <w:lang w:val="en-US" w:eastAsia="zh-CN" w:bidi="ar-SA"/>
            </w:rPr>
          </w:pPr>
          <w:r>
            <w:rPr>
              <w:rFonts w:hint="eastAsia" w:ascii="Times New Roman" w:hAnsi="Times New Roman" w:eastAsia="宋体" w:cs="Times New Roman"/>
              <w:b/>
              <w:bCs w:val="0"/>
              <w:color w:val="auto"/>
              <w:kern w:val="2"/>
              <w:szCs w:val="28"/>
              <w:highlight w:val="none"/>
              <w:lang w:val="en-US" w:eastAsia="zh-CN" w:bidi="ar-SA"/>
            </w:rPr>
            <w:fldChar w:fldCharType="end"/>
          </w:r>
        </w:p>
      </w:sdtContent>
    </w:sdt>
    <w:p w14:paraId="415BC67E">
      <w:pPr>
        <w:spacing w:line="360" w:lineRule="auto"/>
        <w:outlineLvl w:val="9"/>
        <w:rPr>
          <w:rFonts w:hint="eastAsia" w:ascii="Times New Roman" w:hAnsi="Times New Roman" w:eastAsia="宋体" w:cs="Times New Roman"/>
          <w:color w:val="auto"/>
          <w:kern w:val="2"/>
          <w:sz w:val="28"/>
          <w:szCs w:val="28"/>
          <w:highlight w:val="none"/>
          <w:lang w:val="en-US" w:eastAsia="zh-CN" w:bidi="ar-SA"/>
        </w:rPr>
      </w:pPr>
    </w:p>
    <w:p w14:paraId="34A6E52B">
      <w:pPr>
        <w:tabs>
          <w:tab w:val="left" w:pos="2469"/>
        </w:tabs>
        <w:bidi w:val="0"/>
        <w:jc w:val="both"/>
        <w:rPr>
          <w:rFonts w:hint="eastAsia"/>
          <w:color w:val="auto"/>
          <w:highlight w:val="none"/>
          <w:lang w:val="en-US" w:eastAsia="zh-CN"/>
        </w:rPr>
        <w:sectPr>
          <w:footerReference r:id="rId8" w:type="first"/>
          <w:footerReference r:id="rId7" w:type="default"/>
          <w:pgSz w:w="11907" w:h="16840"/>
          <w:pgMar w:top="1418" w:right="1020" w:bottom="1091" w:left="1418" w:header="851" w:footer="680" w:gutter="0"/>
          <w:pgNumType w:fmt="decimal"/>
          <w:cols w:space="425" w:num="1"/>
          <w:titlePg/>
          <w:docGrid w:linePitch="312" w:charSpace="0"/>
        </w:sectPr>
      </w:pPr>
    </w:p>
    <w:p w14:paraId="4D893706">
      <w:pPr>
        <w:pStyle w:val="2"/>
        <w:pageBreakBefore w:val="0"/>
        <w:widowControl w:val="0"/>
        <w:numPr>
          <w:ilvl w:val="0"/>
          <w:numId w:val="0"/>
        </w:numPr>
        <w:kinsoku/>
        <w:wordWrap/>
        <w:overflowPunct/>
        <w:topLinePunct w:val="0"/>
        <w:autoSpaceDE/>
        <w:autoSpaceDN/>
        <w:bidi w:val="0"/>
        <w:spacing w:before="0" w:after="0" w:line="360" w:lineRule="auto"/>
        <w:jc w:val="center"/>
        <w:textAlignment w:val="auto"/>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zh-CN" w:eastAsia="zh-CN" w:bidi="ar-SA"/>
        </w:rPr>
      </w:pPr>
      <w:bookmarkStart w:id="8" w:name="_Toc15973"/>
      <w:bookmarkStart w:id="9" w:name="_Toc449097833"/>
      <w:bookmarkStart w:id="10" w:name="_Toc459925018"/>
      <w:bookmarkStart w:id="11" w:name="_Toc910"/>
      <w:bookmarkStart w:id="12" w:name="_Toc152045527"/>
      <w:bookmarkStart w:id="13" w:name="_Toc296602418"/>
      <w:bookmarkStart w:id="14" w:name="_Toc246996173"/>
      <w:bookmarkStart w:id="15" w:name="_Toc247085687"/>
      <w:bookmarkStart w:id="16" w:name="_Toc144974495"/>
      <w:bookmarkStart w:id="17" w:name="_Toc179632544"/>
      <w:bookmarkStart w:id="18" w:name="_Toc246996916"/>
      <w:bookmarkStart w:id="19" w:name="_Toc152042303"/>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第一章</w:t>
      </w:r>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zh-CN" w:eastAsia="zh-CN" w:bidi="ar-SA"/>
        </w:rPr>
        <w:t xml:space="preserve"> </w:t>
      </w:r>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 xml:space="preserve"> </w:t>
      </w:r>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zh-CN" w:eastAsia="zh-CN" w:bidi="ar-SA"/>
        </w:rPr>
        <w:t>竞争性磋商公告</w:t>
      </w:r>
      <w:bookmarkEnd w:id="8"/>
      <w:bookmarkEnd w:id="9"/>
      <w:bookmarkEnd w:id="10"/>
      <w:bookmarkEnd w:id="11"/>
      <w:bookmarkStart w:id="20" w:name="_Toc385838271"/>
      <w:bookmarkEnd w:id="20"/>
    </w:p>
    <w:p w14:paraId="3BEB392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eastAsia" w:ascii="微软雅黑" w:hAnsi="微软雅黑" w:eastAsia="微软雅黑" w:cs="微软雅黑"/>
          <w:b w:val="0"/>
          <w:bCs w:val="0"/>
          <w:i w:val="0"/>
          <w:iCs w:val="0"/>
          <w:caps w:val="0"/>
          <w:color w:val="auto"/>
          <w:spacing w:val="0"/>
          <w:sz w:val="36"/>
          <w:szCs w:val="36"/>
          <w:highlight w:val="none"/>
          <w:shd w:val="clear" w:fill="FFFFFF"/>
          <w:lang w:eastAsia="zh-CN"/>
        </w:rPr>
      </w:pPr>
      <w:bookmarkStart w:id="21" w:name="_Toc7589"/>
      <w:bookmarkStart w:id="22" w:name="_Toc3137"/>
      <w:bookmarkStart w:id="23" w:name="_Toc1881"/>
      <w:bookmarkStart w:id="24" w:name="_Toc13269"/>
      <w:r>
        <w:rPr>
          <w:rFonts w:hint="eastAsia" w:ascii="微软雅黑" w:hAnsi="微软雅黑" w:eastAsia="微软雅黑" w:cs="微软雅黑"/>
          <w:b w:val="0"/>
          <w:bCs w:val="0"/>
          <w:i w:val="0"/>
          <w:iCs w:val="0"/>
          <w:caps w:val="0"/>
          <w:color w:val="auto"/>
          <w:spacing w:val="0"/>
          <w:sz w:val="36"/>
          <w:szCs w:val="36"/>
          <w:highlight w:val="none"/>
          <w:shd w:val="clear" w:fill="FFFFFF"/>
          <w:lang w:val="en-US" w:eastAsia="zh-CN"/>
        </w:rPr>
        <w:t>2025年上海松江区对口协作昭通特色农产品推介会服务</w:t>
      </w:r>
    </w:p>
    <w:p w14:paraId="60D56053">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right="0" w:firstLine="0"/>
        <w:jc w:val="center"/>
        <w:textAlignment w:val="auto"/>
        <w:rPr>
          <w:rFonts w:hint="eastAsia" w:ascii="微软雅黑" w:hAnsi="微软雅黑" w:eastAsia="微软雅黑" w:cs="微软雅黑"/>
          <w:b w:val="0"/>
          <w:bCs w:val="0"/>
          <w:i w:val="0"/>
          <w:iCs w:val="0"/>
          <w:caps w:val="0"/>
          <w:color w:val="auto"/>
          <w:spacing w:val="0"/>
          <w:sz w:val="44"/>
          <w:szCs w:val="44"/>
          <w:highlight w:val="none"/>
        </w:rPr>
      </w:pPr>
      <w:r>
        <w:rPr>
          <w:rFonts w:hint="eastAsia" w:ascii="微软雅黑" w:hAnsi="微软雅黑" w:eastAsia="微软雅黑" w:cs="微软雅黑"/>
          <w:b w:val="0"/>
          <w:bCs w:val="0"/>
          <w:i w:val="0"/>
          <w:iCs w:val="0"/>
          <w:caps w:val="0"/>
          <w:color w:val="auto"/>
          <w:spacing w:val="0"/>
          <w:sz w:val="36"/>
          <w:szCs w:val="36"/>
          <w:highlight w:val="none"/>
          <w:shd w:val="clear" w:fill="FFFFFF"/>
          <w:lang w:eastAsia="zh-CN"/>
        </w:rPr>
        <w:t>竞争性磋商公告</w:t>
      </w:r>
      <w:bookmarkEnd w:id="21"/>
      <w:bookmarkEnd w:id="22"/>
      <w:bookmarkEnd w:id="23"/>
      <w:bookmarkEnd w:id="24"/>
    </w:p>
    <w:tbl>
      <w:tblPr>
        <w:tblStyle w:val="45"/>
        <w:tblW w:w="10106" w:type="dxa"/>
        <w:jc w:val="center"/>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Layout w:type="fixed"/>
        <w:tblCellMar>
          <w:top w:w="0" w:type="dxa"/>
          <w:left w:w="0" w:type="dxa"/>
          <w:bottom w:w="0" w:type="dxa"/>
          <w:right w:w="0" w:type="dxa"/>
        </w:tblCellMar>
      </w:tblPr>
      <w:tblGrid>
        <w:gridCol w:w="10106"/>
      </w:tblGrid>
      <w:tr w14:paraId="75DB1134">
        <w:tblPrEx>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shd w:val="clear" w:color="auto" w:fill="FFFFFF"/>
          <w:tblCellMar>
            <w:top w:w="0" w:type="dxa"/>
            <w:left w:w="0" w:type="dxa"/>
            <w:bottom w:w="0" w:type="dxa"/>
            <w:right w:w="0" w:type="dxa"/>
          </w:tblCellMar>
        </w:tblPrEx>
        <w:trPr>
          <w:trHeight w:val="1550" w:hRule="atLeast"/>
          <w:jc w:val="center"/>
        </w:trPr>
        <w:tc>
          <w:tcPr>
            <w:tcW w:w="10106" w:type="dxa"/>
            <w:tcBorders>
              <w:top w:val="outset" w:color="auto" w:sz="6" w:space="0"/>
              <w:left w:val="outset" w:color="auto" w:sz="6" w:space="0"/>
              <w:bottom w:val="outset" w:color="auto" w:sz="6" w:space="0"/>
              <w:right w:val="outset" w:color="auto" w:sz="6" w:space="0"/>
            </w:tcBorders>
            <w:shd w:val="clear" w:color="auto" w:fill="FFFFFF"/>
            <w:vAlign w:val="center"/>
          </w:tcPr>
          <w:p w14:paraId="72BEC588">
            <w:pPr>
              <w:keepNext w:val="0"/>
              <w:keepLines w:val="0"/>
              <w:pageBreakBefore w:val="0"/>
              <w:widowControl/>
              <w:suppressLineNumbers w:val="0"/>
              <w:kinsoku/>
              <w:wordWrap/>
              <w:overflowPunct/>
              <w:topLinePunct w:val="0"/>
              <w:autoSpaceDE/>
              <w:autoSpaceDN/>
              <w:bidi w:val="0"/>
              <w:adjustRightInd/>
              <w:snapToGrid/>
              <w:spacing w:beforeAutospacing="0" w:afterAutospacing="0" w:line="500" w:lineRule="exact"/>
              <w:ind w:right="0" w:firstLine="960" w:firstLineChars="400"/>
              <w:jc w:val="both"/>
              <w:textAlignment w:val="auto"/>
              <w:rPr>
                <w:rFonts w:hint="eastAsia" w:ascii="微软雅黑" w:hAnsi="微软雅黑" w:eastAsia="微软雅黑" w:cs="微软雅黑"/>
                <w:b w:val="0"/>
                <w:bCs w:val="0"/>
                <w:i w:val="0"/>
                <w:iCs w:val="0"/>
                <w:caps w:val="0"/>
                <w:color w:val="auto"/>
                <w:spacing w:val="0"/>
                <w:sz w:val="24"/>
                <w:szCs w:val="24"/>
                <w:highlight w:val="none"/>
              </w:rPr>
            </w:pPr>
            <w:r>
              <w:rPr>
                <w:rFonts w:hint="eastAsia" w:ascii="微软雅黑" w:hAnsi="微软雅黑" w:eastAsia="微软雅黑" w:cs="微软雅黑"/>
                <w:b w:val="0"/>
                <w:bCs w:val="0"/>
                <w:i w:val="0"/>
                <w:iCs w:val="0"/>
                <w:caps w:val="0"/>
                <w:color w:val="auto"/>
                <w:spacing w:val="0"/>
                <w:kern w:val="0"/>
                <w:sz w:val="24"/>
                <w:szCs w:val="24"/>
                <w:highlight w:val="none"/>
                <w:lang w:val="en-US" w:eastAsia="zh-CN" w:bidi="ar"/>
              </w:rPr>
              <w:t>项目概况：2025年上海松江区对口协作昭通特色农产品推介会服务的潜在供应商应在政采云平台（https://www.zcygov.cn/）获取采购文件，并于2025年10月20日</w:t>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上午9:30</w:t>
            </w:r>
            <w:r>
              <w:rPr>
                <w:rFonts w:hint="eastAsia" w:ascii="微软雅黑" w:hAnsi="微软雅黑" w:eastAsia="微软雅黑" w:cs="微软雅黑"/>
                <w:b w:val="0"/>
                <w:bCs w:val="0"/>
                <w:i w:val="0"/>
                <w:iCs w:val="0"/>
                <w:caps w:val="0"/>
                <w:color w:val="auto"/>
                <w:spacing w:val="0"/>
                <w:kern w:val="0"/>
                <w:sz w:val="24"/>
                <w:szCs w:val="24"/>
                <w:highlight w:val="none"/>
                <w:lang w:val="en-US" w:eastAsia="zh-CN" w:bidi="ar"/>
              </w:rPr>
              <w:t>（北京时间）前提交响应文件。</w:t>
            </w:r>
          </w:p>
        </w:tc>
      </w:tr>
    </w:tbl>
    <w:p w14:paraId="748ED21D">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0"/>
        <w:jc w:val="left"/>
        <w:textAlignment w:val="auto"/>
        <w:outlineLvl w:val="1"/>
        <w:rPr>
          <w:rFonts w:hint="eastAsia" w:ascii="微软雅黑" w:hAnsi="微软雅黑" w:eastAsia="微软雅黑" w:cs="微软雅黑"/>
          <w:b w:val="0"/>
          <w:bCs w:val="0"/>
          <w:i w:val="0"/>
          <w:iCs w:val="0"/>
          <w:caps w:val="0"/>
          <w:color w:val="auto"/>
          <w:spacing w:val="0"/>
          <w:sz w:val="32"/>
          <w:szCs w:val="32"/>
          <w:highlight w:val="none"/>
        </w:rPr>
      </w:pPr>
      <w:r>
        <w:rPr>
          <w:rFonts w:hint="eastAsia" w:ascii="微软雅黑" w:hAnsi="微软雅黑" w:eastAsia="微软雅黑" w:cs="微软雅黑"/>
          <w:b w:val="0"/>
          <w:bCs w:val="0"/>
          <w:i w:val="0"/>
          <w:iCs w:val="0"/>
          <w:caps w:val="0"/>
          <w:color w:val="auto"/>
          <w:spacing w:val="0"/>
          <w:sz w:val="32"/>
          <w:szCs w:val="32"/>
          <w:highlight w:val="none"/>
          <w:shd w:val="clear" w:fill="FFFFFF"/>
        </w:rPr>
        <w:t>一、项目基本情况</w:t>
      </w:r>
    </w:p>
    <w:p w14:paraId="03E86D68">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1.采购计划编号：4530600JH202501944</w:t>
      </w:r>
    </w:p>
    <w:p w14:paraId="64C414D1">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2.项目名称：2025年上海松江区对口协作昭通特色农产品推介会服务</w:t>
      </w:r>
    </w:p>
    <w:p w14:paraId="64F30DAE">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3.采购方式：竞争性磋商</w:t>
      </w:r>
    </w:p>
    <w:p w14:paraId="387A62A7">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4.采购预算总金额：68万元；</w:t>
      </w:r>
    </w:p>
    <w:p w14:paraId="15DB22C9">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5.采购需求：2025年上海松江区对口协作昭通特色农产品推介会服务，具体如下：</w:t>
      </w:r>
    </w:p>
    <w:p w14:paraId="6AD8FED0">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640" w:firstLineChars="200"/>
        <w:jc w:val="center"/>
        <w:textAlignment w:val="auto"/>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t>采购需求明细表</w:t>
      </w:r>
    </w:p>
    <w:tbl>
      <w:tblPr>
        <w:tblStyle w:val="46"/>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796"/>
        <w:gridCol w:w="1339"/>
        <w:gridCol w:w="1983"/>
        <w:gridCol w:w="4881"/>
        <w:gridCol w:w="1107"/>
      </w:tblGrid>
      <w:tr w14:paraId="480FFC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tblHeader/>
          <w:jc w:val="center"/>
        </w:trPr>
        <w:tc>
          <w:tcPr>
            <w:tcW w:w="796" w:type="dxa"/>
            <w:vAlign w:val="center"/>
          </w:tcPr>
          <w:p w14:paraId="0E7AFA6D">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b/>
                <w:sz w:val="24"/>
                <w:szCs w:val="24"/>
                <w:highlight w:val="none"/>
                <w:vertAlign w:val="baseline"/>
                <w:lang w:val="en-US" w:eastAsia="zh-CN"/>
              </w:rPr>
            </w:pPr>
            <w:r>
              <w:rPr>
                <w:rFonts w:hint="eastAsia"/>
                <w:b/>
                <w:sz w:val="24"/>
                <w:szCs w:val="24"/>
                <w:highlight w:val="none"/>
                <w:vertAlign w:val="baseline"/>
                <w:lang w:val="en-US" w:eastAsia="zh-CN"/>
              </w:rPr>
              <w:t>序号</w:t>
            </w:r>
          </w:p>
        </w:tc>
        <w:tc>
          <w:tcPr>
            <w:tcW w:w="1339" w:type="dxa"/>
            <w:vAlign w:val="center"/>
          </w:tcPr>
          <w:p w14:paraId="56ACF986">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b/>
                <w:sz w:val="24"/>
                <w:szCs w:val="24"/>
                <w:highlight w:val="none"/>
                <w:vertAlign w:val="baseline"/>
                <w:lang w:val="en-US" w:eastAsia="zh-CN"/>
              </w:rPr>
            </w:pPr>
            <w:r>
              <w:rPr>
                <w:rFonts w:hint="eastAsia"/>
                <w:b/>
                <w:sz w:val="24"/>
                <w:szCs w:val="24"/>
                <w:highlight w:val="none"/>
                <w:vertAlign w:val="baseline"/>
                <w:lang w:val="en-US" w:eastAsia="zh-CN"/>
              </w:rPr>
              <w:t>类别</w:t>
            </w:r>
          </w:p>
        </w:tc>
        <w:tc>
          <w:tcPr>
            <w:tcW w:w="1983" w:type="dxa"/>
            <w:vAlign w:val="center"/>
          </w:tcPr>
          <w:p w14:paraId="3E450104">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b/>
                <w:sz w:val="24"/>
                <w:szCs w:val="24"/>
                <w:highlight w:val="none"/>
                <w:vertAlign w:val="baseline"/>
                <w:lang w:val="en-US" w:eastAsia="zh-CN"/>
              </w:rPr>
            </w:pPr>
            <w:r>
              <w:rPr>
                <w:rFonts w:hint="eastAsia"/>
                <w:b/>
                <w:sz w:val="24"/>
                <w:szCs w:val="24"/>
                <w:highlight w:val="none"/>
                <w:vertAlign w:val="baseline"/>
                <w:lang w:val="en-US" w:eastAsia="zh-CN"/>
              </w:rPr>
              <w:t>名称</w:t>
            </w:r>
          </w:p>
        </w:tc>
        <w:tc>
          <w:tcPr>
            <w:tcW w:w="4881" w:type="dxa"/>
            <w:vAlign w:val="center"/>
          </w:tcPr>
          <w:p w14:paraId="6C7DC1A3">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b/>
                <w:sz w:val="24"/>
                <w:szCs w:val="24"/>
                <w:highlight w:val="none"/>
                <w:vertAlign w:val="baseline"/>
                <w:lang w:val="en-US" w:eastAsia="zh-CN"/>
              </w:rPr>
            </w:pPr>
            <w:r>
              <w:rPr>
                <w:rFonts w:hint="eastAsia"/>
                <w:b/>
                <w:sz w:val="24"/>
                <w:szCs w:val="24"/>
                <w:highlight w:val="none"/>
                <w:vertAlign w:val="baseline"/>
                <w:lang w:val="en-US" w:eastAsia="zh-CN"/>
              </w:rPr>
              <w:t>采购要求</w:t>
            </w:r>
          </w:p>
        </w:tc>
        <w:tc>
          <w:tcPr>
            <w:tcW w:w="1107" w:type="dxa"/>
            <w:vAlign w:val="center"/>
          </w:tcPr>
          <w:p w14:paraId="23172089">
            <w:pPr>
              <w:keepNext w:val="0"/>
              <w:keepLines w:val="0"/>
              <w:pageBreakBefore w:val="0"/>
              <w:widowControl w:val="0"/>
              <w:kinsoku/>
              <w:wordWrap/>
              <w:overflowPunct/>
              <w:topLinePunct w:val="0"/>
              <w:autoSpaceDE/>
              <w:autoSpaceDN/>
              <w:bidi w:val="0"/>
              <w:adjustRightInd/>
              <w:snapToGrid w:val="0"/>
              <w:spacing w:line="360" w:lineRule="exact"/>
              <w:jc w:val="center"/>
              <w:textAlignment w:val="auto"/>
              <w:rPr>
                <w:rFonts w:hint="default"/>
                <w:b/>
                <w:sz w:val="24"/>
                <w:szCs w:val="24"/>
                <w:highlight w:val="none"/>
                <w:vertAlign w:val="baseline"/>
                <w:lang w:val="en-US" w:eastAsia="zh-CN"/>
              </w:rPr>
            </w:pPr>
            <w:r>
              <w:rPr>
                <w:rFonts w:hint="eastAsia"/>
                <w:b/>
                <w:sz w:val="24"/>
                <w:szCs w:val="24"/>
                <w:highlight w:val="none"/>
                <w:vertAlign w:val="baseline"/>
                <w:lang w:val="en-US" w:eastAsia="zh-CN"/>
              </w:rPr>
              <w:t>数量</w:t>
            </w:r>
          </w:p>
        </w:tc>
      </w:tr>
      <w:tr w14:paraId="77EF5F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5AC6C5D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w:t>
            </w:r>
          </w:p>
        </w:tc>
        <w:tc>
          <w:tcPr>
            <w:tcW w:w="1339" w:type="dxa"/>
            <w:vMerge w:val="restart"/>
            <w:vAlign w:val="center"/>
          </w:tcPr>
          <w:p w14:paraId="6DFFBA3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p w14:paraId="5C56A3C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p w14:paraId="1DA164F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p w14:paraId="37BF61A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p w14:paraId="78C760C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宣</w:t>
            </w:r>
          </w:p>
          <w:p w14:paraId="00F1FAC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传</w:t>
            </w:r>
          </w:p>
          <w:p w14:paraId="2C3C75B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布</w:t>
            </w:r>
          </w:p>
          <w:p w14:paraId="48D6B83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展</w:t>
            </w:r>
          </w:p>
          <w:p w14:paraId="23C2065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及</w:t>
            </w:r>
          </w:p>
          <w:p w14:paraId="65968C4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设</w:t>
            </w:r>
          </w:p>
          <w:p w14:paraId="1B4805C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备</w:t>
            </w:r>
          </w:p>
          <w:p w14:paraId="4D9935A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类</w:t>
            </w:r>
          </w:p>
        </w:tc>
        <w:tc>
          <w:tcPr>
            <w:tcW w:w="1983" w:type="dxa"/>
            <w:vAlign w:val="center"/>
          </w:tcPr>
          <w:p w14:paraId="2BC6605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LED屏幕+主舞台氛围布置</w:t>
            </w:r>
          </w:p>
        </w:tc>
        <w:tc>
          <w:tcPr>
            <w:tcW w:w="4881" w:type="dxa"/>
            <w:vAlign w:val="center"/>
          </w:tcPr>
          <w:p w14:paraId="3C06C27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LED屏幕，舞台地毯及板材，具体参数要求详见采购文件第五章。</w:t>
            </w:r>
          </w:p>
        </w:tc>
        <w:tc>
          <w:tcPr>
            <w:tcW w:w="1107" w:type="dxa"/>
            <w:vAlign w:val="center"/>
          </w:tcPr>
          <w:p w14:paraId="3F5CB5C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1组</w:t>
            </w:r>
          </w:p>
        </w:tc>
      </w:tr>
      <w:tr w14:paraId="04C067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796" w:type="dxa"/>
            <w:vAlign w:val="top"/>
          </w:tcPr>
          <w:p w14:paraId="79A5CA2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w:t>
            </w:r>
          </w:p>
        </w:tc>
        <w:tc>
          <w:tcPr>
            <w:tcW w:w="1339" w:type="dxa"/>
            <w:vMerge w:val="continue"/>
            <w:vAlign w:val="center"/>
          </w:tcPr>
          <w:p w14:paraId="7F7E9B0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6C99809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开 幕 式 座 位</w:t>
            </w:r>
          </w:p>
        </w:tc>
        <w:tc>
          <w:tcPr>
            <w:tcW w:w="4881" w:type="dxa"/>
            <w:vAlign w:val="center"/>
          </w:tcPr>
          <w:p w14:paraId="3EF3BB0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7DA553E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100套</w:t>
            </w:r>
          </w:p>
        </w:tc>
      </w:tr>
      <w:tr w14:paraId="23681D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0831CFD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3</w:t>
            </w:r>
          </w:p>
        </w:tc>
        <w:tc>
          <w:tcPr>
            <w:tcW w:w="1339" w:type="dxa"/>
            <w:vMerge w:val="continue"/>
            <w:vAlign w:val="center"/>
          </w:tcPr>
          <w:p w14:paraId="5F45415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68C9D83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指示牌</w:t>
            </w:r>
          </w:p>
        </w:tc>
        <w:tc>
          <w:tcPr>
            <w:tcW w:w="4881" w:type="dxa"/>
            <w:vAlign w:val="center"/>
          </w:tcPr>
          <w:p w14:paraId="1CFE382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6AD05DC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6个</w:t>
            </w:r>
          </w:p>
        </w:tc>
      </w:tr>
      <w:tr w14:paraId="3B2D2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796" w:type="dxa"/>
            <w:vAlign w:val="top"/>
          </w:tcPr>
          <w:p w14:paraId="1C1DF7E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4</w:t>
            </w:r>
          </w:p>
        </w:tc>
        <w:tc>
          <w:tcPr>
            <w:tcW w:w="1339" w:type="dxa"/>
            <w:vMerge w:val="continue"/>
            <w:vAlign w:val="center"/>
          </w:tcPr>
          <w:p w14:paraId="5B6D89B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33C1B4F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美 陈</w:t>
            </w:r>
          </w:p>
        </w:tc>
        <w:tc>
          <w:tcPr>
            <w:tcW w:w="4881" w:type="dxa"/>
            <w:vAlign w:val="center"/>
          </w:tcPr>
          <w:p w14:paraId="157EB19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26EA0DD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1组</w:t>
            </w:r>
          </w:p>
        </w:tc>
      </w:tr>
      <w:tr w14:paraId="3B4BC3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4CB8B45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5</w:t>
            </w:r>
          </w:p>
        </w:tc>
        <w:tc>
          <w:tcPr>
            <w:tcW w:w="1339" w:type="dxa"/>
            <w:vMerge w:val="continue"/>
            <w:vAlign w:val="center"/>
          </w:tcPr>
          <w:p w14:paraId="17D36D7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4834792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控台设备</w:t>
            </w:r>
          </w:p>
        </w:tc>
        <w:tc>
          <w:tcPr>
            <w:tcW w:w="4881" w:type="dxa"/>
            <w:vAlign w:val="center"/>
          </w:tcPr>
          <w:p w14:paraId="690B241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4756BB3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1组</w:t>
            </w:r>
          </w:p>
        </w:tc>
      </w:tr>
      <w:tr w14:paraId="209B2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670CABC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6</w:t>
            </w:r>
          </w:p>
        </w:tc>
        <w:tc>
          <w:tcPr>
            <w:tcW w:w="1339" w:type="dxa"/>
            <w:vMerge w:val="continue"/>
            <w:vAlign w:val="center"/>
          </w:tcPr>
          <w:p w14:paraId="7CC71A6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0964613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展会大帐篷搭建</w:t>
            </w:r>
          </w:p>
        </w:tc>
        <w:tc>
          <w:tcPr>
            <w:tcW w:w="4881" w:type="dxa"/>
            <w:vAlign w:val="center"/>
          </w:tcPr>
          <w:p w14:paraId="5E1A457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铝合金型材+PVC涂层布容纳，可容纳40个展位。具体参数要求详见采购文件第五章。</w:t>
            </w:r>
          </w:p>
        </w:tc>
        <w:tc>
          <w:tcPr>
            <w:tcW w:w="1107" w:type="dxa"/>
            <w:vAlign w:val="center"/>
          </w:tcPr>
          <w:p w14:paraId="6F68F33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1组</w:t>
            </w:r>
          </w:p>
        </w:tc>
      </w:tr>
      <w:tr w14:paraId="4C3D19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7EDD434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7</w:t>
            </w:r>
          </w:p>
        </w:tc>
        <w:tc>
          <w:tcPr>
            <w:tcW w:w="1339" w:type="dxa"/>
            <w:vMerge w:val="continue"/>
            <w:vAlign w:val="center"/>
          </w:tcPr>
          <w:p w14:paraId="2C8BDFF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584D0BD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展位</w:t>
            </w: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搭建和布置</w:t>
            </w:r>
          </w:p>
        </w:tc>
        <w:tc>
          <w:tcPr>
            <w:tcW w:w="4881" w:type="dxa"/>
            <w:vAlign w:val="center"/>
          </w:tcPr>
          <w:p w14:paraId="625EA51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2DDDDA3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40个</w:t>
            </w:r>
          </w:p>
        </w:tc>
      </w:tr>
      <w:tr w14:paraId="1FFA21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34BDB5E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8</w:t>
            </w:r>
          </w:p>
        </w:tc>
        <w:tc>
          <w:tcPr>
            <w:tcW w:w="1339" w:type="dxa"/>
            <w:vMerge w:val="continue"/>
            <w:vAlign w:val="center"/>
          </w:tcPr>
          <w:p w14:paraId="5154E6A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10B86C0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吊</w:t>
            </w: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 xml:space="preserve"> </w:t>
            </w: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旗</w:t>
            </w:r>
          </w:p>
        </w:tc>
        <w:tc>
          <w:tcPr>
            <w:tcW w:w="4881" w:type="dxa"/>
            <w:vAlign w:val="center"/>
          </w:tcPr>
          <w:p w14:paraId="33755BB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吊旗尺寸：2*0.5m</w:t>
            </w:r>
          </w:p>
        </w:tc>
        <w:tc>
          <w:tcPr>
            <w:tcW w:w="1107" w:type="dxa"/>
            <w:vAlign w:val="center"/>
          </w:tcPr>
          <w:p w14:paraId="394B1FE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12面</w:t>
            </w:r>
          </w:p>
        </w:tc>
      </w:tr>
      <w:tr w14:paraId="0D9428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79" w:hRule="atLeast"/>
          <w:jc w:val="center"/>
        </w:trPr>
        <w:tc>
          <w:tcPr>
            <w:tcW w:w="796" w:type="dxa"/>
            <w:vAlign w:val="center"/>
          </w:tcPr>
          <w:p w14:paraId="70406DF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9</w:t>
            </w:r>
          </w:p>
        </w:tc>
        <w:tc>
          <w:tcPr>
            <w:tcW w:w="1339" w:type="dxa"/>
            <w:vMerge w:val="continue"/>
            <w:vAlign w:val="center"/>
          </w:tcPr>
          <w:p w14:paraId="25FCBAB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78E066D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 xml:space="preserve">道 旗 </w:t>
            </w:r>
          </w:p>
        </w:tc>
        <w:tc>
          <w:tcPr>
            <w:tcW w:w="4881" w:type="dxa"/>
            <w:vAlign w:val="center"/>
          </w:tcPr>
          <w:p w14:paraId="43D2C76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沿路两边宣传布置</w:t>
            </w:r>
          </w:p>
        </w:tc>
        <w:tc>
          <w:tcPr>
            <w:tcW w:w="1107" w:type="dxa"/>
            <w:vAlign w:val="center"/>
          </w:tcPr>
          <w:p w14:paraId="177E31D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30</w:t>
            </w: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副</w:t>
            </w:r>
          </w:p>
        </w:tc>
      </w:tr>
      <w:tr w14:paraId="289A8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6063107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10</w:t>
            </w:r>
          </w:p>
        </w:tc>
        <w:tc>
          <w:tcPr>
            <w:tcW w:w="1339" w:type="dxa"/>
            <w:vMerge w:val="continue"/>
            <w:vAlign w:val="center"/>
          </w:tcPr>
          <w:p w14:paraId="698EFF3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61608CE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注水旗</w:t>
            </w:r>
          </w:p>
        </w:tc>
        <w:tc>
          <w:tcPr>
            <w:tcW w:w="4881" w:type="dxa"/>
            <w:vAlign w:val="center"/>
          </w:tcPr>
          <w:p w14:paraId="3860C01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76BC5FA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20面</w:t>
            </w:r>
          </w:p>
        </w:tc>
      </w:tr>
      <w:tr w14:paraId="287909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61EE01D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11</w:t>
            </w:r>
          </w:p>
        </w:tc>
        <w:tc>
          <w:tcPr>
            <w:tcW w:w="1339" w:type="dxa"/>
            <w:vMerge w:val="continue"/>
            <w:vAlign w:val="center"/>
          </w:tcPr>
          <w:p w14:paraId="724F762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2D9E21A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 xml:space="preserve">环 保 保 洁 </w:t>
            </w:r>
          </w:p>
        </w:tc>
        <w:tc>
          <w:tcPr>
            <w:tcW w:w="4881" w:type="dxa"/>
            <w:vAlign w:val="center"/>
          </w:tcPr>
          <w:p w14:paraId="18484E9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492B3EB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1项</w:t>
            </w:r>
          </w:p>
        </w:tc>
      </w:tr>
      <w:tr w14:paraId="446D9C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7DD4678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12</w:t>
            </w:r>
          </w:p>
        </w:tc>
        <w:tc>
          <w:tcPr>
            <w:tcW w:w="1339" w:type="dxa"/>
            <w:vMerge w:val="continue"/>
            <w:vAlign w:val="center"/>
          </w:tcPr>
          <w:p w14:paraId="51F0F1C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1A756F9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标 识 牌 + 告 知 牌</w:t>
            </w:r>
          </w:p>
        </w:tc>
        <w:tc>
          <w:tcPr>
            <w:tcW w:w="4881" w:type="dxa"/>
            <w:vAlign w:val="center"/>
          </w:tcPr>
          <w:p w14:paraId="7AF450D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出入口标志、洗手间等。</w:t>
            </w:r>
          </w:p>
        </w:tc>
        <w:tc>
          <w:tcPr>
            <w:tcW w:w="1107" w:type="dxa"/>
            <w:vAlign w:val="center"/>
          </w:tcPr>
          <w:p w14:paraId="3DB7B3C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1组</w:t>
            </w:r>
          </w:p>
        </w:tc>
      </w:tr>
      <w:tr w14:paraId="5F4B4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5702005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13</w:t>
            </w:r>
          </w:p>
        </w:tc>
        <w:tc>
          <w:tcPr>
            <w:tcW w:w="1339" w:type="dxa"/>
            <w:vMerge w:val="continue"/>
            <w:vAlign w:val="center"/>
          </w:tcPr>
          <w:p w14:paraId="37DBFC2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7624830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 xml:space="preserve">工 作 证 </w:t>
            </w:r>
          </w:p>
        </w:tc>
        <w:tc>
          <w:tcPr>
            <w:tcW w:w="4881" w:type="dxa"/>
            <w:vAlign w:val="center"/>
          </w:tcPr>
          <w:p w14:paraId="58119E1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0958A78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40个</w:t>
            </w:r>
          </w:p>
        </w:tc>
      </w:tr>
      <w:tr w14:paraId="5B5DD0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234BB47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14</w:t>
            </w:r>
          </w:p>
        </w:tc>
        <w:tc>
          <w:tcPr>
            <w:tcW w:w="1339" w:type="dxa"/>
            <w:vMerge w:val="continue"/>
            <w:vAlign w:val="center"/>
          </w:tcPr>
          <w:p w14:paraId="702C20C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2190FA1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参展证</w:t>
            </w:r>
          </w:p>
        </w:tc>
        <w:tc>
          <w:tcPr>
            <w:tcW w:w="4881" w:type="dxa"/>
            <w:vAlign w:val="center"/>
          </w:tcPr>
          <w:p w14:paraId="2AFBB4F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5ACD447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100个</w:t>
            </w:r>
          </w:p>
        </w:tc>
      </w:tr>
      <w:tr w14:paraId="4C93D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60672FA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15</w:t>
            </w:r>
          </w:p>
        </w:tc>
        <w:tc>
          <w:tcPr>
            <w:tcW w:w="1339" w:type="dxa"/>
            <w:vMerge w:val="continue"/>
            <w:vAlign w:val="center"/>
          </w:tcPr>
          <w:p w14:paraId="572934D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6A9E031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t xml:space="preserve">手 提 袋 </w:t>
            </w:r>
          </w:p>
        </w:tc>
        <w:tc>
          <w:tcPr>
            <w:tcW w:w="4881" w:type="dxa"/>
            <w:vAlign w:val="center"/>
          </w:tcPr>
          <w:p w14:paraId="4EA3CD1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09C9BF6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500个</w:t>
            </w:r>
          </w:p>
        </w:tc>
      </w:tr>
      <w:tr w14:paraId="01180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118421B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16</w:t>
            </w:r>
          </w:p>
        </w:tc>
        <w:tc>
          <w:tcPr>
            <w:tcW w:w="1339" w:type="dxa"/>
            <w:vMerge w:val="continue"/>
            <w:vAlign w:val="center"/>
          </w:tcPr>
          <w:p w14:paraId="62E810F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432E4B6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灭火器</w:t>
            </w:r>
          </w:p>
        </w:tc>
        <w:tc>
          <w:tcPr>
            <w:tcW w:w="4881" w:type="dxa"/>
            <w:vAlign w:val="center"/>
          </w:tcPr>
          <w:p w14:paraId="524EB4A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4F117DC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28个</w:t>
            </w:r>
          </w:p>
        </w:tc>
      </w:tr>
      <w:tr w14:paraId="6AAE02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99" w:hRule="atLeast"/>
          <w:jc w:val="center"/>
        </w:trPr>
        <w:tc>
          <w:tcPr>
            <w:tcW w:w="796" w:type="dxa"/>
            <w:vAlign w:val="center"/>
          </w:tcPr>
          <w:p w14:paraId="44461DE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17</w:t>
            </w:r>
          </w:p>
        </w:tc>
        <w:tc>
          <w:tcPr>
            <w:tcW w:w="1339" w:type="dxa"/>
            <w:vMerge w:val="continue"/>
            <w:vAlign w:val="center"/>
          </w:tcPr>
          <w:p w14:paraId="53D8614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72EE495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铁马租赁</w:t>
            </w:r>
          </w:p>
        </w:tc>
        <w:tc>
          <w:tcPr>
            <w:tcW w:w="4881" w:type="dxa"/>
            <w:vAlign w:val="center"/>
          </w:tcPr>
          <w:p w14:paraId="36C5682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 xml:space="preserve">舞台及入口出口围挡 </w:t>
            </w:r>
          </w:p>
        </w:tc>
        <w:tc>
          <w:tcPr>
            <w:tcW w:w="1107" w:type="dxa"/>
            <w:vAlign w:val="center"/>
          </w:tcPr>
          <w:p w14:paraId="047D57C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100个</w:t>
            </w:r>
          </w:p>
        </w:tc>
      </w:tr>
      <w:tr w14:paraId="2E18B3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5CB6CBB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18</w:t>
            </w:r>
          </w:p>
        </w:tc>
        <w:tc>
          <w:tcPr>
            <w:tcW w:w="1339" w:type="dxa"/>
            <w:vMerge w:val="continue"/>
            <w:vAlign w:val="center"/>
          </w:tcPr>
          <w:p w14:paraId="62B9D73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21AD6DF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安全保障服务设施</w:t>
            </w:r>
          </w:p>
        </w:tc>
        <w:tc>
          <w:tcPr>
            <w:tcW w:w="4881" w:type="dxa"/>
            <w:vAlign w:val="center"/>
          </w:tcPr>
          <w:p w14:paraId="416372F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43E1C75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9个</w:t>
            </w:r>
          </w:p>
        </w:tc>
      </w:tr>
      <w:tr w14:paraId="143CB3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203D4A0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19</w:t>
            </w:r>
          </w:p>
        </w:tc>
        <w:tc>
          <w:tcPr>
            <w:tcW w:w="1339" w:type="dxa"/>
            <w:vMerge w:val="continue"/>
            <w:vAlign w:val="center"/>
          </w:tcPr>
          <w:p w14:paraId="43CE78C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72DB14D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媒体宣传报道</w:t>
            </w:r>
          </w:p>
        </w:tc>
        <w:tc>
          <w:tcPr>
            <w:tcW w:w="4881" w:type="dxa"/>
            <w:vAlign w:val="center"/>
          </w:tcPr>
          <w:p w14:paraId="5EF3BE8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5FF92DC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1次</w:t>
            </w:r>
          </w:p>
        </w:tc>
      </w:tr>
      <w:tr w14:paraId="5251DB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34BC95C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20</w:t>
            </w:r>
          </w:p>
        </w:tc>
        <w:tc>
          <w:tcPr>
            <w:tcW w:w="1339" w:type="dxa"/>
            <w:vMerge w:val="restart"/>
            <w:vAlign w:val="center"/>
          </w:tcPr>
          <w:p w14:paraId="0BF78BC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服</w:t>
            </w:r>
          </w:p>
          <w:p w14:paraId="024288F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务</w:t>
            </w:r>
          </w:p>
          <w:p w14:paraId="6EF8359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人</w:t>
            </w:r>
          </w:p>
          <w:p w14:paraId="5A20093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员</w:t>
            </w:r>
          </w:p>
          <w:p w14:paraId="1E7FA86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及</w:t>
            </w:r>
          </w:p>
          <w:p w14:paraId="54D9DC7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其</w:t>
            </w:r>
          </w:p>
          <w:p w14:paraId="55E587F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他</w:t>
            </w:r>
          </w:p>
          <w:p w14:paraId="3E95C6B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77594C2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活动总指挥</w:t>
            </w:r>
          </w:p>
        </w:tc>
        <w:tc>
          <w:tcPr>
            <w:tcW w:w="4881" w:type="dxa"/>
            <w:vAlign w:val="center"/>
          </w:tcPr>
          <w:p w14:paraId="0D6833D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78B0723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1人</w:t>
            </w:r>
          </w:p>
        </w:tc>
      </w:tr>
      <w:tr w14:paraId="60C3A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1D8186D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21</w:t>
            </w:r>
          </w:p>
        </w:tc>
        <w:tc>
          <w:tcPr>
            <w:tcW w:w="1339" w:type="dxa"/>
            <w:vMerge w:val="continue"/>
            <w:vAlign w:val="center"/>
          </w:tcPr>
          <w:p w14:paraId="4937FEB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4AFD2B4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技术人员</w:t>
            </w:r>
          </w:p>
        </w:tc>
        <w:tc>
          <w:tcPr>
            <w:tcW w:w="4881" w:type="dxa"/>
            <w:vAlign w:val="center"/>
          </w:tcPr>
          <w:p w14:paraId="5921A3C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6F7637F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4人</w:t>
            </w:r>
          </w:p>
        </w:tc>
      </w:tr>
      <w:tr w14:paraId="311FF7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1613DAE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22</w:t>
            </w:r>
          </w:p>
        </w:tc>
        <w:tc>
          <w:tcPr>
            <w:tcW w:w="1339" w:type="dxa"/>
            <w:vMerge w:val="continue"/>
            <w:vAlign w:val="center"/>
          </w:tcPr>
          <w:p w14:paraId="740FCC1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3515920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礼  仪</w:t>
            </w:r>
          </w:p>
        </w:tc>
        <w:tc>
          <w:tcPr>
            <w:tcW w:w="4881" w:type="dxa"/>
            <w:vAlign w:val="center"/>
          </w:tcPr>
          <w:p w14:paraId="6806851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2D68750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2人</w:t>
            </w:r>
          </w:p>
        </w:tc>
      </w:tr>
      <w:tr w14:paraId="7570DB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26A6D47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23</w:t>
            </w:r>
          </w:p>
        </w:tc>
        <w:tc>
          <w:tcPr>
            <w:tcW w:w="1339" w:type="dxa"/>
            <w:vMerge w:val="continue"/>
            <w:vAlign w:val="center"/>
          </w:tcPr>
          <w:p w14:paraId="7DEE46C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78F6717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舞蹈人员</w:t>
            </w:r>
          </w:p>
        </w:tc>
        <w:tc>
          <w:tcPr>
            <w:tcW w:w="4881" w:type="dxa"/>
            <w:vAlign w:val="center"/>
          </w:tcPr>
          <w:p w14:paraId="3FDD9A2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具体参数要求详见采购文件第五章。</w:t>
            </w:r>
          </w:p>
        </w:tc>
        <w:tc>
          <w:tcPr>
            <w:tcW w:w="1107" w:type="dxa"/>
            <w:vAlign w:val="center"/>
          </w:tcPr>
          <w:p w14:paraId="692A136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6人</w:t>
            </w:r>
          </w:p>
        </w:tc>
      </w:tr>
      <w:tr w14:paraId="0325C4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5A0F871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24</w:t>
            </w:r>
          </w:p>
        </w:tc>
        <w:tc>
          <w:tcPr>
            <w:tcW w:w="1339" w:type="dxa"/>
            <w:vMerge w:val="continue"/>
            <w:vAlign w:val="center"/>
          </w:tcPr>
          <w:p w14:paraId="686CDB8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4B271BE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安保人员</w:t>
            </w:r>
          </w:p>
        </w:tc>
        <w:tc>
          <w:tcPr>
            <w:tcW w:w="4881" w:type="dxa"/>
            <w:vAlign w:val="center"/>
          </w:tcPr>
          <w:p w14:paraId="09BF931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服务须达到52人次，具体参数要求详见采购文件第五章。</w:t>
            </w:r>
          </w:p>
        </w:tc>
        <w:tc>
          <w:tcPr>
            <w:tcW w:w="1107" w:type="dxa"/>
            <w:vAlign w:val="center"/>
          </w:tcPr>
          <w:p w14:paraId="4F249C3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8人</w:t>
            </w:r>
          </w:p>
        </w:tc>
      </w:tr>
      <w:tr w14:paraId="60CF6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center"/>
          </w:tcPr>
          <w:p w14:paraId="7273BBC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25</w:t>
            </w:r>
          </w:p>
        </w:tc>
        <w:tc>
          <w:tcPr>
            <w:tcW w:w="1339" w:type="dxa"/>
            <w:vMerge w:val="continue"/>
            <w:vAlign w:val="center"/>
          </w:tcPr>
          <w:p w14:paraId="118B756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ind w:left="0" w:leftChars="0" w:firstLine="440" w:firstLineChars="200"/>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p>
        </w:tc>
        <w:tc>
          <w:tcPr>
            <w:tcW w:w="1983" w:type="dxa"/>
            <w:vAlign w:val="center"/>
          </w:tcPr>
          <w:p w14:paraId="2D09CF5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后续服务</w:t>
            </w:r>
          </w:p>
        </w:tc>
        <w:tc>
          <w:tcPr>
            <w:tcW w:w="4881" w:type="dxa"/>
            <w:vAlign w:val="center"/>
          </w:tcPr>
          <w:p w14:paraId="41827BF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left"/>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包括本次展会涉及的会后恢复、保洁、场地清理等相关内容。</w:t>
            </w:r>
          </w:p>
        </w:tc>
        <w:tc>
          <w:tcPr>
            <w:tcW w:w="1107" w:type="dxa"/>
            <w:vAlign w:val="center"/>
          </w:tcPr>
          <w:p w14:paraId="45409B5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w:eastAsia="微软雅黑" w:cs="微软雅黑"/>
                <w:b w:val="0"/>
                <w:bCs w:val="0"/>
                <w:i w:val="0"/>
                <w:iCs w:val="0"/>
                <w:caps w:val="0"/>
                <w:color w:val="auto"/>
                <w:spacing w:val="0"/>
                <w:sz w:val="22"/>
                <w:szCs w:val="2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2"/>
                <w:szCs w:val="22"/>
                <w:highlight w:val="none"/>
                <w:shd w:val="clear" w:fill="FFFFFF"/>
                <w:lang w:val="en-US" w:eastAsia="zh-CN"/>
              </w:rPr>
              <w:t>1项</w:t>
            </w:r>
          </w:p>
        </w:tc>
      </w:tr>
    </w:tbl>
    <w:p w14:paraId="24CB17EB">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6.采购内容：（1）推介会会现场设计、布置搭建、拆除，主要包括开幕式舞台、40个展销摊位搭建等；二是现场氛围布置营造、现场所需的宣传用LED及配套音响设备等；（2）相关服务人员，主持人、舞蹈人员、安保人员等；</w:t>
      </w:r>
    </w:p>
    <w:p w14:paraId="782A7319">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7.服务期：自合同签订至展会工作结束；（注：展会时间2025年10月24日至27日，共4天）。</w:t>
      </w:r>
    </w:p>
    <w:p w14:paraId="2038C799">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8.服务质量要求：执行质量须满足国家、地方、行业规范要求，满足甲方的功能需求及技术要求，在合同规定的时间节点内完成相关服务工作，确保会议顺利进行，一次性验收合格。</w:t>
      </w:r>
    </w:p>
    <w:p w14:paraId="63DBEFA3">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9.服务地点：采购人指定地点</w:t>
      </w:r>
    </w:p>
    <w:p w14:paraId="64D7D0B6">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10.本项目不接受联合体投标。</w:t>
      </w:r>
    </w:p>
    <w:p w14:paraId="57E3B0A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0"/>
        <w:jc w:val="left"/>
        <w:textAlignment w:val="auto"/>
        <w:outlineLvl w:val="1"/>
        <w:rPr>
          <w:rFonts w:hint="eastAsia" w:ascii="微软雅黑" w:hAnsi="微软雅黑" w:eastAsia="微软雅黑" w:cs="微软雅黑"/>
          <w:b w:val="0"/>
          <w:bCs w:val="0"/>
          <w:i w:val="0"/>
          <w:iCs w:val="0"/>
          <w:caps w:val="0"/>
          <w:color w:val="auto"/>
          <w:spacing w:val="0"/>
          <w:sz w:val="32"/>
          <w:szCs w:val="32"/>
          <w:highlight w:val="none"/>
          <w:shd w:val="clear" w:fill="FFFFFF"/>
        </w:rPr>
      </w:pPr>
      <w:r>
        <w:rPr>
          <w:rFonts w:hint="eastAsia" w:ascii="微软雅黑" w:hAnsi="微软雅黑" w:eastAsia="微软雅黑" w:cs="微软雅黑"/>
          <w:b w:val="0"/>
          <w:bCs w:val="0"/>
          <w:i w:val="0"/>
          <w:iCs w:val="0"/>
          <w:caps w:val="0"/>
          <w:color w:val="auto"/>
          <w:spacing w:val="0"/>
          <w:sz w:val="32"/>
          <w:szCs w:val="32"/>
          <w:highlight w:val="none"/>
          <w:shd w:val="clear" w:fill="FFFFFF"/>
        </w:rPr>
        <w:t>二、申请人的资格要求：</w:t>
      </w:r>
    </w:p>
    <w:p w14:paraId="0445D404">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eastAsia="zh-CN"/>
        </w:rPr>
        <w:t>（一）满足《中华人民共和国政府采购法》第二十二条规定；</w:t>
      </w:r>
    </w:p>
    <w:p w14:paraId="24471C5A">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1.具有独立承担民事责任的能力；</w:t>
      </w:r>
    </w:p>
    <w:p w14:paraId="751B69C3">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2.具有良好的商业信誉和健全的财务会计制度；</w:t>
      </w:r>
    </w:p>
    <w:p w14:paraId="14A361D4">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3.具有履行合同所必须的设备和专业技术能力；</w:t>
      </w:r>
    </w:p>
    <w:p w14:paraId="44CD6818">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4.有依法缴纳税收和社会保障资金的良好记录；</w:t>
      </w:r>
    </w:p>
    <w:p w14:paraId="6C544172">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5.参加政府采购活动前三年内，在经营活动中没有重大违法记录；</w:t>
      </w:r>
    </w:p>
    <w:p w14:paraId="5030592A">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6.法律、行政法规规定的其他条件。</w:t>
      </w:r>
    </w:p>
    <w:p w14:paraId="399B3C66">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微软雅黑" w:hAnsi="微软雅黑" w:eastAsia="微软雅黑" w:cs="微软雅黑"/>
          <w:b w:val="0"/>
          <w:bCs w:val="0"/>
          <w:i w:val="0"/>
          <w:iCs w:val="0"/>
          <w:caps w:val="0"/>
          <w:color w:val="000000"/>
          <w:spacing w:val="0"/>
          <w:sz w:val="24"/>
          <w:szCs w:val="24"/>
          <w:highlight w:val="none"/>
          <w:shd w:val="clear" w:fill="FFFFFF"/>
          <w:lang w:eastAsia="zh-CN"/>
        </w:rPr>
      </w:pPr>
      <w:r>
        <w:rPr>
          <w:rFonts w:hint="eastAsia" w:ascii="微软雅黑" w:hAnsi="微软雅黑" w:eastAsia="微软雅黑" w:cs="微软雅黑"/>
          <w:b w:val="0"/>
          <w:bCs w:val="0"/>
          <w:i w:val="0"/>
          <w:iCs w:val="0"/>
          <w:caps w:val="0"/>
          <w:color w:val="000000"/>
          <w:spacing w:val="0"/>
          <w:sz w:val="24"/>
          <w:szCs w:val="24"/>
          <w:highlight w:val="none"/>
          <w:shd w:val="clear" w:fill="FFFFFF"/>
          <w:lang w:eastAsia="zh-CN"/>
        </w:rPr>
        <w:t>（二）</w:t>
      </w:r>
      <w:r>
        <w:rPr>
          <w:rFonts w:hint="eastAsia" w:ascii="微软雅黑" w:hAnsi="微软雅黑" w:eastAsia="微软雅黑" w:cs="微软雅黑"/>
          <w:b w:val="0"/>
          <w:bCs w:val="0"/>
          <w:i w:val="0"/>
          <w:iCs w:val="0"/>
          <w:caps w:val="0"/>
          <w:color w:val="000000"/>
          <w:spacing w:val="0"/>
          <w:sz w:val="24"/>
          <w:szCs w:val="24"/>
          <w:highlight w:val="none"/>
          <w:shd w:val="clear" w:fill="FFFFFF"/>
        </w:rPr>
        <w:t>落实政府采购政策需满足的资格要求：本项目</w:t>
      </w:r>
      <w:r>
        <w:rPr>
          <w:rFonts w:hint="eastAsia" w:ascii="微软雅黑" w:hAnsi="微软雅黑" w:eastAsia="微软雅黑" w:cs="微软雅黑"/>
          <w:b w:val="0"/>
          <w:bCs w:val="0"/>
          <w:i w:val="0"/>
          <w:iCs w:val="0"/>
          <w:caps w:val="0"/>
          <w:color w:val="000000"/>
          <w:spacing w:val="0"/>
          <w:sz w:val="24"/>
          <w:szCs w:val="24"/>
          <w:highlight w:val="none"/>
          <w:shd w:val="clear" w:fill="FFFFFF"/>
          <w:lang w:val="en-US" w:eastAsia="zh-CN"/>
        </w:rPr>
        <w:t>采购面向中小微企业整体预留</w:t>
      </w:r>
      <w:r>
        <w:rPr>
          <w:rFonts w:hint="eastAsia" w:ascii="微软雅黑" w:hAnsi="微软雅黑" w:eastAsia="微软雅黑" w:cs="微软雅黑"/>
          <w:b w:val="0"/>
          <w:bCs w:val="0"/>
          <w:i w:val="0"/>
          <w:iCs w:val="0"/>
          <w:caps w:val="0"/>
          <w:color w:val="000000"/>
          <w:spacing w:val="0"/>
          <w:sz w:val="24"/>
          <w:szCs w:val="24"/>
          <w:highlight w:val="none"/>
          <w:shd w:val="clear" w:fill="FFFFFF"/>
          <w:lang w:eastAsia="zh-CN"/>
        </w:rPr>
        <w:t>；</w:t>
      </w:r>
    </w:p>
    <w:p w14:paraId="18E5ACEE">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微软雅黑" w:hAnsi="微软雅黑" w:eastAsia="微软雅黑" w:cs="微软雅黑"/>
          <w:b w:val="0"/>
          <w:bCs w:val="0"/>
          <w:i w:val="0"/>
          <w:iCs w:val="0"/>
          <w:caps w:val="0"/>
          <w:color w:val="000000"/>
          <w:spacing w:val="0"/>
          <w:sz w:val="24"/>
          <w:szCs w:val="24"/>
          <w:highlight w:val="none"/>
          <w:shd w:val="clear" w:fill="FFFFFF"/>
        </w:rPr>
      </w:pPr>
      <w:r>
        <w:rPr>
          <w:rFonts w:hint="eastAsia" w:ascii="微软雅黑" w:hAnsi="微软雅黑" w:eastAsia="微软雅黑" w:cs="微软雅黑"/>
          <w:b w:val="0"/>
          <w:bCs w:val="0"/>
          <w:i w:val="0"/>
          <w:iCs w:val="0"/>
          <w:caps w:val="0"/>
          <w:color w:val="000000"/>
          <w:spacing w:val="0"/>
          <w:sz w:val="24"/>
          <w:szCs w:val="24"/>
          <w:highlight w:val="none"/>
          <w:shd w:val="clear" w:fill="FFFFFF"/>
          <w:lang w:eastAsia="zh-CN"/>
        </w:rPr>
        <w:t>（三）</w:t>
      </w:r>
      <w:r>
        <w:rPr>
          <w:rFonts w:hint="eastAsia" w:ascii="微软雅黑" w:hAnsi="微软雅黑" w:eastAsia="微软雅黑" w:cs="微软雅黑"/>
          <w:b w:val="0"/>
          <w:bCs w:val="0"/>
          <w:i w:val="0"/>
          <w:iCs w:val="0"/>
          <w:caps w:val="0"/>
          <w:color w:val="000000"/>
          <w:spacing w:val="0"/>
          <w:sz w:val="24"/>
          <w:szCs w:val="24"/>
          <w:highlight w:val="none"/>
          <w:shd w:val="clear" w:fill="FFFFFF"/>
        </w:rPr>
        <w:t>本项目的特定资格要求：</w:t>
      </w:r>
    </w:p>
    <w:p w14:paraId="53333DD5">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highlight w:val="none"/>
        </w:rPr>
      </w:pPr>
      <w:r>
        <w:rPr>
          <w:rFonts w:hint="eastAsia" w:ascii="微软雅黑" w:hAnsi="微软雅黑" w:eastAsia="微软雅黑" w:cs="微软雅黑"/>
          <w:b w:val="0"/>
          <w:bCs w:val="0"/>
          <w:i w:val="0"/>
          <w:iCs w:val="0"/>
          <w:caps w:val="0"/>
          <w:color w:val="000000"/>
          <w:spacing w:val="0"/>
          <w:sz w:val="24"/>
          <w:szCs w:val="24"/>
          <w:highlight w:val="none"/>
          <w:shd w:val="clear" w:fill="FFFFFF"/>
          <w:lang w:val="zh-TW" w:eastAsia="zh-CN"/>
        </w:rPr>
        <w:t>1.本次采购要求投标人须为依法设立且有效存续的具有独立法人资格的企业，经营范围须满足本次采购需求；并在人员、设备、资金等方面具有相应的</w:t>
      </w:r>
      <w:r>
        <w:rPr>
          <w:rFonts w:hint="eastAsia" w:ascii="微软雅黑" w:hAnsi="微软雅黑" w:eastAsia="微软雅黑" w:cs="微软雅黑"/>
          <w:b w:val="0"/>
          <w:bCs w:val="0"/>
          <w:i w:val="0"/>
          <w:iCs w:val="0"/>
          <w:caps w:val="0"/>
          <w:color w:val="000000"/>
          <w:spacing w:val="0"/>
          <w:sz w:val="24"/>
          <w:szCs w:val="24"/>
          <w:highlight w:val="none"/>
          <w:shd w:val="clear" w:fill="FFFFFF"/>
          <w:lang w:val="en-US" w:eastAsia="zh-CN"/>
        </w:rPr>
        <w:t>服务</w:t>
      </w:r>
      <w:r>
        <w:rPr>
          <w:rFonts w:hint="eastAsia" w:ascii="微软雅黑" w:hAnsi="微软雅黑" w:eastAsia="微软雅黑" w:cs="微软雅黑"/>
          <w:b w:val="0"/>
          <w:bCs w:val="0"/>
          <w:i w:val="0"/>
          <w:iCs w:val="0"/>
          <w:caps w:val="0"/>
          <w:color w:val="000000"/>
          <w:spacing w:val="0"/>
          <w:sz w:val="24"/>
          <w:szCs w:val="24"/>
          <w:highlight w:val="none"/>
          <w:shd w:val="clear" w:fill="FFFFFF"/>
          <w:lang w:val="zh-TW" w:eastAsia="zh-CN"/>
        </w:rPr>
        <w:t>能力。</w:t>
      </w:r>
    </w:p>
    <w:p w14:paraId="69DC581B">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2.财务要求：提供（2024年）年度财务报表或者财务状况承诺书；新成立不满一年的公司，则需提供成立至今的财务报表或者财务状况承诺书。</w:t>
      </w:r>
    </w:p>
    <w:p w14:paraId="2FDC3182">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w:t>
      </w:r>
      <w:r>
        <w:rPr>
          <w:rFonts w:hint="eastAsia" w:ascii="微软雅黑" w:hAnsi="微软雅黑" w:eastAsia="微软雅黑" w:cs="微软雅黑"/>
          <w:b w:val="0"/>
          <w:bCs w:val="0"/>
          <w:i w:val="0"/>
          <w:iCs w:val="0"/>
          <w:caps w:val="0"/>
          <w:color w:val="auto"/>
          <w:spacing w:val="0"/>
          <w:sz w:val="24"/>
          <w:szCs w:val="24"/>
          <w:highlight w:val="none"/>
          <w:shd w:val="clear" w:fill="FFFFFF"/>
        </w:rPr>
        <w:t>.信誉要求：未被列入“信用中国”网站（www.creditchina.gov.cn）“失信惩戒对象”、“失信被执行人”、“重大税收违法案件当事人”、“政府采购不良行为记录”；中国政府采购网</w:t>
      </w:r>
      <w:r>
        <w:rPr>
          <w:rFonts w:hint="eastAsia" w:ascii="微软雅黑" w:hAnsi="微软雅黑" w:eastAsia="微软雅黑" w:cs="微软雅黑"/>
          <w:b w:val="0"/>
          <w:bCs w:val="0"/>
          <w:i w:val="0"/>
          <w:iCs w:val="0"/>
          <w:caps w:val="0"/>
          <w:color w:val="auto"/>
          <w:spacing w:val="0"/>
          <w:sz w:val="24"/>
          <w:szCs w:val="24"/>
          <w:highlight w:val="none"/>
          <w:shd w:val="clear" w:fill="FFFFFF"/>
          <w:lang w:eastAsia="zh-CN"/>
        </w:rPr>
        <w:t>“</w:t>
      </w:r>
      <w:r>
        <w:rPr>
          <w:rFonts w:hint="eastAsia" w:ascii="微软雅黑" w:hAnsi="微软雅黑" w:eastAsia="微软雅黑" w:cs="微软雅黑"/>
          <w:b w:val="0"/>
          <w:bCs w:val="0"/>
          <w:i w:val="0"/>
          <w:iCs w:val="0"/>
          <w:caps w:val="0"/>
          <w:color w:val="auto"/>
          <w:spacing w:val="0"/>
          <w:sz w:val="24"/>
          <w:szCs w:val="24"/>
          <w:highlight w:val="none"/>
          <w:shd w:val="clear" w:fill="FFFFFF"/>
        </w:rPr>
        <w:t>政府采购严重违法失信行为</w:t>
      </w:r>
      <w:r>
        <w:rPr>
          <w:rFonts w:hint="eastAsia" w:ascii="微软雅黑" w:hAnsi="微软雅黑" w:eastAsia="微软雅黑" w:cs="微软雅黑"/>
          <w:b w:val="0"/>
          <w:bCs w:val="0"/>
          <w:i w:val="0"/>
          <w:iCs w:val="0"/>
          <w:caps w:val="0"/>
          <w:color w:val="auto"/>
          <w:spacing w:val="0"/>
          <w:sz w:val="24"/>
          <w:szCs w:val="24"/>
          <w:highlight w:val="none"/>
          <w:shd w:val="clear" w:fill="FFFFFF"/>
          <w:lang w:eastAsia="zh-CN"/>
        </w:rPr>
        <w:t>”</w:t>
      </w:r>
      <w:r>
        <w:rPr>
          <w:rFonts w:hint="eastAsia" w:ascii="微软雅黑" w:hAnsi="微软雅黑" w:eastAsia="微软雅黑" w:cs="微软雅黑"/>
          <w:b w:val="0"/>
          <w:bCs w:val="0"/>
          <w:i w:val="0"/>
          <w:iCs w:val="0"/>
          <w:caps w:val="0"/>
          <w:color w:val="auto"/>
          <w:spacing w:val="0"/>
          <w:sz w:val="24"/>
          <w:szCs w:val="24"/>
          <w:highlight w:val="none"/>
          <w:shd w:val="clear" w:fill="FFFFFF"/>
        </w:rPr>
        <w:t>信息记录，存在不良信用记录的，不得参与政府采购活动。</w:t>
      </w:r>
    </w:p>
    <w:p w14:paraId="3DFCA187">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4.</w:t>
      </w:r>
      <w:r>
        <w:rPr>
          <w:rFonts w:hint="eastAsia" w:ascii="微软雅黑" w:hAnsi="微软雅黑" w:eastAsia="微软雅黑" w:cs="微软雅黑"/>
          <w:b w:val="0"/>
          <w:bCs w:val="0"/>
          <w:i w:val="0"/>
          <w:iCs w:val="0"/>
          <w:caps w:val="0"/>
          <w:color w:val="auto"/>
          <w:spacing w:val="0"/>
          <w:sz w:val="24"/>
          <w:szCs w:val="24"/>
          <w:highlight w:val="none"/>
          <w:shd w:val="clear" w:fill="FFFFFF"/>
        </w:rPr>
        <w:t>需落实的政府采购政策：《政府采购促进中小企业发展管理办法》（财库〔2020〕46 号）、《关于进一步加大政府采购支持中小企业力度的通知》（财库〔2022〕19 号）、《财政部司法部关于政府采购支持监狱企业发展有关问题的通知》(财库〔2014〕68 号)、《关于促进残疾人就业政府采购政策的通知》（财库〔2017〕141 号）。</w:t>
      </w:r>
    </w:p>
    <w:p w14:paraId="2E1AEABA">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0"/>
        <w:jc w:val="left"/>
        <w:textAlignment w:val="auto"/>
        <w:outlineLvl w:val="1"/>
        <w:rPr>
          <w:rFonts w:hint="default" w:ascii="微软雅黑" w:hAnsi="微软雅黑" w:eastAsia="微软雅黑" w:cs="微软雅黑"/>
          <w:b w:val="0"/>
          <w:bCs w:val="0"/>
          <w:i w:val="0"/>
          <w:iCs w:val="0"/>
          <w:caps w:val="0"/>
          <w:color w:val="auto"/>
          <w:spacing w:val="0"/>
          <w:sz w:val="32"/>
          <w:szCs w:val="32"/>
          <w:highlight w:val="none"/>
          <w:lang w:val="en-US" w:eastAsia="zh-CN"/>
        </w:rPr>
      </w:pPr>
      <w:r>
        <w:rPr>
          <w:rFonts w:hint="eastAsia" w:ascii="微软雅黑" w:hAnsi="微软雅黑" w:eastAsia="微软雅黑" w:cs="微软雅黑"/>
          <w:b w:val="0"/>
          <w:bCs w:val="0"/>
          <w:i w:val="0"/>
          <w:iCs w:val="0"/>
          <w:caps w:val="0"/>
          <w:color w:val="auto"/>
          <w:spacing w:val="0"/>
          <w:sz w:val="32"/>
          <w:szCs w:val="32"/>
          <w:highlight w:val="none"/>
          <w:shd w:val="clear" w:fill="FFFFFF"/>
        </w:rPr>
        <w:t>三、竞争性磋商文件</w:t>
      </w:r>
      <w:r>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t>获取方式</w:t>
      </w:r>
    </w:p>
    <w:p w14:paraId="44D1A05F">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1.报名时间：2025年10 月10日 至2025年10 月16日，每天上午06:00至12:00，下午12:00至23:59（北京时间，法定节假日除外）；</w:t>
      </w:r>
    </w:p>
    <w:p w14:paraId="1A24F634">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2.采购文件获取地点：“政采云”平台（http：//www.zcygov.cn）（操作路径：登录“政 采云”平台-项目采购-获取竞争性磋商文件-找到本项目-点击“申请获取竞争性 磋商文件”）。</w:t>
      </w:r>
    </w:p>
    <w:p w14:paraId="6BA7AAC9">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3.采购文件获取方式：凡有意参加投标者，须在政采云平台办理数字证书（CA)，CA申领链 接:http://yzt.ynsmartcert.cn/cms/yztynyz.html，数字证书（CA）办理完成后需在政采云平台绑定数字证书(CA)并在平台获取竞争性磋商文件及其它采购资料。</w:t>
      </w:r>
    </w:p>
    <w:p w14:paraId="49590C35">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 xml:space="preserve">注:按上述要求获取文件的投标人视为合法获取了本项目竞争性磋商文件，具备本项目的投标资格。各投标人应在开标前确保成为政采云平台投标人，并完成CA数字证书申领。因未注册入库，未办理CA数字证书等原因造成无法投标或投标失败等由投标人自行承担,有意参加投标的投标人，须在政采云平办理数字证书(CA),CA申领链接: </w:t>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fldChar w:fldCharType="begin"/>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instrText xml:space="preserve"> HYPERLINK "http://yzt.ynsmartcert.cn/cms/yztynyz.html。" </w:instrText>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fldChar w:fldCharType="separate"/>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http://yzt.ynsmartcert.cn/cms/yztynyz.html。</w:t>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fldChar w:fldCharType="end"/>
      </w:r>
    </w:p>
    <w:p w14:paraId="42FF95D6">
      <w:pPr>
        <w:pStyle w:val="16"/>
        <w:numPr>
          <w:ilvl w:val="0"/>
          <w:numId w:val="0"/>
        </w:numPr>
        <w:ind w:firstLine="480" w:firstLineChars="200"/>
        <w:rPr>
          <w:rFonts w:hint="eastAsia" w:ascii="微软雅黑" w:hAnsi="微软雅黑" w:eastAsia="微软雅黑" w:cs="微软雅黑"/>
          <w:b w:val="0"/>
          <w:bCs w:val="0"/>
          <w:i w:val="0"/>
          <w:iCs w:val="0"/>
          <w:caps w:val="0"/>
          <w:color w:val="auto"/>
          <w:spacing w:val="0"/>
          <w:kern w:val="2"/>
          <w:sz w:val="24"/>
          <w:szCs w:val="24"/>
          <w:highlight w:val="none"/>
          <w:shd w:val="clear" w:fill="FFFFFF"/>
          <w:lang w:val="en-US" w:eastAsia="zh-CN" w:bidi="ar-SA"/>
        </w:rPr>
      </w:pPr>
      <w:r>
        <w:rPr>
          <w:rFonts w:hint="eastAsia" w:ascii="微软雅黑" w:hAnsi="微软雅黑" w:eastAsia="微软雅黑" w:cs="微软雅黑"/>
          <w:b w:val="0"/>
          <w:bCs w:val="0"/>
          <w:i w:val="0"/>
          <w:iCs w:val="0"/>
          <w:caps w:val="0"/>
          <w:color w:val="auto"/>
          <w:spacing w:val="0"/>
          <w:kern w:val="2"/>
          <w:sz w:val="24"/>
          <w:szCs w:val="24"/>
          <w:highlight w:val="none"/>
          <w:shd w:val="clear" w:fill="FFFFFF"/>
          <w:lang w:val="en-US" w:eastAsia="zh-CN" w:bidi="ar-SA"/>
        </w:rPr>
        <w:t>4.采购文件售价: 0元。</w:t>
      </w:r>
    </w:p>
    <w:p w14:paraId="70F87416">
      <w:pPr>
        <w:pStyle w:val="20"/>
        <w:numPr>
          <w:ilvl w:val="0"/>
          <w:numId w:val="0"/>
        </w:numPr>
        <w:ind w:firstLine="240" w:firstLineChars="100"/>
        <w:rPr>
          <w:rFonts w:hint="eastAsia" w:ascii="微软雅黑" w:hAnsi="微软雅黑" w:eastAsia="微软雅黑" w:cs="微软雅黑"/>
          <w:b w:val="0"/>
          <w:bCs w:val="0"/>
          <w:i w:val="0"/>
          <w:iCs w:val="0"/>
          <w:caps w:val="0"/>
          <w:color w:val="auto"/>
          <w:spacing w:val="0"/>
          <w:kern w:val="2"/>
          <w:sz w:val="24"/>
          <w:szCs w:val="24"/>
          <w:highlight w:val="none"/>
          <w:shd w:val="clear" w:fill="FFFFFF"/>
          <w:lang w:val="en-US" w:eastAsia="zh-CN" w:bidi="ar-SA"/>
        </w:rPr>
      </w:pPr>
      <w:r>
        <w:rPr>
          <w:rFonts w:hint="eastAsia" w:ascii="微软雅黑" w:hAnsi="微软雅黑" w:eastAsia="微软雅黑" w:cs="微软雅黑"/>
          <w:b w:val="0"/>
          <w:bCs w:val="0"/>
          <w:i w:val="0"/>
          <w:iCs w:val="0"/>
          <w:caps w:val="0"/>
          <w:color w:val="auto"/>
          <w:spacing w:val="0"/>
          <w:kern w:val="2"/>
          <w:sz w:val="24"/>
          <w:szCs w:val="24"/>
          <w:highlight w:val="none"/>
          <w:shd w:val="clear" w:fill="FFFFFF"/>
          <w:lang w:val="en-US" w:eastAsia="zh-CN" w:bidi="ar-SA"/>
        </w:rPr>
        <w:t>注：此为获取竞争性磋商文件的唯一途径。</w:t>
      </w:r>
    </w:p>
    <w:p w14:paraId="5B6898BE">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0"/>
        <w:jc w:val="left"/>
        <w:textAlignment w:val="auto"/>
        <w:outlineLvl w:val="1"/>
        <w:rPr>
          <w:rFonts w:hint="eastAsia" w:ascii="微软雅黑" w:hAnsi="微软雅黑" w:eastAsia="微软雅黑" w:cs="微软雅黑"/>
          <w:b w:val="0"/>
          <w:bCs w:val="0"/>
          <w:i w:val="0"/>
          <w:iCs w:val="0"/>
          <w:caps w:val="0"/>
          <w:color w:val="auto"/>
          <w:spacing w:val="0"/>
          <w:sz w:val="32"/>
          <w:szCs w:val="32"/>
          <w:highlight w:val="none"/>
          <w:shd w:val="clear" w:fill="FFFFFF"/>
        </w:rPr>
      </w:pPr>
      <w:r>
        <w:rPr>
          <w:rFonts w:hint="eastAsia" w:ascii="微软雅黑" w:hAnsi="微软雅黑" w:eastAsia="微软雅黑" w:cs="微软雅黑"/>
          <w:b w:val="0"/>
          <w:bCs w:val="0"/>
          <w:i w:val="0"/>
          <w:iCs w:val="0"/>
          <w:caps w:val="0"/>
          <w:color w:val="auto"/>
          <w:spacing w:val="0"/>
          <w:sz w:val="32"/>
          <w:szCs w:val="32"/>
          <w:highlight w:val="none"/>
          <w:shd w:val="clear" w:fill="FFFFFF"/>
        </w:rPr>
        <w:t>四、响应文件递交截止时间及地点</w:t>
      </w:r>
    </w:p>
    <w:p w14:paraId="59DA54D5">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（1）时间：</w:t>
      </w:r>
      <w:r>
        <w:rPr>
          <w:rFonts w:hint="eastAsia" w:ascii="微软雅黑" w:hAnsi="微软雅黑" w:eastAsia="微软雅黑" w:cs="微软雅黑"/>
          <w:b w:val="0"/>
          <w:bCs w:val="0"/>
          <w:i w:val="0"/>
          <w:iCs w:val="0"/>
          <w:caps w:val="0"/>
          <w:color w:val="auto"/>
          <w:spacing w:val="0"/>
          <w:kern w:val="0"/>
          <w:sz w:val="24"/>
          <w:szCs w:val="24"/>
          <w:highlight w:val="none"/>
          <w:lang w:val="en-US" w:eastAsia="zh-CN" w:bidi="ar"/>
        </w:rPr>
        <w:t>2025年10月20日</w:t>
      </w: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上午9:30（北京时间）</w:t>
      </w:r>
    </w:p>
    <w:p w14:paraId="6D3E54D0">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地点：投标人应按照本项目采购文件和"政采云"平台的要求编制、加密后在投标文件提交截止时间前上传至"政采云"平台，投标文件提交截止时间前未完成投标文件上传的，视为撤回投标文件。投标人在"政采云"平台提交电子版投标文件时，请填写参加远程采购活动经办人联系方式。</w:t>
      </w:r>
    </w:p>
    <w:p w14:paraId="010E6969">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（3）开标地点：政府采购云平台远程开标大厅</w:t>
      </w:r>
    </w:p>
    <w:p w14:paraId="4FC02B52">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0"/>
        <w:jc w:val="left"/>
        <w:textAlignment w:val="auto"/>
        <w:outlineLvl w:val="1"/>
        <w:rPr>
          <w:rFonts w:hint="eastAsia" w:ascii="微软雅黑" w:hAnsi="微软雅黑" w:eastAsia="微软雅黑" w:cs="微软雅黑"/>
          <w:b w:val="0"/>
          <w:bCs w:val="0"/>
          <w:i w:val="0"/>
          <w:iCs w:val="0"/>
          <w:caps w:val="0"/>
          <w:color w:val="auto"/>
          <w:spacing w:val="0"/>
          <w:sz w:val="32"/>
          <w:szCs w:val="32"/>
          <w:highlight w:val="none"/>
          <w:shd w:val="clear" w:fill="FFFFFF"/>
        </w:rPr>
      </w:pPr>
      <w:r>
        <w:rPr>
          <w:rFonts w:hint="eastAsia" w:ascii="微软雅黑" w:hAnsi="微软雅黑" w:eastAsia="微软雅黑" w:cs="微软雅黑"/>
          <w:b w:val="0"/>
          <w:bCs w:val="0"/>
          <w:i w:val="0"/>
          <w:iCs w:val="0"/>
          <w:caps w:val="0"/>
          <w:color w:val="auto"/>
          <w:spacing w:val="0"/>
          <w:sz w:val="32"/>
          <w:szCs w:val="32"/>
          <w:highlight w:val="none"/>
          <w:shd w:val="clear" w:fill="FFFFFF"/>
        </w:rPr>
        <w:t>五、公告期限：</w:t>
      </w:r>
    </w:p>
    <w:p w14:paraId="6661D98F">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自本公告发布之日起 5 个工作日。公告发布媒介: 云南省政府采购网（http：//www.yngp.com）、政采云平台。</w:t>
      </w:r>
    </w:p>
    <w:p w14:paraId="6DEE87A8">
      <w:pPr>
        <w:keepNext w:val="0"/>
        <w:keepLines w:val="0"/>
        <w:pageBreakBefore w:val="0"/>
        <w:numPr>
          <w:ilvl w:val="0"/>
          <w:numId w:val="0"/>
        </w:numPr>
        <w:kinsoku/>
        <w:wordWrap/>
        <w:overflowPunct/>
        <w:topLinePunct w:val="0"/>
        <w:autoSpaceDE/>
        <w:autoSpaceDN/>
        <w:bidi w:val="0"/>
        <w:adjustRightInd/>
        <w:snapToGrid/>
        <w:spacing w:line="500" w:lineRule="exact"/>
        <w:textAlignment w:val="auto"/>
        <w:outlineLvl w:val="1"/>
        <w:rPr>
          <w:rFonts w:hint="eastAsia" w:ascii="微软雅黑" w:hAnsi="微软雅黑" w:eastAsia="微软雅黑" w:cs="微软雅黑"/>
          <w:b w:val="0"/>
          <w:bCs w:val="0"/>
          <w:i w:val="0"/>
          <w:iCs w:val="0"/>
          <w:caps w:val="0"/>
          <w:color w:val="auto"/>
          <w:spacing w:val="0"/>
          <w:sz w:val="32"/>
          <w:szCs w:val="32"/>
          <w:highlight w:val="none"/>
          <w:shd w:val="clear" w:fill="FFFFFF"/>
        </w:rPr>
      </w:pPr>
      <w:r>
        <w:rPr>
          <w:rFonts w:hint="eastAsia" w:ascii="微软雅黑" w:hAnsi="微软雅黑" w:eastAsia="微软雅黑" w:cs="微软雅黑"/>
          <w:b w:val="0"/>
          <w:bCs w:val="0"/>
          <w:i w:val="0"/>
          <w:iCs w:val="0"/>
          <w:caps w:val="0"/>
          <w:color w:val="auto"/>
          <w:spacing w:val="0"/>
          <w:sz w:val="32"/>
          <w:szCs w:val="32"/>
          <w:highlight w:val="none"/>
          <w:shd w:val="clear" w:fill="FFFFFF"/>
        </w:rPr>
        <w:t>六、其他补充事宜</w:t>
      </w:r>
    </w:p>
    <w:p w14:paraId="7E80BA11">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1.本项目解密方式为在线解密，各申请人无需到开标现场。</w:t>
      </w:r>
    </w:p>
    <w:p w14:paraId="0B7AEAC3">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2.响应文件递交截止时间前申请人须在“政采云投标客户端”完成响应文件的上传。</w:t>
      </w:r>
    </w:p>
    <w:p w14:paraId="4AC5D60C">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3.申请人在“政采云投标客户端”递交响应文件以后，须在规定的时间内完成响应文件的远程解密及相关操作。</w:t>
      </w:r>
    </w:p>
    <w:p w14:paraId="4682B0A1">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4.政采云有限公司全国统一服务热线为95763 (服务时间为工作日8:00-20:00)。</w:t>
      </w:r>
    </w:p>
    <w:p w14:paraId="00EAAE72">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5.采购人对采购文件或其他内容进行补充、澄清的，将通过电子交易平台通知所有获取竞争性磋商文件的潜在供应商，请参与本项目的潜在供应商注意实时查看。</w:t>
      </w:r>
    </w:p>
    <w:p w14:paraId="5F644FDB">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00" w:lineRule="exact"/>
        <w:ind w:left="0" w:leftChars="0" w:right="0" w:firstLine="0"/>
        <w:jc w:val="left"/>
        <w:textAlignment w:val="auto"/>
        <w:outlineLvl w:val="1"/>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t>七、凡对本次采购提出询问，请按以下方式联系。</w:t>
      </w:r>
    </w:p>
    <w:p w14:paraId="452F277B">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1.采购人信息</w:t>
      </w:r>
    </w:p>
    <w:p w14:paraId="02C8FA3B">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 xml:space="preserve">采   购   人：昭通市农业农村局     　                  </w:t>
      </w:r>
    </w:p>
    <w:p w14:paraId="4415DAFB">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地        址：昭通市昭阳区</w:t>
      </w:r>
    </w:p>
    <w:p w14:paraId="752FCD86">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 xml:space="preserve">联   系   人：罗道英 </w:t>
      </w:r>
    </w:p>
    <w:p w14:paraId="0A9D47BF">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电        话：15187058871</w:t>
      </w:r>
    </w:p>
    <w:p w14:paraId="3E4C7DB0">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2.采购代理机构信息</w:t>
      </w:r>
    </w:p>
    <w:p w14:paraId="6B5FD0A5">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招标代理机构：云南泽诚工程项目管理有限公司</w:t>
      </w:r>
    </w:p>
    <w:p w14:paraId="3BE8439A">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地        址：昭阳区国学路万景进园小区17栋1楼5号</w:t>
      </w:r>
    </w:p>
    <w:p w14:paraId="57E3A6FC">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联   系   人：</w:t>
      </w:r>
      <w:r>
        <w:rPr>
          <w:rFonts w:hint="eastAsia" w:ascii="微软雅黑" w:hAnsi="微软雅黑" w:eastAsia="微软雅黑" w:cs="微软雅黑"/>
          <w:b w:val="0"/>
          <w:bCs w:val="0"/>
          <w:color w:val="auto"/>
          <w:sz w:val="24"/>
          <w:szCs w:val="24"/>
          <w:highlight w:val="none"/>
          <w:lang w:val="en-US" w:eastAsia="zh-CN"/>
        </w:rPr>
        <w:t xml:space="preserve">胡乙彬 </w:t>
      </w:r>
    </w:p>
    <w:p w14:paraId="2100577B">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电        话：08702226588</w:t>
      </w:r>
    </w:p>
    <w:p w14:paraId="165F4134">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3.项目联系方式</w:t>
      </w:r>
    </w:p>
    <w:p w14:paraId="2290CF44">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项目联系人：</w:t>
      </w:r>
      <w:r>
        <w:rPr>
          <w:rFonts w:hint="eastAsia" w:ascii="微软雅黑" w:hAnsi="微软雅黑" w:eastAsia="微软雅黑" w:cs="微软雅黑"/>
          <w:b w:val="0"/>
          <w:bCs w:val="0"/>
          <w:color w:val="auto"/>
          <w:sz w:val="24"/>
          <w:szCs w:val="24"/>
          <w:highlight w:val="none"/>
          <w:lang w:val="en-US" w:eastAsia="zh-CN"/>
        </w:rPr>
        <w:t xml:space="preserve">胡乙彬 </w:t>
      </w:r>
    </w:p>
    <w:p w14:paraId="7B6DB529">
      <w:pPr>
        <w:keepNext w:val="0"/>
        <w:keepLines w:val="0"/>
        <w:pageBreakBefore w:val="0"/>
        <w:numPr>
          <w:ilvl w:val="0"/>
          <w:numId w:val="0"/>
        </w:numPr>
        <w:kinsoku/>
        <w:wordWrap/>
        <w:overflowPunct/>
        <w:topLinePunct w:val="0"/>
        <w:autoSpaceDE/>
        <w:autoSpaceDN/>
        <w:bidi w:val="0"/>
        <w:adjustRightInd/>
        <w:snapToGrid/>
        <w:spacing w:line="240" w:lineRule="auto"/>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电　    话：0870-2226588</w:t>
      </w:r>
    </w:p>
    <w:p w14:paraId="595DEBB7">
      <w:pPr>
        <w:pStyle w:val="5"/>
        <w:ind w:left="0" w:leftChars="0" w:firstLine="0" w:firstLineChars="0"/>
        <w:rPr>
          <w:rFonts w:hint="eastAsia"/>
          <w:color w:val="auto"/>
          <w:highlight w:val="none"/>
          <w:lang w:val="en-US" w:eastAsia="zh-CN"/>
        </w:rPr>
      </w:pPr>
      <w:bookmarkStart w:id="25" w:name="_Toc20516"/>
    </w:p>
    <w:p w14:paraId="1B5EA806">
      <w:pPr>
        <w:pStyle w:val="2"/>
        <w:pageBreakBefore w:val="0"/>
        <w:widowControl w:val="0"/>
        <w:numPr>
          <w:ilvl w:val="0"/>
          <w:numId w:val="0"/>
        </w:numPr>
        <w:kinsoku/>
        <w:wordWrap/>
        <w:overflowPunct/>
        <w:topLinePunct w:val="0"/>
        <w:autoSpaceDE/>
        <w:autoSpaceDN/>
        <w:bidi w:val="0"/>
        <w:spacing w:before="0" w:after="0" w:line="360" w:lineRule="auto"/>
        <w:jc w:val="center"/>
        <w:textAlignment w:val="auto"/>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bookmarkStart w:id="26" w:name="_Toc14040"/>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第二章  磋商申请人须知</w:t>
      </w:r>
      <w:bookmarkEnd w:id="12"/>
      <w:bookmarkEnd w:id="13"/>
      <w:bookmarkEnd w:id="14"/>
      <w:bookmarkEnd w:id="15"/>
      <w:bookmarkEnd w:id="16"/>
      <w:bookmarkEnd w:id="17"/>
      <w:bookmarkEnd w:id="18"/>
      <w:bookmarkEnd w:id="19"/>
      <w:bookmarkEnd w:id="25"/>
      <w:bookmarkEnd w:id="26"/>
    </w:p>
    <w:p w14:paraId="20C3AE21">
      <w:pPr>
        <w:pStyle w:val="3"/>
        <w:pageBreakBefore w:val="0"/>
        <w:widowControl w:val="0"/>
        <w:kinsoku/>
        <w:wordWrap/>
        <w:overflowPunct/>
        <w:topLinePunct w:val="0"/>
        <w:autoSpaceDE/>
        <w:autoSpaceDN/>
        <w:bidi w:val="0"/>
        <w:adjustRightInd/>
        <w:snapToGrid/>
        <w:spacing w:before="0" w:after="0" w:line="240" w:lineRule="auto"/>
        <w:jc w:val="center"/>
        <w:textAlignment w:val="auto"/>
        <w:rPr>
          <w:rFonts w:hint="eastAsia" w:ascii="微软雅黑" w:hAnsi="微软雅黑" w:eastAsia="微软雅黑" w:cs="微软雅黑"/>
          <w:b w:val="0"/>
          <w:bCs w:val="0"/>
          <w:color w:val="auto"/>
          <w:sz w:val="32"/>
          <w:szCs w:val="32"/>
          <w:highlight w:val="none"/>
        </w:rPr>
      </w:pPr>
      <w:bookmarkStart w:id="27" w:name="_Toc508214079"/>
      <w:bookmarkStart w:id="28" w:name="_Toc152042304"/>
      <w:bookmarkStart w:id="29" w:name="_Toc3217"/>
      <w:bookmarkStart w:id="30" w:name="_Toc7702"/>
      <w:bookmarkStart w:id="31" w:name="_Toc27191"/>
      <w:bookmarkStart w:id="32" w:name="_Toc144974496"/>
      <w:bookmarkStart w:id="33" w:name="_Toc247085688"/>
      <w:bookmarkStart w:id="34" w:name="_Toc296602419"/>
      <w:bookmarkStart w:id="35" w:name="_Toc179632545"/>
      <w:bookmarkStart w:id="36" w:name="_Toc246996174"/>
      <w:bookmarkStart w:id="37" w:name="_Toc29060"/>
      <w:bookmarkStart w:id="38" w:name="_Toc22483"/>
      <w:bookmarkStart w:id="39" w:name="_Toc152045528"/>
      <w:bookmarkStart w:id="40" w:name="_Toc16280"/>
      <w:bookmarkStart w:id="41" w:name="_Toc246996917"/>
      <w:r>
        <w:rPr>
          <w:rFonts w:hint="eastAsia" w:ascii="微软雅黑" w:hAnsi="微软雅黑" w:eastAsia="微软雅黑" w:cs="微软雅黑"/>
          <w:b w:val="0"/>
          <w:bCs w:val="0"/>
          <w:color w:val="auto"/>
          <w:sz w:val="32"/>
          <w:szCs w:val="32"/>
          <w:highlight w:val="none"/>
          <w:lang w:eastAsia="zh-CN"/>
        </w:rPr>
        <w:t>磋商申请人</w:t>
      </w:r>
      <w:r>
        <w:rPr>
          <w:rFonts w:hint="eastAsia" w:ascii="微软雅黑" w:hAnsi="微软雅黑" w:eastAsia="微软雅黑" w:cs="微软雅黑"/>
          <w:b w:val="0"/>
          <w:bCs w:val="0"/>
          <w:color w:val="auto"/>
          <w:sz w:val="32"/>
          <w:szCs w:val="32"/>
          <w:highlight w:val="none"/>
        </w:rPr>
        <w:t>须知前附表</w:t>
      </w:r>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p>
    <w:p w14:paraId="0745D49D">
      <w:pPr>
        <w:pageBreakBefore w:val="0"/>
        <w:widowControl w:val="0"/>
        <w:kinsoku/>
        <w:wordWrap/>
        <w:overflowPunct/>
        <w:topLinePunct w:val="0"/>
        <w:autoSpaceDE/>
        <w:autoSpaceDN/>
        <w:bidi w:val="0"/>
        <w:adjustRightInd/>
        <w:snapToGrid/>
        <w:textAlignment w:val="auto"/>
        <w:rPr>
          <w:rFonts w:hint="eastAsia" w:ascii="微软雅黑" w:hAnsi="微软雅黑" w:eastAsia="微软雅黑" w:cs="微软雅黑"/>
          <w:b w:val="0"/>
          <w:bCs w:val="0"/>
          <w:color w:val="auto"/>
          <w:sz w:val="21"/>
          <w:szCs w:val="21"/>
          <w:highlight w:val="none"/>
        </w:rPr>
      </w:pPr>
    </w:p>
    <w:tbl>
      <w:tblPr>
        <w:tblStyle w:val="45"/>
        <w:tblW w:w="10579" w:type="dxa"/>
        <w:jc w:val="center"/>
        <w:tblLayout w:type="fixed"/>
        <w:tblCellMar>
          <w:top w:w="0" w:type="dxa"/>
          <w:left w:w="108" w:type="dxa"/>
          <w:bottom w:w="0" w:type="dxa"/>
          <w:right w:w="108" w:type="dxa"/>
        </w:tblCellMar>
      </w:tblPr>
      <w:tblGrid>
        <w:gridCol w:w="980"/>
        <w:gridCol w:w="3120"/>
        <w:gridCol w:w="6479"/>
      </w:tblGrid>
      <w:tr w14:paraId="000609C4">
        <w:tblPrEx>
          <w:tblCellMar>
            <w:top w:w="0" w:type="dxa"/>
            <w:left w:w="108" w:type="dxa"/>
            <w:bottom w:w="0" w:type="dxa"/>
            <w:right w:w="108" w:type="dxa"/>
          </w:tblCellMar>
        </w:tblPrEx>
        <w:trPr>
          <w:trHeight w:val="10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7F84037E">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条款号</w:t>
            </w:r>
          </w:p>
        </w:tc>
        <w:tc>
          <w:tcPr>
            <w:tcW w:w="3120" w:type="dxa"/>
            <w:tcBorders>
              <w:top w:val="single" w:color="auto" w:sz="4" w:space="0"/>
              <w:left w:val="single" w:color="auto" w:sz="4" w:space="0"/>
              <w:bottom w:val="single" w:color="auto" w:sz="4" w:space="0"/>
              <w:right w:val="single" w:color="auto" w:sz="4" w:space="0"/>
            </w:tcBorders>
            <w:vAlign w:val="center"/>
          </w:tcPr>
          <w:p w14:paraId="571FB495">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条  款  名  称</w:t>
            </w:r>
          </w:p>
        </w:tc>
        <w:tc>
          <w:tcPr>
            <w:tcW w:w="6479" w:type="dxa"/>
            <w:tcBorders>
              <w:top w:val="single" w:color="auto" w:sz="4" w:space="0"/>
              <w:left w:val="single" w:color="auto" w:sz="4" w:space="0"/>
              <w:bottom w:val="single" w:color="auto" w:sz="4" w:space="0"/>
              <w:right w:val="single" w:color="auto" w:sz="4" w:space="0"/>
            </w:tcBorders>
            <w:vAlign w:val="center"/>
          </w:tcPr>
          <w:p w14:paraId="622FEDB5">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编  列  内  容</w:t>
            </w:r>
          </w:p>
        </w:tc>
      </w:tr>
      <w:tr w14:paraId="788965D6">
        <w:tblPrEx>
          <w:tblCellMar>
            <w:top w:w="0" w:type="dxa"/>
            <w:left w:w="108" w:type="dxa"/>
            <w:bottom w:w="0" w:type="dxa"/>
            <w:right w:w="108" w:type="dxa"/>
          </w:tblCellMar>
        </w:tblPrEx>
        <w:trPr>
          <w:trHeight w:val="388"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72A58715">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1.1</w:t>
            </w:r>
          </w:p>
        </w:tc>
        <w:tc>
          <w:tcPr>
            <w:tcW w:w="3120" w:type="dxa"/>
            <w:tcBorders>
              <w:top w:val="single" w:color="auto" w:sz="4" w:space="0"/>
              <w:left w:val="single" w:color="auto" w:sz="4" w:space="0"/>
              <w:bottom w:val="single" w:color="auto" w:sz="4" w:space="0"/>
              <w:right w:val="single" w:color="auto" w:sz="4" w:space="0"/>
            </w:tcBorders>
            <w:vAlign w:val="center"/>
          </w:tcPr>
          <w:p w14:paraId="179EF94C">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采</w:t>
            </w:r>
            <w:r>
              <w:rPr>
                <w:rFonts w:hint="eastAsia" w:ascii="微软雅黑" w:hAnsi="微软雅黑" w:eastAsia="微软雅黑" w:cs="微软雅黑"/>
                <w:b w:val="0"/>
                <w:bCs w:val="0"/>
                <w:color w:val="auto"/>
                <w:sz w:val="24"/>
                <w:szCs w:val="24"/>
                <w:highlight w:val="none"/>
                <w:lang w:val="en-US" w:eastAsia="zh-CN"/>
              </w:rPr>
              <w:t xml:space="preserve"> </w:t>
            </w:r>
            <w:r>
              <w:rPr>
                <w:rFonts w:hint="eastAsia" w:ascii="微软雅黑" w:hAnsi="微软雅黑" w:eastAsia="微软雅黑" w:cs="微软雅黑"/>
                <w:b w:val="0"/>
                <w:bCs w:val="0"/>
                <w:color w:val="auto"/>
                <w:sz w:val="24"/>
                <w:szCs w:val="24"/>
                <w:highlight w:val="none"/>
                <w:lang w:eastAsia="zh-CN"/>
              </w:rPr>
              <w:t>购</w:t>
            </w:r>
            <w:r>
              <w:rPr>
                <w:rFonts w:hint="eastAsia" w:ascii="微软雅黑" w:hAnsi="微软雅黑" w:eastAsia="微软雅黑" w:cs="微软雅黑"/>
                <w:b w:val="0"/>
                <w:bCs w:val="0"/>
                <w:color w:val="auto"/>
                <w:sz w:val="24"/>
                <w:szCs w:val="24"/>
                <w:highlight w:val="none"/>
              </w:rPr>
              <w:t xml:space="preserve">  人</w:t>
            </w:r>
          </w:p>
        </w:tc>
        <w:tc>
          <w:tcPr>
            <w:tcW w:w="6479" w:type="dxa"/>
            <w:tcBorders>
              <w:top w:val="single" w:color="auto" w:sz="4" w:space="0"/>
              <w:left w:val="single" w:color="auto" w:sz="4" w:space="0"/>
              <w:bottom w:val="single" w:color="auto" w:sz="4" w:space="0"/>
              <w:right w:val="single" w:color="auto" w:sz="4" w:space="0"/>
            </w:tcBorders>
            <w:vAlign w:val="center"/>
          </w:tcPr>
          <w:p w14:paraId="2C1BBC5D">
            <w:pPr>
              <w:spacing w:line="240" w:lineRule="auto"/>
              <w:rPr>
                <w:rFonts w:hint="default" w:ascii="微软雅黑" w:hAnsi="微软雅黑" w:eastAsia="微软雅黑" w:cs="微软雅黑"/>
                <w:b w:val="0"/>
                <w:bCs w:val="0"/>
                <w:color w:val="auto"/>
                <w:sz w:val="24"/>
                <w:szCs w:val="24"/>
                <w:highlight w:val="none"/>
                <w:lang w:val="en-US" w:eastAsia="zh-CN"/>
              </w:rPr>
            </w:pPr>
            <w:r>
              <w:rPr>
                <w:rFonts w:hint="default" w:ascii="微软雅黑" w:hAnsi="微软雅黑" w:eastAsia="微软雅黑" w:cs="微软雅黑"/>
                <w:b w:val="0"/>
                <w:bCs w:val="0"/>
                <w:color w:val="auto"/>
                <w:sz w:val="24"/>
                <w:szCs w:val="24"/>
                <w:highlight w:val="none"/>
                <w:lang w:val="en-US" w:eastAsia="zh-CN"/>
              </w:rPr>
              <w:t xml:space="preserve">采   购   人：昭通市农业农村局     　                  </w:t>
            </w:r>
          </w:p>
          <w:p w14:paraId="3264F09C">
            <w:pPr>
              <w:spacing w:line="240" w:lineRule="auto"/>
              <w:rPr>
                <w:rFonts w:hint="default" w:ascii="微软雅黑" w:hAnsi="微软雅黑" w:eastAsia="微软雅黑" w:cs="微软雅黑"/>
                <w:b w:val="0"/>
                <w:bCs w:val="0"/>
                <w:color w:val="auto"/>
                <w:sz w:val="24"/>
                <w:szCs w:val="24"/>
                <w:highlight w:val="none"/>
                <w:lang w:val="en-US" w:eastAsia="zh-CN"/>
              </w:rPr>
            </w:pPr>
            <w:r>
              <w:rPr>
                <w:rFonts w:hint="default" w:ascii="微软雅黑" w:hAnsi="微软雅黑" w:eastAsia="微软雅黑" w:cs="微软雅黑"/>
                <w:b w:val="0"/>
                <w:bCs w:val="0"/>
                <w:color w:val="auto"/>
                <w:sz w:val="24"/>
                <w:szCs w:val="24"/>
                <w:highlight w:val="none"/>
                <w:lang w:val="en-US" w:eastAsia="zh-CN"/>
              </w:rPr>
              <w:t xml:space="preserve">地        址：昭通市昭阳区 </w:t>
            </w:r>
          </w:p>
          <w:p w14:paraId="42A2A48E">
            <w:pPr>
              <w:spacing w:line="240" w:lineRule="auto"/>
              <w:rPr>
                <w:rFonts w:hint="default" w:ascii="微软雅黑" w:hAnsi="微软雅黑" w:eastAsia="微软雅黑" w:cs="微软雅黑"/>
                <w:b w:val="0"/>
                <w:bCs w:val="0"/>
                <w:color w:val="auto"/>
                <w:sz w:val="24"/>
                <w:szCs w:val="24"/>
                <w:highlight w:val="none"/>
                <w:lang w:val="en-US" w:eastAsia="zh-CN"/>
              </w:rPr>
            </w:pPr>
            <w:r>
              <w:rPr>
                <w:rFonts w:hint="default" w:ascii="微软雅黑" w:hAnsi="微软雅黑" w:eastAsia="微软雅黑" w:cs="微软雅黑"/>
                <w:b w:val="0"/>
                <w:bCs w:val="0"/>
                <w:color w:val="auto"/>
                <w:sz w:val="24"/>
                <w:szCs w:val="24"/>
                <w:highlight w:val="none"/>
                <w:lang w:val="en-US" w:eastAsia="zh-CN"/>
              </w:rPr>
              <w:t xml:space="preserve">联   系   人：罗道英 </w:t>
            </w:r>
          </w:p>
          <w:p w14:paraId="3841EF57">
            <w:pPr>
              <w:spacing w:line="240" w:lineRule="auto"/>
              <w:rPr>
                <w:rFonts w:hint="default" w:ascii="微软雅黑" w:hAnsi="微软雅黑" w:eastAsia="微软雅黑" w:cs="微软雅黑"/>
                <w:b w:val="0"/>
                <w:bCs w:val="0"/>
                <w:color w:val="auto"/>
                <w:kern w:val="2"/>
                <w:sz w:val="24"/>
                <w:szCs w:val="24"/>
                <w:highlight w:val="none"/>
                <w:lang w:val="en-US" w:eastAsia="zh-CN"/>
              </w:rPr>
            </w:pPr>
            <w:r>
              <w:rPr>
                <w:rFonts w:hint="default" w:ascii="微软雅黑" w:hAnsi="微软雅黑" w:eastAsia="微软雅黑" w:cs="微软雅黑"/>
                <w:b w:val="0"/>
                <w:bCs w:val="0"/>
                <w:color w:val="auto"/>
                <w:sz w:val="24"/>
                <w:szCs w:val="24"/>
                <w:highlight w:val="none"/>
                <w:lang w:val="en-US" w:eastAsia="zh-CN"/>
              </w:rPr>
              <w:t>电        话：15187058871</w:t>
            </w:r>
          </w:p>
        </w:tc>
      </w:tr>
      <w:tr w14:paraId="0ADA98F4">
        <w:tblPrEx>
          <w:tblCellMar>
            <w:top w:w="0" w:type="dxa"/>
            <w:left w:w="108" w:type="dxa"/>
            <w:bottom w:w="0" w:type="dxa"/>
            <w:right w:w="108" w:type="dxa"/>
          </w:tblCellMar>
        </w:tblPrEx>
        <w:trPr>
          <w:trHeight w:val="415"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0ECBE80">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2</w:t>
            </w:r>
          </w:p>
        </w:tc>
        <w:tc>
          <w:tcPr>
            <w:tcW w:w="3120" w:type="dxa"/>
            <w:tcBorders>
              <w:top w:val="single" w:color="auto" w:sz="4" w:space="0"/>
              <w:left w:val="single" w:color="auto" w:sz="4" w:space="0"/>
              <w:bottom w:val="single" w:color="auto" w:sz="4" w:space="0"/>
              <w:right w:val="single" w:color="auto" w:sz="4" w:space="0"/>
            </w:tcBorders>
            <w:vAlign w:val="center"/>
          </w:tcPr>
          <w:p w14:paraId="558F0023">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招标代理机构</w:t>
            </w:r>
          </w:p>
        </w:tc>
        <w:tc>
          <w:tcPr>
            <w:tcW w:w="6479" w:type="dxa"/>
            <w:tcBorders>
              <w:top w:val="single" w:color="auto" w:sz="4" w:space="0"/>
              <w:left w:val="single" w:color="auto" w:sz="4" w:space="0"/>
              <w:bottom w:val="single" w:color="auto" w:sz="4" w:space="0"/>
              <w:right w:val="single" w:color="auto" w:sz="4" w:space="0"/>
            </w:tcBorders>
            <w:vAlign w:val="center"/>
          </w:tcPr>
          <w:p w14:paraId="4485E5A1">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rPr>
              <w:t>名</w:t>
            </w:r>
            <w:r>
              <w:rPr>
                <w:rFonts w:hint="eastAsia" w:ascii="微软雅黑" w:hAnsi="微软雅黑" w:eastAsia="微软雅黑" w:cs="微软雅黑"/>
                <w:b w:val="0"/>
                <w:bCs w:val="0"/>
                <w:color w:val="auto"/>
                <w:sz w:val="24"/>
                <w:szCs w:val="24"/>
                <w:highlight w:val="none"/>
                <w:lang w:val="en-US" w:eastAsia="zh-CN"/>
              </w:rPr>
              <w:t xml:space="preserve">  </w:t>
            </w:r>
            <w:r>
              <w:rPr>
                <w:rFonts w:hint="eastAsia" w:ascii="微软雅黑" w:hAnsi="微软雅黑" w:eastAsia="微软雅黑" w:cs="微软雅黑"/>
                <w:b w:val="0"/>
                <w:bCs w:val="0"/>
                <w:color w:val="auto"/>
                <w:sz w:val="24"/>
                <w:szCs w:val="24"/>
                <w:highlight w:val="none"/>
                <w:lang w:val="en-US"/>
              </w:rPr>
              <w:t>称：</w:t>
            </w:r>
            <w:r>
              <w:rPr>
                <w:rFonts w:hint="eastAsia" w:ascii="微软雅黑" w:hAnsi="微软雅黑" w:eastAsia="微软雅黑" w:cs="微软雅黑"/>
                <w:b w:val="0"/>
                <w:bCs w:val="0"/>
                <w:color w:val="auto"/>
                <w:sz w:val="24"/>
                <w:szCs w:val="24"/>
                <w:highlight w:val="none"/>
                <w:lang w:val="en-US" w:eastAsia="zh-CN"/>
              </w:rPr>
              <w:t>云南泽诚工程项目管理有限公司</w:t>
            </w:r>
          </w:p>
          <w:p w14:paraId="43E97E0C">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rPr>
              <w:t>地</w:t>
            </w:r>
            <w:r>
              <w:rPr>
                <w:rFonts w:hint="eastAsia" w:ascii="微软雅黑" w:hAnsi="微软雅黑" w:eastAsia="微软雅黑" w:cs="微软雅黑"/>
                <w:b w:val="0"/>
                <w:bCs w:val="0"/>
                <w:color w:val="auto"/>
                <w:sz w:val="24"/>
                <w:szCs w:val="24"/>
                <w:highlight w:val="none"/>
                <w:lang w:val="en-US" w:eastAsia="zh-CN"/>
              </w:rPr>
              <w:t xml:space="preserve">  </w:t>
            </w:r>
            <w:r>
              <w:rPr>
                <w:rFonts w:hint="eastAsia" w:ascii="微软雅黑" w:hAnsi="微软雅黑" w:eastAsia="微软雅黑" w:cs="微软雅黑"/>
                <w:b w:val="0"/>
                <w:bCs w:val="0"/>
                <w:color w:val="auto"/>
                <w:sz w:val="24"/>
                <w:szCs w:val="24"/>
                <w:highlight w:val="none"/>
                <w:lang w:val="en-US"/>
              </w:rPr>
              <w:t>址：</w:t>
            </w:r>
            <w:r>
              <w:rPr>
                <w:rFonts w:hint="eastAsia" w:ascii="微软雅黑" w:hAnsi="微软雅黑" w:eastAsia="微软雅黑" w:cs="微软雅黑"/>
                <w:b w:val="0"/>
                <w:bCs w:val="0"/>
                <w:color w:val="auto"/>
                <w:sz w:val="24"/>
                <w:szCs w:val="24"/>
                <w:highlight w:val="none"/>
                <w:lang w:val="en-US" w:eastAsia="zh-CN"/>
              </w:rPr>
              <w:t>昭阳区国学路万景进园小区</w:t>
            </w:r>
          </w:p>
          <w:p w14:paraId="4EBD7F8F">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rPr>
              <w:t>联系人：</w:t>
            </w:r>
            <w:r>
              <w:rPr>
                <w:rFonts w:hint="eastAsia" w:ascii="微软雅黑" w:hAnsi="微软雅黑" w:eastAsia="微软雅黑" w:cs="微软雅黑"/>
                <w:b w:val="0"/>
                <w:bCs w:val="0"/>
                <w:color w:val="auto"/>
                <w:sz w:val="24"/>
                <w:szCs w:val="24"/>
                <w:highlight w:val="none"/>
                <w:lang w:val="en-US" w:eastAsia="zh-CN"/>
              </w:rPr>
              <w:t xml:space="preserve">胡乙彬 </w:t>
            </w:r>
          </w:p>
          <w:p w14:paraId="0605CA97">
            <w:pPr>
              <w:spacing w:line="440" w:lineRule="exact"/>
              <w:rPr>
                <w:rFonts w:hint="eastAsia" w:ascii="微软雅黑" w:hAnsi="微软雅黑" w:eastAsia="微软雅黑" w:cs="微软雅黑"/>
                <w:b w:val="0"/>
                <w:bCs w:val="0"/>
                <w:color w:val="auto"/>
                <w:sz w:val="24"/>
                <w:szCs w:val="24"/>
                <w:highlight w:val="none"/>
                <w:lang w:val="en-US"/>
              </w:rPr>
            </w:pPr>
            <w:r>
              <w:rPr>
                <w:rFonts w:hint="default" w:ascii="微软雅黑" w:hAnsi="微软雅黑" w:eastAsia="微软雅黑" w:cs="微软雅黑"/>
                <w:b w:val="0"/>
                <w:bCs w:val="0"/>
                <w:color w:val="auto"/>
                <w:kern w:val="2"/>
                <w:sz w:val="24"/>
                <w:szCs w:val="24"/>
                <w:highlight w:val="none"/>
                <w:lang w:val="en-US" w:eastAsia="zh-CN"/>
              </w:rPr>
              <w:t>电  话：</w:t>
            </w:r>
            <w:r>
              <w:rPr>
                <w:rFonts w:hint="eastAsia" w:ascii="微软雅黑" w:hAnsi="微软雅黑" w:eastAsia="微软雅黑" w:cs="微软雅黑"/>
                <w:b w:val="0"/>
                <w:bCs w:val="0"/>
                <w:color w:val="auto"/>
                <w:sz w:val="24"/>
                <w:szCs w:val="24"/>
                <w:highlight w:val="none"/>
                <w:lang w:val="en-US" w:eastAsia="zh-CN"/>
              </w:rPr>
              <w:t>08702226588</w:t>
            </w:r>
          </w:p>
        </w:tc>
      </w:tr>
      <w:tr w14:paraId="775D6A5E">
        <w:tblPrEx>
          <w:tblCellMar>
            <w:top w:w="0" w:type="dxa"/>
            <w:left w:w="108" w:type="dxa"/>
            <w:bottom w:w="0" w:type="dxa"/>
            <w:right w:w="108" w:type="dxa"/>
          </w:tblCellMar>
        </w:tblPrEx>
        <w:trPr>
          <w:trHeight w:val="185" w:hRule="atLeast"/>
          <w:jc w:val="center"/>
        </w:trPr>
        <w:tc>
          <w:tcPr>
            <w:tcW w:w="980" w:type="dxa"/>
            <w:vMerge w:val="restart"/>
            <w:tcBorders>
              <w:top w:val="single" w:color="auto" w:sz="4" w:space="0"/>
              <w:left w:val="single" w:color="auto" w:sz="4" w:space="0"/>
              <w:right w:val="single" w:color="auto" w:sz="4" w:space="0"/>
            </w:tcBorders>
            <w:vAlign w:val="center"/>
          </w:tcPr>
          <w:p w14:paraId="2DDED16E">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3</w:t>
            </w:r>
          </w:p>
        </w:tc>
        <w:tc>
          <w:tcPr>
            <w:tcW w:w="3120" w:type="dxa"/>
            <w:tcBorders>
              <w:top w:val="single" w:color="auto" w:sz="4" w:space="0"/>
              <w:left w:val="single" w:color="auto" w:sz="4" w:space="0"/>
              <w:bottom w:val="single" w:color="auto" w:sz="4" w:space="0"/>
              <w:right w:val="single" w:color="auto" w:sz="4" w:space="0"/>
            </w:tcBorders>
            <w:vAlign w:val="center"/>
          </w:tcPr>
          <w:p w14:paraId="45CDF5F4">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项目名称</w:t>
            </w:r>
          </w:p>
        </w:tc>
        <w:tc>
          <w:tcPr>
            <w:tcW w:w="6479" w:type="dxa"/>
            <w:tcBorders>
              <w:top w:val="single" w:color="auto" w:sz="4" w:space="0"/>
              <w:left w:val="single" w:color="auto" w:sz="4" w:space="0"/>
              <w:bottom w:val="single" w:color="auto" w:sz="4" w:space="0"/>
              <w:right w:val="single" w:color="auto" w:sz="4" w:space="0"/>
            </w:tcBorders>
            <w:vAlign w:val="center"/>
          </w:tcPr>
          <w:p w14:paraId="4950E09C">
            <w:pPr>
              <w:spacing w:line="440" w:lineRule="exact"/>
              <w:jc w:val="lef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val="en-US" w:eastAsia="zh-CN"/>
              </w:rPr>
              <w:t>2025年上海松江区对口协作昭通特色农产品推介会服务</w:t>
            </w:r>
          </w:p>
        </w:tc>
      </w:tr>
      <w:tr w14:paraId="1962A421">
        <w:tblPrEx>
          <w:tblCellMar>
            <w:top w:w="0" w:type="dxa"/>
            <w:left w:w="108" w:type="dxa"/>
            <w:bottom w:w="0" w:type="dxa"/>
            <w:right w:w="108" w:type="dxa"/>
          </w:tblCellMar>
        </w:tblPrEx>
        <w:trPr>
          <w:trHeight w:val="120" w:hRule="atLeast"/>
          <w:jc w:val="center"/>
        </w:trPr>
        <w:tc>
          <w:tcPr>
            <w:tcW w:w="980" w:type="dxa"/>
            <w:vMerge w:val="continue"/>
            <w:tcBorders>
              <w:left w:val="single" w:color="auto" w:sz="4" w:space="0"/>
              <w:bottom w:val="single" w:color="auto" w:sz="4" w:space="0"/>
              <w:right w:val="single" w:color="auto" w:sz="4" w:space="0"/>
            </w:tcBorders>
            <w:vAlign w:val="center"/>
          </w:tcPr>
          <w:p w14:paraId="27C37690">
            <w:pPr>
              <w:spacing w:line="440" w:lineRule="exact"/>
              <w:jc w:val="center"/>
              <w:rPr>
                <w:rFonts w:hint="eastAsia" w:ascii="微软雅黑" w:hAnsi="微软雅黑" w:eastAsia="微软雅黑" w:cs="微软雅黑"/>
                <w:b w:val="0"/>
                <w:bCs w:val="0"/>
                <w:color w:val="auto"/>
                <w:sz w:val="24"/>
                <w:szCs w:val="24"/>
                <w:highlight w:val="none"/>
              </w:rPr>
            </w:pPr>
          </w:p>
        </w:tc>
        <w:tc>
          <w:tcPr>
            <w:tcW w:w="3120" w:type="dxa"/>
            <w:tcBorders>
              <w:top w:val="single" w:color="auto" w:sz="4" w:space="0"/>
              <w:left w:val="single" w:color="auto" w:sz="4" w:space="0"/>
              <w:bottom w:val="single" w:color="auto" w:sz="4" w:space="0"/>
              <w:right w:val="single" w:color="auto" w:sz="4" w:space="0"/>
            </w:tcBorders>
            <w:vAlign w:val="center"/>
          </w:tcPr>
          <w:p w14:paraId="5D1750FB">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val="en-US" w:eastAsia="zh-CN"/>
              </w:rPr>
              <w:t>采购</w:t>
            </w:r>
            <w:r>
              <w:rPr>
                <w:rFonts w:hint="eastAsia" w:ascii="微软雅黑" w:hAnsi="微软雅黑" w:eastAsia="微软雅黑" w:cs="微软雅黑"/>
                <w:b w:val="0"/>
                <w:bCs w:val="0"/>
                <w:color w:val="auto"/>
                <w:sz w:val="24"/>
                <w:szCs w:val="24"/>
                <w:highlight w:val="none"/>
                <w:lang w:eastAsia="zh-CN"/>
              </w:rPr>
              <w:t>内容</w:t>
            </w:r>
          </w:p>
        </w:tc>
        <w:tc>
          <w:tcPr>
            <w:tcW w:w="6479" w:type="dxa"/>
            <w:tcBorders>
              <w:top w:val="single" w:color="auto" w:sz="4" w:space="0"/>
              <w:left w:val="single" w:color="auto" w:sz="4" w:space="0"/>
              <w:bottom w:val="single" w:color="auto" w:sz="4" w:space="0"/>
              <w:right w:val="single" w:color="auto" w:sz="4" w:space="0"/>
            </w:tcBorders>
            <w:vAlign w:val="center"/>
          </w:tcPr>
          <w:p w14:paraId="115EFB55">
            <w:pPr>
              <w:keepNext w:val="0"/>
              <w:keepLines w:val="0"/>
              <w:pageBreakBefore w:val="0"/>
              <w:numPr>
                <w:ilvl w:val="0"/>
                <w:numId w:val="0"/>
              </w:numPr>
              <w:kinsoku/>
              <w:wordWrap/>
              <w:overflowPunct/>
              <w:topLinePunct w:val="0"/>
              <w:autoSpaceDE/>
              <w:autoSpaceDN/>
              <w:bidi w:val="0"/>
              <w:adjustRightInd/>
              <w:snapToGrid/>
              <w:spacing w:line="500" w:lineRule="exact"/>
              <w:textAlignment w:val="auto"/>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详见竞争性磋商文件“第五章采购内容”。</w:t>
            </w:r>
          </w:p>
        </w:tc>
      </w:tr>
      <w:tr w14:paraId="5F27C05C">
        <w:tblPrEx>
          <w:tblCellMar>
            <w:top w:w="0" w:type="dxa"/>
            <w:left w:w="108" w:type="dxa"/>
            <w:bottom w:w="0" w:type="dxa"/>
            <w:right w:w="108" w:type="dxa"/>
          </w:tblCellMar>
        </w:tblPrEx>
        <w:trPr>
          <w:trHeight w:val="10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7B28D11">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4</w:t>
            </w:r>
          </w:p>
        </w:tc>
        <w:tc>
          <w:tcPr>
            <w:tcW w:w="3120" w:type="dxa"/>
            <w:tcBorders>
              <w:top w:val="single" w:color="auto" w:sz="4" w:space="0"/>
              <w:left w:val="single" w:color="auto" w:sz="4" w:space="0"/>
              <w:bottom w:val="single" w:color="auto" w:sz="4" w:space="0"/>
              <w:right w:val="single" w:color="auto" w:sz="4" w:space="0"/>
            </w:tcBorders>
            <w:vAlign w:val="center"/>
          </w:tcPr>
          <w:p w14:paraId="62CFAAB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标段划分</w:t>
            </w:r>
          </w:p>
        </w:tc>
        <w:tc>
          <w:tcPr>
            <w:tcW w:w="6479" w:type="dxa"/>
            <w:tcBorders>
              <w:top w:val="single" w:color="auto" w:sz="4" w:space="0"/>
              <w:left w:val="single" w:color="auto" w:sz="4" w:space="0"/>
              <w:bottom w:val="single" w:color="auto" w:sz="4" w:space="0"/>
              <w:right w:val="single" w:color="auto" w:sz="4" w:space="0"/>
            </w:tcBorders>
            <w:vAlign w:val="center"/>
          </w:tcPr>
          <w:p w14:paraId="0284E8CD">
            <w:pPr>
              <w:spacing w:line="440" w:lineRule="exact"/>
              <w:jc w:val="lef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本项目共一个标段</w:t>
            </w:r>
          </w:p>
        </w:tc>
      </w:tr>
      <w:tr w14:paraId="3EB6BA3A">
        <w:tblPrEx>
          <w:tblCellMar>
            <w:top w:w="0" w:type="dxa"/>
            <w:left w:w="108" w:type="dxa"/>
            <w:bottom w:w="0" w:type="dxa"/>
            <w:right w:w="108" w:type="dxa"/>
          </w:tblCellMar>
        </w:tblPrEx>
        <w:trPr>
          <w:trHeight w:val="128"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6199D292">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5</w:t>
            </w:r>
          </w:p>
        </w:tc>
        <w:tc>
          <w:tcPr>
            <w:tcW w:w="3120" w:type="dxa"/>
            <w:tcBorders>
              <w:top w:val="single" w:color="auto" w:sz="4" w:space="0"/>
              <w:left w:val="single" w:color="auto" w:sz="4" w:space="0"/>
              <w:bottom w:val="single" w:color="auto" w:sz="4" w:space="0"/>
              <w:right w:val="single" w:color="auto" w:sz="4" w:space="0"/>
            </w:tcBorders>
            <w:vAlign w:val="center"/>
          </w:tcPr>
          <w:p w14:paraId="15D12D2F">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val="en-US" w:eastAsia="zh-CN"/>
              </w:rPr>
              <w:t>服务</w:t>
            </w:r>
            <w:r>
              <w:rPr>
                <w:rFonts w:hint="eastAsia" w:ascii="微软雅黑" w:hAnsi="微软雅黑" w:eastAsia="微软雅黑" w:cs="微软雅黑"/>
                <w:b w:val="0"/>
                <w:bCs w:val="0"/>
                <w:color w:val="auto"/>
                <w:sz w:val="24"/>
                <w:szCs w:val="24"/>
                <w:highlight w:val="none"/>
              </w:rPr>
              <w:t>地点</w:t>
            </w:r>
          </w:p>
        </w:tc>
        <w:tc>
          <w:tcPr>
            <w:tcW w:w="6479" w:type="dxa"/>
            <w:tcBorders>
              <w:top w:val="single" w:color="auto" w:sz="4" w:space="0"/>
              <w:left w:val="single" w:color="auto" w:sz="4" w:space="0"/>
              <w:bottom w:val="single" w:color="auto" w:sz="4" w:space="0"/>
              <w:right w:val="single" w:color="auto" w:sz="4" w:space="0"/>
            </w:tcBorders>
            <w:vAlign w:val="center"/>
          </w:tcPr>
          <w:p w14:paraId="6935ACFA">
            <w:pPr>
              <w:spacing w:line="312" w:lineRule="auto"/>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val="en-US" w:eastAsia="zh-CN"/>
              </w:rPr>
              <w:t xml:space="preserve">采购人指定地点 </w:t>
            </w:r>
          </w:p>
        </w:tc>
      </w:tr>
      <w:tr w14:paraId="066AA963">
        <w:tblPrEx>
          <w:tblCellMar>
            <w:top w:w="0" w:type="dxa"/>
            <w:left w:w="108" w:type="dxa"/>
            <w:bottom w:w="0" w:type="dxa"/>
            <w:right w:w="108" w:type="dxa"/>
          </w:tblCellMar>
        </w:tblPrEx>
        <w:trPr>
          <w:trHeight w:val="147"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8666473">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6</w:t>
            </w:r>
          </w:p>
        </w:tc>
        <w:tc>
          <w:tcPr>
            <w:tcW w:w="3120" w:type="dxa"/>
            <w:tcBorders>
              <w:top w:val="single" w:color="auto" w:sz="4" w:space="0"/>
              <w:left w:val="single" w:color="auto" w:sz="4" w:space="0"/>
              <w:bottom w:val="single" w:color="auto" w:sz="4" w:space="0"/>
              <w:right w:val="single" w:color="auto" w:sz="4" w:space="0"/>
            </w:tcBorders>
            <w:vAlign w:val="center"/>
          </w:tcPr>
          <w:p w14:paraId="7D82A59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资金来源</w:t>
            </w:r>
          </w:p>
        </w:tc>
        <w:tc>
          <w:tcPr>
            <w:tcW w:w="6479" w:type="dxa"/>
            <w:tcBorders>
              <w:top w:val="single" w:color="auto" w:sz="4" w:space="0"/>
              <w:left w:val="single" w:color="auto" w:sz="4" w:space="0"/>
              <w:bottom w:val="single" w:color="auto" w:sz="4" w:space="0"/>
              <w:right w:val="single" w:color="auto" w:sz="4" w:space="0"/>
            </w:tcBorders>
            <w:vAlign w:val="center"/>
          </w:tcPr>
          <w:p w14:paraId="292285CC">
            <w:pPr>
              <w:spacing w:line="312" w:lineRule="auto"/>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val="en-US" w:eastAsia="zh-CN"/>
              </w:rPr>
              <w:t>财政资金</w:t>
            </w:r>
            <w:r>
              <w:rPr>
                <w:rFonts w:hint="eastAsia" w:ascii="微软雅黑" w:hAnsi="微软雅黑" w:eastAsia="微软雅黑" w:cs="微软雅黑"/>
                <w:b w:val="0"/>
                <w:bCs w:val="0"/>
                <w:color w:val="auto"/>
                <w:sz w:val="24"/>
                <w:szCs w:val="24"/>
                <w:highlight w:val="none"/>
                <w:lang w:eastAsia="zh-CN"/>
              </w:rPr>
              <w:t>。</w:t>
            </w:r>
          </w:p>
        </w:tc>
      </w:tr>
      <w:tr w14:paraId="1E5E9E3A">
        <w:tblPrEx>
          <w:tblCellMar>
            <w:top w:w="0" w:type="dxa"/>
            <w:left w:w="108" w:type="dxa"/>
            <w:bottom w:w="0" w:type="dxa"/>
            <w:right w:w="108" w:type="dxa"/>
          </w:tblCellMar>
        </w:tblPrEx>
        <w:trPr>
          <w:trHeight w:val="11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5FBB350">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7</w:t>
            </w:r>
          </w:p>
        </w:tc>
        <w:tc>
          <w:tcPr>
            <w:tcW w:w="3120" w:type="dxa"/>
            <w:tcBorders>
              <w:top w:val="single" w:color="auto" w:sz="4" w:space="0"/>
              <w:left w:val="single" w:color="auto" w:sz="4" w:space="0"/>
              <w:bottom w:val="single" w:color="auto" w:sz="4" w:space="0"/>
              <w:right w:val="single" w:color="auto" w:sz="4" w:space="0"/>
            </w:tcBorders>
            <w:vAlign w:val="center"/>
          </w:tcPr>
          <w:p w14:paraId="02FFEB4F">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资金落实情况</w:t>
            </w:r>
          </w:p>
        </w:tc>
        <w:tc>
          <w:tcPr>
            <w:tcW w:w="6479" w:type="dxa"/>
            <w:tcBorders>
              <w:top w:val="single" w:color="auto" w:sz="4" w:space="0"/>
              <w:left w:val="single" w:color="auto" w:sz="4" w:space="0"/>
              <w:bottom w:val="single" w:color="auto" w:sz="4" w:space="0"/>
              <w:right w:val="single" w:color="auto" w:sz="4" w:space="0"/>
            </w:tcBorders>
            <w:vAlign w:val="center"/>
          </w:tcPr>
          <w:p w14:paraId="39319184">
            <w:pPr>
              <w:spacing w:line="288" w:lineRule="auto"/>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已落实</w:t>
            </w:r>
          </w:p>
        </w:tc>
      </w:tr>
      <w:tr w14:paraId="41445754">
        <w:tblPrEx>
          <w:tblCellMar>
            <w:top w:w="0" w:type="dxa"/>
            <w:left w:w="108" w:type="dxa"/>
            <w:bottom w:w="0" w:type="dxa"/>
            <w:right w:w="108" w:type="dxa"/>
          </w:tblCellMar>
        </w:tblPrEx>
        <w:trPr>
          <w:trHeight w:val="234"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3A33791">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8</w:t>
            </w:r>
          </w:p>
        </w:tc>
        <w:tc>
          <w:tcPr>
            <w:tcW w:w="3120" w:type="dxa"/>
            <w:tcBorders>
              <w:top w:val="single" w:color="auto" w:sz="4" w:space="0"/>
              <w:left w:val="single" w:color="auto" w:sz="4" w:space="0"/>
              <w:bottom w:val="single" w:color="auto" w:sz="4" w:space="0"/>
              <w:right w:val="single" w:color="auto" w:sz="4" w:space="0"/>
            </w:tcBorders>
            <w:vAlign w:val="center"/>
          </w:tcPr>
          <w:p w14:paraId="77D7F2E8">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招标范围</w:t>
            </w:r>
          </w:p>
        </w:tc>
        <w:tc>
          <w:tcPr>
            <w:tcW w:w="6479" w:type="dxa"/>
            <w:tcBorders>
              <w:top w:val="single" w:color="auto" w:sz="4" w:space="0"/>
              <w:left w:val="single" w:color="auto" w:sz="4" w:space="0"/>
              <w:bottom w:val="single" w:color="auto" w:sz="4" w:space="0"/>
              <w:right w:val="single" w:color="auto" w:sz="4" w:space="0"/>
            </w:tcBorders>
            <w:vAlign w:val="center"/>
          </w:tcPr>
          <w:p w14:paraId="7D7CEAA5">
            <w:pPr>
              <w:spacing w:line="288" w:lineRule="auto"/>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val="en-US" w:eastAsia="zh-CN"/>
              </w:rPr>
              <w:t>2025年上海松江区对口协作昭通特色农产品推介会服务</w:t>
            </w:r>
            <w:r>
              <w:rPr>
                <w:rFonts w:hint="eastAsia" w:ascii="微软雅黑" w:hAnsi="微软雅黑" w:eastAsia="微软雅黑" w:cs="微软雅黑"/>
                <w:b w:val="0"/>
                <w:bCs w:val="0"/>
                <w:color w:val="auto"/>
                <w:sz w:val="24"/>
                <w:szCs w:val="24"/>
                <w:highlight w:val="none"/>
              </w:rPr>
              <w:t>所包含的全部内容。</w:t>
            </w:r>
          </w:p>
        </w:tc>
      </w:tr>
      <w:tr w14:paraId="17309E70">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3270098A">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9</w:t>
            </w:r>
          </w:p>
        </w:tc>
        <w:tc>
          <w:tcPr>
            <w:tcW w:w="3120" w:type="dxa"/>
            <w:tcBorders>
              <w:top w:val="single" w:color="auto" w:sz="4" w:space="0"/>
              <w:left w:val="single" w:color="auto" w:sz="4" w:space="0"/>
              <w:bottom w:val="single" w:color="auto" w:sz="4" w:space="0"/>
              <w:right w:val="single" w:color="auto" w:sz="4" w:space="0"/>
            </w:tcBorders>
            <w:vAlign w:val="center"/>
          </w:tcPr>
          <w:p w14:paraId="54E1CA5B">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val="en-US" w:eastAsia="zh-CN"/>
              </w:rPr>
              <w:t>服务期</w:t>
            </w:r>
          </w:p>
        </w:tc>
        <w:tc>
          <w:tcPr>
            <w:tcW w:w="6479" w:type="dxa"/>
            <w:tcBorders>
              <w:top w:val="single" w:color="auto" w:sz="4" w:space="0"/>
              <w:left w:val="single" w:color="auto" w:sz="4" w:space="0"/>
              <w:bottom w:val="single" w:color="auto" w:sz="4" w:space="0"/>
              <w:right w:val="single" w:color="auto" w:sz="4" w:space="0"/>
            </w:tcBorders>
            <w:vAlign w:val="center"/>
          </w:tcPr>
          <w:p w14:paraId="7E2F5503">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自合同签订至展会工作结束；（注：展会时间2025年10月24日至27日，共4天）。</w:t>
            </w:r>
          </w:p>
        </w:tc>
      </w:tr>
      <w:tr w14:paraId="0E1DCC36">
        <w:tblPrEx>
          <w:tblCellMar>
            <w:top w:w="0" w:type="dxa"/>
            <w:left w:w="108" w:type="dxa"/>
            <w:bottom w:w="0" w:type="dxa"/>
            <w:right w:w="108" w:type="dxa"/>
          </w:tblCellMar>
        </w:tblPrEx>
        <w:trPr>
          <w:trHeight w:val="31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12FE10D3">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10</w:t>
            </w:r>
          </w:p>
        </w:tc>
        <w:tc>
          <w:tcPr>
            <w:tcW w:w="3120" w:type="dxa"/>
            <w:tcBorders>
              <w:top w:val="single" w:color="auto" w:sz="4" w:space="0"/>
              <w:left w:val="single" w:color="auto" w:sz="4" w:space="0"/>
              <w:bottom w:val="single" w:color="auto" w:sz="4" w:space="0"/>
              <w:right w:val="single" w:color="auto" w:sz="4" w:space="0"/>
            </w:tcBorders>
            <w:vAlign w:val="center"/>
          </w:tcPr>
          <w:p w14:paraId="419B8249">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val="en-US" w:eastAsia="zh-CN"/>
              </w:rPr>
              <w:t>服务</w:t>
            </w:r>
            <w:r>
              <w:rPr>
                <w:rFonts w:hint="eastAsia" w:ascii="微软雅黑" w:hAnsi="微软雅黑" w:eastAsia="微软雅黑" w:cs="微软雅黑"/>
                <w:b w:val="0"/>
                <w:bCs w:val="0"/>
                <w:color w:val="auto"/>
                <w:sz w:val="24"/>
                <w:szCs w:val="24"/>
                <w:highlight w:val="none"/>
              </w:rPr>
              <w:t>质量要求</w:t>
            </w:r>
          </w:p>
        </w:tc>
        <w:tc>
          <w:tcPr>
            <w:tcW w:w="6479" w:type="dxa"/>
            <w:tcBorders>
              <w:top w:val="single" w:color="auto" w:sz="4" w:space="0"/>
              <w:left w:val="single" w:color="auto" w:sz="4" w:space="0"/>
              <w:bottom w:val="single" w:color="auto" w:sz="4" w:space="0"/>
              <w:right w:val="single" w:color="auto" w:sz="4" w:space="0"/>
            </w:tcBorders>
            <w:vAlign w:val="center"/>
          </w:tcPr>
          <w:p w14:paraId="63C7515F">
            <w:pPr>
              <w:spacing w:line="440" w:lineRule="exac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执行质量须满足国家、地方、行业规范要求，满足甲方的功能需求及技术要求，在合同规定的时间节点内完成相关服务工作，确保会议顺利进行，一次性验收合格。</w:t>
            </w:r>
          </w:p>
        </w:tc>
      </w:tr>
      <w:tr w14:paraId="668038BA">
        <w:tblPrEx>
          <w:tblCellMar>
            <w:top w:w="0" w:type="dxa"/>
            <w:left w:w="108" w:type="dxa"/>
            <w:bottom w:w="0" w:type="dxa"/>
            <w:right w:w="108" w:type="dxa"/>
          </w:tblCellMar>
        </w:tblPrEx>
        <w:trPr>
          <w:trHeight w:val="21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51F7F6D9">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1</w:t>
            </w:r>
            <w:r>
              <w:rPr>
                <w:rFonts w:hint="eastAsia" w:ascii="微软雅黑" w:hAnsi="微软雅黑" w:eastAsia="微软雅黑" w:cs="微软雅黑"/>
                <w:b w:val="0"/>
                <w:bCs w:val="0"/>
                <w:color w:val="auto"/>
                <w:sz w:val="24"/>
                <w:szCs w:val="24"/>
                <w:highlight w:val="none"/>
              </w:rPr>
              <w:t>1</w:t>
            </w:r>
          </w:p>
        </w:tc>
        <w:tc>
          <w:tcPr>
            <w:tcW w:w="3120" w:type="dxa"/>
            <w:tcBorders>
              <w:top w:val="single" w:color="auto" w:sz="4" w:space="0"/>
              <w:left w:val="single" w:color="auto" w:sz="4" w:space="0"/>
              <w:bottom w:val="single" w:color="auto" w:sz="4" w:space="0"/>
              <w:right w:val="single" w:color="auto" w:sz="4" w:space="0"/>
            </w:tcBorders>
            <w:vAlign w:val="center"/>
          </w:tcPr>
          <w:p w14:paraId="5B51A22B">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磋商申请人</w:t>
            </w:r>
            <w:r>
              <w:rPr>
                <w:rFonts w:hint="eastAsia" w:ascii="微软雅黑" w:hAnsi="微软雅黑" w:eastAsia="微软雅黑" w:cs="微软雅黑"/>
                <w:b w:val="0"/>
                <w:bCs w:val="0"/>
                <w:color w:val="auto"/>
                <w:sz w:val="24"/>
                <w:szCs w:val="24"/>
                <w:highlight w:val="none"/>
              </w:rPr>
              <w:t>资质条件、能力</w:t>
            </w:r>
          </w:p>
        </w:tc>
        <w:tc>
          <w:tcPr>
            <w:tcW w:w="6479" w:type="dxa"/>
            <w:tcBorders>
              <w:top w:val="single" w:color="auto" w:sz="4" w:space="0"/>
              <w:left w:val="single" w:color="auto" w:sz="4" w:space="0"/>
              <w:bottom w:val="single" w:color="auto" w:sz="4" w:space="0"/>
              <w:right w:val="single" w:color="auto" w:sz="4" w:space="0"/>
            </w:tcBorders>
            <w:vAlign w:val="center"/>
          </w:tcPr>
          <w:p w14:paraId="3CC712BD">
            <w:pPr>
              <w:spacing w:line="312" w:lineRule="auto"/>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详见招标公告中的相关规定及要求。</w:t>
            </w:r>
          </w:p>
        </w:tc>
      </w:tr>
      <w:tr w14:paraId="0FAF0467">
        <w:tblPrEx>
          <w:tblCellMar>
            <w:top w:w="0" w:type="dxa"/>
            <w:left w:w="108" w:type="dxa"/>
            <w:bottom w:w="0" w:type="dxa"/>
            <w:right w:w="108" w:type="dxa"/>
          </w:tblCellMar>
        </w:tblPrEx>
        <w:trPr>
          <w:trHeight w:val="13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12F9B49">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1.12</w:t>
            </w:r>
          </w:p>
        </w:tc>
        <w:tc>
          <w:tcPr>
            <w:tcW w:w="3120" w:type="dxa"/>
            <w:tcBorders>
              <w:top w:val="single" w:color="auto" w:sz="4" w:space="0"/>
              <w:left w:val="single" w:color="auto" w:sz="4" w:space="0"/>
              <w:bottom w:val="single" w:color="auto" w:sz="4" w:space="0"/>
              <w:right w:val="single" w:color="auto" w:sz="4" w:space="0"/>
            </w:tcBorders>
            <w:vAlign w:val="center"/>
          </w:tcPr>
          <w:p w14:paraId="57FBA812">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是否接受联合体投标</w:t>
            </w:r>
          </w:p>
        </w:tc>
        <w:tc>
          <w:tcPr>
            <w:tcW w:w="6479" w:type="dxa"/>
            <w:tcBorders>
              <w:top w:val="single" w:color="auto" w:sz="4" w:space="0"/>
              <w:left w:val="single" w:color="auto" w:sz="4" w:space="0"/>
              <w:bottom w:val="single" w:color="auto" w:sz="4" w:space="0"/>
              <w:right w:val="single" w:color="auto" w:sz="4" w:space="0"/>
            </w:tcBorders>
            <w:vAlign w:val="center"/>
          </w:tcPr>
          <w:p w14:paraId="3A606C9D">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24"/>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不接受</w:t>
            </w:r>
          </w:p>
        </w:tc>
      </w:tr>
      <w:tr w14:paraId="3B84C9BB">
        <w:tblPrEx>
          <w:tblCellMar>
            <w:top w:w="0" w:type="dxa"/>
            <w:left w:w="108" w:type="dxa"/>
            <w:bottom w:w="0" w:type="dxa"/>
            <w:right w:w="108" w:type="dxa"/>
          </w:tblCellMar>
        </w:tblPrEx>
        <w:trPr>
          <w:trHeight w:val="11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52E2234A">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13</w:t>
            </w:r>
          </w:p>
        </w:tc>
        <w:tc>
          <w:tcPr>
            <w:tcW w:w="3120" w:type="dxa"/>
            <w:tcBorders>
              <w:top w:val="single" w:color="auto" w:sz="4" w:space="0"/>
              <w:left w:val="single" w:color="auto" w:sz="4" w:space="0"/>
              <w:bottom w:val="single" w:color="auto" w:sz="4" w:space="0"/>
              <w:right w:val="single" w:color="auto" w:sz="4" w:space="0"/>
            </w:tcBorders>
            <w:vAlign w:val="center"/>
          </w:tcPr>
          <w:p w14:paraId="4A8C23E0">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踏勘现场</w:t>
            </w:r>
          </w:p>
        </w:tc>
        <w:tc>
          <w:tcPr>
            <w:tcW w:w="6479" w:type="dxa"/>
            <w:tcBorders>
              <w:top w:val="single" w:color="auto" w:sz="4" w:space="0"/>
              <w:left w:val="single" w:color="auto" w:sz="4" w:space="0"/>
              <w:bottom w:val="single" w:color="auto" w:sz="4" w:space="0"/>
              <w:right w:val="single" w:color="auto" w:sz="4" w:space="0"/>
            </w:tcBorders>
            <w:vAlign w:val="center"/>
          </w:tcPr>
          <w:p w14:paraId="6C1D4FC0">
            <w:pPr>
              <w:spacing w:line="440" w:lineRule="exact"/>
              <w:ind w:left="105" w:leftChars="50" w:right="113"/>
              <w:rPr>
                <w:rFonts w:hint="eastAsia" w:ascii="微软雅黑" w:hAnsi="微软雅黑" w:eastAsia="微软雅黑" w:cs="微软雅黑"/>
                <w:b w:val="0"/>
                <w:bCs w:val="0"/>
                <w:color w:val="auto"/>
                <w:sz w:val="24"/>
                <w:szCs w:val="24"/>
                <w:highlight w:val="none"/>
              </w:rPr>
            </w:pPr>
            <w:bookmarkStart w:id="42" w:name="_Hlk502822705"/>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24"/>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bookmarkEnd w:id="42"/>
            <w:r>
              <w:rPr>
                <w:rFonts w:hint="eastAsia" w:ascii="微软雅黑" w:hAnsi="微软雅黑" w:eastAsia="微软雅黑" w:cs="微软雅黑"/>
                <w:b w:val="0"/>
                <w:bCs w:val="0"/>
                <w:color w:val="auto"/>
                <w:sz w:val="24"/>
                <w:szCs w:val="24"/>
                <w:highlight w:val="none"/>
              </w:rPr>
              <w:t>不组织</w:t>
            </w:r>
          </w:p>
        </w:tc>
      </w:tr>
      <w:tr w14:paraId="73A1FC07">
        <w:tblPrEx>
          <w:tblCellMar>
            <w:top w:w="0" w:type="dxa"/>
            <w:left w:w="108" w:type="dxa"/>
            <w:bottom w:w="0" w:type="dxa"/>
            <w:right w:w="108" w:type="dxa"/>
          </w:tblCellMar>
        </w:tblPrEx>
        <w:trPr>
          <w:trHeight w:val="108"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C3F8BAF">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1.1</w:t>
            </w:r>
            <w:r>
              <w:rPr>
                <w:rFonts w:hint="eastAsia" w:ascii="微软雅黑" w:hAnsi="微软雅黑" w:eastAsia="微软雅黑" w:cs="微软雅黑"/>
                <w:b w:val="0"/>
                <w:bCs w:val="0"/>
                <w:color w:val="auto"/>
                <w:sz w:val="24"/>
                <w:szCs w:val="24"/>
                <w:highlight w:val="none"/>
                <w:lang w:val="en-US" w:eastAsia="zh-CN"/>
              </w:rPr>
              <w:t>4</w:t>
            </w:r>
          </w:p>
        </w:tc>
        <w:tc>
          <w:tcPr>
            <w:tcW w:w="3120" w:type="dxa"/>
            <w:tcBorders>
              <w:top w:val="single" w:color="auto" w:sz="4" w:space="0"/>
              <w:left w:val="single" w:color="auto" w:sz="4" w:space="0"/>
              <w:bottom w:val="single" w:color="auto" w:sz="4" w:space="0"/>
              <w:right w:val="single" w:color="auto" w:sz="4" w:space="0"/>
            </w:tcBorders>
            <w:vAlign w:val="center"/>
          </w:tcPr>
          <w:p w14:paraId="12E4F20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投标预备会</w:t>
            </w:r>
          </w:p>
        </w:tc>
        <w:tc>
          <w:tcPr>
            <w:tcW w:w="6479" w:type="dxa"/>
            <w:tcBorders>
              <w:top w:val="single" w:color="auto" w:sz="4" w:space="0"/>
              <w:left w:val="single" w:color="auto" w:sz="4" w:space="0"/>
              <w:bottom w:val="single" w:color="auto" w:sz="4" w:space="0"/>
              <w:right w:val="single" w:color="auto" w:sz="4" w:space="0"/>
            </w:tcBorders>
            <w:vAlign w:val="center"/>
          </w:tcPr>
          <w:p w14:paraId="0953D6E3">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24"/>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不召开</w:t>
            </w:r>
          </w:p>
        </w:tc>
      </w:tr>
      <w:tr w14:paraId="5F9FA8FE">
        <w:tblPrEx>
          <w:tblCellMar>
            <w:top w:w="0" w:type="dxa"/>
            <w:left w:w="108" w:type="dxa"/>
            <w:bottom w:w="0" w:type="dxa"/>
            <w:right w:w="108" w:type="dxa"/>
          </w:tblCellMar>
        </w:tblPrEx>
        <w:trPr>
          <w:trHeight w:val="153"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5BE0E063">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1.1</w:t>
            </w:r>
            <w:r>
              <w:rPr>
                <w:rFonts w:hint="eastAsia" w:ascii="微软雅黑" w:hAnsi="微软雅黑" w:eastAsia="微软雅黑" w:cs="微软雅黑"/>
                <w:b w:val="0"/>
                <w:bCs w:val="0"/>
                <w:color w:val="auto"/>
                <w:sz w:val="24"/>
                <w:szCs w:val="24"/>
                <w:highlight w:val="none"/>
                <w:lang w:val="en-US" w:eastAsia="zh-CN"/>
              </w:rPr>
              <w:t>7</w:t>
            </w:r>
          </w:p>
        </w:tc>
        <w:tc>
          <w:tcPr>
            <w:tcW w:w="3120" w:type="dxa"/>
            <w:tcBorders>
              <w:top w:val="single" w:color="auto" w:sz="4" w:space="0"/>
              <w:left w:val="single" w:color="auto" w:sz="4" w:space="0"/>
              <w:bottom w:val="single" w:color="auto" w:sz="4" w:space="0"/>
              <w:right w:val="single" w:color="auto" w:sz="4" w:space="0"/>
            </w:tcBorders>
            <w:vAlign w:val="center"/>
          </w:tcPr>
          <w:p w14:paraId="01083EF4">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分  包</w:t>
            </w:r>
          </w:p>
        </w:tc>
        <w:tc>
          <w:tcPr>
            <w:tcW w:w="6479" w:type="dxa"/>
            <w:tcBorders>
              <w:top w:val="single" w:color="auto" w:sz="4" w:space="0"/>
              <w:left w:val="single" w:color="auto" w:sz="4" w:space="0"/>
              <w:bottom w:val="single" w:color="auto" w:sz="4" w:space="0"/>
              <w:right w:val="single" w:color="auto" w:sz="4" w:space="0"/>
            </w:tcBorders>
            <w:vAlign w:val="center"/>
          </w:tcPr>
          <w:p w14:paraId="3174AF4B">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24"/>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不允许</w:t>
            </w:r>
          </w:p>
        </w:tc>
      </w:tr>
      <w:tr w14:paraId="5810A0AB">
        <w:tblPrEx>
          <w:tblCellMar>
            <w:top w:w="0" w:type="dxa"/>
            <w:left w:w="108" w:type="dxa"/>
            <w:bottom w:w="0" w:type="dxa"/>
            <w:right w:w="108" w:type="dxa"/>
          </w:tblCellMar>
        </w:tblPrEx>
        <w:trPr>
          <w:trHeight w:val="153"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A91737E">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1.1</w:t>
            </w:r>
            <w:r>
              <w:rPr>
                <w:rFonts w:hint="eastAsia" w:ascii="微软雅黑" w:hAnsi="微软雅黑" w:eastAsia="微软雅黑" w:cs="微软雅黑"/>
                <w:b w:val="0"/>
                <w:bCs w:val="0"/>
                <w:color w:val="auto"/>
                <w:sz w:val="24"/>
                <w:szCs w:val="24"/>
                <w:highlight w:val="none"/>
                <w:lang w:val="en-US" w:eastAsia="zh-CN"/>
              </w:rPr>
              <w:t>8</w:t>
            </w:r>
          </w:p>
        </w:tc>
        <w:tc>
          <w:tcPr>
            <w:tcW w:w="3120" w:type="dxa"/>
            <w:tcBorders>
              <w:top w:val="single" w:color="auto" w:sz="4" w:space="0"/>
              <w:left w:val="single" w:color="auto" w:sz="4" w:space="0"/>
              <w:bottom w:val="single" w:color="auto" w:sz="4" w:space="0"/>
              <w:right w:val="single" w:color="auto" w:sz="4" w:space="0"/>
            </w:tcBorders>
            <w:vAlign w:val="center"/>
          </w:tcPr>
          <w:p w14:paraId="0F668DB5">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偏  离</w:t>
            </w:r>
          </w:p>
        </w:tc>
        <w:tc>
          <w:tcPr>
            <w:tcW w:w="6479" w:type="dxa"/>
            <w:tcBorders>
              <w:top w:val="single" w:color="auto" w:sz="4" w:space="0"/>
              <w:left w:val="single" w:color="auto" w:sz="4" w:space="0"/>
              <w:bottom w:val="single" w:color="auto" w:sz="4" w:space="0"/>
              <w:right w:val="single" w:color="auto" w:sz="4" w:space="0"/>
            </w:tcBorders>
            <w:vAlign w:val="center"/>
          </w:tcPr>
          <w:p w14:paraId="73F9B170">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24"/>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不允许</w:t>
            </w:r>
          </w:p>
        </w:tc>
      </w:tr>
      <w:tr w14:paraId="682AEDF8">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5B1A720">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2.1</w:t>
            </w:r>
          </w:p>
        </w:tc>
        <w:tc>
          <w:tcPr>
            <w:tcW w:w="3120" w:type="dxa"/>
            <w:tcBorders>
              <w:top w:val="single" w:color="auto" w:sz="4" w:space="0"/>
              <w:left w:val="single" w:color="auto" w:sz="4" w:space="0"/>
              <w:bottom w:val="single" w:color="auto" w:sz="4" w:space="0"/>
              <w:right w:val="single" w:color="auto" w:sz="4" w:space="0"/>
            </w:tcBorders>
            <w:vAlign w:val="center"/>
          </w:tcPr>
          <w:p w14:paraId="44E70EB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构成</w:t>
            </w:r>
            <w:r>
              <w:rPr>
                <w:rFonts w:hint="eastAsia" w:ascii="微软雅黑" w:hAnsi="微软雅黑" w:eastAsia="微软雅黑" w:cs="微软雅黑"/>
                <w:b w:val="0"/>
                <w:bCs w:val="0"/>
                <w:color w:val="auto"/>
                <w:sz w:val="24"/>
                <w:szCs w:val="24"/>
                <w:highlight w:val="none"/>
                <w:lang w:eastAsia="zh-CN"/>
              </w:rPr>
              <w:t>竞争性磋商文件</w:t>
            </w:r>
            <w:r>
              <w:rPr>
                <w:rFonts w:hint="eastAsia" w:ascii="微软雅黑" w:hAnsi="微软雅黑" w:eastAsia="微软雅黑" w:cs="微软雅黑"/>
                <w:b w:val="0"/>
                <w:bCs w:val="0"/>
                <w:color w:val="auto"/>
                <w:sz w:val="24"/>
                <w:szCs w:val="24"/>
                <w:highlight w:val="none"/>
              </w:rPr>
              <w:t>的其他材料</w:t>
            </w:r>
          </w:p>
        </w:tc>
        <w:tc>
          <w:tcPr>
            <w:tcW w:w="6479" w:type="dxa"/>
            <w:tcBorders>
              <w:top w:val="single" w:color="auto" w:sz="4" w:space="0"/>
              <w:left w:val="single" w:color="auto" w:sz="4" w:space="0"/>
              <w:bottom w:val="single" w:color="auto" w:sz="4" w:space="0"/>
              <w:right w:val="single" w:color="auto" w:sz="4" w:space="0"/>
            </w:tcBorders>
            <w:vAlign w:val="center"/>
          </w:tcPr>
          <w:p w14:paraId="242E9482">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竞争性磋商文件</w:t>
            </w:r>
            <w:r>
              <w:rPr>
                <w:rFonts w:hint="eastAsia" w:ascii="微软雅黑" w:hAnsi="微软雅黑" w:eastAsia="微软雅黑" w:cs="微软雅黑"/>
                <w:b w:val="0"/>
                <w:bCs w:val="0"/>
                <w:color w:val="auto"/>
                <w:sz w:val="24"/>
                <w:szCs w:val="24"/>
                <w:highlight w:val="none"/>
              </w:rPr>
              <w:t>补遗书（如果有）</w:t>
            </w:r>
          </w:p>
        </w:tc>
      </w:tr>
      <w:tr w14:paraId="193F26D6">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A6550D0">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2.2.1</w:t>
            </w:r>
          </w:p>
        </w:tc>
        <w:tc>
          <w:tcPr>
            <w:tcW w:w="3120" w:type="dxa"/>
            <w:tcBorders>
              <w:top w:val="single" w:color="auto" w:sz="4" w:space="0"/>
              <w:left w:val="single" w:color="auto" w:sz="4" w:space="0"/>
              <w:bottom w:val="single" w:color="auto" w:sz="4" w:space="0"/>
              <w:right w:val="single" w:color="auto" w:sz="4" w:space="0"/>
            </w:tcBorders>
            <w:vAlign w:val="center"/>
          </w:tcPr>
          <w:p w14:paraId="4A809FE9">
            <w:pPr>
              <w:spacing w:line="440" w:lineRule="exact"/>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磋商申请人</w:t>
            </w:r>
            <w:r>
              <w:rPr>
                <w:rFonts w:hint="eastAsia" w:ascii="微软雅黑" w:hAnsi="微软雅黑" w:eastAsia="微软雅黑" w:cs="微软雅黑"/>
                <w:b w:val="0"/>
                <w:bCs w:val="0"/>
                <w:color w:val="auto"/>
                <w:sz w:val="24"/>
                <w:szCs w:val="24"/>
                <w:highlight w:val="none"/>
              </w:rPr>
              <w:t>要求澄清</w:t>
            </w:r>
            <w:r>
              <w:rPr>
                <w:rFonts w:hint="eastAsia" w:ascii="微软雅黑" w:hAnsi="微软雅黑" w:eastAsia="微软雅黑" w:cs="微软雅黑"/>
                <w:b w:val="0"/>
                <w:bCs w:val="0"/>
                <w:color w:val="auto"/>
                <w:sz w:val="24"/>
                <w:szCs w:val="24"/>
                <w:highlight w:val="none"/>
                <w:lang w:eastAsia="zh-CN"/>
              </w:rPr>
              <w:t>竞争性磋商文件</w:t>
            </w:r>
            <w:r>
              <w:rPr>
                <w:rFonts w:hint="eastAsia" w:ascii="微软雅黑" w:hAnsi="微软雅黑" w:eastAsia="微软雅黑" w:cs="微软雅黑"/>
                <w:b w:val="0"/>
                <w:bCs w:val="0"/>
                <w:color w:val="auto"/>
                <w:sz w:val="24"/>
                <w:szCs w:val="24"/>
                <w:highlight w:val="none"/>
              </w:rPr>
              <w:t>的截止时间</w:t>
            </w:r>
          </w:p>
        </w:tc>
        <w:tc>
          <w:tcPr>
            <w:tcW w:w="6479" w:type="dxa"/>
            <w:tcBorders>
              <w:top w:val="single" w:color="auto" w:sz="4" w:space="0"/>
              <w:left w:val="single" w:color="auto" w:sz="4" w:space="0"/>
              <w:bottom w:val="single" w:color="auto" w:sz="4" w:space="0"/>
              <w:right w:val="single" w:color="auto" w:sz="4" w:space="0"/>
            </w:tcBorders>
            <w:vAlign w:val="center"/>
          </w:tcPr>
          <w:p w14:paraId="5BC18708">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递交</w:t>
            </w:r>
            <w:r>
              <w:rPr>
                <w:rFonts w:hint="eastAsia" w:ascii="微软雅黑" w:hAnsi="微软雅黑" w:eastAsia="微软雅黑" w:cs="微软雅黑"/>
                <w:b w:val="0"/>
                <w:bCs w:val="0"/>
                <w:color w:val="auto"/>
                <w:sz w:val="24"/>
                <w:szCs w:val="24"/>
                <w:highlight w:val="none"/>
                <w:lang w:eastAsia="zh-CN"/>
              </w:rPr>
              <w:t>投标响应文件</w:t>
            </w:r>
            <w:r>
              <w:rPr>
                <w:rFonts w:hint="eastAsia" w:ascii="微软雅黑" w:hAnsi="微软雅黑" w:eastAsia="微软雅黑" w:cs="微软雅黑"/>
                <w:b w:val="0"/>
                <w:bCs w:val="0"/>
                <w:color w:val="auto"/>
                <w:sz w:val="24"/>
                <w:szCs w:val="24"/>
                <w:highlight w:val="none"/>
              </w:rPr>
              <w:t>截止之日 3 天前</w:t>
            </w:r>
          </w:p>
        </w:tc>
      </w:tr>
      <w:tr w14:paraId="0E3450CF">
        <w:tblPrEx>
          <w:tblCellMar>
            <w:top w:w="0" w:type="dxa"/>
            <w:left w:w="108" w:type="dxa"/>
            <w:bottom w:w="0" w:type="dxa"/>
            <w:right w:w="108" w:type="dxa"/>
          </w:tblCellMar>
        </w:tblPrEx>
        <w:trPr>
          <w:trHeight w:val="163"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DED9388">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2.2.2</w:t>
            </w:r>
          </w:p>
        </w:tc>
        <w:tc>
          <w:tcPr>
            <w:tcW w:w="3120" w:type="dxa"/>
            <w:tcBorders>
              <w:top w:val="single" w:color="auto" w:sz="4" w:space="0"/>
              <w:left w:val="single" w:color="auto" w:sz="4" w:space="0"/>
              <w:bottom w:val="single" w:color="auto" w:sz="4" w:space="0"/>
              <w:right w:val="single" w:color="auto" w:sz="4" w:space="0"/>
            </w:tcBorders>
            <w:vAlign w:val="center"/>
          </w:tcPr>
          <w:p w14:paraId="2AC4FD7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投标截止时间</w:t>
            </w:r>
          </w:p>
        </w:tc>
        <w:tc>
          <w:tcPr>
            <w:tcW w:w="6479" w:type="dxa"/>
            <w:tcBorders>
              <w:top w:val="single" w:color="auto" w:sz="4" w:space="0"/>
              <w:left w:val="single" w:color="auto" w:sz="4" w:space="0"/>
              <w:bottom w:val="single" w:color="auto" w:sz="4" w:space="0"/>
              <w:right w:val="single" w:color="auto" w:sz="4" w:space="0"/>
            </w:tcBorders>
            <w:vAlign w:val="center"/>
          </w:tcPr>
          <w:p w14:paraId="2FC97DA8">
            <w:pPr>
              <w:spacing w:line="440" w:lineRule="exact"/>
              <w:ind w:left="105" w:leftChars="50" w:right="113"/>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val="en-US" w:eastAsia="zh-CN"/>
              </w:rPr>
              <w:t>详见招标公告</w:t>
            </w:r>
            <w:r>
              <w:rPr>
                <w:rFonts w:hint="eastAsia" w:ascii="微软雅黑" w:hAnsi="微软雅黑" w:eastAsia="微软雅黑" w:cs="微软雅黑"/>
                <w:b w:val="0"/>
                <w:bCs w:val="0"/>
                <w:color w:val="auto"/>
                <w:sz w:val="24"/>
                <w:szCs w:val="24"/>
                <w:highlight w:val="none"/>
                <w:lang w:eastAsia="zh-CN"/>
              </w:rPr>
              <w:t>。</w:t>
            </w:r>
          </w:p>
        </w:tc>
      </w:tr>
      <w:tr w14:paraId="4B8CB0B9">
        <w:tblPrEx>
          <w:tblCellMar>
            <w:top w:w="0" w:type="dxa"/>
            <w:left w:w="108" w:type="dxa"/>
            <w:bottom w:w="0" w:type="dxa"/>
            <w:right w:w="108" w:type="dxa"/>
          </w:tblCellMar>
        </w:tblPrEx>
        <w:trPr>
          <w:trHeight w:val="313"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63BE7210">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2.2.3</w:t>
            </w:r>
          </w:p>
        </w:tc>
        <w:tc>
          <w:tcPr>
            <w:tcW w:w="3120" w:type="dxa"/>
            <w:tcBorders>
              <w:top w:val="single" w:color="auto" w:sz="4" w:space="0"/>
              <w:left w:val="single" w:color="auto" w:sz="4" w:space="0"/>
              <w:bottom w:val="single" w:color="auto" w:sz="4" w:space="0"/>
              <w:right w:val="single" w:color="auto" w:sz="4" w:space="0"/>
            </w:tcBorders>
            <w:vAlign w:val="center"/>
          </w:tcPr>
          <w:p w14:paraId="7F8E2ED0">
            <w:pPr>
              <w:spacing w:line="440" w:lineRule="exact"/>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磋商申请人</w:t>
            </w:r>
            <w:r>
              <w:rPr>
                <w:rFonts w:hint="eastAsia" w:ascii="微软雅黑" w:hAnsi="微软雅黑" w:eastAsia="微软雅黑" w:cs="微软雅黑"/>
                <w:b w:val="0"/>
                <w:bCs w:val="0"/>
                <w:color w:val="auto"/>
                <w:sz w:val="24"/>
                <w:szCs w:val="24"/>
                <w:highlight w:val="none"/>
              </w:rPr>
              <w:t>确认收到</w:t>
            </w:r>
            <w:r>
              <w:rPr>
                <w:rFonts w:hint="eastAsia" w:ascii="微软雅黑" w:hAnsi="微软雅黑" w:eastAsia="微软雅黑" w:cs="微软雅黑"/>
                <w:b w:val="0"/>
                <w:bCs w:val="0"/>
                <w:color w:val="auto"/>
                <w:sz w:val="24"/>
                <w:szCs w:val="24"/>
                <w:highlight w:val="none"/>
                <w:lang w:eastAsia="zh-CN"/>
              </w:rPr>
              <w:t>竞争性磋商文件</w:t>
            </w:r>
            <w:r>
              <w:rPr>
                <w:rFonts w:hint="eastAsia" w:ascii="微软雅黑" w:hAnsi="微软雅黑" w:eastAsia="微软雅黑" w:cs="微软雅黑"/>
                <w:b w:val="0"/>
                <w:bCs w:val="0"/>
                <w:color w:val="auto"/>
                <w:sz w:val="24"/>
                <w:szCs w:val="24"/>
                <w:highlight w:val="none"/>
              </w:rPr>
              <w:t>澄清的时间</w:t>
            </w:r>
          </w:p>
        </w:tc>
        <w:tc>
          <w:tcPr>
            <w:tcW w:w="6479" w:type="dxa"/>
            <w:tcBorders>
              <w:top w:val="single" w:color="auto" w:sz="4" w:space="0"/>
              <w:left w:val="single" w:color="auto" w:sz="4" w:space="0"/>
              <w:bottom w:val="single" w:color="auto" w:sz="4" w:space="0"/>
              <w:right w:val="single" w:color="auto" w:sz="4" w:space="0"/>
            </w:tcBorders>
            <w:vAlign w:val="center"/>
          </w:tcPr>
          <w:p w14:paraId="24DAB007">
            <w:pPr>
              <w:spacing w:line="440" w:lineRule="exact"/>
              <w:ind w:left="105" w:leftChars="50" w:right="113"/>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收到澄清后 24 小时内（以发出时间为准）</w:t>
            </w:r>
            <w:r>
              <w:rPr>
                <w:rFonts w:hint="eastAsia" w:ascii="微软雅黑" w:hAnsi="微软雅黑" w:eastAsia="微软雅黑" w:cs="微软雅黑"/>
                <w:b w:val="0"/>
                <w:bCs w:val="0"/>
                <w:color w:val="auto"/>
                <w:sz w:val="24"/>
                <w:szCs w:val="24"/>
                <w:highlight w:val="none"/>
                <w:lang w:eastAsia="zh-CN"/>
              </w:rPr>
              <w:t>。</w:t>
            </w:r>
          </w:p>
        </w:tc>
      </w:tr>
      <w:tr w14:paraId="0300CEC3">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726A8F33">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2.3.</w:t>
            </w:r>
            <w:r>
              <w:rPr>
                <w:rFonts w:hint="eastAsia" w:ascii="微软雅黑" w:hAnsi="微软雅黑" w:eastAsia="微软雅黑" w:cs="微软雅黑"/>
                <w:b w:val="0"/>
                <w:bCs w:val="0"/>
                <w:color w:val="auto"/>
                <w:sz w:val="24"/>
                <w:szCs w:val="24"/>
                <w:highlight w:val="none"/>
                <w:lang w:val="en-US" w:eastAsia="zh-CN"/>
              </w:rPr>
              <w:t>1</w:t>
            </w:r>
          </w:p>
        </w:tc>
        <w:tc>
          <w:tcPr>
            <w:tcW w:w="3120" w:type="dxa"/>
            <w:tcBorders>
              <w:top w:val="single" w:color="auto" w:sz="4" w:space="0"/>
              <w:left w:val="single" w:color="auto" w:sz="4" w:space="0"/>
              <w:bottom w:val="single" w:color="auto" w:sz="4" w:space="0"/>
              <w:right w:val="single" w:color="auto" w:sz="4" w:space="0"/>
            </w:tcBorders>
            <w:vAlign w:val="center"/>
          </w:tcPr>
          <w:p w14:paraId="28A9ABE5">
            <w:pPr>
              <w:spacing w:line="440" w:lineRule="exact"/>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磋商申请人</w:t>
            </w:r>
            <w:r>
              <w:rPr>
                <w:rFonts w:hint="eastAsia" w:ascii="微软雅黑" w:hAnsi="微软雅黑" w:eastAsia="微软雅黑" w:cs="微软雅黑"/>
                <w:b w:val="0"/>
                <w:bCs w:val="0"/>
                <w:color w:val="auto"/>
                <w:sz w:val="24"/>
                <w:szCs w:val="24"/>
                <w:highlight w:val="none"/>
              </w:rPr>
              <w:t>确认收到</w:t>
            </w:r>
            <w:r>
              <w:rPr>
                <w:rFonts w:hint="eastAsia" w:ascii="微软雅黑" w:hAnsi="微软雅黑" w:eastAsia="微软雅黑" w:cs="微软雅黑"/>
                <w:b w:val="0"/>
                <w:bCs w:val="0"/>
                <w:color w:val="auto"/>
                <w:sz w:val="24"/>
                <w:szCs w:val="24"/>
                <w:highlight w:val="none"/>
                <w:lang w:eastAsia="zh-CN"/>
              </w:rPr>
              <w:t>竞争性磋商文件</w:t>
            </w:r>
            <w:r>
              <w:rPr>
                <w:rFonts w:hint="eastAsia" w:ascii="微软雅黑" w:hAnsi="微软雅黑" w:eastAsia="微软雅黑" w:cs="微软雅黑"/>
                <w:b w:val="0"/>
                <w:bCs w:val="0"/>
                <w:color w:val="auto"/>
                <w:sz w:val="24"/>
                <w:szCs w:val="24"/>
                <w:highlight w:val="none"/>
              </w:rPr>
              <w:t>修改的时间</w:t>
            </w:r>
          </w:p>
        </w:tc>
        <w:tc>
          <w:tcPr>
            <w:tcW w:w="6479" w:type="dxa"/>
            <w:tcBorders>
              <w:top w:val="single" w:color="auto" w:sz="4" w:space="0"/>
              <w:left w:val="single" w:color="auto" w:sz="4" w:space="0"/>
              <w:bottom w:val="single" w:color="auto" w:sz="4" w:space="0"/>
              <w:right w:val="single" w:color="auto" w:sz="4" w:space="0"/>
            </w:tcBorders>
            <w:vAlign w:val="center"/>
          </w:tcPr>
          <w:p w14:paraId="6E188B00">
            <w:pPr>
              <w:spacing w:line="440" w:lineRule="exact"/>
              <w:ind w:left="105" w:leftChars="50" w:right="113"/>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收到修改后 24 小时内（以发出时间为准）</w:t>
            </w:r>
            <w:r>
              <w:rPr>
                <w:rFonts w:hint="eastAsia" w:ascii="微软雅黑" w:hAnsi="微软雅黑" w:eastAsia="微软雅黑" w:cs="微软雅黑"/>
                <w:b w:val="0"/>
                <w:bCs w:val="0"/>
                <w:color w:val="auto"/>
                <w:sz w:val="24"/>
                <w:szCs w:val="24"/>
                <w:highlight w:val="none"/>
                <w:lang w:eastAsia="zh-CN"/>
              </w:rPr>
              <w:t>。</w:t>
            </w:r>
          </w:p>
        </w:tc>
      </w:tr>
      <w:tr w14:paraId="46CB273F">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9E3AFB9">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3.1.1</w:t>
            </w:r>
          </w:p>
        </w:tc>
        <w:tc>
          <w:tcPr>
            <w:tcW w:w="3120" w:type="dxa"/>
            <w:tcBorders>
              <w:top w:val="single" w:color="auto" w:sz="4" w:space="0"/>
              <w:left w:val="single" w:color="auto" w:sz="4" w:space="0"/>
              <w:bottom w:val="single" w:color="auto" w:sz="4" w:space="0"/>
              <w:right w:val="single" w:color="auto" w:sz="4" w:space="0"/>
            </w:tcBorders>
            <w:vAlign w:val="center"/>
          </w:tcPr>
          <w:p w14:paraId="01F8B36A">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构成</w:t>
            </w:r>
            <w:r>
              <w:rPr>
                <w:rFonts w:hint="eastAsia" w:ascii="微软雅黑" w:hAnsi="微软雅黑" w:eastAsia="微软雅黑" w:cs="微软雅黑"/>
                <w:b w:val="0"/>
                <w:bCs w:val="0"/>
                <w:color w:val="auto"/>
                <w:sz w:val="24"/>
                <w:szCs w:val="24"/>
                <w:highlight w:val="none"/>
                <w:lang w:eastAsia="zh-CN"/>
              </w:rPr>
              <w:t>投标响应文件</w:t>
            </w:r>
            <w:r>
              <w:rPr>
                <w:rFonts w:hint="eastAsia" w:ascii="微软雅黑" w:hAnsi="微软雅黑" w:eastAsia="微软雅黑" w:cs="微软雅黑"/>
                <w:b w:val="0"/>
                <w:bCs w:val="0"/>
                <w:color w:val="auto"/>
                <w:sz w:val="24"/>
                <w:szCs w:val="24"/>
                <w:highlight w:val="none"/>
              </w:rPr>
              <w:t>的其他材料</w:t>
            </w:r>
          </w:p>
        </w:tc>
        <w:tc>
          <w:tcPr>
            <w:tcW w:w="6479" w:type="dxa"/>
            <w:tcBorders>
              <w:top w:val="single" w:color="auto" w:sz="4" w:space="0"/>
              <w:left w:val="single" w:color="auto" w:sz="4" w:space="0"/>
              <w:bottom w:val="single" w:color="auto" w:sz="4" w:space="0"/>
              <w:right w:val="single" w:color="auto" w:sz="4" w:space="0"/>
            </w:tcBorders>
            <w:vAlign w:val="center"/>
          </w:tcPr>
          <w:p w14:paraId="7BF3B12D">
            <w:pPr>
              <w:spacing w:line="440" w:lineRule="exact"/>
              <w:ind w:left="105" w:leftChars="50" w:right="113"/>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竞争性磋商文件</w:t>
            </w:r>
            <w:r>
              <w:rPr>
                <w:rFonts w:hint="eastAsia" w:ascii="微软雅黑" w:hAnsi="微软雅黑" w:eastAsia="微软雅黑" w:cs="微软雅黑"/>
                <w:b w:val="0"/>
                <w:bCs w:val="0"/>
                <w:color w:val="auto"/>
                <w:sz w:val="24"/>
                <w:szCs w:val="24"/>
                <w:highlight w:val="none"/>
              </w:rPr>
              <w:t>补遗书（如果有）</w:t>
            </w:r>
            <w:r>
              <w:rPr>
                <w:rFonts w:hint="eastAsia" w:ascii="微软雅黑" w:hAnsi="微软雅黑" w:eastAsia="微软雅黑" w:cs="微软雅黑"/>
                <w:b w:val="0"/>
                <w:bCs w:val="0"/>
                <w:color w:val="auto"/>
                <w:sz w:val="24"/>
                <w:szCs w:val="24"/>
                <w:highlight w:val="none"/>
                <w:lang w:eastAsia="zh-CN"/>
              </w:rPr>
              <w:t>。</w:t>
            </w:r>
          </w:p>
        </w:tc>
      </w:tr>
      <w:tr w14:paraId="25E97DFA">
        <w:tblPrEx>
          <w:tblCellMar>
            <w:top w:w="0" w:type="dxa"/>
            <w:left w:w="108" w:type="dxa"/>
            <w:bottom w:w="0" w:type="dxa"/>
            <w:right w:w="108" w:type="dxa"/>
          </w:tblCellMar>
        </w:tblPrEx>
        <w:trPr>
          <w:trHeight w:val="14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62E0D025">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3.2.</w:t>
            </w:r>
            <w:r>
              <w:rPr>
                <w:rFonts w:hint="eastAsia" w:ascii="微软雅黑" w:hAnsi="微软雅黑" w:eastAsia="微软雅黑" w:cs="微软雅黑"/>
                <w:b w:val="0"/>
                <w:bCs w:val="0"/>
                <w:color w:val="auto"/>
                <w:sz w:val="24"/>
                <w:szCs w:val="24"/>
                <w:highlight w:val="none"/>
                <w:lang w:val="en-US" w:eastAsia="zh-CN"/>
              </w:rPr>
              <w:t>1</w:t>
            </w:r>
          </w:p>
        </w:tc>
        <w:tc>
          <w:tcPr>
            <w:tcW w:w="3120" w:type="dxa"/>
            <w:tcBorders>
              <w:top w:val="single" w:color="auto" w:sz="4" w:space="0"/>
              <w:left w:val="single" w:color="auto" w:sz="4" w:space="0"/>
              <w:bottom w:val="single" w:color="auto" w:sz="4" w:space="0"/>
              <w:right w:val="single" w:color="auto" w:sz="4" w:space="0"/>
            </w:tcBorders>
            <w:vAlign w:val="center"/>
          </w:tcPr>
          <w:p w14:paraId="2363A6CA">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是否接受调价函</w:t>
            </w:r>
          </w:p>
        </w:tc>
        <w:tc>
          <w:tcPr>
            <w:tcW w:w="6479" w:type="dxa"/>
            <w:tcBorders>
              <w:top w:val="single" w:color="auto" w:sz="4" w:space="0"/>
              <w:left w:val="single" w:color="auto" w:sz="4" w:space="0"/>
              <w:bottom w:val="single" w:color="auto" w:sz="4" w:space="0"/>
              <w:right w:val="single" w:color="auto" w:sz="4" w:space="0"/>
            </w:tcBorders>
            <w:vAlign w:val="center"/>
          </w:tcPr>
          <w:p w14:paraId="701A9D91">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24"/>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否</w:t>
            </w:r>
          </w:p>
        </w:tc>
      </w:tr>
      <w:tr w14:paraId="6E5CBD89">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FB809EF">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3.3.1</w:t>
            </w:r>
          </w:p>
        </w:tc>
        <w:tc>
          <w:tcPr>
            <w:tcW w:w="3120" w:type="dxa"/>
            <w:tcBorders>
              <w:top w:val="single" w:color="auto" w:sz="4" w:space="0"/>
              <w:left w:val="single" w:color="auto" w:sz="4" w:space="0"/>
              <w:bottom w:val="single" w:color="auto" w:sz="4" w:space="0"/>
              <w:right w:val="single" w:color="auto" w:sz="4" w:space="0"/>
            </w:tcBorders>
            <w:vAlign w:val="center"/>
          </w:tcPr>
          <w:p w14:paraId="51EADC58">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投标有效期</w:t>
            </w:r>
          </w:p>
        </w:tc>
        <w:tc>
          <w:tcPr>
            <w:tcW w:w="6479" w:type="dxa"/>
            <w:tcBorders>
              <w:top w:val="single" w:color="auto" w:sz="4" w:space="0"/>
              <w:left w:val="single" w:color="auto" w:sz="4" w:space="0"/>
              <w:bottom w:val="single" w:color="auto" w:sz="4" w:space="0"/>
              <w:right w:val="single" w:color="auto" w:sz="4" w:space="0"/>
            </w:tcBorders>
            <w:vAlign w:val="center"/>
          </w:tcPr>
          <w:p w14:paraId="78D71BC0">
            <w:pPr>
              <w:spacing w:line="440" w:lineRule="exac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投标截止之日起的90日</w:t>
            </w:r>
            <w:r>
              <w:rPr>
                <w:rFonts w:hint="eastAsia" w:ascii="微软雅黑" w:hAnsi="微软雅黑" w:eastAsia="微软雅黑" w:cs="微软雅黑"/>
                <w:b w:val="0"/>
                <w:bCs w:val="0"/>
                <w:color w:val="auto"/>
                <w:sz w:val="24"/>
                <w:szCs w:val="24"/>
                <w:highlight w:val="none"/>
                <w:lang w:eastAsia="zh-CN"/>
              </w:rPr>
              <w:t>历天</w:t>
            </w:r>
            <w:r>
              <w:rPr>
                <w:rFonts w:hint="eastAsia" w:ascii="微软雅黑" w:hAnsi="微软雅黑" w:eastAsia="微软雅黑" w:cs="微软雅黑"/>
                <w:b w:val="0"/>
                <w:bCs w:val="0"/>
                <w:color w:val="auto"/>
                <w:sz w:val="24"/>
                <w:szCs w:val="24"/>
                <w:highlight w:val="none"/>
              </w:rPr>
              <w:t>内</w:t>
            </w:r>
            <w:r>
              <w:rPr>
                <w:rFonts w:hint="eastAsia" w:ascii="微软雅黑" w:hAnsi="微软雅黑" w:eastAsia="微软雅黑" w:cs="微软雅黑"/>
                <w:b w:val="0"/>
                <w:bCs w:val="0"/>
                <w:color w:val="auto"/>
                <w:sz w:val="24"/>
                <w:szCs w:val="24"/>
                <w:highlight w:val="none"/>
                <w:lang w:eastAsia="zh-CN"/>
              </w:rPr>
              <w:t>。</w:t>
            </w:r>
          </w:p>
        </w:tc>
      </w:tr>
      <w:tr w14:paraId="2886521F">
        <w:tblPrEx>
          <w:tblCellMar>
            <w:top w:w="0" w:type="dxa"/>
            <w:left w:w="108" w:type="dxa"/>
            <w:bottom w:w="0" w:type="dxa"/>
            <w:right w:w="108" w:type="dxa"/>
          </w:tblCellMar>
        </w:tblPrEx>
        <w:trPr>
          <w:trHeight w:val="225"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8589032">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3.4.1</w:t>
            </w:r>
          </w:p>
        </w:tc>
        <w:tc>
          <w:tcPr>
            <w:tcW w:w="3120" w:type="dxa"/>
            <w:tcBorders>
              <w:top w:val="single" w:color="auto" w:sz="4" w:space="0"/>
              <w:left w:val="single" w:color="auto" w:sz="4" w:space="0"/>
              <w:bottom w:val="single" w:color="auto" w:sz="4" w:space="0"/>
              <w:right w:val="single" w:color="auto" w:sz="4" w:space="0"/>
            </w:tcBorders>
            <w:vAlign w:val="center"/>
          </w:tcPr>
          <w:p w14:paraId="3EDF80C7">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磋商保证金</w:t>
            </w:r>
          </w:p>
        </w:tc>
        <w:tc>
          <w:tcPr>
            <w:tcW w:w="6479" w:type="dxa"/>
            <w:tcBorders>
              <w:top w:val="single" w:color="auto" w:sz="4" w:space="0"/>
              <w:left w:val="single" w:color="auto" w:sz="4" w:space="0"/>
              <w:bottom w:val="single" w:color="auto" w:sz="4" w:space="0"/>
              <w:right w:val="single" w:color="auto" w:sz="4" w:space="0"/>
            </w:tcBorders>
            <w:vAlign w:val="center"/>
          </w:tcPr>
          <w:p w14:paraId="56CB7A5D">
            <w:pPr>
              <w:spacing w:line="440" w:lineRule="exact"/>
              <w:jc w:val="both"/>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不做要求</w:t>
            </w:r>
          </w:p>
        </w:tc>
      </w:tr>
      <w:tr w14:paraId="373D8A5F">
        <w:tblPrEx>
          <w:tblCellMar>
            <w:top w:w="0" w:type="dxa"/>
            <w:left w:w="108" w:type="dxa"/>
            <w:bottom w:w="0" w:type="dxa"/>
            <w:right w:w="108" w:type="dxa"/>
          </w:tblCellMar>
        </w:tblPrEx>
        <w:trPr>
          <w:trHeight w:val="10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62FA032B">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3.5.</w:t>
            </w:r>
            <w:r>
              <w:rPr>
                <w:rFonts w:hint="eastAsia" w:ascii="微软雅黑" w:hAnsi="微软雅黑" w:eastAsia="微软雅黑" w:cs="微软雅黑"/>
                <w:b w:val="0"/>
                <w:bCs w:val="0"/>
                <w:color w:val="auto"/>
                <w:sz w:val="24"/>
                <w:szCs w:val="24"/>
                <w:highlight w:val="none"/>
                <w:lang w:val="en-US" w:eastAsia="zh-CN"/>
              </w:rPr>
              <w:t>1</w:t>
            </w:r>
          </w:p>
        </w:tc>
        <w:tc>
          <w:tcPr>
            <w:tcW w:w="3120" w:type="dxa"/>
            <w:tcBorders>
              <w:top w:val="single" w:color="auto" w:sz="4" w:space="0"/>
              <w:left w:val="single" w:color="auto" w:sz="4" w:space="0"/>
              <w:bottom w:val="single" w:color="auto" w:sz="4" w:space="0"/>
              <w:right w:val="single" w:color="auto" w:sz="4" w:space="0"/>
            </w:tcBorders>
            <w:vAlign w:val="center"/>
          </w:tcPr>
          <w:p w14:paraId="4974E872">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近年财务状况的要求</w:t>
            </w:r>
          </w:p>
        </w:tc>
        <w:tc>
          <w:tcPr>
            <w:tcW w:w="6479" w:type="dxa"/>
            <w:tcBorders>
              <w:top w:val="single" w:color="auto" w:sz="4" w:space="0"/>
              <w:left w:val="single" w:color="auto" w:sz="4" w:space="0"/>
              <w:bottom w:val="single" w:color="auto" w:sz="4" w:space="0"/>
              <w:right w:val="single" w:color="auto" w:sz="4" w:space="0"/>
            </w:tcBorders>
            <w:vAlign w:val="center"/>
          </w:tcPr>
          <w:p w14:paraId="17A2F24A">
            <w:pPr>
              <w:spacing w:line="440" w:lineRule="exact"/>
              <w:ind w:right="113" w:firstLine="120" w:firstLineChars="50"/>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详见招标公告的相关要求。</w:t>
            </w:r>
          </w:p>
        </w:tc>
      </w:tr>
      <w:tr w14:paraId="16932D97">
        <w:tblPrEx>
          <w:tblCellMar>
            <w:top w:w="0" w:type="dxa"/>
            <w:left w:w="108" w:type="dxa"/>
            <w:bottom w:w="0" w:type="dxa"/>
            <w:right w:w="108" w:type="dxa"/>
          </w:tblCellMar>
        </w:tblPrEx>
        <w:trPr>
          <w:trHeight w:val="10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ADA6476">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rPr>
              <w:t>3.5</w:t>
            </w:r>
            <w:r>
              <w:rPr>
                <w:rFonts w:hint="eastAsia" w:ascii="微软雅黑" w:hAnsi="微软雅黑" w:eastAsia="微软雅黑" w:cs="微软雅黑"/>
                <w:b w:val="0"/>
                <w:bCs w:val="0"/>
                <w:color w:val="auto"/>
                <w:sz w:val="24"/>
                <w:szCs w:val="24"/>
                <w:highlight w:val="none"/>
                <w:lang w:val="en-US" w:eastAsia="zh-CN"/>
              </w:rPr>
              <w:t>.2</w:t>
            </w:r>
          </w:p>
        </w:tc>
        <w:tc>
          <w:tcPr>
            <w:tcW w:w="3120" w:type="dxa"/>
            <w:tcBorders>
              <w:top w:val="single" w:color="auto" w:sz="4" w:space="0"/>
              <w:left w:val="single" w:color="auto" w:sz="4" w:space="0"/>
              <w:bottom w:val="single" w:color="auto" w:sz="4" w:space="0"/>
              <w:right w:val="single" w:color="auto" w:sz="4" w:space="0"/>
            </w:tcBorders>
            <w:vAlign w:val="center"/>
          </w:tcPr>
          <w:p w14:paraId="1061BA7C">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诉讼及仲裁情况的要求</w:t>
            </w:r>
          </w:p>
        </w:tc>
        <w:tc>
          <w:tcPr>
            <w:tcW w:w="6479" w:type="dxa"/>
            <w:tcBorders>
              <w:top w:val="single" w:color="auto" w:sz="4" w:space="0"/>
              <w:left w:val="single" w:color="auto" w:sz="4" w:space="0"/>
              <w:bottom w:val="single" w:color="auto" w:sz="4" w:space="0"/>
              <w:right w:val="single" w:color="auto" w:sz="4" w:space="0"/>
            </w:tcBorders>
            <w:vAlign w:val="center"/>
          </w:tcPr>
          <w:p w14:paraId="0D7006A4">
            <w:pPr>
              <w:spacing w:line="440" w:lineRule="exact"/>
              <w:ind w:left="113" w:right="113"/>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在最近三年内(指</w:t>
            </w:r>
            <w:r>
              <w:rPr>
                <w:rFonts w:hint="eastAsia" w:ascii="微软雅黑" w:hAnsi="微软雅黑" w:eastAsia="微软雅黑" w:cs="微软雅黑"/>
                <w:b w:val="0"/>
                <w:bCs w:val="0"/>
                <w:color w:val="auto"/>
                <w:sz w:val="24"/>
                <w:szCs w:val="24"/>
                <w:highlight w:val="none"/>
              </w:rPr>
              <w:t>20</w:t>
            </w:r>
            <w:r>
              <w:rPr>
                <w:rFonts w:hint="eastAsia" w:ascii="微软雅黑" w:hAnsi="微软雅黑" w:eastAsia="微软雅黑" w:cs="微软雅黑"/>
                <w:b w:val="0"/>
                <w:bCs w:val="0"/>
                <w:color w:val="auto"/>
                <w:sz w:val="24"/>
                <w:szCs w:val="24"/>
                <w:highlight w:val="none"/>
                <w:lang w:val="en-US" w:eastAsia="zh-CN"/>
              </w:rPr>
              <w:t>22</w:t>
            </w:r>
            <w:r>
              <w:rPr>
                <w:rFonts w:hint="eastAsia" w:ascii="微软雅黑" w:hAnsi="微软雅黑" w:eastAsia="微软雅黑" w:cs="微软雅黑"/>
                <w:b w:val="0"/>
                <w:bCs w:val="0"/>
                <w:color w:val="auto"/>
                <w:sz w:val="24"/>
                <w:szCs w:val="24"/>
                <w:highlight w:val="none"/>
              </w:rPr>
              <w:t>年至今</w:t>
            </w:r>
            <w:r>
              <w:rPr>
                <w:rFonts w:hint="eastAsia" w:ascii="微软雅黑" w:hAnsi="微软雅黑" w:eastAsia="微软雅黑" w:cs="微软雅黑"/>
                <w:b w:val="0"/>
                <w:bCs w:val="0"/>
                <w:color w:val="auto"/>
                <w:sz w:val="24"/>
                <w:szCs w:val="24"/>
                <w:highlight w:val="none"/>
                <w:lang w:val="en-US" w:eastAsia="zh-CN"/>
              </w:rPr>
              <w:t>)</w:t>
            </w:r>
          </w:p>
        </w:tc>
      </w:tr>
      <w:tr w14:paraId="1B0EAC78">
        <w:tblPrEx>
          <w:tblCellMar>
            <w:top w:w="0" w:type="dxa"/>
            <w:left w:w="108" w:type="dxa"/>
            <w:bottom w:w="0" w:type="dxa"/>
            <w:right w:w="108" w:type="dxa"/>
          </w:tblCellMar>
        </w:tblPrEx>
        <w:trPr>
          <w:trHeight w:val="31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5C4AD180">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3.5.3</w:t>
            </w:r>
          </w:p>
        </w:tc>
        <w:tc>
          <w:tcPr>
            <w:tcW w:w="3120" w:type="dxa"/>
            <w:tcBorders>
              <w:top w:val="single" w:color="auto" w:sz="4" w:space="0"/>
              <w:left w:val="single" w:color="auto" w:sz="4" w:space="0"/>
              <w:bottom w:val="single" w:color="auto" w:sz="4" w:space="0"/>
              <w:right w:val="single" w:color="auto" w:sz="4" w:space="0"/>
            </w:tcBorders>
            <w:vAlign w:val="center"/>
          </w:tcPr>
          <w:p w14:paraId="7F2D8954">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关于企业完税情况</w:t>
            </w:r>
          </w:p>
        </w:tc>
        <w:tc>
          <w:tcPr>
            <w:tcW w:w="6479" w:type="dxa"/>
            <w:tcBorders>
              <w:top w:val="single" w:color="auto" w:sz="4" w:space="0"/>
              <w:left w:val="single" w:color="auto" w:sz="4" w:space="0"/>
              <w:bottom w:val="single" w:color="auto" w:sz="4" w:space="0"/>
              <w:right w:val="single" w:color="auto" w:sz="4" w:space="0"/>
            </w:tcBorders>
            <w:vAlign w:val="center"/>
          </w:tcPr>
          <w:p w14:paraId="4E807686">
            <w:pPr>
              <w:numPr>
                <w:ilvl w:val="0"/>
                <w:numId w:val="0"/>
              </w:numPr>
              <w:spacing w:line="440" w:lineRule="exact"/>
              <w:ind w:right="113" w:rightChars="0"/>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kern w:val="2"/>
                <w:sz w:val="24"/>
                <w:szCs w:val="24"/>
                <w:highlight w:val="none"/>
                <w:lang w:val="en-US" w:eastAsia="zh-CN" w:bidi="ar-SA"/>
              </w:rPr>
              <w:t>1.</w:t>
            </w:r>
            <w:r>
              <w:rPr>
                <w:rFonts w:hint="eastAsia" w:ascii="微软雅黑" w:hAnsi="微软雅黑" w:eastAsia="微软雅黑" w:cs="微软雅黑"/>
                <w:b w:val="0"/>
                <w:bCs w:val="0"/>
                <w:color w:val="auto"/>
                <w:sz w:val="24"/>
                <w:szCs w:val="24"/>
                <w:highlight w:val="none"/>
                <w:lang w:val="en-US" w:eastAsia="zh-CN"/>
              </w:rPr>
              <w:t>提供投标截止时间前任意月份的企业社保缴纳证明扫描件或者相关的企业社保缴纳情况承诺书；</w:t>
            </w:r>
          </w:p>
          <w:p w14:paraId="5BF7BF9A">
            <w:pPr>
              <w:numPr>
                <w:ilvl w:val="0"/>
                <w:numId w:val="0"/>
              </w:numPr>
              <w:spacing w:line="440" w:lineRule="exact"/>
              <w:ind w:right="113" w:rightChars="0"/>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2.提供国税系统下载打印的企业完税证明扫描件。</w:t>
            </w:r>
          </w:p>
        </w:tc>
      </w:tr>
      <w:tr w14:paraId="05972CED">
        <w:tblPrEx>
          <w:tblCellMar>
            <w:top w:w="0" w:type="dxa"/>
            <w:left w:w="108" w:type="dxa"/>
            <w:bottom w:w="0" w:type="dxa"/>
            <w:right w:w="108" w:type="dxa"/>
          </w:tblCellMar>
        </w:tblPrEx>
        <w:trPr>
          <w:trHeight w:val="14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34CBE67B">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3.6</w:t>
            </w:r>
          </w:p>
        </w:tc>
        <w:tc>
          <w:tcPr>
            <w:tcW w:w="3120" w:type="dxa"/>
            <w:tcBorders>
              <w:top w:val="single" w:color="auto" w:sz="4" w:space="0"/>
              <w:left w:val="single" w:color="auto" w:sz="4" w:space="0"/>
              <w:bottom w:val="single" w:color="auto" w:sz="4" w:space="0"/>
              <w:right w:val="single" w:color="auto" w:sz="4" w:space="0"/>
            </w:tcBorders>
            <w:vAlign w:val="center"/>
          </w:tcPr>
          <w:p w14:paraId="1DCF116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是否允许递交备选投标方案</w:t>
            </w:r>
          </w:p>
        </w:tc>
        <w:tc>
          <w:tcPr>
            <w:tcW w:w="6479" w:type="dxa"/>
            <w:tcBorders>
              <w:top w:val="single" w:color="auto" w:sz="4" w:space="0"/>
              <w:left w:val="single" w:color="auto" w:sz="4" w:space="0"/>
              <w:bottom w:val="single" w:color="auto" w:sz="4" w:space="0"/>
              <w:right w:val="single" w:color="auto" w:sz="4" w:space="0"/>
            </w:tcBorders>
            <w:vAlign w:val="center"/>
          </w:tcPr>
          <w:p w14:paraId="4B298646">
            <w:pPr>
              <w:spacing w:line="440" w:lineRule="exact"/>
              <w:ind w:left="105" w:leftChars="50" w:right="113"/>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36"/>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不允许</w:t>
            </w:r>
          </w:p>
        </w:tc>
      </w:tr>
      <w:tr w14:paraId="32436568">
        <w:tblPrEx>
          <w:tblCellMar>
            <w:top w:w="0" w:type="dxa"/>
            <w:left w:w="108" w:type="dxa"/>
            <w:bottom w:w="0" w:type="dxa"/>
            <w:right w:w="108" w:type="dxa"/>
          </w:tblCellMar>
        </w:tblPrEx>
        <w:trPr>
          <w:trHeight w:val="31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60EC95FF">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3.7.</w:t>
            </w:r>
            <w:r>
              <w:rPr>
                <w:rFonts w:hint="eastAsia" w:ascii="微软雅黑" w:hAnsi="微软雅黑" w:eastAsia="微软雅黑" w:cs="微软雅黑"/>
                <w:b w:val="0"/>
                <w:bCs w:val="0"/>
                <w:color w:val="auto"/>
                <w:sz w:val="24"/>
                <w:szCs w:val="24"/>
                <w:highlight w:val="none"/>
                <w:lang w:val="en-US" w:eastAsia="zh-CN"/>
              </w:rPr>
              <w:t>1</w:t>
            </w:r>
          </w:p>
        </w:tc>
        <w:tc>
          <w:tcPr>
            <w:tcW w:w="3120" w:type="dxa"/>
            <w:tcBorders>
              <w:top w:val="single" w:color="auto" w:sz="4" w:space="0"/>
              <w:left w:val="single" w:color="auto" w:sz="4" w:space="0"/>
              <w:bottom w:val="single" w:color="auto" w:sz="4" w:space="0"/>
              <w:right w:val="single" w:color="auto" w:sz="4" w:space="0"/>
            </w:tcBorders>
            <w:vAlign w:val="center"/>
          </w:tcPr>
          <w:p w14:paraId="2727469A">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签字或盖章要求</w:t>
            </w:r>
          </w:p>
        </w:tc>
        <w:tc>
          <w:tcPr>
            <w:tcW w:w="6479" w:type="dxa"/>
            <w:tcBorders>
              <w:top w:val="single" w:color="auto" w:sz="4" w:space="0"/>
              <w:left w:val="single" w:color="auto" w:sz="4" w:space="0"/>
              <w:bottom w:val="single" w:color="auto" w:sz="4" w:space="0"/>
              <w:right w:val="single" w:color="auto" w:sz="4" w:space="0"/>
            </w:tcBorders>
            <w:vAlign w:val="center"/>
          </w:tcPr>
          <w:p w14:paraId="42BC1129">
            <w:pPr>
              <w:spacing w:line="440" w:lineRule="exac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按照投标文件格式，采用企业、法定代表人电子签章签名。</w:t>
            </w:r>
          </w:p>
          <w:p w14:paraId="6B424C22">
            <w:pPr>
              <w:spacing w:line="440" w:lineRule="exac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注：投标文件应由法定代表人或其委托代理人在规定 签章处逐一签章，要求签单位公章处应签单位公章。</w:t>
            </w:r>
          </w:p>
        </w:tc>
      </w:tr>
      <w:tr w14:paraId="42113215">
        <w:tblPrEx>
          <w:tblCellMar>
            <w:top w:w="0" w:type="dxa"/>
            <w:left w:w="108" w:type="dxa"/>
            <w:bottom w:w="0" w:type="dxa"/>
            <w:right w:w="108" w:type="dxa"/>
          </w:tblCellMar>
        </w:tblPrEx>
        <w:trPr>
          <w:trHeight w:val="31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580B1575">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3.7.</w:t>
            </w:r>
            <w:r>
              <w:rPr>
                <w:rFonts w:hint="eastAsia" w:ascii="微软雅黑" w:hAnsi="微软雅黑" w:eastAsia="微软雅黑" w:cs="微软雅黑"/>
                <w:b w:val="0"/>
                <w:bCs w:val="0"/>
                <w:color w:val="auto"/>
                <w:sz w:val="24"/>
                <w:szCs w:val="24"/>
                <w:highlight w:val="none"/>
                <w:lang w:val="en-US" w:eastAsia="zh-CN"/>
              </w:rPr>
              <w:t>2</w:t>
            </w:r>
          </w:p>
        </w:tc>
        <w:tc>
          <w:tcPr>
            <w:tcW w:w="3120" w:type="dxa"/>
            <w:tcBorders>
              <w:top w:val="single" w:color="auto" w:sz="4" w:space="0"/>
              <w:left w:val="single" w:color="auto" w:sz="4" w:space="0"/>
              <w:bottom w:val="single" w:color="auto" w:sz="4" w:space="0"/>
              <w:right w:val="single" w:color="auto" w:sz="4" w:space="0"/>
            </w:tcBorders>
            <w:vAlign w:val="center"/>
          </w:tcPr>
          <w:p w14:paraId="1D437052">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投标文件的密封</w:t>
            </w:r>
          </w:p>
        </w:tc>
        <w:tc>
          <w:tcPr>
            <w:tcW w:w="6479" w:type="dxa"/>
            <w:tcBorders>
              <w:top w:val="single" w:color="auto" w:sz="4" w:space="0"/>
              <w:left w:val="single" w:color="auto" w:sz="4" w:space="0"/>
              <w:bottom w:val="single" w:color="auto" w:sz="4" w:space="0"/>
              <w:right w:val="single" w:color="auto" w:sz="4" w:space="0"/>
            </w:tcBorders>
            <w:vAlign w:val="center"/>
          </w:tcPr>
          <w:p w14:paraId="4C0D4C8C">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网上递交的投标文件应使用数字证书进行加密。</w:t>
            </w:r>
          </w:p>
          <w:p w14:paraId="49A4430E">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（1）供应商进行电子交易应安装客户端软件 —“政采云电</w:t>
            </w:r>
          </w:p>
          <w:p w14:paraId="78FCD370">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子交易客户端”，并按照磋商文件和电子交易平台的要求编</w:t>
            </w:r>
          </w:p>
          <w:p w14:paraId="14D7B22F">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制并加密响应文件。供应商未按规定加密的响应文件，电子</w:t>
            </w:r>
          </w:p>
          <w:p w14:paraId="60E3FDE6">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交易平台将拒收并提示；</w:t>
            </w:r>
          </w:p>
          <w:p w14:paraId="2BE81F2A">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（2）使用“政采云电子交易客户端”需要提前申领 CA 数字</w:t>
            </w:r>
          </w:p>
          <w:p w14:paraId="5CD6EA55">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证书，申领流程见该项目采购公告附件；</w:t>
            </w:r>
          </w:p>
          <w:p w14:paraId="2BC48A53">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（3）为确保网上操作合法、有效和安全，供应商应当在响应</w:t>
            </w:r>
          </w:p>
          <w:p w14:paraId="289A77F7">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文件提交截止时间前完成在“政府采购云平台”的身份认证，</w:t>
            </w:r>
          </w:p>
          <w:p w14:paraId="6BDB5AD0">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确保在电子交易过程中能够对相关数据电文进行加密和使用</w:t>
            </w:r>
          </w:p>
          <w:p w14:paraId="641799DE">
            <w:pPr>
              <w:spacing w:line="440" w:lineRule="exac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电子签名。</w:t>
            </w:r>
          </w:p>
        </w:tc>
      </w:tr>
      <w:tr w14:paraId="74B6A5D6">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07DBAAE">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4.</w:t>
            </w:r>
            <w:r>
              <w:rPr>
                <w:rFonts w:hint="eastAsia" w:ascii="微软雅黑" w:hAnsi="微软雅黑" w:eastAsia="微软雅黑" w:cs="微软雅黑"/>
                <w:b w:val="0"/>
                <w:bCs w:val="0"/>
                <w:color w:val="auto"/>
                <w:sz w:val="24"/>
                <w:szCs w:val="24"/>
                <w:highlight w:val="none"/>
                <w:lang w:val="en-US" w:eastAsia="zh-CN"/>
              </w:rPr>
              <w:t>1</w:t>
            </w:r>
            <w:r>
              <w:rPr>
                <w:rFonts w:hint="eastAsia" w:ascii="微软雅黑" w:hAnsi="微软雅黑" w:eastAsia="微软雅黑" w:cs="微软雅黑"/>
                <w:b w:val="0"/>
                <w:bCs w:val="0"/>
                <w:color w:val="auto"/>
                <w:sz w:val="24"/>
                <w:szCs w:val="24"/>
                <w:highlight w:val="none"/>
              </w:rPr>
              <w:t>.</w:t>
            </w:r>
            <w:r>
              <w:rPr>
                <w:rFonts w:hint="eastAsia" w:ascii="微软雅黑" w:hAnsi="微软雅黑" w:eastAsia="微软雅黑" w:cs="微软雅黑"/>
                <w:b w:val="0"/>
                <w:bCs w:val="0"/>
                <w:color w:val="auto"/>
                <w:sz w:val="24"/>
                <w:szCs w:val="24"/>
                <w:highlight w:val="none"/>
                <w:lang w:val="en-US" w:eastAsia="zh-CN"/>
              </w:rPr>
              <w:t>1</w:t>
            </w:r>
          </w:p>
        </w:tc>
        <w:tc>
          <w:tcPr>
            <w:tcW w:w="3120" w:type="dxa"/>
            <w:tcBorders>
              <w:top w:val="single" w:color="auto" w:sz="4" w:space="0"/>
              <w:left w:val="single" w:color="auto" w:sz="4" w:space="0"/>
              <w:bottom w:val="single" w:color="auto" w:sz="4" w:space="0"/>
              <w:right w:val="single" w:color="auto" w:sz="4" w:space="0"/>
            </w:tcBorders>
            <w:vAlign w:val="center"/>
          </w:tcPr>
          <w:p w14:paraId="69E9408A">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磋商时间和地点</w:t>
            </w:r>
          </w:p>
        </w:tc>
        <w:tc>
          <w:tcPr>
            <w:tcW w:w="6479" w:type="dxa"/>
            <w:tcBorders>
              <w:top w:val="single" w:color="auto" w:sz="4" w:space="0"/>
              <w:left w:val="single" w:color="auto" w:sz="4" w:space="0"/>
              <w:bottom w:val="single" w:color="auto" w:sz="4" w:space="0"/>
              <w:right w:val="single" w:color="auto" w:sz="4" w:space="0"/>
            </w:tcBorders>
            <w:vAlign w:val="center"/>
          </w:tcPr>
          <w:p w14:paraId="6138E9CE">
            <w:pPr>
              <w:spacing w:line="440" w:lineRule="exac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 xml:space="preserve">磋商时间：同磋商截止时间。 </w:t>
            </w:r>
          </w:p>
          <w:p w14:paraId="705EBEFF">
            <w:pPr>
              <w:spacing w:line="440" w:lineRule="exac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磋商地点：政府采购云平台远程开标大厅</w:t>
            </w:r>
          </w:p>
        </w:tc>
      </w:tr>
      <w:tr w14:paraId="06070A7A">
        <w:tblPrEx>
          <w:tblCellMar>
            <w:top w:w="0" w:type="dxa"/>
            <w:left w:w="108" w:type="dxa"/>
            <w:bottom w:w="0" w:type="dxa"/>
            <w:right w:w="108" w:type="dxa"/>
          </w:tblCellMar>
        </w:tblPrEx>
        <w:trPr>
          <w:trHeight w:val="415"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38632CBA">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4.</w:t>
            </w:r>
            <w:r>
              <w:rPr>
                <w:rFonts w:hint="eastAsia" w:ascii="微软雅黑" w:hAnsi="微软雅黑" w:eastAsia="微软雅黑" w:cs="微软雅黑"/>
                <w:b w:val="0"/>
                <w:bCs w:val="0"/>
                <w:color w:val="auto"/>
                <w:sz w:val="24"/>
                <w:szCs w:val="24"/>
                <w:highlight w:val="none"/>
                <w:lang w:val="en-US" w:eastAsia="zh-CN"/>
              </w:rPr>
              <w:t>1</w:t>
            </w:r>
            <w:r>
              <w:rPr>
                <w:rFonts w:hint="eastAsia" w:ascii="微软雅黑" w:hAnsi="微软雅黑" w:eastAsia="微软雅黑" w:cs="微软雅黑"/>
                <w:b w:val="0"/>
                <w:bCs w:val="0"/>
                <w:color w:val="auto"/>
                <w:sz w:val="24"/>
                <w:szCs w:val="24"/>
                <w:highlight w:val="none"/>
              </w:rPr>
              <w:t>.</w:t>
            </w:r>
            <w:r>
              <w:rPr>
                <w:rFonts w:hint="eastAsia" w:ascii="微软雅黑" w:hAnsi="微软雅黑" w:eastAsia="微软雅黑" w:cs="微软雅黑"/>
                <w:b w:val="0"/>
                <w:bCs w:val="0"/>
                <w:color w:val="auto"/>
                <w:sz w:val="24"/>
                <w:szCs w:val="24"/>
                <w:highlight w:val="none"/>
                <w:lang w:val="en-US" w:eastAsia="zh-CN"/>
              </w:rPr>
              <w:t>2</w:t>
            </w:r>
          </w:p>
        </w:tc>
        <w:tc>
          <w:tcPr>
            <w:tcW w:w="3120" w:type="dxa"/>
            <w:tcBorders>
              <w:top w:val="single" w:color="auto" w:sz="4" w:space="0"/>
              <w:left w:val="single" w:color="auto" w:sz="4" w:space="0"/>
              <w:bottom w:val="single" w:color="auto" w:sz="4" w:space="0"/>
              <w:right w:val="single" w:color="auto" w:sz="4" w:space="0"/>
            </w:tcBorders>
            <w:vAlign w:val="center"/>
          </w:tcPr>
          <w:p w14:paraId="59F43EBE">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开启程序</w:t>
            </w:r>
          </w:p>
        </w:tc>
        <w:tc>
          <w:tcPr>
            <w:tcW w:w="6479" w:type="dxa"/>
            <w:tcBorders>
              <w:top w:val="single" w:color="auto" w:sz="4" w:space="0"/>
              <w:left w:val="single" w:color="auto" w:sz="4" w:space="0"/>
              <w:bottom w:val="single" w:color="auto" w:sz="4" w:space="0"/>
              <w:right w:val="single" w:color="auto" w:sz="4" w:space="0"/>
            </w:tcBorders>
            <w:vAlign w:val="center"/>
          </w:tcPr>
          <w:p w14:paraId="37EE672B">
            <w:pPr>
              <w:spacing w:line="440" w:lineRule="exac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val="en-US" w:eastAsia="zh-CN"/>
              </w:rPr>
              <w:t>本次招标采用电子招投标，响应文件开启由采购代理机构主持，邀请采购人和有关监督人员参加。至响应文件提交截止时间止，代理机构工作人员登录进入政采云平台，按照政采云平台的操作流程完成开启程序。</w:t>
            </w:r>
          </w:p>
        </w:tc>
      </w:tr>
      <w:tr w14:paraId="02F93AC2">
        <w:tblPrEx>
          <w:tblCellMar>
            <w:top w:w="0" w:type="dxa"/>
            <w:left w:w="108" w:type="dxa"/>
            <w:bottom w:w="0" w:type="dxa"/>
            <w:right w:w="108" w:type="dxa"/>
          </w:tblCellMar>
        </w:tblPrEx>
        <w:trPr>
          <w:trHeight w:val="167"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16759591">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5.1</w:t>
            </w:r>
          </w:p>
        </w:tc>
        <w:tc>
          <w:tcPr>
            <w:tcW w:w="3120" w:type="dxa"/>
            <w:tcBorders>
              <w:top w:val="single" w:color="auto" w:sz="4" w:space="0"/>
              <w:left w:val="single" w:color="auto" w:sz="4" w:space="0"/>
              <w:bottom w:val="single" w:color="auto" w:sz="4" w:space="0"/>
              <w:right w:val="single" w:color="auto" w:sz="4" w:space="0"/>
            </w:tcBorders>
            <w:vAlign w:val="center"/>
          </w:tcPr>
          <w:p w14:paraId="338A5166">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是否退还</w:t>
            </w:r>
            <w:r>
              <w:rPr>
                <w:rFonts w:hint="eastAsia" w:ascii="微软雅黑" w:hAnsi="微软雅黑" w:eastAsia="微软雅黑" w:cs="微软雅黑"/>
                <w:b w:val="0"/>
                <w:bCs w:val="0"/>
                <w:color w:val="auto"/>
                <w:sz w:val="24"/>
                <w:szCs w:val="24"/>
                <w:highlight w:val="none"/>
                <w:lang w:eastAsia="zh-CN"/>
              </w:rPr>
              <w:t>投标响应文件</w:t>
            </w:r>
          </w:p>
        </w:tc>
        <w:tc>
          <w:tcPr>
            <w:tcW w:w="6479" w:type="dxa"/>
            <w:tcBorders>
              <w:top w:val="single" w:color="auto" w:sz="4" w:space="0"/>
              <w:left w:val="single" w:color="auto" w:sz="4" w:space="0"/>
              <w:bottom w:val="single" w:color="auto" w:sz="4" w:space="0"/>
              <w:right w:val="single" w:color="auto" w:sz="4" w:space="0"/>
            </w:tcBorders>
            <w:vAlign w:val="center"/>
          </w:tcPr>
          <w:p w14:paraId="249B56DD">
            <w:pPr>
              <w:spacing w:line="440" w:lineRule="exac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否</w:t>
            </w:r>
          </w:p>
        </w:tc>
      </w:tr>
      <w:tr w14:paraId="336CA065">
        <w:tblPrEx>
          <w:tblCellMar>
            <w:top w:w="0" w:type="dxa"/>
            <w:left w:w="108" w:type="dxa"/>
            <w:bottom w:w="0" w:type="dxa"/>
            <w:right w:w="108" w:type="dxa"/>
          </w:tblCellMar>
        </w:tblPrEx>
        <w:trPr>
          <w:trHeight w:val="455"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5F716C4">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6.1.1</w:t>
            </w:r>
          </w:p>
        </w:tc>
        <w:tc>
          <w:tcPr>
            <w:tcW w:w="3120" w:type="dxa"/>
            <w:tcBorders>
              <w:top w:val="single" w:color="auto" w:sz="4" w:space="0"/>
              <w:left w:val="single" w:color="auto" w:sz="4" w:space="0"/>
              <w:bottom w:val="single" w:color="auto" w:sz="4" w:space="0"/>
              <w:right w:val="single" w:color="auto" w:sz="4" w:space="0"/>
            </w:tcBorders>
            <w:vAlign w:val="center"/>
          </w:tcPr>
          <w:p w14:paraId="0D81D022">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评标委员会的组建</w:t>
            </w:r>
          </w:p>
        </w:tc>
        <w:tc>
          <w:tcPr>
            <w:tcW w:w="6479" w:type="dxa"/>
            <w:tcBorders>
              <w:top w:val="single" w:color="auto" w:sz="4" w:space="0"/>
              <w:left w:val="single" w:color="auto" w:sz="4" w:space="0"/>
              <w:bottom w:val="single" w:color="auto" w:sz="4" w:space="0"/>
              <w:right w:val="single" w:color="auto" w:sz="4" w:space="0"/>
            </w:tcBorders>
            <w:vAlign w:val="center"/>
          </w:tcPr>
          <w:p w14:paraId="11554231">
            <w:pPr>
              <w:spacing w:line="440" w:lineRule="exact"/>
              <w:jc w:val="both"/>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评标委员会构成：</w:t>
            </w:r>
            <w:r>
              <w:rPr>
                <w:rFonts w:hint="eastAsia" w:ascii="微软雅黑" w:hAnsi="微软雅黑" w:eastAsia="微软雅黑" w:cs="微软雅黑"/>
                <w:b w:val="0"/>
                <w:bCs w:val="0"/>
                <w:color w:val="auto"/>
                <w:sz w:val="24"/>
                <w:szCs w:val="24"/>
                <w:highlight w:val="none"/>
                <w:lang w:val="en-US" w:eastAsia="zh-CN"/>
              </w:rPr>
              <w:t>3</w:t>
            </w:r>
            <w:r>
              <w:rPr>
                <w:rFonts w:hint="eastAsia" w:ascii="微软雅黑" w:hAnsi="微软雅黑" w:eastAsia="微软雅黑" w:cs="微软雅黑"/>
                <w:b w:val="0"/>
                <w:bCs w:val="0"/>
                <w:color w:val="auto"/>
                <w:sz w:val="24"/>
                <w:szCs w:val="24"/>
                <w:highlight w:val="none"/>
              </w:rPr>
              <w:t>人</w:t>
            </w:r>
            <w:r>
              <w:rPr>
                <w:rFonts w:hint="eastAsia" w:ascii="微软雅黑" w:hAnsi="微软雅黑" w:eastAsia="微软雅黑" w:cs="微软雅黑"/>
                <w:b w:val="0"/>
                <w:bCs w:val="0"/>
                <w:color w:val="auto"/>
                <w:sz w:val="24"/>
                <w:szCs w:val="24"/>
                <w:highlight w:val="none"/>
                <w:lang w:eastAsia="zh-CN"/>
              </w:rPr>
              <w:t>；</w:t>
            </w:r>
            <w:r>
              <w:rPr>
                <w:rFonts w:hint="eastAsia" w:ascii="微软雅黑" w:hAnsi="微软雅黑" w:eastAsia="微软雅黑" w:cs="微软雅黑"/>
                <w:b w:val="0"/>
                <w:bCs w:val="0"/>
                <w:color w:val="auto"/>
                <w:sz w:val="24"/>
                <w:szCs w:val="24"/>
                <w:highlight w:val="none"/>
              </w:rPr>
              <w:t>（评委会人员由奇数</w:t>
            </w:r>
            <w:r>
              <w:rPr>
                <w:rFonts w:hint="eastAsia" w:ascii="微软雅黑" w:hAnsi="微软雅黑" w:eastAsia="微软雅黑" w:cs="微软雅黑"/>
                <w:b w:val="0"/>
                <w:bCs w:val="0"/>
                <w:color w:val="auto"/>
                <w:sz w:val="24"/>
                <w:szCs w:val="24"/>
                <w:highlight w:val="none"/>
                <w:lang w:val="en-US" w:eastAsia="zh-CN"/>
              </w:rPr>
              <w:t>组</w:t>
            </w:r>
            <w:r>
              <w:rPr>
                <w:rFonts w:hint="eastAsia" w:ascii="微软雅黑" w:hAnsi="微软雅黑" w:eastAsia="微软雅黑" w:cs="微软雅黑"/>
                <w:b w:val="0"/>
                <w:bCs w:val="0"/>
                <w:color w:val="auto"/>
                <w:sz w:val="24"/>
                <w:szCs w:val="24"/>
                <w:highlight w:val="none"/>
              </w:rPr>
              <w:t>成）。</w:t>
            </w:r>
          </w:p>
          <w:p w14:paraId="7F18E109">
            <w:pPr>
              <w:spacing w:line="440" w:lineRule="exact"/>
              <w:jc w:val="both"/>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rPr>
              <w:t>评标专家确定方式：在</w:t>
            </w:r>
            <w:r>
              <w:rPr>
                <w:rFonts w:hint="eastAsia" w:ascii="微软雅黑" w:hAnsi="微软雅黑" w:eastAsia="微软雅黑" w:cs="微软雅黑"/>
                <w:b w:val="0"/>
                <w:bCs w:val="0"/>
                <w:color w:val="auto"/>
                <w:sz w:val="24"/>
                <w:szCs w:val="24"/>
                <w:highlight w:val="none"/>
                <w:lang w:eastAsia="zh-CN"/>
              </w:rPr>
              <w:t>《</w:t>
            </w:r>
            <w:r>
              <w:rPr>
                <w:rFonts w:hint="eastAsia" w:ascii="微软雅黑" w:hAnsi="微软雅黑" w:eastAsia="微软雅黑" w:cs="微软雅黑"/>
                <w:b w:val="0"/>
                <w:bCs w:val="0"/>
                <w:color w:val="auto"/>
                <w:sz w:val="24"/>
                <w:szCs w:val="24"/>
                <w:highlight w:val="none"/>
                <w:lang w:val="en-US" w:eastAsia="zh-CN"/>
              </w:rPr>
              <w:t>云南省政府采购综合</w:t>
            </w:r>
            <w:r>
              <w:rPr>
                <w:rFonts w:hint="eastAsia" w:ascii="微软雅黑" w:hAnsi="微软雅黑" w:eastAsia="微软雅黑" w:cs="微软雅黑"/>
                <w:b w:val="0"/>
                <w:bCs w:val="0"/>
                <w:color w:val="auto"/>
                <w:sz w:val="24"/>
                <w:szCs w:val="24"/>
                <w:highlight w:val="none"/>
              </w:rPr>
              <w:t>评标专家库</w:t>
            </w:r>
            <w:r>
              <w:rPr>
                <w:rFonts w:hint="eastAsia" w:ascii="微软雅黑" w:hAnsi="微软雅黑" w:eastAsia="微软雅黑" w:cs="微软雅黑"/>
                <w:b w:val="0"/>
                <w:bCs w:val="0"/>
                <w:color w:val="auto"/>
                <w:sz w:val="24"/>
                <w:szCs w:val="24"/>
                <w:highlight w:val="none"/>
                <w:lang w:eastAsia="zh-CN"/>
              </w:rPr>
              <w:t>》</w:t>
            </w:r>
            <w:r>
              <w:rPr>
                <w:rFonts w:hint="eastAsia" w:ascii="微软雅黑" w:hAnsi="微软雅黑" w:eastAsia="微软雅黑" w:cs="微软雅黑"/>
                <w:b w:val="0"/>
                <w:bCs w:val="0"/>
                <w:color w:val="auto"/>
                <w:sz w:val="24"/>
                <w:szCs w:val="24"/>
                <w:highlight w:val="none"/>
              </w:rPr>
              <w:t>中</w:t>
            </w:r>
            <w:r>
              <w:rPr>
                <w:rFonts w:hint="eastAsia" w:ascii="微软雅黑" w:hAnsi="微软雅黑" w:eastAsia="微软雅黑" w:cs="微软雅黑"/>
                <w:b w:val="0"/>
                <w:bCs w:val="0"/>
                <w:color w:val="auto"/>
                <w:sz w:val="24"/>
                <w:szCs w:val="24"/>
                <w:highlight w:val="none"/>
                <w:lang w:val="en-US" w:eastAsia="zh-CN"/>
              </w:rPr>
              <w:t>随机</w:t>
            </w:r>
            <w:r>
              <w:rPr>
                <w:rFonts w:hint="eastAsia" w:ascii="微软雅黑" w:hAnsi="微软雅黑" w:eastAsia="微软雅黑" w:cs="微软雅黑"/>
                <w:b w:val="0"/>
                <w:bCs w:val="0"/>
                <w:color w:val="auto"/>
                <w:sz w:val="24"/>
                <w:szCs w:val="24"/>
                <w:highlight w:val="none"/>
              </w:rPr>
              <w:t>抽取</w:t>
            </w:r>
            <w:r>
              <w:rPr>
                <w:rFonts w:hint="eastAsia" w:ascii="微软雅黑" w:hAnsi="微软雅黑" w:eastAsia="微软雅黑" w:cs="微软雅黑"/>
                <w:b w:val="0"/>
                <w:bCs w:val="0"/>
                <w:color w:val="auto"/>
                <w:sz w:val="24"/>
                <w:szCs w:val="24"/>
                <w:highlight w:val="none"/>
                <w:lang w:val="en-US" w:eastAsia="zh-CN"/>
              </w:rPr>
              <w:t>2人，采购人代表1人</w:t>
            </w:r>
            <w:r>
              <w:rPr>
                <w:rFonts w:hint="eastAsia" w:ascii="微软雅黑" w:hAnsi="微软雅黑" w:eastAsia="微软雅黑" w:cs="微软雅黑"/>
                <w:b w:val="0"/>
                <w:bCs w:val="0"/>
                <w:color w:val="auto"/>
                <w:sz w:val="24"/>
                <w:szCs w:val="24"/>
                <w:highlight w:val="none"/>
              </w:rPr>
              <w:t>。</w:t>
            </w:r>
          </w:p>
          <w:p w14:paraId="179B7FB7">
            <w:pPr>
              <w:spacing w:line="440" w:lineRule="exact"/>
              <w:jc w:val="both"/>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注：特殊情况经</w:t>
            </w:r>
            <w:r>
              <w:rPr>
                <w:rFonts w:hint="eastAsia" w:ascii="微软雅黑" w:hAnsi="微软雅黑" w:eastAsia="微软雅黑" w:cs="微软雅黑"/>
                <w:b w:val="0"/>
                <w:bCs w:val="0"/>
                <w:color w:val="auto"/>
                <w:sz w:val="24"/>
                <w:szCs w:val="24"/>
                <w:highlight w:val="none"/>
                <w:lang w:eastAsia="zh-CN"/>
              </w:rPr>
              <w:t>招标人委托</w:t>
            </w:r>
            <w:r>
              <w:rPr>
                <w:rFonts w:hint="eastAsia" w:ascii="微软雅黑" w:hAnsi="微软雅黑" w:eastAsia="微软雅黑" w:cs="微软雅黑"/>
                <w:b w:val="0"/>
                <w:bCs w:val="0"/>
                <w:color w:val="auto"/>
                <w:sz w:val="24"/>
                <w:szCs w:val="24"/>
                <w:highlight w:val="none"/>
              </w:rPr>
              <w:t>后确定。</w:t>
            </w:r>
          </w:p>
        </w:tc>
      </w:tr>
      <w:tr w14:paraId="2D7F02A5">
        <w:tblPrEx>
          <w:tblCellMar>
            <w:top w:w="0" w:type="dxa"/>
            <w:left w:w="108" w:type="dxa"/>
            <w:bottom w:w="0" w:type="dxa"/>
            <w:right w:w="108" w:type="dxa"/>
          </w:tblCellMar>
        </w:tblPrEx>
        <w:trPr>
          <w:trHeight w:val="263"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305509ED">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7.1</w:t>
            </w:r>
          </w:p>
        </w:tc>
        <w:tc>
          <w:tcPr>
            <w:tcW w:w="3120" w:type="dxa"/>
            <w:tcBorders>
              <w:top w:val="single" w:color="auto" w:sz="4" w:space="0"/>
              <w:left w:val="single" w:color="auto" w:sz="4" w:space="0"/>
              <w:bottom w:val="single" w:color="auto" w:sz="4" w:space="0"/>
              <w:right w:val="single" w:color="auto" w:sz="4" w:space="0"/>
            </w:tcBorders>
            <w:vAlign w:val="center"/>
          </w:tcPr>
          <w:p w14:paraId="7C383624">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是否授权评标委员会确定中标人</w:t>
            </w:r>
          </w:p>
        </w:tc>
        <w:tc>
          <w:tcPr>
            <w:tcW w:w="6479" w:type="dxa"/>
            <w:tcBorders>
              <w:top w:val="single" w:color="auto" w:sz="4" w:space="0"/>
              <w:left w:val="single" w:color="auto" w:sz="4" w:space="0"/>
              <w:bottom w:val="single" w:color="auto" w:sz="4" w:space="0"/>
              <w:right w:val="single" w:color="auto" w:sz="4" w:space="0"/>
            </w:tcBorders>
            <w:vAlign w:val="center"/>
          </w:tcPr>
          <w:p w14:paraId="68209C46">
            <w:pPr>
              <w:spacing w:line="440" w:lineRule="exac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fldChar w:fldCharType="begin"/>
            </w:r>
            <w:r>
              <w:rPr>
                <w:rFonts w:hint="eastAsia" w:ascii="微软雅黑" w:hAnsi="微软雅黑" w:eastAsia="微软雅黑" w:cs="微软雅黑"/>
                <w:b w:val="0"/>
                <w:bCs w:val="0"/>
                <w:color w:val="auto"/>
                <w:sz w:val="24"/>
                <w:szCs w:val="24"/>
                <w:highlight w:val="none"/>
              </w:rPr>
              <w:instrText xml:space="preserve"> eq \o\ac(</w:instrText>
            </w:r>
            <w:r>
              <w:rPr>
                <w:rFonts w:hint="eastAsia" w:ascii="微软雅黑" w:hAnsi="微软雅黑" w:eastAsia="微软雅黑" w:cs="微软雅黑"/>
                <w:b w:val="0"/>
                <w:bCs w:val="0"/>
                <w:color w:val="auto"/>
                <w:position w:val="-4"/>
                <w:sz w:val="36"/>
                <w:szCs w:val="24"/>
                <w:highlight w:val="none"/>
              </w:rPr>
              <w:instrText xml:space="preserve">□</w:instrText>
            </w:r>
            <w:r>
              <w:rPr>
                <w:rFonts w:hint="eastAsia" w:ascii="微软雅黑" w:hAnsi="微软雅黑" w:eastAsia="微软雅黑" w:cs="微软雅黑"/>
                <w:b w:val="0"/>
                <w:bCs w:val="0"/>
                <w:color w:val="auto"/>
                <w:position w:val="0"/>
                <w:sz w:val="24"/>
                <w:szCs w:val="24"/>
                <w:highlight w:val="none"/>
              </w:rPr>
              <w:instrText xml:space="preserve">,√)</w:instrText>
            </w:r>
            <w:r>
              <w:rPr>
                <w:rFonts w:hint="eastAsia" w:ascii="微软雅黑" w:hAnsi="微软雅黑" w:eastAsia="微软雅黑" w:cs="微软雅黑"/>
                <w:b w:val="0"/>
                <w:bCs w:val="0"/>
                <w:color w:val="auto"/>
                <w:sz w:val="24"/>
                <w:szCs w:val="24"/>
                <w:highlight w:val="none"/>
              </w:rPr>
              <w:fldChar w:fldCharType="end"/>
            </w:r>
            <w:r>
              <w:rPr>
                <w:rFonts w:hint="eastAsia" w:ascii="微软雅黑" w:hAnsi="微软雅黑" w:eastAsia="微软雅黑" w:cs="微软雅黑"/>
                <w:b w:val="0"/>
                <w:bCs w:val="0"/>
                <w:color w:val="auto"/>
                <w:sz w:val="24"/>
                <w:szCs w:val="24"/>
                <w:highlight w:val="none"/>
              </w:rPr>
              <w:t>否，推荐的中标候选人的人数为</w:t>
            </w:r>
            <w:r>
              <w:rPr>
                <w:rFonts w:hint="eastAsia" w:ascii="微软雅黑" w:hAnsi="微软雅黑" w:eastAsia="微软雅黑" w:cs="微软雅黑"/>
                <w:b w:val="0"/>
                <w:bCs w:val="0"/>
                <w:color w:val="auto"/>
                <w:sz w:val="24"/>
                <w:szCs w:val="24"/>
                <w:highlight w:val="none"/>
                <w:u w:val="single"/>
              </w:rPr>
              <w:t xml:space="preserve"> 3 </w:t>
            </w:r>
            <w:r>
              <w:rPr>
                <w:rFonts w:hint="eastAsia" w:ascii="微软雅黑" w:hAnsi="微软雅黑" w:eastAsia="微软雅黑" w:cs="微软雅黑"/>
                <w:b w:val="0"/>
                <w:bCs w:val="0"/>
                <w:color w:val="auto"/>
                <w:sz w:val="24"/>
                <w:szCs w:val="24"/>
                <w:highlight w:val="none"/>
              </w:rPr>
              <w:t>名</w:t>
            </w:r>
            <w:r>
              <w:rPr>
                <w:rFonts w:hint="eastAsia" w:ascii="微软雅黑" w:hAnsi="微软雅黑" w:eastAsia="微软雅黑" w:cs="微软雅黑"/>
                <w:b w:val="0"/>
                <w:bCs w:val="0"/>
                <w:color w:val="auto"/>
                <w:sz w:val="24"/>
                <w:szCs w:val="24"/>
                <w:highlight w:val="none"/>
                <w:lang w:eastAsia="zh-CN"/>
              </w:rPr>
              <w:t>。</w:t>
            </w:r>
          </w:p>
        </w:tc>
      </w:tr>
      <w:tr w14:paraId="6EA0F490">
        <w:tblPrEx>
          <w:tblCellMar>
            <w:top w:w="0" w:type="dxa"/>
            <w:left w:w="108" w:type="dxa"/>
            <w:bottom w:w="0" w:type="dxa"/>
            <w:right w:w="108" w:type="dxa"/>
          </w:tblCellMar>
        </w:tblPrEx>
        <w:trPr>
          <w:trHeight w:val="25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73DE26A4">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7.2</w:t>
            </w:r>
          </w:p>
        </w:tc>
        <w:tc>
          <w:tcPr>
            <w:tcW w:w="3120" w:type="dxa"/>
            <w:tcBorders>
              <w:top w:val="single" w:color="auto" w:sz="4" w:space="0"/>
              <w:left w:val="single" w:color="auto" w:sz="4" w:space="0"/>
              <w:bottom w:val="single" w:color="auto" w:sz="4" w:space="0"/>
              <w:right w:val="single" w:color="auto" w:sz="4" w:space="0"/>
            </w:tcBorders>
            <w:vAlign w:val="center"/>
          </w:tcPr>
          <w:p w14:paraId="33D3A728">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val="en-US" w:eastAsia="zh-CN"/>
              </w:rPr>
              <w:t>成交结果公告</w:t>
            </w:r>
          </w:p>
        </w:tc>
        <w:tc>
          <w:tcPr>
            <w:tcW w:w="6479" w:type="dxa"/>
            <w:tcBorders>
              <w:top w:val="single" w:color="auto" w:sz="4" w:space="0"/>
              <w:left w:val="single" w:color="auto" w:sz="4" w:space="0"/>
              <w:bottom w:val="single" w:color="auto" w:sz="4" w:space="0"/>
              <w:right w:val="single" w:color="auto" w:sz="4" w:space="0"/>
            </w:tcBorders>
            <w:vAlign w:val="center"/>
          </w:tcPr>
          <w:p w14:paraId="4C4BBCA1">
            <w:pPr>
              <w:spacing w:line="440" w:lineRule="exact"/>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公示媒介：在《云南省政府采购网》、《政府采购云平台》</w:t>
            </w:r>
          </w:p>
          <w:p w14:paraId="154425D9">
            <w:pPr>
              <w:spacing w:line="440" w:lineRule="exact"/>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上发布。公示期限：1个工作日</w:t>
            </w:r>
          </w:p>
        </w:tc>
      </w:tr>
      <w:tr w14:paraId="32366342">
        <w:tblPrEx>
          <w:tblCellMar>
            <w:top w:w="0" w:type="dxa"/>
            <w:left w:w="108" w:type="dxa"/>
            <w:bottom w:w="0" w:type="dxa"/>
            <w:right w:w="108" w:type="dxa"/>
          </w:tblCellMar>
        </w:tblPrEx>
        <w:trPr>
          <w:trHeight w:val="415"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535482C9">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7.3</w:t>
            </w:r>
          </w:p>
        </w:tc>
        <w:tc>
          <w:tcPr>
            <w:tcW w:w="3120" w:type="dxa"/>
            <w:tcBorders>
              <w:top w:val="single" w:color="auto" w:sz="4" w:space="0"/>
              <w:left w:val="single" w:color="auto" w:sz="4" w:space="0"/>
              <w:bottom w:val="single" w:color="auto" w:sz="4" w:space="0"/>
              <w:right w:val="single" w:color="auto" w:sz="4" w:space="0"/>
            </w:tcBorders>
            <w:vAlign w:val="center"/>
          </w:tcPr>
          <w:p w14:paraId="5A019B0F">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履约保证金</w:t>
            </w:r>
          </w:p>
        </w:tc>
        <w:tc>
          <w:tcPr>
            <w:tcW w:w="6479" w:type="dxa"/>
            <w:tcBorders>
              <w:top w:val="single" w:color="auto" w:sz="4" w:space="0"/>
              <w:left w:val="single" w:color="auto" w:sz="4" w:space="0"/>
              <w:bottom w:val="single" w:color="auto" w:sz="4" w:space="0"/>
              <w:right w:val="single" w:color="auto" w:sz="4" w:space="0"/>
            </w:tcBorders>
            <w:vAlign w:val="center"/>
          </w:tcPr>
          <w:p w14:paraId="6822990F">
            <w:pPr>
              <w:spacing w:line="440" w:lineRule="exact"/>
              <w:jc w:val="both"/>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☑不要求递交</w:t>
            </w:r>
          </w:p>
          <w:p w14:paraId="4ED03426">
            <w:pPr>
              <w:spacing w:line="440" w:lineRule="exact"/>
              <w:jc w:val="both"/>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□要求递交</w:t>
            </w:r>
          </w:p>
          <w:p w14:paraId="57370136">
            <w:pPr>
              <w:spacing w:line="440" w:lineRule="exact"/>
              <w:jc w:val="both"/>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其他要求：若投标人存在违约行为，扣除履约保证金，终止合同，并报请相关部门纳入黑名单处理。</w:t>
            </w:r>
          </w:p>
        </w:tc>
      </w:tr>
      <w:tr w14:paraId="2A35FB78">
        <w:tblPrEx>
          <w:tblCellMar>
            <w:top w:w="0" w:type="dxa"/>
            <w:left w:w="108" w:type="dxa"/>
            <w:bottom w:w="0" w:type="dxa"/>
            <w:right w:w="108" w:type="dxa"/>
          </w:tblCellMar>
        </w:tblPrEx>
        <w:trPr>
          <w:trHeight w:val="26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456858F">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8</w:t>
            </w:r>
          </w:p>
        </w:tc>
        <w:tc>
          <w:tcPr>
            <w:tcW w:w="3120" w:type="dxa"/>
            <w:tcBorders>
              <w:top w:val="single" w:color="auto" w:sz="4" w:space="0"/>
              <w:left w:val="single" w:color="auto" w:sz="4" w:space="0"/>
              <w:bottom w:val="single" w:color="auto" w:sz="4" w:space="0"/>
              <w:right w:val="single" w:color="auto" w:sz="4" w:space="0"/>
            </w:tcBorders>
            <w:vAlign w:val="center"/>
          </w:tcPr>
          <w:p w14:paraId="10EC00D2">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投标人代表出席开标会议</w:t>
            </w:r>
          </w:p>
        </w:tc>
        <w:tc>
          <w:tcPr>
            <w:tcW w:w="6479" w:type="dxa"/>
            <w:tcBorders>
              <w:top w:val="single" w:color="auto" w:sz="4" w:space="0"/>
              <w:left w:val="single" w:color="auto" w:sz="4" w:space="0"/>
              <w:bottom w:val="single" w:color="auto" w:sz="4" w:space="0"/>
              <w:right w:val="single" w:color="auto" w:sz="4" w:space="0"/>
            </w:tcBorders>
            <w:vAlign w:val="center"/>
          </w:tcPr>
          <w:p w14:paraId="120E6A2B">
            <w:pPr>
              <w:spacing w:line="440" w:lineRule="exact"/>
              <w:jc w:val="both"/>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本次招标采用电子招投标，不邀请投标人代表参加开标会议。</w:t>
            </w:r>
          </w:p>
        </w:tc>
      </w:tr>
      <w:tr w14:paraId="50609847">
        <w:tblPrEx>
          <w:tblCellMar>
            <w:top w:w="0" w:type="dxa"/>
            <w:left w:w="108" w:type="dxa"/>
            <w:bottom w:w="0" w:type="dxa"/>
            <w:right w:w="108" w:type="dxa"/>
          </w:tblCellMar>
        </w:tblPrEx>
        <w:trPr>
          <w:trHeight w:val="276"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445593E">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val="en-US" w:eastAsia="zh-CN"/>
              </w:rPr>
              <w:t>9</w:t>
            </w:r>
          </w:p>
        </w:tc>
        <w:tc>
          <w:tcPr>
            <w:tcW w:w="3120" w:type="dxa"/>
            <w:tcBorders>
              <w:top w:val="single" w:color="auto" w:sz="4" w:space="0"/>
              <w:left w:val="single" w:color="auto" w:sz="4" w:space="0"/>
              <w:bottom w:val="single" w:color="auto" w:sz="4" w:space="0"/>
              <w:right w:val="single" w:color="auto" w:sz="4" w:space="0"/>
            </w:tcBorders>
            <w:vAlign w:val="center"/>
          </w:tcPr>
          <w:p w14:paraId="3E48C1A6">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w:t>
            </w:r>
            <w:r>
              <w:rPr>
                <w:rFonts w:hint="eastAsia" w:ascii="微软雅黑" w:hAnsi="微软雅黑" w:eastAsia="微软雅黑" w:cs="微软雅黑"/>
                <w:b w:val="0"/>
                <w:bCs w:val="0"/>
                <w:color w:val="auto"/>
                <w:sz w:val="24"/>
                <w:szCs w:val="24"/>
                <w:highlight w:val="none"/>
              </w:rPr>
              <w:t>控制价</w:t>
            </w:r>
          </w:p>
        </w:tc>
        <w:tc>
          <w:tcPr>
            <w:tcW w:w="6479" w:type="dxa"/>
            <w:tcBorders>
              <w:top w:val="single" w:color="auto" w:sz="4" w:space="0"/>
              <w:left w:val="single" w:color="auto" w:sz="4" w:space="0"/>
              <w:bottom w:val="single" w:color="auto" w:sz="4" w:space="0"/>
              <w:right w:val="single" w:color="auto" w:sz="4" w:space="0"/>
            </w:tcBorders>
            <w:vAlign w:val="center"/>
          </w:tcPr>
          <w:p w14:paraId="2ECB2E58">
            <w:pPr>
              <w:spacing w:line="440" w:lineRule="exact"/>
              <w:jc w:val="both"/>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磋商最高限价：小写：68万元；大写：（陆拾捌万元）</w:t>
            </w:r>
          </w:p>
          <w:p w14:paraId="105BCFFA">
            <w:pPr>
              <w:spacing w:line="440" w:lineRule="exact"/>
              <w:jc w:val="both"/>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注：投标报价超过</w:t>
            </w:r>
            <w:r>
              <w:rPr>
                <w:rFonts w:hint="eastAsia" w:ascii="微软雅黑" w:hAnsi="微软雅黑" w:eastAsia="微软雅黑" w:cs="微软雅黑"/>
                <w:b w:val="0"/>
                <w:bCs w:val="0"/>
                <w:color w:val="auto"/>
                <w:sz w:val="24"/>
                <w:szCs w:val="24"/>
                <w:highlight w:val="none"/>
                <w:lang w:val="en-US" w:eastAsia="zh-CN"/>
              </w:rPr>
              <w:t>磋商</w:t>
            </w:r>
            <w:r>
              <w:rPr>
                <w:rFonts w:hint="eastAsia" w:ascii="微软雅黑" w:hAnsi="微软雅黑" w:eastAsia="微软雅黑" w:cs="微软雅黑"/>
                <w:b w:val="0"/>
                <w:bCs w:val="0"/>
                <w:color w:val="auto"/>
                <w:sz w:val="24"/>
                <w:szCs w:val="24"/>
                <w:highlight w:val="none"/>
                <w:lang w:eastAsia="zh-CN"/>
              </w:rPr>
              <w:t>控制价</w:t>
            </w:r>
            <w:r>
              <w:rPr>
                <w:rFonts w:hint="eastAsia" w:ascii="微软雅黑" w:hAnsi="微软雅黑" w:eastAsia="微软雅黑" w:cs="微软雅黑"/>
                <w:b w:val="0"/>
                <w:bCs w:val="0"/>
                <w:color w:val="auto"/>
                <w:sz w:val="24"/>
                <w:szCs w:val="24"/>
                <w:highlight w:val="none"/>
                <w:lang w:val="en-US" w:eastAsia="zh-CN"/>
              </w:rPr>
              <w:t>最高限价</w:t>
            </w:r>
            <w:r>
              <w:rPr>
                <w:rFonts w:hint="eastAsia" w:ascii="微软雅黑" w:hAnsi="微软雅黑" w:eastAsia="微软雅黑" w:cs="微软雅黑"/>
                <w:b w:val="0"/>
                <w:bCs w:val="0"/>
                <w:color w:val="auto"/>
                <w:sz w:val="24"/>
                <w:szCs w:val="24"/>
                <w:highlight w:val="none"/>
                <w:lang w:eastAsia="zh-CN"/>
              </w:rPr>
              <w:t>为无效报价。</w:t>
            </w:r>
          </w:p>
        </w:tc>
      </w:tr>
      <w:tr w14:paraId="6E483D79">
        <w:tblPrEx>
          <w:tblCellMar>
            <w:top w:w="0" w:type="dxa"/>
            <w:left w:w="108" w:type="dxa"/>
            <w:bottom w:w="0" w:type="dxa"/>
            <w:right w:w="108" w:type="dxa"/>
          </w:tblCellMar>
        </w:tblPrEx>
        <w:trPr>
          <w:trHeight w:val="518"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A339CB6">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10.</w:t>
            </w:r>
            <w:r>
              <w:rPr>
                <w:rFonts w:hint="eastAsia" w:ascii="微软雅黑" w:hAnsi="微软雅黑" w:eastAsia="微软雅黑" w:cs="微软雅黑"/>
                <w:b w:val="0"/>
                <w:bCs w:val="0"/>
                <w:color w:val="auto"/>
                <w:sz w:val="24"/>
                <w:szCs w:val="24"/>
                <w:highlight w:val="none"/>
                <w:lang w:val="en-US" w:eastAsia="zh-CN"/>
              </w:rPr>
              <w:t>1</w:t>
            </w:r>
          </w:p>
        </w:tc>
        <w:tc>
          <w:tcPr>
            <w:tcW w:w="3120" w:type="dxa"/>
            <w:tcBorders>
              <w:top w:val="single" w:color="auto" w:sz="4" w:space="0"/>
              <w:left w:val="single" w:color="auto" w:sz="4" w:space="0"/>
              <w:bottom w:val="single" w:color="auto" w:sz="4" w:space="0"/>
              <w:right w:val="single" w:color="auto" w:sz="4" w:space="0"/>
            </w:tcBorders>
            <w:vAlign w:val="center"/>
          </w:tcPr>
          <w:p w14:paraId="33CDBC5E">
            <w:pPr>
              <w:spacing w:line="440" w:lineRule="exact"/>
              <w:jc w:val="center"/>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有关费用承担</w:t>
            </w:r>
          </w:p>
        </w:tc>
        <w:tc>
          <w:tcPr>
            <w:tcW w:w="6479" w:type="dxa"/>
            <w:tcBorders>
              <w:top w:val="single" w:color="auto" w:sz="4" w:space="0"/>
              <w:left w:val="single" w:color="auto" w:sz="4" w:space="0"/>
              <w:bottom w:val="single" w:color="auto" w:sz="4" w:space="0"/>
              <w:right w:val="single" w:color="auto" w:sz="4" w:space="0"/>
            </w:tcBorders>
          </w:tcPr>
          <w:p w14:paraId="683AE4E5">
            <w:pPr>
              <w:spacing w:line="440" w:lineRule="exact"/>
              <w:jc w:val="lef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（1）</w:t>
            </w:r>
            <w:r>
              <w:rPr>
                <w:rFonts w:hint="eastAsia" w:ascii="微软雅黑" w:hAnsi="微软雅黑" w:eastAsia="微软雅黑" w:cs="微软雅黑"/>
                <w:b w:val="0"/>
                <w:bCs w:val="0"/>
                <w:color w:val="auto"/>
                <w:sz w:val="24"/>
                <w:szCs w:val="24"/>
                <w:highlight w:val="none"/>
                <w:lang w:val="en-US" w:eastAsia="zh-CN"/>
              </w:rPr>
              <w:t>投标产生的</w:t>
            </w:r>
            <w:r>
              <w:rPr>
                <w:rFonts w:hint="eastAsia" w:ascii="微软雅黑" w:hAnsi="微软雅黑" w:eastAsia="微软雅黑" w:cs="微软雅黑"/>
                <w:b w:val="0"/>
                <w:bCs w:val="0"/>
                <w:color w:val="auto"/>
                <w:sz w:val="24"/>
                <w:szCs w:val="24"/>
                <w:highlight w:val="none"/>
                <w:lang w:eastAsia="zh-CN"/>
              </w:rPr>
              <w:t>相关费用</w:t>
            </w:r>
            <w:r>
              <w:rPr>
                <w:rFonts w:hint="eastAsia" w:ascii="微软雅黑" w:hAnsi="微软雅黑" w:eastAsia="微软雅黑" w:cs="微软雅黑"/>
                <w:b w:val="0"/>
                <w:bCs w:val="0"/>
                <w:color w:val="auto"/>
                <w:sz w:val="24"/>
                <w:szCs w:val="24"/>
                <w:highlight w:val="none"/>
              </w:rPr>
              <w:t>由</w:t>
            </w:r>
            <w:r>
              <w:rPr>
                <w:rFonts w:hint="eastAsia" w:ascii="微软雅黑" w:hAnsi="微软雅黑" w:eastAsia="微软雅黑" w:cs="微软雅黑"/>
                <w:b w:val="0"/>
                <w:bCs w:val="0"/>
                <w:color w:val="auto"/>
                <w:sz w:val="24"/>
                <w:szCs w:val="24"/>
                <w:highlight w:val="none"/>
                <w:lang w:val="en-US" w:eastAsia="zh-CN"/>
              </w:rPr>
              <w:t>投</w:t>
            </w:r>
            <w:r>
              <w:rPr>
                <w:rFonts w:hint="eastAsia" w:ascii="微软雅黑" w:hAnsi="微软雅黑" w:eastAsia="微软雅黑" w:cs="微软雅黑"/>
                <w:b w:val="0"/>
                <w:bCs w:val="0"/>
                <w:color w:val="auto"/>
                <w:sz w:val="24"/>
                <w:szCs w:val="24"/>
                <w:highlight w:val="none"/>
              </w:rPr>
              <w:t>标人</w:t>
            </w:r>
            <w:r>
              <w:rPr>
                <w:rFonts w:hint="eastAsia" w:ascii="微软雅黑" w:hAnsi="微软雅黑" w:eastAsia="微软雅黑" w:cs="微软雅黑"/>
                <w:b w:val="0"/>
                <w:bCs w:val="0"/>
                <w:color w:val="auto"/>
                <w:sz w:val="24"/>
                <w:szCs w:val="24"/>
                <w:highlight w:val="none"/>
                <w:lang w:val="en-US" w:eastAsia="zh-CN"/>
              </w:rPr>
              <w:t>自行</w:t>
            </w:r>
            <w:r>
              <w:rPr>
                <w:rFonts w:hint="eastAsia" w:ascii="微软雅黑" w:hAnsi="微软雅黑" w:eastAsia="微软雅黑" w:cs="微软雅黑"/>
                <w:b w:val="0"/>
                <w:bCs w:val="0"/>
                <w:color w:val="auto"/>
                <w:sz w:val="24"/>
                <w:szCs w:val="24"/>
                <w:highlight w:val="none"/>
              </w:rPr>
              <w:t>承担</w:t>
            </w:r>
            <w:r>
              <w:rPr>
                <w:rFonts w:hint="eastAsia" w:ascii="微软雅黑" w:hAnsi="微软雅黑" w:eastAsia="微软雅黑" w:cs="微软雅黑"/>
                <w:b w:val="0"/>
                <w:bCs w:val="0"/>
                <w:color w:val="auto"/>
                <w:sz w:val="24"/>
                <w:szCs w:val="24"/>
                <w:highlight w:val="none"/>
                <w:lang w:eastAsia="zh-CN"/>
              </w:rPr>
              <w:t>。</w:t>
            </w:r>
          </w:p>
          <w:p w14:paraId="005D86FC">
            <w:pPr>
              <w:spacing w:line="440" w:lineRule="exact"/>
              <w:jc w:val="left"/>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rPr>
              <w:t>（2）招标代理服务费：</w:t>
            </w:r>
            <w:r>
              <w:rPr>
                <w:rFonts w:hint="eastAsia" w:ascii="微软雅黑" w:hAnsi="微软雅黑" w:eastAsia="微软雅黑" w:cs="微软雅黑"/>
                <w:b w:val="0"/>
                <w:bCs w:val="0"/>
                <w:color w:val="auto"/>
                <w:sz w:val="24"/>
                <w:szCs w:val="24"/>
                <w:highlight w:val="none"/>
                <w:lang w:val="en-US" w:eastAsia="zh-CN"/>
              </w:rPr>
              <w:t>参</w:t>
            </w:r>
            <w:r>
              <w:rPr>
                <w:rFonts w:hint="eastAsia" w:ascii="微软雅黑" w:hAnsi="微软雅黑" w:eastAsia="微软雅黑" w:cs="微软雅黑"/>
                <w:b w:val="0"/>
                <w:bCs w:val="0"/>
                <w:color w:val="auto"/>
                <w:sz w:val="24"/>
                <w:szCs w:val="24"/>
                <w:highlight w:val="none"/>
              </w:rPr>
              <w:t>照</w:t>
            </w:r>
            <w:r>
              <w:rPr>
                <w:rFonts w:hint="eastAsia" w:ascii="微软雅黑" w:hAnsi="微软雅黑" w:eastAsia="微软雅黑" w:cs="微软雅黑"/>
                <w:b w:val="0"/>
                <w:bCs w:val="0"/>
                <w:color w:val="auto"/>
                <w:sz w:val="24"/>
                <w:szCs w:val="24"/>
                <w:highlight w:val="none"/>
                <w:lang w:val="en-US" w:eastAsia="zh-CN"/>
              </w:rPr>
              <w:t>《云南省建设工程招标代理服务收费指导意见》云建招协【2024】58号文规定标准收取</w:t>
            </w:r>
            <w:r>
              <w:rPr>
                <w:rFonts w:hint="eastAsia" w:ascii="微软雅黑" w:hAnsi="微软雅黑" w:eastAsia="微软雅黑" w:cs="微软雅黑"/>
                <w:b w:val="0"/>
                <w:bCs w:val="0"/>
                <w:color w:val="auto"/>
                <w:sz w:val="24"/>
                <w:szCs w:val="24"/>
                <w:highlight w:val="none"/>
                <w:lang w:val="zh-CN" w:eastAsia="zh-CN"/>
              </w:rPr>
              <w:t>，</w:t>
            </w:r>
            <w:r>
              <w:rPr>
                <w:rFonts w:hint="eastAsia" w:ascii="微软雅黑" w:hAnsi="微软雅黑" w:eastAsia="微软雅黑" w:cs="微软雅黑"/>
                <w:b w:val="0"/>
                <w:bCs w:val="0"/>
                <w:color w:val="auto"/>
                <w:sz w:val="24"/>
                <w:szCs w:val="24"/>
                <w:highlight w:val="none"/>
                <w:lang w:val="en-US" w:eastAsia="zh-CN"/>
              </w:rPr>
              <w:t>本项目的代理费为：8000.00元；</w:t>
            </w:r>
            <w:r>
              <w:rPr>
                <w:rFonts w:hint="eastAsia" w:ascii="微软雅黑" w:hAnsi="微软雅黑" w:eastAsia="微软雅黑" w:cs="微软雅黑"/>
                <w:b w:val="0"/>
                <w:bCs w:val="0"/>
                <w:color w:val="auto"/>
                <w:sz w:val="24"/>
                <w:szCs w:val="24"/>
                <w:highlight w:val="none"/>
                <w:lang w:val="zh-CN" w:eastAsia="zh-CN"/>
              </w:rPr>
              <w:t>由中标人向招标代理机构支付</w:t>
            </w:r>
            <w:r>
              <w:rPr>
                <w:rFonts w:hint="eastAsia" w:ascii="微软雅黑" w:hAnsi="微软雅黑" w:eastAsia="微软雅黑" w:cs="微软雅黑"/>
                <w:b w:val="0"/>
                <w:bCs w:val="0"/>
                <w:color w:val="auto"/>
                <w:sz w:val="24"/>
                <w:szCs w:val="24"/>
                <w:highlight w:val="none"/>
              </w:rPr>
              <w:t>。</w:t>
            </w:r>
          </w:p>
        </w:tc>
      </w:tr>
      <w:tr w14:paraId="2BEAFAA2">
        <w:tblPrEx>
          <w:tblCellMar>
            <w:top w:w="0" w:type="dxa"/>
            <w:left w:w="108" w:type="dxa"/>
            <w:bottom w:w="0" w:type="dxa"/>
            <w:right w:w="108" w:type="dxa"/>
          </w:tblCellMar>
        </w:tblPrEx>
        <w:trPr>
          <w:trHeight w:val="415"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22F4EBEF">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10.2</w:t>
            </w:r>
          </w:p>
        </w:tc>
        <w:tc>
          <w:tcPr>
            <w:tcW w:w="3120" w:type="dxa"/>
            <w:tcBorders>
              <w:top w:val="single" w:color="auto" w:sz="4" w:space="0"/>
              <w:left w:val="single" w:color="auto" w:sz="4" w:space="0"/>
              <w:bottom w:val="single" w:color="auto" w:sz="4" w:space="0"/>
              <w:right w:val="single" w:color="auto" w:sz="4" w:space="0"/>
            </w:tcBorders>
            <w:vAlign w:val="center"/>
          </w:tcPr>
          <w:p w14:paraId="70C2CCE2">
            <w:pPr>
              <w:spacing w:line="440" w:lineRule="exact"/>
              <w:jc w:val="center"/>
              <w:rPr>
                <w:rFonts w:hint="eastAsia" w:ascii="微软雅黑" w:hAnsi="微软雅黑" w:eastAsia="微软雅黑" w:cs="微软雅黑"/>
                <w:b w:val="0"/>
                <w:bCs w:val="0"/>
                <w:color w:val="auto"/>
                <w:sz w:val="24"/>
                <w:szCs w:val="24"/>
                <w:highlight w:val="none"/>
                <w:lang w:eastAsia="zh-CN"/>
              </w:rPr>
            </w:pPr>
            <w:r>
              <w:rPr>
                <w:rFonts w:hint="eastAsia" w:ascii="微软雅黑" w:hAnsi="微软雅黑" w:eastAsia="微软雅黑" w:cs="微软雅黑"/>
                <w:b w:val="0"/>
                <w:bCs w:val="0"/>
                <w:color w:val="auto"/>
                <w:sz w:val="24"/>
                <w:szCs w:val="24"/>
                <w:highlight w:val="none"/>
                <w:lang w:eastAsia="zh-CN"/>
              </w:rPr>
              <w:t>增补内容</w:t>
            </w:r>
          </w:p>
        </w:tc>
        <w:tc>
          <w:tcPr>
            <w:tcW w:w="6479" w:type="dxa"/>
            <w:tcBorders>
              <w:top w:val="single" w:color="auto" w:sz="4" w:space="0"/>
              <w:left w:val="single" w:color="auto" w:sz="4" w:space="0"/>
              <w:bottom w:val="single" w:color="auto" w:sz="4" w:space="0"/>
              <w:right w:val="single" w:color="auto" w:sz="4" w:space="0"/>
            </w:tcBorders>
          </w:tcPr>
          <w:p w14:paraId="67888CDD">
            <w:pPr>
              <w:spacing w:line="440" w:lineRule="exact"/>
              <w:jc w:val="lef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eastAsia="zh-CN"/>
              </w:rPr>
              <w:t>竞争性磋商文件中：“招标人”和“采购人</w:t>
            </w:r>
            <w:r>
              <w:rPr>
                <w:rFonts w:hint="eastAsia" w:ascii="微软雅黑" w:hAnsi="微软雅黑" w:eastAsia="微软雅黑" w:cs="微软雅黑"/>
                <w:b w:val="0"/>
                <w:bCs w:val="0"/>
                <w:color w:val="auto"/>
                <w:sz w:val="24"/>
                <w:szCs w:val="24"/>
                <w:highlight w:val="none"/>
                <w:lang w:val="en-US" w:eastAsia="zh-CN"/>
              </w:rPr>
              <w:t>”为同义词。“投标人”和“磋商申请人、投标申请人、供应商”为同义词。“投标文件”和“投标响应文件、磋商响应文件”为同义词。“招标文件”和“竞争性磋商文件”文同义词。</w:t>
            </w:r>
          </w:p>
        </w:tc>
      </w:tr>
      <w:tr w14:paraId="122955B4">
        <w:tblPrEx>
          <w:tblCellMar>
            <w:top w:w="0" w:type="dxa"/>
            <w:left w:w="108" w:type="dxa"/>
            <w:bottom w:w="0" w:type="dxa"/>
            <w:right w:w="108" w:type="dxa"/>
          </w:tblCellMar>
        </w:tblPrEx>
        <w:trPr>
          <w:trHeight w:val="209"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77A5CF1D">
            <w:pPr>
              <w:spacing w:line="440" w:lineRule="exact"/>
              <w:jc w:val="center"/>
              <w:rPr>
                <w:rFonts w:hint="default" w:ascii="微软雅黑" w:hAnsi="微软雅黑" w:eastAsia="微软雅黑" w:cs="微软雅黑"/>
                <w:b w:val="0"/>
                <w:bCs w:val="0"/>
                <w:color w:val="auto"/>
                <w:sz w:val="24"/>
                <w:szCs w:val="24"/>
                <w:highlight w:val="none"/>
                <w:lang w:val="en-US" w:eastAsia="zh-CN"/>
              </w:rPr>
            </w:pPr>
            <w:bookmarkStart w:id="43" w:name="_Toc508214080"/>
            <w:r>
              <w:rPr>
                <w:rFonts w:hint="eastAsia" w:ascii="微软雅黑" w:hAnsi="微软雅黑" w:eastAsia="微软雅黑" w:cs="微软雅黑"/>
                <w:b w:val="0"/>
                <w:bCs w:val="0"/>
                <w:color w:val="auto"/>
                <w:sz w:val="24"/>
                <w:szCs w:val="24"/>
                <w:highlight w:val="none"/>
                <w:lang w:val="en-US" w:eastAsia="zh-CN"/>
              </w:rPr>
              <w:t>11</w:t>
            </w:r>
          </w:p>
        </w:tc>
        <w:tc>
          <w:tcPr>
            <w:tcW w:w="3120" w:type="dxa"/>
            <w:tcBorders>
              <w:top w:val="single" w:color="auto" w:sz="4" w:space="0"/>
              <w:left w:val="single" w:color="auto" w:sz="4" w:space="0"/>
              <w:bottom w:val="single" w:color="auto" w:sz="4" w:space="0"/>
              <w:right w:val="single" w:color="auto" w:sz="4" w:space="0"/>
            </w:tcBorders>
            <w:vAlign w:val="center"/>
          </w:tcPr>
          <w:p w14:paraId="1C311F27">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落实政府采购政策需满足的资格要求</w:t>
            </w:r>
          </w:p>
        </w:tc>
        <w:tc>
          <w:tcPr>
            <w:tcW w:w="6479" w:type="dxa"/>
            <w:tcBorders>
              <w:top w:val="single" w:color="auto" w:sz="4" w:space="0"/>
              <w:left w:val="single" w:color="auto" w:sz="4" w:space="0"/>
              <w:bottom w:val="single" w:color="auto" w:sz="4" w:space="0"/>
              <w:right w:val="single" w:color="auto" w:sz="4" w:space="0"/>
            </w:tcBorders>
            <w:vAlign w:val="center"/>
          </w:tcPr>
          <w:p w14:paraId="51EDFD10">
            <w:pPr>
              <w:spacing w:line="440" w:lineRule="exact"/>
              <w:jc w:val="left"/>
              <w:rPr>
                <w:rFonts w:hint="eastAsia"/>
                <w:color w:val="auto"/>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本项目</w:t>
            </w:r>
            <w:r>
              <w:rPr>
                <w:rFonts w:hint="eastAsia" w:ascii="微软雅黑 Light" w:hAnsi="微软雅黑 Light" w:eastAsia="微软雅黑 Light" w:cs="微软雅黑 Light"/>
                <w:sz w:val="24"/>
                <w:szCs w:val="24"/>
                <w:highlight w:val="none"/>
                <w:lang w:val="en-US" w:eastAsia="zh-CN"/>
              </w:rPr>
              <w:t>采购面向中小微企业整体预留。</w:t>
            </w:r>
          </w:p>
        </w:tc>
      </w:tr>
      <w:tr w14:paraId="2F97A44F">
        <w:tblPrEx>
          <w:tblCellMar>
            <w:top w:w="0" w:type="dxa"/>
            <w:left w:w="108" w:type="dxa"/>
            <w:bottom w:w="0" w:type="dxa"/>
            <w:right w:w="108" w:type="dxa"/>
          </w:tblCellMar>
        </w:tblPrEx>
        <w:trPr>
          <w:trHeight w:val="31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355998DF">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12</w:t>
            </w:r>
          </w:p>
        </w:tc>
        <w:tc>
          <w:tcPr>
            <w:tcW w:w="3120" w:type="dxa"/>
            <w:tcBorders>
              <w:top w:val="single" w:color="auto" w:sz="4" w:space="0"/>
              <w:left w:val="single" w:color="auto" w:sz="4" w:space="0"/>
              <w:bottom w:val="single" w:color="auto" w:sz="4" w:space="0"/>
              <w:right w:val="single" w:color="auto" w:sz="4" w:space="0"/>
            </w:tcBorders>
            <w:vAlign w:val="center"/>
          </w:tcPr>
          <w:p w14:paraId="2F77BA5A">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响应文件的解密方式</w:t>
            </w:r>
          </w:p>
        </w:tc>
        <w:tc>
          <w:tcPr>
            <w:tcW w:w="6479" w:type="dxa"/>
            <w:tcBorders>
              <w:top w:val="single" w:color="auto" w:sz="4" w:space="0"/>
              <w:left w:val="single" w:color="auto" w:sz="4" w:space="0"/>
              <w:bottom w:val="single" w:color="auto" w:sz="4" w:space="0"/>
              <w:right w:val="single" w:color="auto" w:sz="4" w:space="0"/>
            </w:tcBorders>
            <w:vAlign w:val="center"/>
          </w:tcPr>
          <w:p w14:paraId="2200B64B">
            <w:pPr>
              <w:spacing w:line="440" w:lineRule="exact"/>
              <w:jc w:val="lef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在线解密。供应商须提前在自有场地配置有音视频通话（带摄像头及话筒的电脑）功能的相应设备及稳定网络的环境下，并按政府采购云平台开标大厅中的提示完成在线解密。</w:t>
            </w:r>
          </w:p>
        </w:tc>
      </w:tr>
      <w:tr w14:paraId="4D72A458">
        <w:tblPrEx>
          <w:tblCellMar>
            <w:top w:w="0" w:type="dxa"/>
            <w:left w:w="108" w:type="dxa"/>
            <w:bottom w:w="0" w:type="dxa"/>
            <w:right w:w="108" w:type="dxa"/>
          </w:tblCellMar>
        </w:tblPrEx>
        <w:trPr>
          <w:trHeight w:val="312"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4F81EE5A">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13</w:t>
            </w:r>
          </w:p>
        </w:tc>
        <w:tc>
          <w:tcPr>
            <w:tcW w:w="3120" w:type="dxa"/>
            <w:tcBorders>
              <w:top w:val="single" w:color="auto" w:sz="4" w:space="0"/>
              <w:left w:val="single" w:color="auto" w:sz="4" w:space="0"/>
              <w:bottom w:val="single" w:color="auto" w:sz="4" w:space="0"/>
              <w:right w:val="single" w:color="auto" w:sz="4" w:space="0"/>
            </w:tcBorders>
            <w:vAlign w:val="center"/>
          </w:tcPr>
          <w:p w14:paraId="215C7E77">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磋商报价</w:t>
            </w:r>
          </w:p>
        </w:tc>
        <w:tc>
          <w:tcPr>
            <w:tcW w:w="6479" w:type="dxa"/>
            <w:tcBorders>
              <w:top w:val="single" w:color="auto" w:sz="4" w:space="0"/>
              <w:left w:val="single" w:color="auto" w:sz="4" w:space="0"/>
              <w:bottom w:val="single" w:color="auto" w:sz="4" w:space="0"/>
              <w:right w:val="single" w:color="auto" w:sz="4" w:space="0"/>
            </w:tcBorders>
            <w:vAlign w:val="center"/>
          </w:tcPr>
          <w:p w14:paraId="0C520CA0">
            <w:pPr>
              <w:spacing w:line="440" w:lineRule="exact"/>
              <w:jc w:val="lef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本项目实行两次报价（供应商首次递交的响应文件报价为第一次报价，通过资格审查、符合性审查的供应商提交的报价为二次报价），二次报价为供应商最终报价。</w:t>
            </w:r>
          </w:p>
        </w:tc>
      </w:tr>
      <w:tr w14:paraId="40D147D5">
        <w:tblPrEx>
          <w:tblCellMar>
            <w:top w:w="0" w:type="dxa"/>
            <w:left w:w="108" w:type="dxa"/>
            <w:bottom w:w="0" w:type="dxa"/>
            <w:right w:w="108" w:type="dxa"/>
          </w:tblCellMar>
        </w:tblPrEx>
        <w:trPr>
          <w:trHeight w:val="1471" w:hRule="atLeast"/>
          <w:jc w:val="center"/>
        </w:trPr>
        <w:tc>
          <w:tcPr>
            <w:tcW w:w="980" w:type="dxa"/>
            <w:tcBorders>
              <w:top w:val="single" w:color="auto" w:sz="4" w:space="0"/>
              <w:left w:val="single" w:color="auto" w:sz="4" w:space="0"/>
              <w:bottom w:val="single" w:color="auto" w:sz="4" w:space="0"/>
              <w:right w:val="single" w:color="auto" w:sz="4" w:space="0"/>
            </w:tcBorders>
            <w:vAlign w:val="center"/>
          </w:tcPr>
          <w:p w14:paraId="0FDE4A07">
            <w:pPr>
              <w:spacing w:line="440" w:lineRule="exact"/>
              <w:jc w:val="center"/>
              <w:rPr>
                <w:rFonts w:hint="default"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13.1</w:t>
            </w:r>
          </w:p>
        </w:tc>
        <w:tc>
          <w:tcPr>
            <w:tcW w:w="3120" w:type="dxa"/>
            <w:tcBorders>
              <w:top w:val="single" w:color="auto" w:sz="4" w:space="0"/>
              <w:left w:val="single" w:color="auto" w:sz="4" w:space="0"/>
              <w:bottom w:val="single" w:color="auto" w:sz="4" w:space="0"/>
              <w:right w:val="single" w:color="auto" w:sz="4" w:space="0"/>
            </w:tcBorders>
            <w:vAlign w:val="center"/>
          </w:tcPr>
          <w:p w14:paraId="4FDC0689">
            <w:pPr>
              <w:spacing w:line="440" w:lineRule="exact"/>
              <w:jc w:val="center"/>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二次报价</w:t>
            </w:r>
          </w:p>
        </w:tc>
        <w:tc>
          <w:tcPr>
            <w:tcW w:w="6479" w:type="dxa"/>
            <w:tcBorders>
              <w:top w:val="single" w:color="auto" w:sz="4" w:space="0"/>
              <w:left w:val="single" w:color="auto" w:sz="4" w:space="0"/>
              <w:bottom w:val="single" w:color="auto" w:sz="4" w:space="0"/>
              <w:right w:val="single" w:color="auto" w:sz="4" w:space="0"/>
            </w:tcBorders>
            <w:vAlign w:val="center"/>
          </w:tcPr>
          <w:p w14:paraId="157E3B6D">
            <w:pPr>
              <w:spacing w:line="440" w:lineRule="exact"/>
              <w:jc w:val="lef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1.磋商小组在政采云平台上发起二次报价后，通过资格审查、符合性审查的供应商从政采云平台上下载附件《二次报价表》，按照格式在规定时间内进行填报并上传。</w:t>
            </w:r>
          </w:p>
          <w:p w14:paraId="0DD183B9">
            <w:pPr>
              <w:spacing w:line="440" w:lineRule="exact"/>
              <w:jc w:val="left"/>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2.请供应商务必在规定的时间内进行二次报价并上传经电子签章后的《二次报价表》，同时保持通讯工具畅通。若供应商未在规定的时间内进行二次报价或联系不上的，磋商小组将视为其放弃二次报价。若因供应商自身原因导致出现以上情况的，供应商自行承担评审结果，与采购人和采购代理机构无关。</w:t>
            </w:r>
          </w:p>
          <w:p w14:paraId="2F0B40D8">
            <w:pPr>
              <w:pStyle w:val="30"/>
              <w:rPr>
                <w:rFonts w:hint="eastAsia" w:ascii="微软雅黑" w:hAnsi="微软雅黑" w:eastAsia="微软雅黑" w:cs="微软雅黑"/>
                <w:b w:val="0"/>
                <w:bCs w:val="0"/>
                <w:caps w:val="0"/>
                <w:color w:val="auto"/>
                <w:kern w:val="2"/>
                <w:sz w:val="24"/>
                <w:szCs w:val="24"/>
                <w:highlight w:val="none"/>
                <w:lang w:val="en-US" w:eastAsia="zh-CN" w:bidi="ar-SA"/>
              </w:rPr>
            </w:pPr>
            <w:r>
              <w:rPr>
                <w:rFonts w:hint="eastAsia" w:ascii="微软雅黑" w:hAnsi="微软雅黑" w:eastAsia="微软雅黑" w:cs="微软雅黑"/>
                <w:b w:val="0"/>
                <w:bCs w:val="0"/>
                <w:caps w:val="0"/>
                <w:color w:val="auto"/>
                <w:kern w:val="2"/>
                <w:sz w:val="24"/>
                <w:szCs w:val="24"/>
                <w:highlight w:val="none"/>
                <w:lang w:val="en-US" w:eastAsia="zh-CN" w:bidi="ar-SA"/>
              </w:rPr>
              <w:t>3.投标人进行两轮报价，分为投标文件中的第一轮报价和第二轮报价（最终报价），第二轮报价（最终报价）部分由磋商小组就本竞争性磋商文件技术标准和要求、价格及磋商小组认为与本次项目有关的因素与供应商进行磋商。</w:t>
            </w:r>
          </w:p>
          <w:p w14:paraId="272AA149">
            <w:pPr>
              <w:pStyle w:val="30"/>
              <w:rPr>
                <w:rFonts w:hint="default"/>
                <w:color w:val="auto"/>
                <w:highlight w:val="none"/>
                <w:lang w:val="en-US" w:eastAsia="zh-CN"/>
              </w:rPr>
            </w:pPr>
            <w:r>
              <w:rPr>
                <w:rFonts w:hint="eastAsia" w:ascii="微软雅黑" w:hAnsi="微软雅黑" w:eastAsia="微软雅黑" w:cs="微软雅黑"/>
                <w:b w:val="0"/>
                <w:bCs w:val="0"/>
                <w:caps w:val="0"/>
                <w:color w:val="auto"/>
                <w:kern w:val="2"/>
                <w:sz w:val="24"/>
                <w:szCs w:val="24"/>
                <w:highlight w:val="none"/>
                <w:lang w:val="en-US" w:eastAsia="zh-CN" w:bidi="ar-SA"/>
              </w:rPr>
              <w:t>第二轮报价（最终报价）时限为发起报价后按系统规定时间内完成。</w:t>
            </w:r>
          </w:p>
        </w:tc>
      </w:tr>
    </w:tbl>
    <w:p w14:paraId="6008919C">
      <w:pPr>
        <w:pStyle w:val="3"/>
        <w:spacing w:before="120" w:after="120" w:line="240" w:lineRule="auto"/>
        <w:jc w:val="center"/>
        <w:rPr>
          <w:rFonts w:hint="eastAsia" w:ascii="微软雅黑" w:hAnsi="微软雅黑" w:eastAsia="微软雅黑" w:cs="微软雅黑"/>
          <w:b w:val="0"/>
          <w:bCs w:val="0"/>
          <w:color w:val="auto"/>
          <w:sz w:val="32"/>
          <w:szCs w:val="32"/>
          <w:highlight w:val="none"/>
        </w:rPr>
      </w:pPr>
      <w:bookmarkStart w:id="44" w:name="_Toc29018"/>
      <w:bookmarkStart w:id="45" w:name="_Toc15822"/>
      <w:bookmarkStart w:id="46" w:name="_Toc12552"/>
      <w:bookmarkStart w:id="47" w:name="_Toc10696"/>
      <w:bookmarkStart w:id="48" w:name="_Toc11196"/>
      <w:bookmarkStart w:id="49" w:name="_Toc14900"/>
      <w:r>
        <w:rPr>
          <w:rFonts w:hint="eastAsia" w:ascii="微软雅黑" w:hAnsi="微软雅黑" w:eastAsia="微软雅黑" w:cs="微软雅黑"/>
          <w:b w:val="0"/>
          <w:bCs w:val="0"/>
          <w:color w:val="auto"/>
          <w:sz w:val="32"/>
          <w:szCs w:val="32"/>
          <w:highlight w:val="none"/>
          <w:lang w:eastAsia="zh-CN"/>
        </w:rPr>
        <w:t>磋商申请人</w:t>
      </w:r>
      <w:r>
        <w:rPr>
          <w:rFonts w:hint="eastAsia" w:ascii="微软雅黑" w:hAnsi="微软雅黑" w:eastAsia="微软雅黑" w:cs="微软雅黑"/>
          <w:b w:val="0"/>
          <w:bCs w:val="0"/>
          <w:color w:val="auto"/>
          <w:sz w:val="32"/>
          <w:szCs w:val="32"/>
          <w:highlight w:val="none"/>
        </w:rPr>
        <w:t>须知正文</w:t>
      </w:r>
      <w:bookmarkEnd w:id="43"/>
      <w:bookmarkEnd w:id="44"/>
      <w:bookmarkEnd w:id="45"/>
      <w:bookmarkEnd w:id="46"/>
      <w:bookmarkEnd w:id="47"/>
      <w:bookmarkEnd w:id="48"/>
      <w:bookmarkEnd w:id="49"/>
    </w:p>
    <w:p w14:paraId="5126D40C">
      <w:pPr>
        <w:pStyle w:val="149"/>
        <w:keepNext/>
        <w:keepLines/>
        <w:jc w:val="both"/>
        <w:outlineLvl w:val="1"/>
        <w:rPr>
          <w:rFonts w:hint="eastAsia" w:ascii="宋体" w:hAnsi="Times New Roman" w:eastAsia="宋体" w:cs="宋体"/>
          <w:b w:val="0"/>
          <w:bCs w:val="0"/>
          <w:color w:val="auto"/>
          <w:sz w:val="28"/>
          <w:szCs w:val="24"/>
          <w:highlight w:val="none"/>
          <w:lang w:val="en-US" w:eastAsia="zh-CN" w:bidi="ar-SA"/>
        </w:rPr>
      </w:pPr>
      <w:bookmarkStart w:id="50" w:name="_Toc1098"/>
      <w:bookmarkStart w:id="51" w:name="_Toc6898"/>
      <w:bookmarkStart w:id="52" w:name="_Toc462164500"/>
      <w:bookmarkStart w:id="53" w:name="_Toc349724789"/>
      <w:bookmarkStart w:id="54" w:name="_Toc4273"/>
      <w:r>
        <w:rPr>
          <w:rFonts w:hint="eastAsia" w:ascii="宋体" w:hAnsi="Times New Roman" w:eastAsia="宋体" w:cs="宋体"/>
          <w:b w:val="0"/>
          <w:bCs w:val="0"/>
          <w:color w:val="auto"/>
          <w:sz w:val="28"/>
          <w:szCs w:val="24"/>
          <w:highlight w:val="none"/>
          <w:lang w:val="en-US" w:eastAsia="zh-CN" w:bidi="ar-SA"/>
        </w:rPr>
        <w:t xml:space="preserve">1. 总则 </w:t>
      </w:r>
    </w:p>
    <w:p w14:paraId="51D83F58">
      <w:pPr>
        <w:pStyle w:val="114"/>
        <w:spacing w:line="240" w:lineRule="auto"/>
        <w:rPr>
          <w:rFonts w:cs="宋体"/>
          <w:color w:val="auto"/>
          <w:sz w:val="28"/>
          <w:highlight w:val="none"/>
        </w:rPr>
      </w:pPr>
      <w:r>
        <w:rPr>
          <w:rFonts w:hint="eastAsia" w:cs="宋体"/>
          <w:color w:val="auto"/>
          <w:sz w:val="28"/>
          <w:highlight w:val="none"/>
        </w:rPr>
        <w:t xml:space="preserve">1.1项目概况 </w:t>
      </w:r>
    </w:p>
    <w:p w14:paraId="1590C8A6">
      <w:pPr>
        <w:pStyle w:val="114"/>
        <w:spacing w:line="500" w:lineRule="exact"/>
        <w:rPr>
          <w:rFonts w:cs="宋体"/>
          <w:color w:val="auto"/>
          <w:highlight w:val="none"/>
        </w:rPr>
      </w:pPr>
      <w:r>
        <w:rPr>
          <w:rFonts w:hint="eastAsia" w:cs="宋体"/>
          <w:color w:val="auto"/>
          <w:highlight w:val="none"/>
        </w:rPr>
        <w:t>1.1.1根据</w:t>
      </w:r>
      <w:r>
        <w:rPr>
          <w:rFonts w:hint="eastAsia" w:cs="宋体"/>
          <w:color w:val="auto"/>
          <w:szCs w:val="24"/>
          <w:highlight w:val="none"/>
        </w:rPr>
        <w:t>《中华人民共和国政府采购法》、《政府采购竞争性磋商采购方式管理暂行办法》</w:t>
      </w:r>
      <w:r>
        <w:rPr>
          <w:rFonts w:hint="eastAsia" w:cs="宋体"/>
          <w:color w:val="auto"/>
          <w:highlight w:val="none"/>
        </w:rPr>
        <w:t xml:space="preserve">等有关法律、法规和规章的规定，本采购项目已具备采购条件，现进行竞争性磋商采购。 </w:t>
      </w:r>
    </w:p>
    <w:p w14:paraId="43D30BDB">
      <w:pPr>
        <w:pStyle w:val="114"/>
        <w:spacing w:line="500" w:lineRule="exact"/>
        <w:rPr>
          <w:rFonts w:cs="宋体"/>
          <w:color w:val="auto"/>
          <w:highlight w:val="none"/>
        </w:rPr>
      </w:pPr>
      <w:r>
        <w:rPr>
          <w:rFonts w:hint="eastAsia" w:cs="宋体"/>
          <w:color w:val="auto"/>
          <w:highlight w:val="none"/>
        </w:rPr>
        <w:t>1.1.2 采购人：见</w:t>
      </w:r>
      <w:r>
        <w:rPr>
          <w:rFonts w:hint="eastAsia" w:cs="宋体"/>
          <w:color w:val="auto"/>
          <w:highlight w:val="none"/>
          <w:lang w:val="en-US" w:eastAsia="zh-CN"/>
        </w:rPr>
        <w:t>申请人</w:t>
      </w:r>
      <w:r>
        <w:rPr>
          <w:rFonts w:hint="eastAsia" w:cs="宋体"/>
          <w:color w:val="auto"/>
          <w:highlight w:val="none"/>
        </w:rPr>
        <w:t xml:space="preserve">须知前附表。 </w:t>
      </w:r>
    </w:p>
    <w:p w14:paraId="7D9F5361">
      <w:pPr>
        <w:pStyle w:val="114"/>
        <w:spacing w:line="500" w:lineRule="exact"/>
        <w:rPr>
          <w:rFonts w:cs="宋体"/>
          <w:color w:val="auto"/>
          <w:highlight w:val="none"/>
        </w:rPr>
      </w:pPr>
      <w:r>
        <w:rPr>
          <w:rFonts w:hint="eastAsia" w:cs="宋体"/>
          <w:color w:val="auto"/>
          <w:highlight w:val="none"/>
        </w:rPr>
        <w:t>1.1.3 采购代理机构：见</w:t>
      </w:r>
      <w:r>
        <w:rPr>
          <w:rFonts w:hint="eastAsia" w:cs="宋体"/>
          <w:color w:val="auto"/>
          <w:highlight w:val="none"/>
          <w:lang w:val="en-US" w:eastAsia="zh-CN"/>
        </w:rPr>
        <w:t>申请人</w:t>
      </w:r>
      <w:r>
        <w:rPr>
          <w:rFonts w:hint="eastAsia" w:cs="宋体"/>
          <w:color w:val="auto"/>
          <w:highlight w:val="none"/>
        </w:rPr>
        <w:t xml:space="preserve">须知前附表。 </w:t>
      </w:r>
    </w:p>
    <w:p w14:paraId="626B7779">
      <w:pPr>
        <w:pStyle w:val="114"/>
        <w:spacing w:line="500" w:lineRule="exact"/>
        <w:rPr>
          <w:rFonts w:cs="宋体"/>
          <w:color w:val="auto"/>
          <w:highlight w:val="none"/>
        </w:rPr>
      </w:pPr>
      <w:r>
        <w:rPr>
          <w:rFonts w:hint="eastAsia" w:cs="宋体"/>
          <w:color w:val="auto"/>
          <w:highlight w:val="none"/>
        </w:rPr>
        <w:t>1.1.4 项目名称：见</w:t>
      </w:r>
      <w:r>
        <w:rPr>
          <w:rFonts w:hint="eastAsia" w:cs="宋体"/>
          <w:color w:val="auto"/>
          <w:highlight w:val="none"/>
          <w:lang w:eastAsia="zh-CN"/>
        </w:rPr>
        <w:t>申请人</w:t>
      </w:r>
      <w:r>
        <w:rPr>
          <w:rFonts w:hint="eastAsia" w:cs="宋体"/>
          <w:color w:val="auto"/>
          <w:highlight w:val="none"/>
        </w:rPr>
        <w:t xml:space="preserve">须知前附表。 </w:t>
      </w:r>
    </w:p>
    <w:p w14:paraId="62923F5A">
      <w:pPr>
        <w:pStyle w:val="114"/>
        <w:spacing w:line="500" w:lineRule="exact"/>
        <w:rPr>
          <w:rFonts w:cs="宋体"/>
          <w:color w:val="auto"/>
          <w:highlight w:val="none"/>
        </w:rPr>
      </w:pPr>
      <w:r>
        <w:rPr>
          <w:rFonts w:hint="eastAsia" w:cs="宋体"/>
          <w:color w:val="auto"/>
          <w:highlight w:val="none"/>
        </w:rPr>
        <w:t>1.1.5 建设地点：见</w:t>
      </w:r>
      <w:r>
        <w:rPr>
          <w:rFonts w:hint="eastAsia" w:cs="宋体"/>
          <w:color w:val="auto"/>
          <w:highlight w:val="none"/>
          <w:lang w:eastAsia="zh-CN"/>
        </w:rPr>
        <w:t>申请人</w:t>
      </w:r>
      <w:r>
        <w:rPr>
          <w:rFonts w:hint="eastAsia" w:cs="宋体"/>
          <w:color w:val="auto"/>
          <w:highlight w:val="none"/>
        </w:rPr>
        <w:t xml:space="preserve">须知前附表。  </w:t>
      </w:r>
    </w:p>
    <w:p w14:paraId="04465079">
      <w:pPr>
        <w:pStyle w:val="114"/>
        <w:spacing w:line="500" w:lineRule="exact"/>
        <w:rPr>
          <w:rFonts w:cs="宋体"/>
          <w:color w:val="auto"/>
          <w:highlight w:val="none"/>
        </w:rPr>
      </w:pPr>
      <w:r>
        <w:rPr>
          <w:rFonts w:hint="eastAsia" w:cs="宋体"/>
          <w:color w:val="auto"/>
          <w:highlight w:val="none"/>
        </w:rPr>
        <w:t>1.1.</w:t>
      </w:r>
      <w:r>
        <w:rPr>
          <w:rFonts w:hint="eastAsia" w:cs="宋体"/>
          <w:color w:val="auto"/>
          <w:highlight w:val="none"/>
          <w:lang w:val="en-US" w:eastAsia="zh-CN"/>
        </w:rPr>
        <w:t>6</w:t>
      </w:r>
      <w:r>
        <w:rPr>
          <w:rFonts w:hint="eastAsia" w:cs="宋体"/>
          <w:color w:val="auto"/>
          <w:highlight w:val="none"/>
        </w:rPr>
        <w:t xml:space="preserve"> 项目</w:t>
      </w:r>
      <w:r>
        <w:rPr>
          <w:rFonts w:hint="eastAsia" w:cs="宋体"/>
          <w:color w:val="auto"/>
          <w:highlight w:val="none"/>
          <w:lang w:val="en-US" w:eastAsia="zh-CN"/>
        </w:rPr>
        <w:t>采购</w:t>
      </w:r>
      <w:r>
        <w:rPr>
          <w:rFonts w:hint="eastAsia" w:cs="宋体"/>
          <w:color w:val="auto"/>
          <w:highlight w:val="none"/>
        </w:rPr>
        <w:t>预算：见</w:t>
      </w:r>
      <w:r>
        <w:rPr>
          <w:rFonts w:hint="eastAsia" w:cs="宋体"/>
          <w:color w:val="auto"/>
          <w:highlight w:val="none"/>
          <w:lang w:eastAsia="zh-CN"/>
        </w:rPr>
        <w:t>申请人</w:t>
      </w:r>
      <w:r>
        <w:rPr>
          <w:rFonts w:hint="eastAsia" w:cs="宋体"/>
          <w:color w:val="auto"/>
          <w:highlight w:val="none"/>
        </w:rPr>
        <w:t xml:space="preserve">须知前附表。 </w:t>
      </w:r>
    </w:p>
    <w:p w14:paraId="5A8E0591">
      <w:pPr>
        <w:pStyle w:val="114"/>
        <w:spacing w:line="500" w:lineRule="exact"/>
        <w:rPr>
          <w:rFonts w:cs="宋体"/>
          <w:color w:val="auto"/>
          <w:sz w:val="28"/>
          <w:highlight w:val="none"/>
        </w:rPr>
      </w:pPr>
      <w:r>
        <w:rPr>
          <w:rFonts w:hint="eastAsia" w:cs="宋体"/>
          <w:color w:val="auto"/>
          <w:sz w:val="28"/>
          <w:highlight w:val="none"/>
        </w:rPr>
        <w:t xml:space="preserve">1.2采购项目的资金来源和落实情况 </w:t>
      </w:r>
    </w:p>
    <w:p w14:paraId="23023A73">
      <w:pPr>
        <w:pStyle w:val="114"/>
        <w:spacing w:line="500" w:lineRule="exact"/>
        <w:rPr>
          <w:rFonts w:cs="宋体"/>
          <w:color w:val="auto"/>
          <w:highlight w:val="none"/>
        </w:rPr>
      </w:pPr>
      <w:r>
        <w:rPr>
          <w:rFonts w:hint="eastAsia" w:cs="宋体"/>
          <w:color w:val="auto"/>
          <w:highlight w:val="none"/>
        </w:rPr>
        <w:t>1.2.1 资金来源及比例：见</w:t>
      </w:r>
      <w:r>
        <w:rPr>
          <w:rFonts w:hint="eastAsia" w:cs="宋体"/>
          <w:color w:val="auto"/>
          <w:highlight w:val="none"/>
          <w:lang w:eastAsia="zh-CN"/>
        </w:rPr>
        <w:t>申请人</w:t>
      </w:r>
      <w:r>
        <w:rPr>
          <w:rFonts w:hint="eastAsia" w:cs="宋体"/>
          <w:color w:val="auto"/>
          <w:highlight w:val="none"/>
        </w:rPr>
        <w:t xml:space="preserve">须知前附表。 </w:t>
      </w:r>
    </w:p>
    <w:p w14:paraId="2266A6C9">
      <w:pPr>
        <w:pStyle w:val="114"/>
        <w:spacing w:line="500" w:lineRule="exact"/>
        <w:rPr>
          <w:rFonts w:cs="宋体"/>
          <w:color w:val="auto"/>
          <w:highlight w:val="none"/>
        </w:rPr>
      </w:pPr>
      <w:r>
        <w:rPr>
          <w:rFonts w:hint="eastAsia" w:cs="宋体"/>
          <w:color w:val="auto"/>
          <w:highlight w:val="none"/>
        </w:rPr>
        <w:t>1.2.2 资金落实情况：见</w:t>
      </w:r>
      <w:r>
        <w:rPr>
          <w:rFonts w:hint="eastAsia" w:cs="宋体"/>
          <w:color w:val="auto"/>
          <w:highlight w:val="none"/>
          <w:lang w:eastAsia="zh-CN"/>
        </w:rPr>
        <w:t>申请人</w:t>
      </w:r>
      <w:r>
        <w:rPr>
          <w:rFonts w:hint="eastAsia" w:cs="宋体"/>
          <w:color w:val="auto"/>
          <w:highlight w:val="none"/>
        </w:rPr>
        <w:t xml:space="preserve">须知前附表。 </w:t>
      </w:r>
    </w:p>
    <w:p w14:paraId="5FC41D76">
      <w:pPr>
        <w:pStyle w:val="114"/>
        <w:spacing w:line="500" w:lineRule="exact"/>
        <w:rPr>
          <w:rFonts w:cs="宋体"/>
          <w:color w:val="auto"/>
          <w:sz w:val="28"/>
          <w:highlight w:val="none"/>
        </w:rPr>
      </w:pPr>
      <w:r>
        <w:rPr>
          <w:rFonts w:hint="eastAsia" w:cs="宋体"/>
          <w:color w:val="auto"/>
          <w:sz w:val="28"/>
          <w:highlight w:val="none"/>
        </w:rPr>
        <w:t xml:space="preserve">1.3采购范围、合同履行期限和质量标准 </w:t>
      </w:r>
    </w:p>
    <w:p w14:paraId="3EC5DFF1">
      <w:pPr>
        <w:pStyle w:val="114"/>
        <w:spacing w:line="500" w:lineRule="exact"/>
        <w:rPr>
          <w:rFonts w:cs="宋体"/>
          <w:color w:val="auto"/>
          <w:highlight w:val="none"/>
        </w:rPr>
      </w:pPr>
      <w:r>
        <w:rPr>
          <w:rFonts w:hint="eastAsia" w:cs="宋体"/>
          <w:color w:val="auto"/>
          <w:highlight w:val="none"/>
        </w:rPr>
        <w:t>1.3.1 采购需求：见</w:t>
      </w:r>
      <w:r>
        <w:rPr>
          <w:rFonts w:hint="eastAsia" w:cs="宋体"/>
          <w:color w:val="auto"/>
          <w:highlight w:val="none"/>
          <w:lang w:eastAsia="zh-CN"/>
        </w:rPr>
        <w:t>申请人</w:t>
      </w:r>
      <w:r>
        <w:rPr>
          <w:rFonts w:hint="eastAsia" w:cs="宋体"/>
          <w:color w:val="auto"/>
          <w:highlight w:val="none"/>
        </w:rPr>
        <w:t xml:space="preserve">须知前附表。 </w:t>
      </w:r>
    </w:p>
    <w:p w14:paraId="64EE8E16">
      <w:pPr>
        <w:pStyle w:val="114"/>
        <w:spacing w:line="500" w:lineRule="exact"/>
        <w:rPr>
          <w:rFonts w:cs="宋体"/>
          <w:color w:val="auto"/>
          <w:highlight w:val="none"/>
        </w:rPr>
      </w:pPr>
      <w:r>
        <w:rPr>
          <w:rFonts w:hint="eastAsia" w:cs="宋体"/>
          <w:color w:val="auto"/>
          <w:highlight w:val="none"/>
        </w:rPr>
        <w:t>1.3.2 合同履行期限：见</w:t>
      </w:r>
      <w:r>
        <w:rPr>
          <w:rFonts w:hint="eastAsia" w:cs="宋体"/>
          <w:color w:val="auto"/>
          <w:highlight w:val="none"/>
          <w:lang w:eastAsia="zh-CN"/>
        </w:rPr>
        <w:t>申请人</w:t>
      </w:r>
      <w:r>
        <w:rPr>
          <w:rFonts w:hint="eastAsia" w:cs="宋体"/>
          <w:color w:val="auto"/>
          <w:highlight w:val="none"/>
        </w:rPr>
        <w:t xml:space="preserve">须知前附表。 </w:t>
      </w:r>
    </w:p>
    <w:p w14:paraId="198D03A8">
      <w:pPr>
        <w:pStyle w:val="114"/>
        <w:spacing w:line="500" w:lineRule="exact"/>
        <w:rPr>
          <w:rFonts w:cs="宋体"/>
          <w:color w:val="auto"/>
          <w:highlight w:val="none"/>
        </w:rPr>
      </w:pPr>
      <w:r>
        <w:rPr>
          <w:rFonts w:hint="eastAsia" w:cs="宋体"/>
          <w:color w:val="auto"/>
          <w:highlight w:val="none"/>
        </w:rPr>
        <w:t>1.3.3 质量标准：见</w:t>
      </w:r>
      <w:r>
        <w:rPr>
          <w:rFonts w:hint="eastAsia" w:cs="宋体"/>
          <w:color w:val="auto"/>
          <w:highlight w:val="none"/>
          <w:lang w:eastAsia="zh-CN"/>
        </w:rPr>
        <w:t>申请人</w:t>
      </w:r>
      <w:r>
        <w:rPr>
          <w:rFonts w:hint="eastAsia" w:cs="宋体"/>
          <w:color w:val="auto"/>
          <w:highlight w:val="none"/>
        </w:rPr>
        <w:t xml:space="preserve">须知前附表。 </w:t>
      </w:r>
    </w:p>
    <w:p w14:paraId="2DBACC7E">
      <w:pPr>
        <w:pStyle w:val="114"/>
        <w:spacing w:line="500" w:lineRule="exact"/>
        <w:rPr>
          <w:rFonts w:cs="宋体"/>
          <w:color w:val="auto"/>
          <w:sz w:val="28"/>
          <w:highlight w:val="none"/>
        </w:rPr>
      </w:pPr>
      <w:r>
        <w:rPr>
          <w:rFonts w:hint="eastAsia" w:cs="宋体"/>
          <w:color w:val="auto"/>
          <w:sz w:val="28"/>
          <w:highlight w:val="none"/>
        </w:rPr>
        <w:t>1.4</w:t>
      </w:r>
      <w:r>
        <w:rPr>
          <w:rFonts w:hint="eastAsia" w:cs="宋体"/>
          <w:color w:val="auto"/>
          <w:sz w:val="28"/>
          <w:highlight w:val="none"/>
          <w:lang w:eastAsia="zh-CN"/>
        </w:rPr>
        <w:t>申请人</w:t>
      </w:r>
      <w:r>
        <w:rPr>
          <w:rFonts w:hint="eastAsia" w:cs="宋体"/>
          <w:color w:val="auto"/>
          <w:sz w:val="28"/>
          <w:highlight w:val="none"/>
        </w:rPr>
        <w:t xml:space="preserve">资格要求 </w:t>
      </w:r>
    </w:p>
    <w:p w14:paraId="0C0BDB0D">
      <w:pPr>
        <w:spacing w:line="460" w:lineRule="exact"/>
        <w:rPr>
          <w:rFonts w:ascii="宋体" w:hAnsi="宋体" w:eastAsia="宋体" w:cs="宋体"/>
          <w:color w:val="auto"/>
          <w:highlight w:val="none"/>
        </w:rPr>
      </w:pPr>
      <w:r>
        <w:rPr>
          <w:rFonts w:hint="eastAsia" w:ascii="宋体" w:hAnsi="宋体" w:eastAsia="宋体" w:cs="宋体"/>
          <w:color w:val="auto"/>
          <w:sz w:val="24"/>
          <w:szCs w:val="24"/>
          <w:highlight w:val="none"/>
        </w:rPr>
        <w:t>1.4.1</w:t>
      </w:r>
      <w:r>
        <w:rPr>
          <w:rFonts w:hint="eastAsia" w:ascii="宋体" w:hAnsi="宋体" w:eastAsia="宋体" w:cs="宋体"/>
          <w:color w:val="auto"/>
          <w:sz w:val="24"/>
          <w:szCs w:val="24"/>
          <w:highlight w:val="none"/>
          <w:lang w:eastAsia="zh-CN"/>
        </w:rPr>
        <w:t>申请人</w:t>
      </w:r>
      <w:r>
        <w:rPr>
          <w:rFonts w:hint="eastAsia" w:ascii="宋体" w:hAnsi="宋体" w:eastAsia="宋体" w:cs="宋体"/>
          <w:color w:val="auto"/>
          <w:sz w:val="24"/>
          <w:szCs w:val="24"/>
          <w:highlight w:val="none"/>
        </w:rPr>
        <w:t>资格要求：见</w:t>
      </w:r>
      <w:r>
        <w:rPr>
          <w:rFonts w:hint="eastAsia" w:ascii="宋体" w:hAnsi="宋体" w:eastAsia="宋体" w:cs="宋体"/>
          <w:color w:val="auto"/>
          <w:sz w:val="24"/>
          <w:szCs w:val="24"/>
          <w:highlight w:val="none"/>
          <w:lang w:eastAsia="zh-CN"/>
        </w:rPr>
        <w:t>申请人</w:t>
      </w:r>
      <w:r>
        <w:rPr>
          <w:rFonts w:hint="eastAsia" w:ascii="宋体" w:hAnsi="宋体" w:eastAsia="宋体" w:cs="宋体"/>
          <w:color w:val="auto"/>
          <w:sz w:val="24"/>
          <w:szCs w:val="24"/>
          <w:highlight w:val="none"/>
        </w:rPr>
        <w:t>须知前附表。</w:t>
      </w:r>
    </w:p>
    <w:p w14:paraId="047D7DE5">
      <w:pPr>
        <w:pStyle w:val="114"/>
        <w:spacing w:line="500" w:lineRule="exact"/>
        <w:rPr>
          <w:rFonts w:cs="宋体"/>
          <w:color w:val="auto"/>
          <w:highlight w:val="none"/>
        </w:rPr>
      </w:pPr>
      <w:r>
        <w:rPr>
          <w:rFonts w:hint="eastAsia" w:cs="宋体"/>
          <w:color w:val="auto"/>
          <w:highlight w:val="none"/>
        </w:rPr>
        <w:t>1.4.2</w:t>
      </w:r>
      <w:r>
        <w:rPr>
          <w:rFonts w:hint="eastAsia" w:cs="宋体"/>
          <w:color w:val="auto"/>
          <w:highlight w:val="none"/>
          <w:lang w:eastAsia="zh-CN"/>
        </w:rPr>
        <w:t>申请人</w:t>
      </w:r>
      <w:r>
        <w:rPr>
          <w:rFonts w:hint="eastAsia" w:cs="宋体"/>
          <w:color w:val="auto"/>
          <w:highlight w:val="none"/>
        </w:rPr>
        <w:t>须知前附表规定接受联合体的，联合体除应符合本章第1.4.1项和</w:t>
      </w:r>
      <w:r>
        <w:rPr>
          <w:rFonts w:hint="eastAsia" w:cs="宋体"/>
          <w:color w:val="auto"/>
          <w:highlight w:val="none"/>
          <w:lang w:eastAsia="zh-CN"/>
        </w:rPr>
        <w:t>申请人</w:t>
      </w:r>
      <w:r>
        <w:rPr>
          <w:rFonts w:hint="eastAsia" w:cs="宋体"/>
          <w:color w:val="auto"/>
          <w:highlight w:val="none"/>
        </w:rPr>
        <w:t xml:space="preserve">须知前附表的要求外，还应遵守以下规定： </w:t>
      </w:r>
    </w:p>
    <w:p w14:paraId="5C6EE74D">
      <w:pPr>
        <w:pStyle w:val="114"/>
        <w:spacing w:line="500" w:lineRule="exact"/>
        <w:rPr>
          <w:rFonts w:cs="宋体"/>
          <w:color w:val="auto"/>
          <w:highlight w:val="none"/>
        </w:rPr>
      </w:pPr>
      <w:r>
        <w:rPr>
          <w:rFonts w:hint="eastAsia" w:cs="宋体"/>
          <w:color w:val="auto"/>
          <w:highlight w:val="none"/>
        </w:rPr>
        <w:t>（1）联合体各方应按</w:t>
      </w:r>
      <w:r>
        <w:rPr>
          <w:rFonts w:hint="eastAsia" w:cs="宋体"/>
          <w:color w:val="auto"/>
          <w:highlight w:val="none"/>
          <w:lang w:eastAsia="zh-CN"/>
        </w:rPr>
        <w:t>竞争性磋商文件</w:t>
      </w:r>
      <w:r>
        <w:rPr>
          <w:rFonts w:hint="eastAsia" w:cs="宋体"/>
          <w:color w:val="auto"/>
          <w:highlight w:val="none"/>
        </w:rPr>
        <w:t>提供的格式签订联合体协议书，明确联合体牵头人和各方权利义务，并承诺就</w:t>
      </w:r>
      <w:r>
        <w:rPr>
          <w:rFonts w:hint="eastAsia" w:cs="宋体"/>
          <w:color w:val="auto"/>
          <w:highlight w:val="none"/>
          <w:lang w:val="en-US" w:eastAsia="zh-CN"/>
        </w:rPr>
        <w:t>成交</w:t>
      </w:r>
      <w:r>
        <w:rPr>
          <w:rFonts w:hint="eastAsia" w:cs="宋体"/>
          <w:color w:val="auto"/>
          <w:highlight w:val="none"/>
        </w:rPr>
        <w:t xml:space="preserve">项目向采购人承担连带责任； </w:t>
      </w:r>
    </w:p>
    <w:p w14:paraId="4C107E2C">
      <w:pPr>
        <w:pStyle w:val="114"/>
        <w:spacing w:line="500" w:lineRule="exact"/>
        <w:rPr>
          <w:rFonts w:cs="宋体"/>
          <w:color w:val="auto"/>
          <w:highlight w:val="none"/>
        </w:rPr>
      </w:pPr>
      <w:r>
        <w:rPr>
          <w:rFonts w:hint="eastAsia" w:cs="宋体"/>
          <w:color w:val="auto"/>
          <w:highlight w:val="none"/>
        </w:rPr>
        <w:t xml:space="preserve">（2）由同一专业的单位组成的联合体，按照资质等级较低的单位确定资质等级； </w:t>
      </w:r>
    </w:p>
    <w:p w14:paraId="00F50E9D">
      <w:pPr>
        <w:pStyle w:val="114"/>
        <w:spacing w:line="500" w:lineRule="exact"/>
        <w:rPr>
          <w:rFonts w:cs="宋体"/>
          <w:color w:val="auto"/>
          <w:highlight w:val="none"/>
        </w:rPr>
      </w:pPr>
      <w:r>
        <w:rPr>
          <w:rFonts w:hint="eastAsia" w:cs="宋体"/>
          <w:color w:val="auto"/>
          <w:highlight w:val="none"/>
        </w:rPr>
        <w:t>（3）联合体各方不得再以自己名义单独或参加其他联合体</w:t>
      </w:r>
      <w:r>
        <w:rPr>
          <w:rFonts w:hint="eastAsia" w:cs="宋体"/>
          <w:color w:val="auto"/>
          <w:highlight w:val="none"/>
          <w:lang w:val="en-US" w:eastAsia="zh-CN"/>
        </w:rPr>
        <w:t>参与本项目磋商</w:t>
      </w:r>
      <w:r>
        <w:rPr>
          <w:rFonts w:hint="eastAsia" w:cs="宋体"/>
          <w:color w:val="auto"/>
          <w:highlight w:val="none"/>
        </w:rPr>
        <w:t>，否则各相关</w:t>
      </w:r>
      <w:r>
        <w:rPr>
          <w:rFonts w:hint="eastAsia" w:cs="宋体"/>
          <w:color w:val="auto"/>
          <w:highlight w:val="none"/>
          <w:lang w:val="en-US" w:eastAsia="zh-CN"/>
        </w:rPr>
        <w:t>单位响应文件</w:t>
      </w:r>
      <w:r>
        <w:rPr>
          <w:rFonts w:hint="eastAsia" w:cs="宋体"/>
          <w:color w:val="auto"/>
          <w:highlight w:val="none"/>
        </w:rPr>
        <w:t xml:space="preserve">均无效。 </w:t>
      </w:r>
    </w:p>
    <w:p w14:paraId="1BAA7AC7">
      <w:pPr>
        <w:pStyle w:val="114"/>
        <w:spacing w:line="500" w:lineRule="exact"/>
        <w:rPr>
          <w:rFonts w:cs="宋体"/>
          <w:color w:val="auto"/>
          <w:highlight w:val="none"/>
        </w:rPr>
      </w:pPr>
      <w:r>
        <w:rPr>
          <w:rFonts w:hint="eastAsia" w:cs="宋体"/>
          <w:color w:val="auto"/>
          <w:highlight w:val="none"/>
        </w:rPr>
        <w:t xml:space="preserve">1.4.3 </w:t>
      </w:r>
      <w:r>
        <w:rPr>
          <w:rFonts w:hint="eastAsia" w:cs="宋体"/>
          <w:color w:val="auto"/>
          <w:highlight w:val="none"/>
          <w:lang w:eastAsia="zh-CN"/>
        </w:rPr>
        <w:t>申请人</w:t>
      </w:r>
      <w:r>
        <w:rPr>
          <w:rFonts w:hint="eastAsia" w:cs="宋体"/>
          <w:color w:val="auto"/>
          <w:highlight w:val="none"/>
        </w:rPr>
        <w:t xml:space="preserve">不得存在下列情形之一： </w:t>
      </w:r>
    </w:p>
    <w:p w14:paraId="7E38E421">
      <w:pPr>
        <w:pStyle w:val="114"/>
        <w:spacing w:line="500" w:lineRule="exact"/>
        <w:rPr>
          <w:rFonts w:cs="宋体"/>
          <w:color w:val="auto"/>
          <w:highlight w:val="none"/>
        </w:rPr>
      </w:pPr>
      <w:r>
        <w:rPr>
          <w:rFonts w:hint="eastAsia" w:cs="宋体"/>
          <w:color w:val="auto"/>
          <w:highlight w:val="none"/>
        </w:rPr>
        <w:t xml:space="preserve">（1）为采购人不具有独立法人资格的附属机构（单位）； </w:t>
      </w:r>
    </w:p>
    <w:p w14:paraId="512E921F">
      <w:pPr>
        <w:pStyle w:val="114"/>
        <w:spacing w:line="500" w:lineRule="exact"/>
        <w:rPr>
          <w:rFonts w:cs="宋体"/>
          <w:color w:val="auto"/>
          <w:highlight w:val="none"/>
        </w:rPr>
      </w:pPr>
      <w:r>
        <w:rPr>
          <w:rFonts w:hint="eastAsia" w:cs="宋体"/>
          <w:color w:val="auto"/>
          <w:highlight w:val="none"/>
        </w:rPr>
        <w:t>（2）与采购人存在利害关系且可能影响</w:t>
      </w:r>
      <w:r>
        <w:rPr>
          <w:rFonts w:hint="eastAsia" w:cs="宋体"/>
          <w:color w:val="auto"/>
          <w:highlight w:val="none"/>
          <w:lang w:val="en-US" w:eastAsia="zh-CN"/>
        </w:rPr>
        <w:t>磋商</w:t>
      </w:r>
      <w:r>
        <w:rPr>
          <w:rFonts w:hint="eastAsia" w:cs="宋体"/>
          <w:color w:val="auto"/>
          <w:highlight w:val="none"/>
        </w:rPr>
        <w:t xml:space="preserve">公正性； </w:t>
      </w:r>
    </w:p>
    <w:p w14:paraId="00AEE1F2">
      <w:pPr>
        <w:pStyle w:val="114"/>
        <w:spacing w:line="500" w:lineRule="exact"/>
        <w:rPr>
          <w:rFonts w:cs="宋体"/>
          <w:color w:val="auto"/>
          <w:highlight w:val="none"/>
        </w:rPr>
      </w:pPr>
      <w:r>
        <w:rPr>
          <w:rFonts w:hint="eastAsia" w:cs="宋体"/>
          <w:color w:val="auto"/>
          <w:highlight w:val="none"/>
        </w:rPr>
        <w:t>（3）与本采购项目的其他</w:t>
      </w:r>
      <w:r>
        <w:rPr>
          <w:rFonts w:hint="eastAsia" w:cs="宋体"/>
          <w:color w:val="auto"/>
          <w:highlight w:val="none"/>
          <w:lang w:eastAsia="zh-CN"/>
        </w:rPr>
        <w:t>申请人</w:t>
      </w:r>
      <w:r>
        <w:rPr>
          <w:rFonts w:hint="eastAsia" w:cs="宋体"/>
          <w:color w:val="auto"/>
          <w:highlight w:val="none"/>
        </w:rPr>
        <w:t xml:space="preserve">为同一个单位负责人； </w:t>
      </w:r>
    </w:p>
    <w:p w14:paraId="02785211">
      <w:pPr>
        <w:pStyle w:val="114"/>
        <w:spacing w:line="500" w:lineRule="exact"/>
        <w:rPr>
          <w:rFonts w:cs="宋体"/>
          <w:color w:val="auto"/>
          <w:highlight w:val="none"/>
        </w:rPr>
      </w:pPr>
      <w:r>
        <w:rPr>
          <w:rFonts w:hint="eastAsia" w:cs="宋体"/>
          <w:color w:val="auto"/>
          <w:highlight w:val="none"/>
        </w:rPr>
        <w:t>（4）与本采购项目的其他</w:t>
      </w:r>
      <w:r>
        <w:rPr>
          <w:rFonts w:hint="eastAsia" w:cs="宋体"/>
          <w:color w:val="auto"/>
          <w:highlight w:val="none"/>
          <w:lang w:eastAsia="zh-CN"/>
        </w:rPr>
        <w:t>申请人</w:t>
      </w:r>
      <w:r>
        <w:rPr>
          <w:rFonts w:hint="eastAsia" w:cs="宋体"/>
          <w:color w:val="auto"/>
          <w:highlight w:val="none"/>
        </w:rPr>
        <w:t xml:space="preserve">存在控股、管理关系； </w:t>
      </w:r>
    </w:p>
    <w:p w14:paraId="5D0B3C0B">
      <w:pPr>
        <w:pStyle w:val="114"/>
        <w:spacing w:line="500" w:lineRule="exact"/>
        <w:rPr>
          <w:rFonts w:cs="宋体"/>
          <w:color w:val="auto"/>
          <w:highlight w:val="none"/>
        </w:rPr>
      </w:pPr>
      <w:r>
        <w:rPr>
          <w:rFonts w:hint="eastAsia" w:cs="宋体"/>
          <w:color w:val="auto"/>
          <w:highlight w:val="none"/>
        </w:rPr>
        <w:t xml:space="preserve">（5）为本采购项目的代建人； </w:t>
      </w:r>
    </w:p>
    <w:p w14:paraId="1630F4C9">
      <w:pPr>
        <w:pStyle w:val="114"/>
        <w:spacing w:line="500" w:lineRule="exact"/>
        <w:rPr>
          <w:rFonts w:cs="宋体"/>
          <w:color w:val="auto"/>
          <w:highlight w:val="none"/>
        </w:rPr>
      </w:pPr>
      <w:r>
        <w:rPr>
          <w:rFonts w:hint="eastAsia" w:cs="宋体"/>
          <w:color w:val="auto"/>
          <w:highlight w:val="none"/>
        </w:rPr>
        <w:t xml:space="preserve">（6）为本采购项目的代理机构； </w:t>
      </w:r>
    </w:p>
    <w:p w14:paraId="4CE7864E">
      <w:pPr>
        <w:pStyle w:val="114"/>
        <w:spacing w:line="500" w:lineRule="exact"/>
        <w:rPr>
          <w:rFonts w:cs="宋体"/>
          <w:color w:val="auto"/>
          <w:highlight w:val="none"/>
        </w:rPr>
      </w:pPr>
      <w:r>
        <w:rPr>
          <w:rFonts w:hint="eastAsia" w:cs="宋体"/>
          <w:color w:val="auto"/>
          <w:highlight w:val="none"/>
        </w:rPr>
        <w:t xml:space="preserve">（7）与本采购项目的代建人或代理机构同为一个法定代表人； </w:t>
      </w:r>
    </w:p>
    <w:p w14:paraId="6DAC664E">
      <w:pPr>
        <w:pStyle w:val="114"/>
        <w:spacing w:line="500" w:lineRule="exact"/>
        <w:rPr>
          <w:rFonts w:cs="宋体"/>
          <w:color w:val="auto"/>
          <w:highlight w:val="none"/>
        </w:rPr>
      </w:pPr>
      <w:r>
        <w:rPr>
          <w:rFonts w:hint="eastAsia" w:cs="宋体"/>
          <w:color w:val="auto"/>
          <w:highlight w:val="none"/>
        </w:rPr>
        <w:t xml:space="preserve">（8）与本采购项目的代建人或代理机构存在控股或参股关系；  </w:t>
      </w:r>
    </w:p>
    <w:p w14:paraId="2C639900">
      <w:pPr>
        <w:pStyle w:val="114"/>
        <w:spacing w:line="500" w:lineRule="exact"/>
        <w:rPr>
          <w:rFonts w:cs="宋体"/>
          <w:color w:val="auto"/>
          <w:highlight w:val="none"/>
        </w:rPr>
      </w:pPr>
      <w:r>
        <w:rPr>
          <w:rFonts w:hint="eastAsia" w:cs="宋体"/>
          <w:color w:val="auto"/>
          <w:highlight w:val="none"/>
        </w:rPr>
        <w:t xml:space="preserve">（9）被依法暂停或者取消投标资格； </w:t>
      </w:r>
    </w:p>
    <w:p w14:paraId="16C3E0F2">
      <w:pPr>
        <w:pStyle w:val="114"/>
        <w:spacing w:line="500" w:lineRule="exact"/>
        <w:rPr>
          <w:rFonts w:cs="宋体"/>
          <w:color w:val="auto"/>
          <w:highlight w:val="none"/>
        </w:rPr>
      </w:pPr>
      <w:r>
        <w:rPr>
          <w:rFonts w:hint="eastAsia" w:cs="宋体"/>
          <w:color w:val="auto"/>
          <w:highlight w:val="none"/>
        </w:rPr>
        <w:t xml:space="preserve">（10）被责令停产停业、暂扣或者吊销许可证、暂扣或者吊销执照； </w:t>
      </w:r>
    </w:p>
    <w:p w14:paraId="0E5D9BF9">
      <w:pPr>
        <w:pStyle w:val="114"/>
        <w:spacing w:line="500" w:lineRule="exact"/>
        <w:rPr>
          <w:rFonts w:cs="宋体"/>
          <w:color w:val="auto"/>
          <w:highlight w:val="none"/>
        </w:rPr>
      </w:pPr>
      <w:r>
        <w:rPr>
          <w:rFonts w:hint="eastAsia" w:cs="宋体"/>
          <w:color w:val="auto"/>
          <w:highlight w:val="none"/>
        </w:rPr>
        <w:t xml:space="preserve">（11）进入清算程序，或被宣告破产，或其他丧失履约能力的情形； </w:t>
      </w:r>
    </w:p>
    <w:p w14:paraId="5F066AB7">
      <w:pPr>
        <w:pStyle w:val="114"/>
        <w:spacing w:line="500" w:lineRule="exact"/>
        <w:rPr>
          <w:rFonts w:cs="宋体"/>
          <w:color w:val="auto"/>
          <w:highlight w:val="none"/>
        </w:rPr>
      </w:pPr>
      <w:r>
        <w:rPr>
          <w:rFonts w:hint="eastAsia" w:cs="宋体"/>
          <w:color w:val="auto"/>
          <w:highlight w:val="none"/>
        </w:rPr>
        <w:t xml:space="preserve">（12）在最近三年内发生重大质量问题（以相关行业主管部门的行政处罚决定或司法机关出具的有关法律文书为准）； </w:t>
      </w:r>
    </w:p>
    <w:p w14:paraId="22C454E3">
      <w:pPr>
        <w:pStyle w:val="114"/>
        <w:spacing w:line="500" w:lineRule="exact"/>
        <w:rPr>
          <w:rFonts w:cs="宋体"/>
          <w:color w:val="auto"/>
          <w:highlight w:val="none"/>
        </w:rPr>
      </w:pPr>
      <w:r>
        <w:rPr>
          <w:rFonts w:hint="eastAsia" w:cs="宋体"/>
          <w:color w:val="auto"/>
          <w:highlight w:val="none"/>
        </w:rPr>
        <w:t>（13）法律法规或</w:t>
      </w:r>
      <w:r>
        <w:rPr>
          <w:rFonts w:hint="eastAsia" w:cs="宋体"/>
          <w:color w:val="auto"/>
          <w:highlight w:val="none"/>
          <w:lang w:eastAsia="zh-CN"/>
        </w:rPr>
        <w:t>申请人</w:t>
      </w:r>
      <w:r>
        <w:rPr>
          <w:rFonts w:hint="eastAsia" w:cs="宋体"/>
          <w:color w:val="auto"/>
          <w:highlight w:val="none"/>
        </w:rPr>
        <w:t xml:space="preserve">须知前附表规定的其他情形。 </w:t>
      </w:r>
    </w:p>
    <w:p w14:paraId="52DFF931">
      <w:pPr>
        <w:pStyle w:val="114"/>
        <w:spacing w:line="500" w:lineRule="exact"/>
        <w:rPr>
          <w:rFonts w:cs="宋体"/>
          <w:color w:val="auto"/>
          <w:sz w:val="28"/>
          <w:highlight w:val="none"/>
        </w:rPr>
      </w:pPr>
      <w:r>
        <w:rPr>
          <w:rFonts w:hint="eastAsia" w:cs="宋体"/>
          <w:color w:val="auto"/>
          <w:sz w:val="28"/>
          <w:highlight w:val="none"/>
        </w:rPr>
        <w:t xml:space="preserve">1.5费用承担 </w:t>
      </w:r>
    </w:p>
    <w:p w14:paraId="27A89624">
      <w:pPr>
        <w:pStyle w:val="114"/>
        <w:spacing w:line="500" w:lineRule="exact"/>
        <w:rPr>
          <w:rFonts w:cs="宋体"/>
          <w:color w:val="auto"/>
          <w:highlight w:val="none"/>
        </w:rPr>
      </w:pPr>
      <w:r>
        <w:rPr>
          <w:rFonts w:hint="eastAsia" w:cs="宋体"/>
          <w:color w:val="auto"/>
          <w:highlight w:val="none"/>
          <w:lang w:eastAsia="zh-CN"/>
        </w:rPr>
        <w:t>申请人</w:t>
      </w:r>
      <w:r>
        <w:rPr>
          <w:rFonts w:hint="eastAsia" w:cs="宋体"/>
          <w:color w:val="auto"/>
          <w:highlight w:val="none"/>
        </w:rPr>
        <w:t xml:space="preserve">准备和参加磋商活动发生的费用自理。 </w:t>
      </w:r>
    </w:p>
    <w:p w14:paraId="1318D2B3">
      <w:pPr>
        <w:pStyle w:val="114"/>
        <w:spacing w:line="500" w:lineRule="exact"/>
        <w:rPr>
          <w:rFonts w:hint="eastAsia" w:eastAsia="宋体" w:cs="宋体"/>
          <w:color w:val="auto"/>
          <w:sz w:val="28"/>
          <w:highlight w:val="none"/>
          <w:lang w:val="en-US" w:eastAsia="zh-CN"/>
        </w:rPr>
      </w:pPr>
      <w:r>
        <w:rPr>
          <w:rFonts w:hint="eastAsia" w:cs="宋体"/>
          <w:color w:val="auto"/>
          <w:sz w:val="28"/>
          <w:highlight w:val="none"/>
        </w:rPr>
        <w:t xml:space="preserve">1.6保密 </w:t>
      </w:r>
    </w:p>
    <w:p w14:paraId="1FD28B69">
      <w:pPr>
        <w:pStyle w:val="114"/>
        <w:spacing w:line="500" w:lineRule="exact"/>
        <w:rPr>
          <w:rFonts w:cs="宋体"/>
          <w:color w:val="auto"/>
          <w:highlight w:val="none"/>
        </w:rPr>
      </w:pPr>
      <w:r>
        <w:rPr>
          <w:rFonts w:hint="eastAsia" w:cs="宋体"/>
          <w:color w:val="auto"/>
          <w:highlight w:val="none"/>
        </w:rPr>
        <w:t>参与</w:t>
      </w:r>
      <w:r>
        <w:rPr>
          <w:rFonts w:hint="eastAsia" w:cs="宋体"/>
          <w:color w:val="auto"/>
          <w:highlight w:val="none"/>
          <w:lang w:eastAsia="zh-CN"/>
        </w:rPr>
        <w:t>本项目磋商</w:t>
      </w:r>
      <w:r>
        <w:rPr>
          <w:rFonts w:hint="eastAsia" w:cs="宋体"/>
          <w:color w:val="auto"/>
          <w:highlight w:val="none"/>
        </w:rPr>
        <w:t>的各方应对</w:t>
      </w:r>
      <w:r>
        <w:rPr>
          <w:rFonts w:hint="eastAsia" w:cs="宋体"/>
          <w:color w:val="auto"/>
          <w:highlight w:val="none"/>
          <w:lang w:eastAsia="zh-CN"/>
        </w:rPr>
        <w:t>竞争性磋商文件</w:t>
      </w:r>
      <w:r>
        <w:rPr>
          <w:rFonts w:hint="eastAsia" w:cs="宋体"/>
          <w:color w:val="auto"/>
          <w:highlight w:val="none"/>
        </w:rPr>
        <w:t xml:space="preserve">和响应文件中的商业和技术等秘密保密，否则应承担相应的法律责任。 </w:t>
      </w:r>
    </w:p>
    <w:p w14:paraId="04C3C82A">
      <w:pPr>
        <w:pStyle w:val="114"/>
        <w:spacing w:line="500" w:lineRule="exact"/>
        <w:rPr>
          <w:rFonts w:cs="宋体"/>
          <w:color w:val="auto"/>
          <w:sz w:val="28"/>
          <w:highlight w:val="none"/>
        </w:rPr>
      </w:pPr>
      <w:r>
        <w:rPr>
          <w:rFonts w:hint="eastAsia" w:cs="宋体"/>
          <w:color w:val="auto"/>
          <w:sz w:val="28"/>
          <w:highlight w:val="none"/>
        </w:rPr>
        <w:t xml:space="preserve">1.7语言文字 </w:t>
      </w:r>
    </w:p>
    <w:p w14:paraId="624E4778">
      <w:pPr>
        <w:pStyle w:val="114"/>
        <w:spacing w:line="500" w:lineRule="exact"/>
        <w:rPr>
          <w:rFonts w:cs="宋体"/>
          <w:color w:val="auto"/>
          <w:highlight w:val="none"/>
        </w:rPr>
      </w:pPr>
      <w:r>
        <w:rPr>
          <w:rFonts w:hint="eastAsia" w:cs="宋体"/>
          <w:color w:val="auto"/>
          <w:highlight w:val="none"/>
          <w:lang w:eastAsia="zh-CN"/>
        </w:rPr>
        <w:t>竞争性磋商文件</w:t>
      </w:r>
      <w:r>
        <w:rPr>
          <w:rFonts w:hint="eastAsia" w:cs="宋体"/>
          <w:color w:val="auto"/>
          <w:highlight w:val="none"/>
        </w:rPr>
        <w:t xml:space="preserve">、响应文件使用的语言文字为中文。专用术语使用外文的，应附有中文注释。 </w:t>
      </w:r>
    </w:p>
    <w:p w14:paraId="751764DA">
      <w:pPr>
        <w:pStyle w:val="114"/>
        <w:spacing w:line="500" w:lineRule="exact"/>
        <w:rPr>
          <w:rFonts w:cs="宋体"/>
          <w:color w:val="auto"/>
          <w:sz w:val="28"/>
          <w:highlight w:val="none"/>
        </w:rPr>
      </w:pPr>
      <w:r>
        <w:rPr>
          <w:rFonts w:hint="eastAsia" w:cs="宋体"/>
          <w:color w:val="auto"/>
          <w:sz w:val="28"/>
          <w:highlight w:val="none"/>
        </w:rPr>
        <w:t xml:space="preserve">1.8计量单位 </w:t>
      </w:r>
    </w:p>
    <w:p w14:paraId="6AC57009">
      <w:pPr>
        <w:pStyle w:val="114"/>
        <w:spacing w:line="500" w:lineRule="exact"/>
        <w:rPr>
          <w:rFonts w:cs="宋体"/>
          <w:color w:val="auto"/>
          <w:highlight w:val="none"/>
        </w:rPr>
      </w:pPr>
      <w:r>
        <w:rPr>
          <w:rFonts w:hint="eastAsia" w:cs="宋体"/>
          <w:color w:val="auto"/>
          <w:highlight w:val="none"/>
        </w:rPr>
        <w:t xml:space="preserve">所有计量均采用中华人民共和国法定计量单位。 </w:t>
      </w:r>
    </w:p>
    <w:p w14:paraId="4CC95827">
      <w:pPr>
        <w:pStyle w:val="114"/>
        <w:spacing w:line="500" w:lineRule="exact"/>
        <w:rPr>
          <w:rFonts w:cs="宋体"/>
          <w:color w:val="auto"/>
          <w:sz w:val="28"/>
          <w:highlight w:val="none"/>
        </w:rPr>
      </w:pPr>
      <w:r>
        <w:rPr>
          <w:rFonts w:hint="eastAsia" w:cs="宋体"/>
          <w:color w:val="auto"/>
          <w:sz w:val="28"/>
          <w:highlight w:val="none"/>
        </w:rPr>
        <w:t xml:space="preserve">1.9 踏勘现场 </w:t>
      </w:r>
    </w:p>
    <w:p w14:paraId="7B353882">
      <w:pPr>
        <w:pStyle w:val="114"/>
        <w:spacing w:line="500" w:lineRule="exact"/>
        <w:rPr>
          <w:rFonts w:cs="宋体"/>
          <w:color w:val="auto"/>
          <w:highlight w:val="none"/>
        </w:rPr>
      </w:pPr>
      <w:r>
        <w:rPr>
          <w:rFonts w:hint="eastAsia" w:cs="宋体"/>
          <w:color w:val="auto"/>
          <w:highlight w:val="none"/>
        </w:rPr>
        <w:t xml:space="preserve">1.9.1 </w:t>
      </w:r>
      <w:r>
        <w:rPr>
          <w:rFonts w:hint="eastAsia" w:cs="宋体"/>
          <w:color w:val="auto"/>
          <w:highlight w:val="none"/>
          <w:lang w:eastAsia="zh-CN"/>
        </w:rPr>
        <w:t>申请人</w:t>
      </w:r>
      <w:r>
        <w:rPr>
          <w:rFonts w:hint="eastAsia" w:cs="宋体"/>
          <w:color w:val="auto"/>
          <w:highlight w:val="none"/>
        </w:rPr>
        <w:t>须知前附表规定组织踏勘现场的，采购人按</w:t>
      </w:r>
      <w:r>
        <w:rPr>
          <w:rFonts w:hint="eastAsia" w:cs="宋体"/>
          <w:color w:val="auto"/>
          <w:highlight w:val="none"/>
          <w:lang w:eastAsia="zh-CN"/>
        </w:rPr>
        <w:t>申请人</w:t>
      </w:r>
      <w:r>
        <w:rPr>
          <w:rFonts w:hint="eastAsia" w:cs="宋体"/>
          <w:color w:val="auto"/>
          <w:highlight w:val="none"/>
        </w:rPr>
        <w:t>须知前附表规定的时间、地点组织</w:t>
      </w:r>
      <w:r>
        <w:rPr>
          <w:rFonts w:hint="eastAsia" w:cs="宋体"/>
          <w:color w:val="auto"/>
          <w:highlight w:val="none"/>
          <w:lang w:eastAsia="zh-CN"/>
        </w:rPr>
        <w:t>申请人</w:t>
      </w:r>
      <w:r>
        <w:rPr>
          <w:rFonts w:hint="eastAsia" w:cs="宋体"/>
          <w:color w:val="auto"/>
          <w:highlight w:val="none"/>
        </w:rPr>
        <w:t>踏勘项目现场。部分</w:t>
      </w:r>
      <w:r>
        <w:rPr>
          <w:rFonts w:hint="eastAsia" w:cs="宋体"/>
          <w:color w:val="auto"/>
          <w:highlight w:val="none"/>
          <w:lang w:eastAsia="zh-CN"/>
        </w:rPr>
        <w:t>申请人</w:t>
      </w:r>
      <w:r>
        <w:rPr>
          <w:rFonts w:hint="eastAsia" w:cs="宋体"/>
          <w:color w:val="auto"/>
          <w:highlight w:val="none"/>
        </w:rPr>
        <w:t xml:space="preserve">未按时参加踏勘现场的，不影响踏勘现场的正常进行。 </w:t>
      </w:r>
    </w:p>
    <w:p w14:paraId="6E36EF4E">
      <w:pPr>
        <w:pStyle w:val="114"/>
        <w:spacing w:line="500" w:lineRule="exact"/>
        <w:rPr>
          <w:rFonts w:cs="宋体"/>
          <w:color w:val="auto"/>
          <w:highlight w:val="none"/>
        </w:rPr>
      </w:pPr>
      <w:r>
        <w:rPr>
          <w:rFonts w:hint="eastAsia" w:cs="宋体"/>
          <w:color w:val="auto"/>
          <w:highlight w:val="none"/>
        </w:rPr>
        <w:t xml:space="preserve">1.9.2 </w:t>
      </w:r>
      <w:r>
        <w:rPr>
          <w:rFonts w:hint="eastAsia" w:cs="宋体"/>
          <w:color w:val="auto"/>
          <w:highlight w:val="none"/>
          <w:lang w:eastAsia="zh-CN"/>
        </w:rPr>
        <w:t>申请人</w:t>
      </w:r>
      <w:r>
        <w:rPr>
          <w:rFonts w:hint="eastAsia" w:cs="宋体"/>
          <w:color w:val="auto"/>
          <w:highlight w:val="none"/>
        </w:rPr>
        <w:t xml:space="preserve">踏勘现场发生的费用自理。 </w:t>
      </w:r>
    </w:p>
    <w:p w14:paraId="43949CB9">
      <w:pPr>
        <w:pStyle w:val="114"/>
        <w:spacing w:line="500" w:lineRule="exact"/>
        <w:rPr>
          <w:rFonts w:cs="宋体"/>
          <w:color w:val="auto"/>
          <w:highlight w:val="none"/>
        </w:rPr>
      </w:pPr>
      <w:r>
        <w:rPr>
          <w:rFonts w:hint="eastAsia" w:cs="宋体"/>
          <w:color w:val="auto"/>
          <w:highlight w:val="none"/>
        </w:rPr>
        <w:t>1.9.3 除采购人的原因外，</w:t>
      </w:r>
      <w:r>
        <w:rPr>
          <w:rFonts w:hint="eastAsia" w:cs="宋体"/>
          <w:color w:val="auto"/>
          <w:highlight w:val="none"/>
          <w:lang w:eastAsia="zh-CN"/>
        </w:rPr>
        <w:t>申请人</w:t>
      </w:r>
      <w:r>
        <w:rPr>
          <w:rFonts w:hint="eastAsia" w:cs="宋体"/>
          <w:color w:val="auto"/>
          <w:highlight w:val="none"/>
        </w:rPr>
        <w:t xml:space="preserve">自行负责在踏勘现场中所发生的人员伤亡和财产损失。 </w:t>
      </w:r>
    </w:p>
    <w:p w14:paraId="323D4CEA">
      <w:pPr>
        <w:pStyle w:val="114"/>
        <w:spacing w:line="500" w:lineRule="exact"/>
        <w:rPr>
          <w:rFonts w:cs="宋体"/>
          <w:color w:val="auto"/>
          <w:highlight w:val="none"/>
        </w:rPr>
      </w:pPr>
      <w:r>
        <w:rPr>
          <w:rFonts w:hint="eastAsia" w:cs="宋体"/>
          <w:color w:val="auto"/>
          <w:highlight w:val="none"/>
        </w:rPr>
        <w:t>1.9.4 采购人在踏勘现场中介绍的工程场地和相关的周边环境情况，供</w:t>
      </w:r>
      <w:r>
        <w:rPr>
          <w:rFonts w:hint="eastAsia" w:cs="宋体"/>
          <w:color w:val="auto"/>
          <w:highlight w:val="none"/>
          <w:lang w:eastAsia="zh-CN"/>
        </w:rPr>
        <w:t>申请人</w:t>
      </w:r>
      <w:r>
        <w:rPr>
          <w:rFonts w:hint="eastAsia" w:cs="宋体"/>
          <w:color w:val="auto"/>
          <w:highlight w:val="none"/>
        </w:rPr>
        <w:t>在编制响应文件时参考，采购人不对</w:t>
      </w:r>
      <w:r>
        <w:rPr>
          <w:rFonts w:hint="eastAsia" w:cs="宋体"/>
          <w:color w:val="auto"/>
          <w:highlight w:val="none"/>
          <w:lang w:eastAsia="zh-CN"/>
        </w:rPr>
        <w:t>申请人</w:t>
      </w:r>
      <w:r>
        <w:rPr>
          <w:rFonts w:hint="eastAsia" w:cs="宋体"/>
          <w:color w:val="auto"/>
          <w:highlight w:val="none"/>
        </w:rPr>
        <w:t xml:space="preserve">据此作出的判断和决策负责。 </w:t>
      </w:r>
    </w:p>
    <w:p w14:paraId="696BFF8C">
      <w:pPr>
        <w:pStyle w:val="114"/>
        <w:spacing w:line="500" w:lineRule="exact"/>
        <w:rPr>
          <w:rFonts w:cs="宋体"/>
          <w:color w:val="auto"/>
          <w:sz w:val="28"/>
          <w:highlight w:val="none"/>
        </w:rPr>
      </w:pPr>
      <w:r>
        <w:rPr>
          <w:rFonts w:hint="eastAsia" w:cs="宋体"/>
          <w:color w:val="auto"/>
          <w:sz w:val="28"/>
          <w:highlight w:val="none"/>
        </w:rPr>
        <w:t xml:space="preserve">1.10磋商预备会 </w:t>
      </w:r>
    </w:p>
    <w:p w14:paraId="6167929D">
      <w:pPr>
        <w:pStyle w:val="114"/>
        <w:spacing w:line="500" w:lineRule="exact"/>
        <w:rPr>
          <w:rFonts w:cs="宋体"/>
          <w:color w:val="auto"/>
          <w:highlight w:val="none"/>
        </w:rPr>
      </w:pPr>
      <w:r>
        <w:rPr>
          <w:rFonts w:hint="eastAsia" w:cs="宋体"/>
          <w:color w:val="auto"/>
          <w:highlight w:val="none"/>
        </w:rPr>
        <w:t xml:space="preserve">1.10.1 </w:t>
      </w:r>
      <w:r>
        <w:rPr>
          <w:rFonts w:hint="eastAsia" w:cs="宋体"/>
          <w:color w:val="auto"/>
          <w:highlight w:val="none"/>
          <w:lang w:eastAsia="zh-CN"/>
        </w:rPr>
        <w:t>申请人</w:t>
      </w:r>
      <w:r>
        <w:rPr>
          <w:rFonts w:hint="eastAsia" w:cs="宋体"/>
          <w:color w:val="auto"/>
          <w:highlight w:val="none"/>
        </w:rPr>
        <w:t>须知前附表规定召开磋商预备会的，采购人按</w:t>
      </w:r>
      <w:r>
        <w:rPr>
          <w:rFonts w:hint="eastAsia" w:cs="宋体"/>
          <w:color w:val="auto"/>
          <w:highlight w:val="none"/>
          <w:lang w:eastAsia="zh-CN"/>
        </w:rPr>
        <w:t>申请人</w:t>
      </w:r>
      <w:r>
        <w:rPr>
          <w:rFonts w:hint="eastAsia" w:cs="宋体"/>
          <w:color w:val="auto"/>
          <w:highlight w:val="none"/>
        </w:rPr>
        <w:t>须知前附表规定的时间和地点召开磋商预备会，澄清</w:t>
      </w:r>
      <w:r>
        <w:rPr>
          <w:rFonts w:hint="eastAsia" w:cs="宋体"/>
          <w:color w:val="auto"/>
          <w:highlight w:val="none"/>
          <w:lang w:eastAsia="zh-CN"/>
        </w:rPr>
        <w:t>申请人</w:t>
      </w:r>
      <w:r>
        <w:rPr>
          <w:rFonts w:hint="eastAsia" w:cs="宋体"/>
          <w:color w:val="auto"/>
          <w:highlight w:val="none"/>
        </w:rPr>
        <w:t xml:space="preserve">提出的问题。 </w:t>
      </w:r>
    </w:p>
    <w:p w14:paraId="4E9E0AAE">
      <w:pPr>
        <w:pStyle w:val="114"/>
        <w:spacing w:line="500" w:lineRule="exact"/>
        <w:rPr>
          <w:rFonts w:cs="宋体"/>
          <w:color w:val="auto"/>
          <w:highlight w:val="none"/>
        </w:rPr>
      </w:pPr>
      <w:r>
        <w:rPr>
          <w:rFonts w:hint="eastAsia" w:cs="宋体"/>
          <w:color w:val="auto"/>
          <w:highlight w:val="none"/>
        </w:rPr>
        <w:t xml:space="preserve">1.10.2 </w:t>
      </w:r>
      <w:r>
        <w:rPr>
          <w:rFonts w:hint="eastAsia" w:cs="宋体"/>
          <w:color w:val="auto"/>
          <w:highlight w:val="none"/>
          <w:lang w:eastAsia="zh-CN"/>
        </w:rPr>
        <w:t>申请人</w:t>
      </w:r>
      <w:r>
        <w:rPr>
          <w:rFonts w:hint="eastAsia" w:cs="宋体"/>
          <w:color w:val="auto"/>
          <w:highlight w:val="none"/>
        </w:rPr>
        <w:t>应按</w:t>
      </w:r>
      <w:r>
        <w:rPr>
          <w:rFonts w:hint="eastAsia" w:cs="宋体"/>
          <w:color w:val="auto"/>
          <w:highlight w:val="none"/>
          <w:lang w:eastAsia="zh-CN"/>
        </w:rPr>
        <w:t>申请人</w:t>
      </w:r>
      <w:r>
        <w:rPr>
          <w:rFonts w:hint="eastAsia" w:cs="宋体"/>
          <w:color w:val="auto"/>
          <w:highlight w:val="none"/>
        </w:rPr>
        <w:t xml:space="preserve">须知前附表规定的时间和形式将提出的问题送达采购人，以便采购人在会议期间澄清。 </w:t>
      </w:r>
    </w:p>
    <w:p w14:paraId="6A6C225C">
      <w:pPr>
        <w:pStyle w:val="114"/>
        <w:spacing w:line="500" w:lineRule="exact"/>
        <w:rPr>
          <w:rFonts w:cs="宋体"/>
          <w:color w:val="auto"/>
          <w:sz w:val="28"/>
          <w:highlight w:val="none"/>
        </w:rPr>
      </w:pPr>
      <w:r>
        <w:rPr>
          <w:rFonts w:hint="eastAsia" w:cs="宋体"/>
          <w:color w:val="auto"/>
          <w:sz w:val="28"/>
          <w:highlight w:val="none"/>
        </w:rPr>
        <w:t xml:space="preserve">1.11分包 </w:t>
      </w:r>
    </w:p>
    <w:p w14:paraId="5533B1AD">
      <w:pPr>
        <w:pStyle w:val="114"/>
        <w:spacing w:line="500" w:lineRule="exact"/>
        <w:rPr>
          <w:rFonts w:cs="宋体"/>
          <w:color w:val="auto"/>
          <w:highlight w:val="none"/>
        </w:rPr>
      </w:pPr>
      <w:r>
        <w:rPr>
          <w:rFonts w:hint="eastAsia" w:cs="宋体"/>
          <w:color w:val="auto"/>
          <w:highlight w:val="none"/>
        </w:rPr>
        <w:t xml:space="preserve">本项目严禁分包。 </w:t>
      </w:r>
    </w:p>
    <w:p w14:paraId="27DDEB34">
      <w:pPr>
        <w:pStyle w:val="114"/>
        <w:spacing w:line="500" w:lineRule="exact"/>
        <w:rPr>
          <w:rFonts w:cs="宋体"/>
          <w:color w:val="auto"/>
          <w:sz w:val="28"/>
          <w:highlight w:val="none"/>
        </w:rPr>
      </w:pPr>
      <w:r>
        <w:rPr>
          <w:rFonts w:hint="eastAsia" w:cs="宋体"/>
          <w:color w:val="auto"/>
          <w:sz w:val="28"/>
          <w:highlight w:val="none"/>
        </w:rPr>
        <w:t xml:space="preserve">1.12响应和偏差 </w:t>
      </w:r>
    </w:p>
    <w:p w14:paraId="76B00696">
      <w:pPr>
        <w:pStyle w:val="114"/>
        <w:spacing w:line="500" w:lineRule="exact"/>
        <w:rPr>
          <w:rFonts w:cs="宋体"/>
          <w:color w:val="auto"/>
          <w:highlight w:val="none"/>
        </w:rPr>
      </w:pPr>
      <w:r>
        <w:rPr>
          <w:rFonts w:hint="eastAsia" w:cs="宋体"/>
          <w:color w:val="auto"/>
          <w:highlight w:val="none"/>
        </w:rPr>
        <w:t>1.12.1响应文件应当对</w:t>
      </w:r>
      <w:r>
        <w:rPr>
          <w:rFonts w:hint="eastAsia" w:cs="宋体"/>
          <w:color w:val="auto"/>
          <w:highlight w:val="none"/>
          <w:lang w:eastAsia="zh-CN"/>
        </w:rPr>
        <w:t>竞争性磋商文件</w:t>
      </w:r>
      <w:r>
        <w:rPr>
          <w:rFonts w:hint="eastAsia" w:cs="宋体"/>
          <w:color w:val="auto"/>
          <w:highlight w:val="none"/>
        </w:rPr>
        <w:t>的实质性要求作出满足性或更有利于采购人的响应，否则，</w:t>
      </w:r>
      <w:r>
        <w:rPr>
          <w:rFonts w:hint="eastAsia" w:cs="宋体"/>
          <w:color w:val="auto"/>
          <w:highlight w:val="none"/>
          <w:lang w:eastAsia="zh-CN"/>
        </w:rPr>
        <w:t>申请人</w:t>
      </w:r>
      <w:r>
        <w:rPr>
          <w:rFonts w:hint="eastAsia" w:cs="宋体"/>
          <w:color w:val="auto"/>
          <w:highlight w:val="none"/>
        </w:rPr>
        <w:t>的</w:t>
      </w:r>
      <w:r>
        <w:rPr>
          <w:rFonts w:hint="eastAsia" w:cs="宋体"/>
          <w:color w:val="auto"/>
          <w:highlight w:val="none"/>
          <w:lang w:val="en-US" w:eastAsia="zh-CN"/>
        </w:rPr>
        <w:t>响应文件无效</w:t>
      </w:r>
      <w:r>
        <w:rPr>
          <w:rFonts w:hint="eastAsia" w:cs="宋体"/>
          <w:color w:val="auto"/>
          <w:highlight w:val="none"/>
        </w:rPr>
        <w:t>。实质性要求见</w:t>
      </w:r>
      <w:r>
        <w:rPr>
          <w:rFonts w:hint="eastAsia" w:cs="宋体"/>
          <w:color w:val="auto"/>
          <w:highlight w:val="none"/>
          <w:lang w:eastAsia="zh-CN"/>
        </w:rPr>
        <w:t>申请人</w:t>
      </w:r>
      <w:r>
        <w:rPr>
          <w:rFonts w:hint="eastAsia" w:cs="宋体"/>
          <w:color w:val="auto"/>
          <w:highlight w:val="none"/>
        </w:rPr>
        <w:t xml:space="preserve">须知前附表。 </w:t>
      </w:r>
    </w:p>
    <w:p w14:paraId="44B9E4C4">
      <w:pPr>
        <w:pStyle w:val="114"/>
        <w:spacing w:line="500" w:lineRule="exact"/>
        <w:rPr>
          <w:rFonts w:cs="宋体"/>
          <w:b/>
          <w:color w:val="auto"/>
          <w:sz w:val="32"/>
          <w:highlight w:val="none"/>
        </w:rPr>
      </w:pPr>
      <w:r>
        <w:rPr>
          <w:rFonts w:hint="eastAsia" w:cs="宋体"/>
          <w:color w:val="auto"/>
          <w:highlight w:val="none"/>
        </w:rPr>
        <w:t>1.12.2</w:t>
      </w:r>
      <w:r>
        <w:rPr>
          <w:rFonts w:hint="eastAsia" w:cs="宋体"/>
          <w:color w:val="auto"/>
          <w:highlight w:val="none"/>
          <w:lang w:eastAsia="zh-CN"/>
        </w:rPr>
        <w:t>申请人</w:t>
      </w:r>
      <w:r>
        <w:rPr>
          <w:rFonts w:hint="eastAsia" w:cs="宋体"/>
          <w:color w:val="auto"/>
          <w:highlight w:val="none"/>
        </w:rPr>
        <w:t>须知前附表允许响应文件偏离</w:t>
      </w:r>
      <w:r>
        <w:rPr>
          <w:rFonts w:hint="eastAsia" w:cs="宋体"/>
          <w:color w:val="auto"/>
          <w:highlight w:val="none"/>
          <w:lang w:eastAsia="zh-CN"/>
        </w:rPr>
        <w:t>竞争性磋商文件</w:t>
      </w:r>
      <w:r>
        <w:rPr>
          <w:rFonts w:hint="eastAsia" w:cs="宋体"/>
          <w:color w:val="auto"/>
          <w:highlight w:val="none"/>
        </w:rPr>
        <w:t>某些要求的，偏差应当符合</w:t>
      </w:r>
      <w:r>
        <w:rPr>
          <w:rFonts w:hint="eastAsia" w:cs="宋体"/>
          <w:color w:val="auto"/>
          <w:highlight w:val="none"/>
          <w:lang w:eastAsia="zh-CN"/>
        </w:rPr>
        <w:t>竞争性磋商文件</w:t>
      </w:r>
      <w:r>
        <w:rPr>
          <w:rFonts w:hint="eastAsia" w:cs="宋体"/>
          <w:color w:val="auto"/>
          <w:highlight w:val="none"/>
        </w:rPr>
        <w:t xml:space="preserve">规定的偏差范围和幅度。 </w:t>
      </w:r>
    </w:p>
    <w:p w14:paraId="45DBCACD">
      <w:pPr>
        <w:pStyle w:val="114"/>
        <w:spacing w:line="500" w:lineRule="exact"/>
        <w:rPr>
          <w:rFonts w:hint="eastAsia" w:cs="宋体"/>
          <w:color w:val="auto"/>
          <w:highlight w:val="none"/>
          <w:lang w:eastAsia="zh-CN"/>
        </w:rPr>
      </w:pPr>
      <w:bookmarkStart w:id="55" w:name="_Toc8366_WPSOffice_Level2"/>
      <w:r>
        <w:rPr>
          <w:rFonts w:hint="eastAsia" w:cs="宋体"/>
          <w:color w:val="auto"/>
          <w:highlight w:val="none"/>
          <w:lang w:eastAsia="zh-CN"/>
        </w:rPr>
        <w:t xml:space="preserve">2. </w:t>
      </w:r>
      <w:bookmarkEnd w:id="55"/>
      <w:r>
        <w:rPr>
          <w:rFonts w:hint="eastAsia" w:cs="宋体"/>
          <w:color w:val="auto"/>
          <w:highlight w:val="none"/>
          <w:lang w:eastAsia="zh-CN"/>
        </w:rPr>
        <w:t xml:space="preserve">竞争性磋商文件 </w:t>
      </w:r>
    </w:p>
    <w:p w14:paraId="395FBDDE">
      <w:pPr>
        <w:pStyle w:val="114"/>
        <w:spacing w:line="500" w:lineRule="exact"/>
        <w:rPr>
          <w:rFonts w:hint="eastAsia" w:cs="宋体"/>
          <w:color w:val="auto"/>
          <w:highlight w:val="none"/>
          <w:lang w:eastAsia="zh-CN"/>
        </w:rPr>
      </w:pPr>
      <w:r>
        <w:rPr>
          <w:rFonts w:hint="eastAsia" w:cs="宋体"/>
          <w:color w:val="auto"/>
          <w:highlight w:val="none"/>
          <w:lang w:eastAsia="zh-CN"/>
        </w:rPr>
        <w:t>2.1 竞争性磋商文件的组成 详见目录</w:t>
      </w:r>
    </w:p>
    <w:p w14:paraId="322B09FF">
      <w:pPr>
        <w:pStyle w:val="114"/>
        <w:spacing w:line="500" w:lineRule="exact"/>
        <w:rPr>
          <w:rFonts w:hint="eastAsia" w:cs="宋体"/>
          <w:color w:val="auto"/>
          <w:highlight w:val="none"/>
          <w:lang w:eastAsia="zh-CN"/>
        </w:rPr>
      </w:pPr>
      <w:r>
        <w:rPr>
          <w:rFonts w:hint="eastAsia" w:cs="宋体"/>
          <w:color w:val="auto"/>
          <w:highlight w:val="none"/>
          <w:lang w:eastAsia="zh-CN"/>
        </w:rPr>
        <w:t xml:space="preserve">2.2 竞争性磋商文件的澄清 </w:t>
      </w:r>
    </w:p>
    <w:p w14:paraId="65A83E9F">
      <w:pPr>
        <w:pStyle w:val="114"/>
        <w:spacing w:line="500" w:lineRule="exact"/>
        <w:rPr>
          <w:rFonts w:cs="宋体"/>
          <w:color w:val="auto"/>
          <w:highlight w:val="none"/>
        </w:rPr>
      </w:pPr>
      <w:r>
        <w:rPr>
          <w:rFonts w:hint="eastAsia" w:cs="宋体"/>
          <w:color w:val="auto"/>
          <w:highlight w:val="none"/>
        </w:rPr>
        <w:t xml:space="preserve">2.2.1 </w:t>
      </w:r>
      <w:r>
        <w:rPr>
          <w:rFonts w:hint="eastAsia" w:cs="宋体"/>
          <w:color w:val="auto"/>
          <w:highlight w:val="none"/>
          <w:lang w:eastAsia="zh-CN"/>
        </w:rPr>
        <w:t>申请人</w:t>
      </w:r>
      <w:r>
        <w:rPr>
          <w:rFonts w:hint="eastAsia" w:cs="宋体"/>
          <w:color w:val="auto"/>
          <w:highlight w:val="none"/>
        </w:rPr>
        <w:t>应仔细阅读和检查</w:t>
      </w:r>
      <w:r>
        <w:rPr>
          <w:rFonts w:hint="eastAsia" w:cs="宋体"/>
          <w:color w:val="auto"/>
          <w:highlight w:val="none"/>
          <w:lang w:eastAsia="zh-CN"/>
        </w:rPr>
        <w:t>竞争性磋商文件</w:t>
      </w:r>
      <w:r>
        <w:rPr>
          <w:rFonts w:hint="eastAsia" w:cs="宋体"/>
          <w:color w:val="auto"/>
          <w:highlight w:val="none"/>
        </w:rPr>
        <w:t>的全部内容。如发现缺页或附件不全，应及时向采购人提出，以便补齐。如有疑问，应按</w:t>
      </w:r>
      <w:r>
        <w:rPr>
          <w:rFonts w:hint="eastAsia" w:cs="宋体"/>
          <w:color w:val="auto"/>
          <w:highlight w:val="none"/>
          <w:lang w:eastAsia="zh-CN"/>
        </w:rPr>
        <w:t>申请人</w:t>
      </w:r>
      <w:r>
        <w:rPr>
          <w:rFonts w:hint="eastAsia" w:cs="宋体"/>
          <w:color w:val="auto"/>
          <w:highlight w:val="none"/>
        </w:rPr>
        <w:t>须知前附表规定的时间和方式将提出的问题送达采购人，要求采购人对</w:t>
      </w:r>
      <w:r>
        <w:rPr>
          <w:rFonts w:hint="eastAsia" w:cs="宋体"/>
          <w:color w:val="auto"/>
          <w:highlight w:val="none"/>
          <w:lang w:eastAsia="zh-CN"/>
        </w:rPr>
        <w:t>竞争性磋商文件</w:t>
      </w:r>
      <w:r>
        <w:rPr>
          <w:rFonts w:hint="eastAsia" w:cs="宋体"/>
          <w:color w:val="auto"/>
          <w:highlight w:val="none"/>
        </w:rPr>
        <w:t xml:space="preserve">予以澄清。 </w:t>
      </w:r>
    </w:p>
    <w:p w14:paraId="289A56E3">
      <w:pPr>
        <w:pStyle w:val="114"/>
        <w:spacing w:line="500" w:lineRule="exact"/>
        <w:rPr>
          <w:rFonts w:cs="宋体"/>
          <w:color w:val="auto"/>
          <w:highlight w:val="none"/>
        </w:rPr>
      </w:pPr>
      <w:r>
        <w:rPr>
          <w:rFonts w:hint="eastAsia" w:cs="宋体"/>
          <w:color w:val="auto"/>
          <w:highlight w:val="none"/>
        </w:rPr>
        <w:t xml:space="preserve">2.2.2 </w:t>
      </w:r>
      <w:r>
        <w:rPr>
          <w:rFonts w:hint="eastAsia" w:cs="宋体"/>
          <w:color w:val="auto"/>
          <w:highlight w:val="none"/>
          <w:lang w:eastAsia="zh-CN"/>
        </w:rPr>
        <w:t>竞争性磋商文件</w:t>
      </w:r>
      <w:r>
        <w:rPr>
          <w:rFonts w:hint="eastAsia" w:cs="宋体"/>
          <w:color w:val="auto"/>
          <w:highlight w:val="none"/>
        </w:rPr>
        <w:t>的澄清以</w:t>
      </w:r>
      <w:r>
        <w:rPr>
          <w:rFonts w:hint="eastAsia" w:cs="宋体"/>
          <w:color w:val="auto"/>
          <w:highlight w:val="none"/>
          <w:lang w:eastAsia="zh-CN"/>
        </w:rPr>
        <w:t>申请人</w:t>
      </w:r>
      <w:r>
        <w:rPr>
          <w:rFonts w:hint="eastAsia" w:cs="宋体"/>
          <w:color w:val="auto"/>
          <w:highlight w:val="none"/>
        </w:rPr>
        <w:t>须知前附表规定的方式发给</w:t>
      </w:r>
      <w:r>
        <w:rPr>
          <w:rFonts w:hint="eastAsia" w:cs="宋体"/>
          <w:color w:val="auto"/>
          <w:highlight w:val="none"/>
          <w:lang w:eastAsia="zh-CN"/>
        </w:rPr>
        <w:t>申请人</w:t>
      </w:r>
      <w:r>
        <w:rPr>
          <w:rFonts w:hint="eastAsia" w:cs="宋体"/>
          <w:color w:val="auto"/>
          <w:highlight w:val="none"/>
        </w:rPr>
        <w:t>，但不指明澄清问题的来源。澄清发出的时间距本章第 4.2.1项规定的</w:t>
      </w:r>
      <w:r>
        <w:rPr>
          <w:rFonts w:hint="eastAsia" w:cs="宋体"/>
          <w:color w:val="auto"/>
          <w:highlight w:val="none"/>
          <w:lang w:val="en-US" w:eastAsia="zh-CN"/>
        </w:rPr>
        <w:t>提交响应文件</w:t>
      </w:r>
      <w:r>
        <w:rPr>
          <w:rFonts w:hint="eastAsia" w:cs="宋体"/>
          <w:color w:val="auto"/>
          <w:highlight w:val="none"/>
        </w:rPr>
        <w:t>截止时间不足5日的，并且澄清内容可能影响响应文件编制的，将相应延长</w:t>
      </w:r>
      <w:r>
        <w:rPr>
          <w:rFonts w:hint="eastAsia" w:cs="宋体"/>
          <w:color w:val="auto"/>
          <w:highlight w:val="none"/>
          <w:lang w:val="en-US" w:eastAsia="zh-CN"/>
        </w:rPr>
        <w:t>提交响应文件</w:t>
      </w:r>
      <w:r>
        <w:rPr>
          <w:rFonts w:hint="eastAsia" w:cs="宋体"/>
          <w:color w:val="auto"/>
          <w:highlight w:val="none"/>
        </w:rPr>
        <w:t xml:space="preserve">截止时间。 </w:t>
      </w:r>
    </w:p>
    <w:p w14:paraId="5F5D4134">
      <w:pPr>
        <w:pStyle w:val="114"/>
        <w:spacing w:line="500" w:lineRule="exact"/>
        <w:rPr>
          <w:rFonts w:cs="宋体"/>
          <w:color w:val="auto"/>
          <w:highlight w:val="none"/>
        </w:rPr>
      </w:pPr>
      <w:r>
        <w:rPr>
          <w:rFonts w:hint="eastAsia" w:cs="宋体"/>
          <w:color w:val="auto"/>
          <w:highlight w:val="none"/>
        </w:rPr>
        <w:t>2.2.3</w:t>
      </w:r>
      <w:r>
        <w:rPr>
          <w:rFonts w:hint="eastAsia" w:cs="宋体"/>
          <w:color w:val="auto"/>
          <w:highlight w:val="none"/>
          <w:lang w:eastAsia="zh-CN"/>
        </w:rPr>
        <w:t>申请人</w:t>
      </w:r>
      <w:r>
        <w:rPr>
          <w:rFonts w:hint="eastAsia" w:cs="宋体"/>
          <w:color w:val="auto"/>
          <w:highlight w:val="none"/>
        </w:rPr>
        <w:t>确认收到</w:t>
      </w:r>
      <w:r>
        <w:rPr>
          <w:rFonts w:hint="eastAsia" w:cs="宋体"/>
          <w:color w:val="auto"/>
          <w:highlight w:val="none"/>
          <w:lang w:eastAsia="zh-CN"/>
        </w:rPr>
        <w:t>竞争性磋商文件</w:t>
      </w:r>
      <w:r>
        <w:rPr>
          <w:rFonts w:hint="eastAsia" w:cs="宋体"/>
          <w:color w:val="auto"/>
          <w:highlight w:val="none"/>
        </w:rPr>
        <w:t>澄清的时间和方式：见</w:t>
      </w:r>
      <w:r>
        <w:rPr>
          <w:rFonts w:hint="eastAsia" w:cs="宋体"/>
          <w:color w:val="auto"/>
          <w:highlight w:val="none"/>
          <w:lang w:eastAsia="zh-CN"/>
        </w:rPr>
        <w:t>申请人</w:t>
      </w:r>
      <w:r>
        <w:rPr>
          <w:rFonts w:hint="eastAsia" w:cs="宋体"/>
          <w:color w:val="auto"/>
          <w:highlight w:val="none"/>
        </w:rPr>
        <w:t>须知前附表。</w:t>
      </w:r>
    </w:p>
    <w:p w14:paraId="17AD4172">
      <w:pPr>
        <w:pStyle w:val="114"/>
        <w:spacing w:line="500" w:lineRule="exact"/>
        <w:rPr>
          <w:rFonts w:cs="宋体"/>
          <w:color w:val="auto"/>
          <w:highlight w:val="none"/>
        </w:rPr>
      </w:pPr>
      <w:r>
        <w:rPr>
          <w:rFonts w:hint="eastAsia" w:cs="宋体"/>
          <w:color w:val="auto"/>
          <w:highlight w:val="none"/>
        </w:rPr>
        <w:t>2.2.4 除非采购人认为确有必要答复，否则，采购人有权拒绝回复</w:t>
      </w:r>
      <w:r>
        <w:rPr>
          <w:rFonts w:hint="eastAsia" w:cs="宋体"/>
          <w:color w:val="auto"/>
          <w:highlight w:val="none"/>
          <w:lang w:eastAsia="zh-CN"/>
        </w:rPr>
        <w:t>申请人</w:t>
      </w:r>
      <w:r>
        <w:rPr>
          <w:rFonts w:hint="eastAsia" w:cs="宋体"/>
          <w:color w:val="auto"/>
          <w:highlight w:val="none"/>
        </w:rPr>
        <w:t xml:space="preserve">在本章第 2.2.1 项规定的时间后的任何澄清要求。 </w:t>
      </w:r>
    </w:p>
    <w:p w14:paraId="3622A6AF">
      <w:pPr>
        <w:pStyle w:val="114"/>
        <w:spacing w:line="500" w:lineRule="exact"/>
        <w:rPr>
          <w:rFonts w:cs="宋体"/>
          <w:color w:val="auto"/>
          <w:sz w:val="28"/>
          <w:highlight w:val="none"/>
        </w:rPr>
      </w:pPr>
      <w:r>
        <w:rPr>
          <w:rFonts w:hint="eastAsia" w:cs="宋体"/>
          <w:color w:val="auto"/>
          <w:sz w:val="28"/>
          <w:highlight w:val="none"/>
        </w:rPr>
        <w:t xml:space="preserve">2.3 </w:t>
      </w:r>
      <w:r>
        <w:rPr>
          <w:rFonts w:hint="eastAsia" w:cs="宋体"/>
          <w:color w:val="auto"/>
          <w:sz w:val="28"/>
          <w:highlight w:val="none"/>
          <w:lang w:eastAsia="zh-CN"/>
        </w:rPr>
        <w:t>竞争性磋商文件</w:t>
      </w:r>
      <w:r>
        <w:rPr>
          <w:rFonts w:hint="eastAsia" w:cs="宋体"/>
          <w:color w:val="auto"/>
          <w:sz w:val="28"/>
          <w:highlight w:val="none"/>
        </w:rPr>
        <w:t xml:space="preserve">的修改 </w:t>
      </w:r>
    </w:p>
    <w:p w14:paraId="73349116">
      <w:pPr>
        <w:pStyle w:val="114"/>
        <w:spacing w:line="500" w:lineRule="exact"/>
        <w:rPr>
          <w:rFonts w:cs="宋体"/>
          <w:color w:val="auto"/>
          <w:highlight w:val="none"/>
        </w:rPr>
      </w:pPr>
      <w:r>
        <w:rPr>
          <w:rFonts w:hint="eastAsia" w:cs="宋体"/>
          <w:color w:val="auto"/>
          <w:highlight w:val="none"/>
        </w:rPr>
        <w:t>2.3.1 在磋商截止时间5天前，采购人确需要变更</w:t>
      </w:r>
      <w:r>
        <w:rPr>
          <w:rFonts w:hint="eastAsia" w:cs="宋体"/>
          <w:color w:val="auto"/>
          <w:highlight w:val="none"/>
          <w:lang w:eastAsia="zh-CN"/>
        </w:rPr>
        <w:t>竞争性磋商文件</w:t>
      </w:r>
      <w:r>
        <w:rPr>
          <w:rFonts w:hint="eastAsia" w:cs="宋体"/>
          <w:color w:val="auto"/>
          <w:highlight w:val="none"/>
        </w:rPr>
        <w:t>内容的，采购人可主动或在解答</w:t>
      </w:r>
      <w:r>
        <w:rPr>
          <w:rFonts w:hint="eastAsia" w:cs="宋体"/>
          <w:color w:val="auto"/>
          <w:highlight w:val="none"/>
          <w:lang w:eastAsia="zh-CN"/>
        </w:rPr>
        <w:t>申请人</w:t>
      </w:r>
      <w:r>
        <w:rPr>
          <w:rFonts w:hint="eastAsia" w:cs="宋体"/>
          <w:color w:val="auto"/>
          <w:highlight w:val="none"/>
        </w:rPr>
        <w:t>提出的澄清问题时对</w:t>
      </w:r>
      <w:r>
        <w:rPr>
          <w:rFonts w:hint="eastAsia" w:cs="宋体"/>
          <w:color w:val="auto"/>
          <w:highlight w:val="none"/>
          <w:lang w:eastAsia="zh-CN"/>
        </w:rPr>
        <w:t>竞争性磋商文件</w:t>
      </w:r>
      <w:r>
        <w:rPr>
          <w:rFonts w:hint="eastAsia" w:cs="宋体"/>
          <w:color w:val="auto"/>
          <w:highlight w:val="none"/>
        </w:rPr>
        <w:t>进行修改，并同时报主管部门备案。发布补遗文件进行说明以保证各</w:t>
      </w:r>
      <w:r>
        <w:rPr>
          <w:rFonts w:hint="eastAsia" w:cs="宋体"/>
          <w:color w:val="auto"/>
          <w:highlight w:val="none"/>
          <w:lang w:eastAsia="zh-CN"/>
        </w:rPr>
        <w:t>申请人</w:t>
      </w:r>
      <w:r>
        <w:rPr>
          <w:rFonts w:hint="eastAsia" w:cs="宋体"/>
          <w:color w:val="auto"/>
          <w:highlight w:val="none"/>
        </w:rPr>
        <w:t>都能获得最新</w:t>
      </w:r>
      <w:r>
        <w:rPr>
          <w:rFonts w:hint="eastAsia" w:cs="宋体"/>
          <w:color w:val="auto"/>
          <w:highlight w:val="none"/>
          <w:lang w:eastAsia="zh-CN"/>
        </w:rPr>
        <w:t>竞争性磋商文件</w:t>
      </w:r>
      <w:r>
        <w:rPr>
          <w:rFonts w:hint="eastAsia" w:cs="宋体"/>
          <w:color w:val="auto"/>
          <w:highlight w:val="none"/>
        </w:rPr>
        <w:t>。</w:t>
      </w:r>
      <w:r>
        <w:rPr>
          <w:rFonts w:hint="eastAsia" w:cs="宋体"/>
          <w:color w:val="auto"/>
          <w:highlight w:val="none"/>
          <w:lang w:eastAsia="zh-CN"/>
        </w:rPr>
        <w:t>竞争性磋商文件</w:t>
      </w:r>
      <w:r>
        <w:rPr>
          <w:rFonts w:hint="eastAsia" w:cs="宋体"/>
          <w:color w:val="auto"/>
          <w:highlight w:val="none"/>
        </w:rPr>
        <w:t>的修改作为</w:t>
      </w:r>
      <w:r>
        <w:rPr>
          <w:rFonts w:hint="eastAsia" w:cs="宋体"/>
          <w:color w:val="auto"/>
          <w:highlight w:val="none"/>
          <w:lang w:eastAsia="zh-CN"/>
        </w:rPr>
        <w:t>竞争性磋商文件</w:t>
      </w:r>
      <w:r>
        <w:rPr>
          <w:rFonts w:hint="eastAsia" w:cs="宋体"/>
          <w:color w:val="auto"/>
          <w:highlight w:val="none"/>
        </w:rPr>
        <w:t>的组成部分，并具有约束力。</w:t>
      </w:r>
    </w:p>
    <w:p w14:paraId="44DBC7C1">
      <w:pPr>
        <w:pStyle w:val="114"/>
        <w:spacing w:line="500" w:lineRule="exact"/>
        <w:rPr>
          <w:rFonts w:cs="宋体"/>
          <w:color w:val="auto"/>
          <w:highlight w:val="none"/>
        </w:rPr>
      </w:pPr>
      <w:r>
        <w:rPr>
          <w:rFonts w:hint="eastAsia" w:cs="宋体"/>
          <w:color w:val="auto"/>
          <w:highlight w:val="none"/>
        </w:rPr>
        <w:t xml:space="preserve"> 2.3.2</w:t>
      </w:r>
      <w:r>
        <w:rPr>
          <w:rFonts w:hint="eastAsia" w:cs="宋体"/>
          <w:color w:val="auto"/>
          <w:highlight w:val="none"/>
          <w:lang w:eastAsia="zh-CN"/>
        </w:rPr>
        <w:t>申请人</w:t>
      </w:r>
      <w:r>
        <w:rPr>
          <w:rFonts w:hint="eastAsia" w:cs="宋体"/>
          <w:color w:val="auto"/>
          <w:highlight w:val="none"/>
        </w:rPr>
        <w:t>确认收到</w:t>
      </w:r>
      <w:r>
        <w:rPr>
          <w:rFonts w:hint="eastAsia" w:cs="宋体"/>
          <w:color w:val="auto"/>
          <w:highlight w:val="none"/>
          <w:lang w:eastAsia="zh-CN"/>
        </w:rPr>
        <w:t>竞争性磋商文件</w:t>
      </w:r>
      <w:r>
        <w:rPr>
          <w:rFonts w:hint="eastAsia" w:cs="宋体"/>
          <w:color w:val="auto"/>
          <w:highlight w:val="none"/>
        </w:rPr>
        <w:t>修改的时间和方式：见</w:t>
      </w:r>
      <w:r>
        <w:rPr>
          <w:rFonts w:hint="eastAsia" w:cs="宋体"/>
          <w:color w:val="auto"/>
          <w:highlight w:val="none"/>
          <w:lang w:eastAsia="zh-CN"/>
        </w:rPr>
        <w:t>申请人</w:t>
      </w:r>
      <w:r>
        <w:rPr>
          <w:rFonts w:hint="eastAsia" w:cs="宋体"/>
          <w:color w:val="auto"/>
          <w:highlight w:val="none"/>
        </w:rPr>
        <w:t>须知前附表。</w:t>
      </w:r>
    </w:p>
    <w:p w14:paraId="2836269D">
      <w:pPr>
        <w:pStyle w:val="114"/>
        <w:spacing w:line="500" w:lineRule="exact"/>
        <w:rPr>
          <w:rFonts w:cs="宋体"/>
          <w:color w:val="auto"/>
          <w:highlight w:val="none"/>
        </w:rPr>
      </w:pPr>
      <w:r>
        <w:rPr>
          <w:rFonts w:hint="eastAsia" w:cs="宋体"/>
          <w:color w:val="auto"/>
          <w:highlight w:val="none"/>
        </w:rPr>
        <w:t xml:space="preserve"> 2.3.3</w:t>
      </w:r>
      <w:r>
        <w:rPr>
          <w:rFonts w:hint="eastAsia" w:cs="宋体"/>
          <w:color w:val="auto"/>
          <w:highlight w:val="none"/>
          <w:lang w:eastAsia="zh-CN"/>
        </w:rPr>
        <w:t>竞争性磋商文件</w:t>
      </w:r>
      <w:r>
        <w:rPr>
          <w:rFonts w:hint="eastAsia" w:cs="宋体"/>
          <w:color w:val="auto"/>
          <w:highlight w:val="none"/>
        </w:rPr>
        <w:t>、</w:t>
      </w:r>
      <w:r>
        <w:rPr>
          <w:rFonts w:hint="eastAsia" w:cs="宋体"/>
          <w:color w:val="auto"/>
          <w:highlight w:val="none"/>
          <w:lang w:eastAsia="zh-CN"/>
        </w:rPr>
        <w:t>竞争性磋商文件</w:t>
      </w:r>
      <w:r>
        <w:rPr>
          <w:rFonts w:hint="eastAsia" w:cs="宋体"/>
          <w:color w:val="auto"/>
          <w:highlight w:val="none"/>
        </w:rPr>
        <w:t>澄清、</w:t>
      </w:r>
      <w:r>
        <w:rPr>
          <w:rFonts w:hint="eastAsia" w:cs="宋体"/>
          <w:color w:val="auto"/>
          <w:highlight w:val="none"/>
          <w:lang w:eastAsia="zh-CN"/>
        </w:rPr>
        <w:t>竞争性磋商文件</w:t>
      </w:r>
      <w:r>
        <w:rPr>
          <w:rFonts w:hint="eastAsia" w:cs="宋体"/>
          <w:color w:val="auto"/>
          <w:highlight w:val="none"/>
        </w:rPr>
        <w:t>修改文件内容均以代理机构发布的为准，当</w:t>
      </w:r>
      <w:r>
        <w:rPr>
          <w:rFonts w:hint="eastAsia" w:cs="宋体"/>
          <w:color w:val="auto"/>
          <w:highlight w:val="none"/>
          <w:lang w:eastAsia="zh-CN"/>
        </w:rPr>
        <w:t>竞争性磋商文件</w:t>
      </w:r>
      <w:r>
        <w:rPr>
          <w:rFonts w:hint="eastAsia" w:cs="宋体"/>
          <w:color w:val="auto"/>
          <w:highlight w:val="none"/>
        </w:rPr>
        <w:t>、</w:t>
      </w:r>
      <w:r>
        <w:rPr>
          <w:rFonts w:hint="eastAsia" w:cs="宋体"/>
          <w:color w:val="auto"/>
          <w:highlight w:val="none"/>
          <w:lang w:eastAsia="zh-CN"/>
        </w:rPr>
        <w:t>竞争性磋商文件</w:t>
      </w:r>
      <w:r>
        <w:rPr>
          <w:rFonts w:hint="eastAsia" w:cs="宋体"/>
          <w:color w:val="auto"/>
          <w:highlight w:val="none"/>
        </w:rPr>
        <w:t>澄清、</w:t>
      </w:r>
      <w:r>
        <w:rPr>
          <w:rFonts w:hint="eastAsia" w:cs="宋体"/>
          <w:color w:val="auto"/>
          <w:highlight w:val="none"/>
          <w:lang w:eastAsia="zh-CN"/>
        </w:rPr>
        <w:t>竞争性磋商文件</w:t>
      </w:r>
      <w:r>
        <w:rPr>
          <w:rFonts w:hint="eastAsia" w:cs="宋体"/>
          <w:color w:val="auto"/>
          <w:highlight w:val="none"/>
        </w:rPr>
        <w:t>修改文件内容相互矛盾时，以最后发出的为准。</w:t>
      </w:r>
    </w:p>
    <w:p w14:paraId="340297B3">
      <w:pPr>
        <w:pStyle w:val="114"/>
        <w:spacing w:line="500" w:lineRule="exact"/>
        <w:rPr>
          <w:rFonts w:hint="eastAsia" w:cs="宋体"/>
          <w:b/>
          <w:color w:val="auto"/>
          <w:sz w:val="32"/>
          <w:highlight w:val="none"/>
        </w:rPr>
      </w:pPr>
      <w:bookmarkStart w:id="56" w:name="_Toc9469_WPSOffice_Level2"/>
      <w:r>
        <w:rPr>
          <w:rFonts w:hint="eastAsia" w:ascii="宋体" w:hAnsi="宋体" w:eastAsia="宋体" w:cs="宋体"/>
          <w:color w:val="auto"/>
          <w:sz w:val="24"/>
          <w:highlight w:val="none"/>
          <w:lang w:val="en-US" w:eastAsia="zh-CN"/>
        </w:rPr>
        <w:t>2.3.4</w:t>
      </w:r>
      <w:r>
        <w:rPr>
          <w:rFonts w:hint="eastAsia" w:ascii="宋体" w:hAnsi="宋体" w:eastAsia="宋体" w:cs="宋体"/>
          <w:color w:val="auto"/>
          <w:sz w:val="24"/>
          <w:highlight w:val="none"/>
          <w:lang w:eastAsia="zh-CN"/>
        </w:rPr>
        <w:t>申请人</w:t>
      </w:r>
      <w:r>
        <w:rPr>
          <w:rFonts w:hint="eastAsia" w:ascii="宋体" w:hAnsi="宋体" w:eastAsia="宋体" w:cs="宋体"/>
          <w:color w:val="auto"/>
          <w:sz w:val="24"/>
          <w:highlight w:val="none"/>
        </w:rPr>
        <w:t>应在</w:t>
      </w:r>
      <w:r>
        <w:rPr>
          <w:rFonts w:hint="eastAsia" w:ascii="宋体" w:hAnsi="宋体" w:eastAsia="宋体" w:cs="宋体"/>
          <w:color w:val="auto"/>
          <w:sz w:val="24"/>
          <w:highlight w:val="none"/>
          <w:lang w:eastAsia="zh-CN"/>
        </w:rPr>
        <w:t>磋商</w:t>
      </w:r>
      <w:r>
        <w:rPr>
          <w:rFonts w:hint="eastAsia" w:ascii="宋体" w:hAnsi="宋体" w:eastAsia="宋体" w:cs="宋体"/>
          <w:color w:val="auto"/>
          <w:sz w:val="24"/>
          <w:highlight w:val="none"/>
        </w:rPr>
        <w:t>截止时间前及时登录政采云平台查看有关该项目的答疑、补遗内容。否则，后果自负。</w:t>
      </w:r>
    </w:p>
    <w:p w14:paraId="2A62EEAF">
      <w:pPr>
        <w:pStyle w:val="114"/>
        <w:spacing w:line="5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3.</w:t>
      </w:r>
      <w:bookmarkEnd w:id="56"/>
      <w:r>
        <w:rPr>
          <w:rFonts w:hint="eastAsia" w:ascii="宋体" w:hAnsi="宋体" w:eastAsia="宋体" w:cs="宋体"/>
          <w:b/>
          <w:bCs/>
          <w:color w:val="auto"/>
          <w:highlight w:val="none"/>
          <w:lang w:val="en-US" w:eastAsia="zh-CN"/>
        </w:rPr>
        <w:t xml:space="preserve">响应文件 </w:t>
      </w:r>
    </w:p>
    <w:p w14:paraId="3AD4DD96">
      <w:pPr>
        <w:pStyle w:val="114"/>
        <w:spacing w:line="500" w:lineRule="exact"/>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3.1 </w:t>
      </w:r>
      <w:r>
        <w:rPr>
          <w:rFonts w:hint="eastAsia" w:ascii="宋体" w:hAnsi="宋体" w:eastAsia="宋体" w:cs="宋体"/>
          <w:color w:val="auto"/>
          <w:sz w:val="24"/>
          <w:highlight w:val="none"/>
          <w:lang w:eastAsia="zh-CN"/>
        </w:rPr>
        <w:t>响应文件</w:t>
      </w:r>
      <w:r>
        <w:rPr>
          <w:rFonts w:hint="eastAsia" w:ascii="宋体" w:hAnsi="宋体" w:eastAsia="宋体" w:cs="宋体"/>
          <w:color w:val="auto"/>
          <w:sz w:val="24"/>
          <w:highlight w:val="none"/>
        </w:rPr>
        <w:t>的组成</w:t>
      </w:r>
    </w:p>
    <w:p w14:paraId="55EB45E7">
      <w:pPr>
        <w:pStyle w:val="114"/>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3.1.1</w:t>
      </w:r>
      <w:r>
        <w:rPr>
          <w:rFonts w:hint="eastAsia" w:ascii="宋体" w:hAnsi="宋体" w:eastAsia="宋体" w:cs="宋体"/>
          <w:color w:val="auto"/>
          <w:sz w:val="24"/>
          <w:highlight w:val="none"/>
        </w:rPr>
        <w:t>响应文件</w:t>
      </w:r>
      <w:r>
        <w:rPr>
          <w:rFonts w:hint="eastAsia" w:ascii="宋体" w:hAnsi="宋体" w:eastAsia="宋体" w:cs="宋体"/>
          <w:color w:val="auto"/>
          <w:sz w:val="24"/>
          <w:highlight w:val="none"/>
          <w:lang w:eastAsia="zh-CN"/>
        </w:rPr>
        <w:t>须</w:t>
      </w:r>
      <w:r>
        <w:rPr>
          <w:rFonts w:hint="eastAsia" w:ascii="宋体" w:hAnsi="宋体" w:eastAsia="宋体" w:cs="宋体"/>
          <w:color w:val="auto"/>
          <w:sz w:val="24"/>
          <w:highlight w:val="none"/>
        </w:rPr>
        <w:t>按</w:t>
      </w:r>
      <w:r>
        <w:rPr>
          <w:rFonts w:hint="eastAsia" w:ascii="宋体" w:hAnsi="宋体" w:eastAsia="宋体" w:cs="宋体"/>
          <w:color w:val="auto"/>
          <w:sz w:val="24"/>
          <w:highlight w:val="none"/>
          <w:lang w:eastAsia="zh-CN"/>
        </w:rPr>
        <w:t>本文件第六章响应文件</w:t>
      </w:r>
      <w:r>
        <w:rPr>
          <w:rFonts w:hint="eastAsia" w:ascii="宋体" w:hAnsi="宋体" w:eastAsia="宋体" w:cs="宋体"/>
          <w:color w:val="auto"/>
          <w:sz w:val="24"/>
          <w:highlight w:val="none"/>
        </w:rPr>
        <w:t>格式</w:t>
      </w:r>
      <w:r>
        <w:rPr>
          <w:rFonts w:hint="eastAsia" w:ascii="宋体" w:hAnsi="宋体" w:eastAsia="宋体" w:cs="宋体"/>
          <w:color w:val="auto"/>
          <w:sz w:val="24"/>
          <w:highlight w:val="none"/>
          <w:lang w:eastAsia="zh-CN"/>
        </w:rPr>
        <w:t>编写。</w:t>
      </w:r>
      <w:r>
        <w:rPr>
          <w:rFonts w:hint="eastAsia" w:ascii="宋体" w:hAnsi="宋体" w:eastAsia="宋体" w:cs="宋体"/>
          <w:color w:val="auto"/>
          <w:sz w:val="24"/>
          <w:highlight w:val="none"/>
        </w:rPr>
        <w:t xml:space="preserve"> </w:t>
      </w:r>
    </w:p>
    <w:p w14:paraId="35BFE548">
      <w:pPr>
        <w:keepNext w:val="0"/>
        <w:keepLines w:val="0"/>
        <w:pageBreakBefore w:val="0"/>
        <w:kinsoku/>
        <w:wordWrap/>
        <w:overflowPunct/>
        <w:topLinePunct w:val="0"/>
        <w:bidi w:val="0"/>
        <w:snapToGrid w:val="0"/>
        <w:spacing w:line="460" w:lineRule="exact"/>
        <w:ind w:right="0" w:righ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3.2.2</w:t>
      </w:r>
      <w:r>
        <w:rPr>
          <w:rFonts w:hint="eastAsia" w:ascii="宋体" w:hAnsi="宋体" w:eastAsia="宋体" w:cs="宋体"/>
          <w:color w:val="auto"/>
          <w:sz w:val="24"/>
          <w:highlight w:val="none"/>
          <w:lang w:eastAsia="zh-CN"/>
        </w:rPr>
        <w:t>申请人</w:t>
      </w:r>
      <w:r>
        <w:rPr>
          <w:rFonts w:hint="eastAsia" w:ascii="宋体" w:hAnsi="宋体" w:eastAsia="宋体" w:cs="宋体"/>
          <w:color w:val="auto"/>
          <w:sz w:val="24"/>
          <w:highlight w:val="none"/>
        </w:rPr>
        <w:t>在</w:t>
      </w:r>
      <w:r>
        <w:rPr>
          <w:rFonts w:hint="eastAsia" w:ascii="宋体" w:hAnsi="宋体" w:eastAsia="宋体" w:cs="宋体"/>
          <w:color w:val="auto"/>
          <w:sz w:val="24"/>
          <w:highlight w:val="none"/>
          <w:lang w:val="en-US" w:eastAsia="zh-CN"/>
        </w:rPr>
        <w:t>磋商</w:t>
      </w:r>
      <w:r>
        <w:rPr>
          <w:rFonts w:hint="eastAsia" w:ascii="宋体" w:hAnsi="宋体" w:eastAsia="宋体" w:cs="宋体"/>
          <w:color w:val="auto"/>
          <w:sz w:val="24"/>
          <w:highlight w:val="none"/>
        </w:rPr>
        <w:t>过程中作出的符合法律法规和</w:t>
      </w:r>
      <w:r>
        <w:rPr>
          <w:rFonts w:hint="eastAsia" w:ascii="宋体" w:hAnsi="宋体" w:eastAsia="宋体" w:cs="宋体"/>
          <w:color w:val="auto"/>
          <w:sz w:val="24"/>
          <w:highlight w:val="none"/>
          <w:lang w:eastAsia="zh-CN"/>
        </w:rPr>
        <w:t>磋商文件</w:t>
      </w:r>
      <w:r>
        <w:rPr>
          <w:rFonts w:hint="eastAsia" w:ascii="宋体" w:hAnsi="宋体" w:eastAsia="宋体" w:cs="宋体"/>
          <w:color w:val="auto"/>
          <w:sz w:val="24"/>
          <w:highlight w:val="none"/>
        </w:rPr>
        <w:t>规定的澄清确认，构成</w:t>
      </w:r>
      <w:r>
        <w:rPr>
          <w:rFonts w:hint="eastAsia" w:ascii="宋体" w:hAnsi="宋体" w:eastAsia="宋体" w:cs="宋体"/>
          <w:color w:val="auto"/>
          <w:sz w:val="24"/>
          <w:highlight w:val="none"/>
          <w:lang w:eastAsia="zh-CN"/>
        </w:rPr>
        <w:t>响应</w:t>
      </w:r>
      <w:r>
        <w:rPr>
          <w:rFonts w:hint="eastAsia" w:ascii="宋体" w:hAnsi="宋体" w:eastAsia="宋体" w:cs="宋体"/>
          <w:color w:val="auto"/>
          <w:sz w:val="24"/>
          <w:highlight w:val="none"/>
        </w:rPr>
        <w:t>文件的组成部分。</w:t>
      </w:r>
    </w:p>
    <w:p w14:paraId="7ED48A28">
      <w:pPr>
        <w:pStyle w:val="114"/>
        <w:spacing w:line="500" w:lineRule="exact"/>
        <w:rPr>
          <w:rFonts w:cs="宋体"/>
          <w:color w:val="auto"/>
          <w:sz w:val="28"/>
          <w:highlight w:val="none"/>
        </w:rPr>
      </w:pPr>
      <w:r>
        <w:rPr>
          <w:rFonts w:hint="eastAsia" w:cs="宋体"/>
          <w:color w:val="auto"/>
          <w:sz w:val="28"/>
          <w:highlight w:val="none"/>
        </w:rPr>
        <w:t xml:space="preserve">3.2 报价 </w:t>
      </w:r>
    </w:p>
    <w:p w14:paraId="5A9FF5EB">
      <w:pPr>
        <w:pStyle w:val="114"/>
        <w:spacing w:line="500" w:lineRule="exact"/>
        <w:rPr>
          <w:rFonts w:cs="宋体"/>
          <w:color w:val="auto"/>
          <w:highlight w:val="none"/>
        </w:rPr>
      </w:pPr>
      <w:r>
        <w:rPr>
          <w:rFonts w:hint="eastAsia" w:cs="宋体"/>
          <w:color w:val="auto"/>
          <w:highlight w:val="none"/>
        </w:rPr>
        <w:t>3.2.1报价应包括国家规定的增值税税金，除</w:t>
      </w:r>
      <w:r>
        <w:rPr>
          <w:rFonts w:hint="eastAsia" w:cs="宋体"/>
          <w:color w:val="auto"/>
          <w:highlight w:val="none"/>
          <w:lang w:eastAsia="zh-CN"/>
        </w:rPr>
        <w:t>申请人</w:t>
      </w:r>
      <w:r>
        <w:rPr>
          <w:rFonts w:hint="eastAsia" w:cs="宋体"/>
          <w:color w:val="auto"/>
          <w:highlight w:val="none"/>
        </w:rPr>
        <w:t>须知前附表另有规定外，增值税税金按一般计税方法计算。</w:t>
      </w:r>
    </w:p>
    <w:p w14:paraId="2947A37E">
      <w:pPr>
        <w:pStyle w:val="114"/>
        <w:spacing w:line="500" w:lineRule="exact"/>
        <w:rPr>
          <w:rFonts w:cs="宋体"/>
          <w:color w:val="auto"/>
          <w:highlight w:val="none"/>
        </w:rPr>
      </w:pPr>
      <w:r>
        <w:rPr>
          <w:rFonts w:hint="eastAsia" w:cs="宋体"/>
          <w:color w:val="auto"/>
          <w:highlight w:val="none"/>
        </w:rPr>
        <w:t xml:space="preserve">3.2.2 </w:t>
      </w:r>
      <w:r>
        <w:rPr>
          <w:rFonts w:hint="eastAsia" w:cs="宋体"/>
          <w:color w:val="auto"/>
          <w:highlight w:val="none"/>
          <w:lang w:eastAsia="zh-CN"/>
        </w:rPr>
        <w:t>申请人</w:t>
      </w:r>
      <w:r>
        <w:rPr>
          <w:rFonts w:hint="eastAsia" w:cs="宋体"/>
          <w:color w:val="auto"/>
          <w:highlight w:val="none"/>
        </w:rPr>
        <w:t>应依据</w:t>
      </w:r>
      <w:r>
        <w:rPr>
          <w:rFonts w:hint="eastAsia" w:cs="宋体"/>
          <w:color w:val="auto"/>
          <w:highlight w:val="none"/>
          <w:lang w:eastAsia="zh-CN"/>
        </w:rPr>
        <w:t>竞争性磋商文件</w:t>
      </w:r>
      <w:r>
        <w:rPr>
          <w:rFonts w:hint="eastAsia" w:cs="宋体"/>
          <w:color w:val="auto"/>
          <w:highlight w:val="none"/>
        </w:rPr>
        <w:t>的要求及有关资料自行报价，执行国家或行业现行技术经济标准、定额及规范，自行测算岀满足采购要求的竞争性报价。报价均为人民币元，磋商报价应包括完成本项目所需的一切费用，该报价应符合国内行情并能保证</w:t>
      </w:r>
      <w:r>
        <w:rPr>
          <w:rFonts w:hint="eastAsia" w:cs="宋体"/>
          <w:color w:val="auto"/>
          <w:highlight w:val="none"/>
          <w:lang w:eastAsia="zh-CN"/>
        </w:rPr>
        <w:t>申请人</w:t>
      </w:r>
      <w:r>
        <w:rPr>
          <w:rFonts w:hint="eastAsia" w:cs="宋体"/>
          <w:color w:val="auto"/>
          <w:highlight w:val="none"/>
        </w:rPr>
        <w:t xml:space="preserve">完成履行合同所需的一切工作。 </w:t>
      </w:r>
    </w:p>
    <w:p w14:paraId="51239AD5">
      <w:pPr>
        <w:pStyle w:val="114"/>
        <w:spacing w:line="500" w:lineRule="exact"/>
        <w:rPr>
          <w:rFonts w:cs="宋体"/>
          <w:color w:val="auto"/>
          <w:highlight w:val="none"/>
        </w:rPr>
      </w:pPr>
      <w:r>
        <w:rPr>
          <w:rFonts w:hint="eastAsia" w:cs="宋体"/>
          <w:color w:val="auto"/>
          <w:highlight w:val="none"/>
        </w:rPr>
        <w:t>3.2.3 本项目的报价方式见</w:t>
      </w:r>
      <w:r>
        <w:rPr>
          <w:rFonts w:hint="eastAsia" w:cs="宋体"/>
          <w:color w:val="auto"/>
          <w:highlight w:val="none"/>
          <w:lang w:eastAsia="zh-CN"/>
        </w:rPr>
        <w:t>申请人</w:t>
      </w:r>
      <w:r>
        <w:rPr>
          <w:rFonts w:hint="eastAsia" w:cs="宋体"/>
          <w:color w:val="auto"/>
          <w:highlight w:val="none"/>
        </w:rPr>
        <w:t>须知前附表。</w:t>
      </w:r>
    </w:p>
    <w:p w14:paraId="5BEC08C3">
      <w:pPr>
        <w:pStyle w:val="114"/>
        <w:spacing w:line="500" w:lineRule="exact"/>
        <w:rPr>
          <w:rFonts w:cs="宋体"/>
          <w:color w:val="auto"/>
          <w:highlight w:val="none"/>
        </w:rPr>
      </w:pPr>
      <w:r>
        <w:rPr>
          <w:rFonts w:hint="eastAsia" w:cs="宋体"/>
          <w:color w:val="auto"/>
          <w:highlight w:val="none"/>
        </w:rPr>
        <w:t>3.2.4 采购人设有最高限价的，</w:t>
      </w:r>
      <w:r>
        <w:rPr>
          <w:rFonts w:hint="eastAsia" w:cs="宋体"/>
          <w:color w:val="auto"/>
          <w:highlight w:val="none"/>
          <w:lang w:eastAsia="zh-CN"/>
        </w:rPr>
        <w:t>申请人</w:t>
      </w:r>
      <w:r>
        <w:rPr>
          <w:rFonts w:hint="eastAsia" w:cs="宋体"/>
          <w:color w:val="auto"/>
          <w:highlight w:val="none"/>
        </w:rPr>
        <w:t>的报价不得超过最高限价，最高限价在</w:t>
      </w:r>
      <w:r>
        <w:rPr>
          <w:rFonts w:hint="eastAsia" w:cs="宋体"/>
          <w:color w:val="auto"/>
          <w:highlight w:val="none"/>
          <w:lang w:eastAsia="zh-CN"/>
        </w:rPr>
        <w:t>申请人</w:t>
      </w:r>
      <w:r>
        <w:rPr>
          <w:rFonts w:hint="eastAsia" w:cs="宋体"/>
          <w:color w:val="auto"/>
          <w:highlight w:val="none"/>
        </w:rPr>
        <w:t xml:space="preserve">须知前附表中载明。 </w:t>
      </w:r>
    </w:p>
    <w:p w14:paraId="4584A7AE">
      <w:pPr>
        <w:pStyle w:val="114"/>
        <w:spacing w:line="500" w:lineRule="exact"/>
        <w:rPr>
          <w:rFonts w:cs="宋体"/>
          <w:color w:val="auto"/>
          <w:highlight w:val="none"/>
        </w:rPr>
      </w:pPr>
      <w:r>
        <w:rPr>
          <w:rFonts w:hint="eastAsia" w:cs="宋体"/>
          <w:color w:val="auto"/>
          <w:highlight w:val="none"/>
        </w:rPr>
        <w:t>3.2.5 磋商报价的其他要求见</w:t>
      </w:r>
      <w:r>
        <w:rPr>
          <w:rFonts w:hint="eastAsia" w:cs="宋体"/>
          <w:color w:val="auto"/>
          <w:highlight w:val="none"/>
          <w:lang w:eastAsia="zh-CN"/>
        </w:rPr>
        <w:t>申请人</w:t>
      </w:r>
      <w:r>
        <w:rPr>
          <w:rFonts w:hint="eastAsia" w:cs="宋体"/>
          <w:color w:val="auto"/>
          <w:highlight w:val="none"/>
        </w:rPr>
        <w:t xml:space="preserve">须知前附表。 </w:t>
      </w:r>
    </w:p>
    <w:p w14:paraId="6F5F267D">
      <w:pPr>
        <w:keepLines/>
        <w:spacing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3.2.6</w:t>
      </w:r>
      <w:r>
        <w:rPr>
          <w:rFonts w:hint="eastAsia" w:ascii="宋体" w:hAnsi="宋体" w:eastAsia="宋体" w:cs="宋体"/>
          <w:color w:val="auto"/>
          <w:sz w:val="24"/>
          <w:szCs w:val="24"/>
          <w:highlight w:val="none"/>
          <w:lang w:eastAsia="zh-CN"/>
        </w:rPr>
        <w:t>申请人</w:t>
      </w:r>
      <w:r>
        <w:rPr>
          <w:rFonts w:hint="eastAsia" w:ascii="宋体" w:hAnsi="宋体" w:eastAsia="宋体" w:cs="宋体"/>
          <w:color w:val="auto"/>
          <w:sz w:val="24"/>
          <w:szCs w:val="24"/>
          <w:highlight w:val="none"/>
        </w:rPr>
        <w:t>可先到工地踏勘以充分了解工地位置、情况、道路、储存空间、装卸限制及任何其他足以影响承包价的情况，任何因忽视或误解工地情况而导致的索赔或工期延长申请将不被批准。</w:t>
      </w:r>
    </w:p>
    <w:p w14:paraId="2DFB8486">
      <w:pPr>
        <w:pStyle w:val="114"/>
        <w:spacing w:line="500" w:lineRule="exact"/>
        <w:rPr>
          <w:rFonts w:cs="宋体"/>
          <w:color w:val="auto"/>
          <w:highlight w:val="none"/>
        </w:rPr>
      </w:pPr>
      <w:r>
        <w:rPr>
          <w:rFonts w:hint="eastAsia" w:cs="宋体"/>
          <w:color w:val="auto"/>
          <w:highlight w:val="none"/>
        </w:rPr>
        <w:t>3.2.7结算方式：详见</w:t>
      </w:r>
      <w:r>
        <w:rPr>
          <w:rFonts w:hint="eastAsia" w:cs="宋体"/>
          <w:color w:val="auto"/>
          <w:highlight w:val="none"/>
          <w:lang w:eastAsia="zh-CN"/>
        </w:rPr>
        <w:t>申请人</w:t>
      </w:r>
      <w:r>
        <w:rPr>
          <w:rFonts w:hint="eastAsia" w:cs="宋体"/>
          <w:color w:val="auto"/>
          <w:highlight w:val="none"/>
        </w:rPr>
        <w:t>须知前附表。</w:t>
      </w:r>
    </w:p>
    <w:p w14:paraId="53587F96">
      <w:pPr>
        <w:pStyle w:val="114"/>
        <w:spacing w:line="500" w:lineRule="exact"/>
        <w:rPr>
          <w:rFonts w:cs="宋体"/>
          <w:color w:val="auto"/>
          <w:sz w:val="28"/>
          <w:highlight w:val="none"/>
        </w:rPr>
      </w:pPr>
      <w:r>
        <w:rPr>
          <w:rFonts w:hint="eastAsia" w:cs="宋体"/>
          <w:color w:val="auto"/>
          <w:sz w:val="28"/>
          <w:highlight w:val="none"/>
        </w:rPr>
        <w:t xml:space="preserve">3.3 </w:t>
      </w:r>
      <w:r>
        <w:rPr>
          <w:rFonts w:hint="eastAsia" w:cs="宋体"/>
          <w:color w:val="auto"/>
          <w:sz w:val="28"/>
          <w:highlight w:val="none"/>
          <w:lang w:val="en-US" w:eastAsia="zh-CN"/>
        </w:rPr>
        <w:t>磋商有效期</w:t>
      </w:r>
      <w:r>
        <w:rPr>
          <w:rFonts w:hint="eastAsia" w:cs="宋体"/>
          <w:color w:val="auto"/>
          <w:sz w:val="28"/>
          <w:highlight w:val="none"/>
        </w:rPr>
        <w:t xml:space="preserve"> </w:t>
      </w:r>
    </w:p>
    <w:p w14:paraId="6AC5C533">
      <w:pPr>
        <w:pStyle w:val="114"/>
        <w:spacing w:line="500" w:lineRule="exact"/>
        <w:rPr>
          <w:rFonts w:cs="宋体"/>
          <w:color w:val="auto"/>
          <w:highlight w:val="none"/>
        </w:rPr>
      </w:pPr>
      <w:r>
        <w:rPr>
          <w:rFonts w:hint="eastAsia" w:cs="宋体"/>
          <w:color w:val="auto"/>
          <w:highlight w:val="none"/>
        </w:rPr>
        <w:t>3.3.1 除</w:t>
      </w:r>
      <w:r>
        <w:rPr>
          <w:rFonts w:hint="eastAsia" w:cs="宋体"/>
          <w:color w:val="auto"/>
          <w:highlight w:val="none"/>
          <w:lang w:eastAsia="zh-CN"/>
        </w:rPr>
        <w:t>申请人</w:t>
      </w:r>
      <w:r>
        <w:rPr>
          <w:rFonts w:hint="eastAsia" w:cs="宋体"/>
          <w:color w:val="auto"/>
          <w:highlight w:val="none"/>
        </w:rPr>
        <w:t>须知前附表另有规定外，</w:t>
      </w:r>
      <w:r>
        <w:rPr>
          <w:rFonts w:hint="eastAsia" w:cs="宋体"/>
          <w:color w:val="auto"/>
          <w:highlight w:val="none"/>
          <w:lang w:val="en-US" w:eastAsia="zh-CN"/>
        </w:rPr>
        <w:t>磋商有效期</w:t>
      </w:r>
      <w:r>
        <w:rPr>
          <w:rFonts w:hint="eastAsia" w:ascii="宋体" w:hAnsi="宋体" w:eastAsia="宋体" w:cs="宋体"/>
          <w:color w:val="auto"/>
          <w:highlight w:val="none"/>
        </w:rPr>
        <w:t>为</w:t>
      </w:r>
      <w:r>
        <w:rPr>
          <w:rFonts w:hint="eastAsia" w:cs="宋体"/>
          <w:color w:val="auto"/>
          <w:highlight w:val="none"/>
          <w:lang w:val="en-US" w:eastAsia="zh-CN"/>
        </w:rPr>
        <w:t>自提交响应文件截止之日起</w:t>
      </w:r>
      <w:r>
        <w:rPr>
          <w:rFonts w:hint="eastAsia" w:ascii="宋体" w:hAnsi="宋体" w:eastAsia="宋体" w:cs="宋体"/>
          <w:color w:val="auto"/>
          <w:highlight w:val="none"/>
        </w:rPr>
        <w:t>90天</w:t>
      </w:r>
      <w:r>
        <w:rPr>
          <w:rFonts w:hint="eastAsia" w:cs="宋体"/>
          <w:color w:val="auto"/>
          <w:highlight w:val="none"/>
        </w:rPr>
        <w:t xml:space="preserve">。 </w:t>
      </w:r>
    </w:p>
    <w:p w14:paraId="2B054831">
      <w:pPr>
        <w:pStyle w:val="114"/>
        <w:spacing w:line="500" w:lineRule="exact"/>
        <w:rPr>
          <w:rFonts w:cs="宋体"/>
          <w:color w:val="auto"/>
          <w:highlight w:val="none"/>
        </w:rPr>
      </w:pPr>
      <w:r>
        <w:rPr>
          <w:rFonts w:hint="eastAsia" w:cs="宋体"/>
          <w:color w:val="auto"/>
          <w:highlight w:val="none"/>
        </w:rPr>
        <w:t>3.3.2 在</w:t>
      </w:r>
      <w:r>
        <w:rPr>
          <w:rFonts w:hint="eastAsia" w:cs="宋体"/>
          <w:color w:val="auto"/>
          <w:highlight w:val="none"/>
          <w:lang w:val="en-US" w:eastAsia="zh-CN"/>
        </w:rPr>
        <w:t>磋商有效期</w:t>
      </w:r>
      <w:r>
        <w:rPr>
          <w:rFonts w:hint="eastAsia" w:cs="宋体"/>
          <w:color w:val="auto"/>
          <w:highlight w:val="none"/>
        </w:rPr>
        <w:t>内，</w:t>
      </w:r>
      <w:r>
        <w:rPr>
          <w:rFonts w:hint="eastAsia" w:cs="宋体"/>
          <w:color w:val="auto"/>
          <w:highlight w:val="none"/>
          <w:lang w:eastAsia="zh-CN"/>
        </w:rPr>
        <w:t>申请人</w:t>
      </w:r>
      <w:r>
        <w:rPr>
          <w:rFonts w:hint="eastAsia" w:cs="宋体"/>
          <w:color w:val="auto"/>
          <w:highlight w:val="none"/>
        </w:rPr>
        <w:t>撤销响应文件的，应承担</w:t>
      </w:r>
      <w:r>
        <w:rPr>
          <w:rFonts w:hint="eastAsia" w:cs="宋体"/>
          <w:color w:val="auto"/>
          <w:highlight w:val="none"/>
          <w:lang w:eastAsia="zh-CN"/>
        </w:rPr>
        <w:t>竞争性磋商文件</w:t>
      </w:r>
      <w:r>
        <w:rPr>
          <w:rFonts w:hint="eastAsia" w:cs="宋体"/>
          <w:color w:val="auto"/>
          <w:highlight w:val="none"/>
        </w:rPr>
        <w:t xml:space="preserve">和法律规定的责任。 </w:t>
      </w:r>
    </w:p>
    <w:p w14:paraId="178F32F5">
      <w:pPr>
        <w:pStyle w:val="114"/>
        <w:spacing w:line="500" w:lineRule="exact"/>
        <w:rPr>
          <w:rFonts w:cs="宋体"/>
          <w:color w:val="auto"/>
          <w:highlight w:val="none"/>
        </w:rPr>
      </w:pPr>
      <w:r>
        <w:rPr>
          <w:rFonts w:hint="eastAsia" w:cs="宋体"/>
          <w:color w:val="auto"/>
          <w:highlight w:val="none"/>
        </w:rPr>
        <w:t>3.3.3 出现特殊情况需要延长</w:t>
      </w:r>
      <w:r>
        <w:rPr>
          <w:rFonts w:hint="eastAsia" w:cs="宋体"/>
          <w:color w:val="auto"/>
          <w:highlight w:val="none"/>
          <w:lang w:val="en-US" w:eastAsia="zh-CN"/>
        </w:rPr>
        <w:t>磋商有效期</w:t>
      </w:r>
      <w:r>
        <w:rPr>
          <w:rFonts w:hint="eastAsia" w:cs="宋体"/>
          <w:color w:val="auto"/>
          <w:highlight w:val="none"/>
        </w:rPr>
        <w:t>的，采购人以书面形式通知所有</w:t>
      </w:r>
      <w:r>
        <w:rPr>
          <w:rFonts w:hint="eastAsia" w:cs="宋体"/>
          <w:color w:val="auto"/>
          <w:highlight w:val="none"/>
          <w:lang w:eastAsia="zh-CN"/>
        </w:rPr>
        <w:t>申请人</w:t>
      </w:r>
      <w:r>
        <w:rPr>
          <w:rFonts w:hint="eastAsia" w:cs="宋体"/>
          <w:color w:val="auto"/>
          <w:highlight w:val="none"/>
        </w:rPr>
        <w:t>延长</w:t>
      </w:r>
      <w:r>
        <w:rPr>
          <w:rFonts w:hint="eastAsia" w:cs="宋体"/>
          <w:color w:val="auto"/>
          <w:highlight w:val="none"/>
          <w:lang w:val="en-US" w:eastAsia="zh-CN"/>
        </w:rPr>
        <w:t>磋商有效期</w:t>
      </w:r>
      <w:r>
        <w:rPr>
          <w:rFonts w:hint="eastAsia" w:cs="宋体"/>
          <w:color w:val="auto"/>
          <w:highlight w:val="none"/>
        </w:rPr>
        <w:t>。</w:t>
      </w:r>
      <w:r>
        <w:rPr>
          <w:rFonts w:hint="eastAsia" w:cs="宋体"/>
          <w:color w:val="auto"/>
          <w:highlight w:val="none"/>
          <w:lang w:eastAsia="zh-CN"/>
        </w:rPr>
        <w:t>申请人</w:t>
      </w:r>
      <w:r>
        <w:rPr>
          <w:rFonts w:hint="eastAsia" w:cs="宋体"/>
          <w:color w:val="auto"/>
          <w:highlight w:val="none"/>
        </w:rPr>
        <w:t>应予以书面答复，同意延长的，应相应延长其保证金的有效期，但不得要求或被允许修改其响应文件；</w:t>
      </w:r>
      <w:r>
        <w:rPr>
          <w:rFonts w:hint="eastAsia" w:cs="宋体"/>
          <w:color w:val="auto"/>
          <w:highlight w:val="none"/>
          <w:lang w:eastAsia="zh-CN"/>
        </w:rPr>
        <w:t>申请人</w:t>
      </w:r>
      <w:r>
        <w:rPr>
          <w:rFonts w:hint="eastAsia" w:cs="宋体"/>
          <w:color w:val="auto"/>
          <w:highlight w:val="none"/>
        </w:rPr>
        <w:t>拒绝延长的，其</w:t>
      </w:r>
      <w:r>
        <w:rPr>
          <w:rFonts w:hint="eastAsia" w:cs="宋体"/>
          <w:color w:val="auto"/>
          <w:highlight w:val="none"/>
          <w:lang w:val="en-US" w:eastAsia="zh-CN"/>
        </w:rPr>
        <w:t>响应文件</w:t>
      </w:r>
      <w:r>
        <w:rPr>
          <w:rFonts w:hint="eastAsia" w:cs="宋体"/>
          <w:color w:val="auto"/>
          <w:highlight w:val="none"/>
        </w:rPr>
        <w:t>失效，但</w:t>
      </w:r>
      <w:r>
        <w:rPr>
          <w:rFonts w:hint="eastAsia" w:cs="宋体"/>
          <w:color w:val="auto"/>
          <w:highlight w:val="none"/>
          <w:lang w:eastAsia="zh-CN"/>
        </w:rPr>
        <w:t>申请人</w:t>
      </w:r>
      <w:r>
        <w:rPr>
          <w:rFonts w:hint="eastAsia" w:cs="宋体"/>
          <w:color w:val="auto"/>
          <w:highlight w:val="none"/>
        </w:rPr>
        <w:t xml:space="preserve">有权收回其保证金及以现金或者支票形式递交的保证金的银行同期存款利息。 </w:t>
      </w:r>
    </w:p>
    <w:p w14:paraId="7DE481F8">
      <w:pPr>
        <w:pStyle w:val="114"/>
        <w:spacing w:line="500" w:lineRule="exact"/>
        <w:rPr>
          <w:rFonts w:cs="宋体"/>
          <w:color w:val="auto"/>
          <w:sz w:val="28"/>
          <w:highlight w:val="none"/>
        </w:rPr>
      </w:pPr>
      <w:r>
        <w:rPr>
          <w:rFonts w:hint="eastAsia" w:cs="宋体"/>
          <w:color w:val="auto"/>
          <w:sz w:val="28"/>
          <w:highlight w:val="none"/>
        </w:rPr>
        <w:t>3.4 保证金</w:t>
      </w:r>
      <w:r>
        <w:rPr>
          <w:rFonts w:hint="eastAsia" w:cs="宋体"/>
          <w:color w:val="auto"/>
          <w:sz w:val="28"/>
          <w:highlight w:val="none"/>
          <w:lang w:eastAsia="zh-CN"/>
        </w:rPr>
        <w:t>（</w:t>
      </w:r>
      <w:r>
        <w:rPr>
          <w:rFonts w:hint="eastAsia" w:cs="宋体"/>
          <w:color w:val="auto"/>
          <w:sz w:val="28"/>
          <w:highlight w:val="none"/>
          <w:lang w:val="en-US" w:eastAsia="zh-CN"/>
        </w:rPr>
        <w:t>本次采购不需要缴纳磋商保证金</w:t>
      </w:r>
      <w:r>
        <w:rPr>
          <w:rFonts w:hint="eastAsia" w:cs="宋体"/>
          <w:color w:val="auto"/>
          <w:sz w:val="28"/>
          <w:highlight w:val="none"/>
          <w:lang w:eastAsia="zh-CN"/>
        </w:rPr>
        <w:t>）</w:t>
      </w:r>
    </w:p>
    <w:p w14:paraId="1DD35C23">
      <w:pPr>
        <w:pStyle w:val="114"/>
        <w:spacing w:line="500" w:lineRule="exact"/>
        <w:rPr>
          <w:rFonts w:cs="宋体"/>
          <w:color w:val="auto"/>
          <w:sz w:val="28"/>
          <w:highlight w:val="none"/>
        </w:rPr>
      </w:pPr>
      <w:r>
        <w:rPr>
          <w:rFonts w:hint="eastAsia" w:cs="宋体"/>
          <w:color w:val="auto"/>
          <w:sz w:val="28"/>
          <w:highlight w:val="none"/>
        </w:rPr>
        <w:t>3.5 资格审查资料</w:t>
      </w:r>
    </w:p>
    <w:p w14:paraId="2F71942B">
      <w:pPr>
        <w:pStyle w:val="114"/>
        <w:spacing w:line="500" w:lineRule="exact"/>
        <w:ind w:firstLine="480" w:firstLineChars="200"/>
        <w:rPr>
          <w:rFonts w:cs="宋体"/>
          <w:color w:val="auto"/>
          <w:highlight w:val="none"/>
        </w:rPr>
      </w:pPr>
      <w:r>
        <w:rPr>
          <w:rFonts w:hint="eastAsia" w:cs="宋体"/>
          <w:color w:val="auto"/>
          <w:highlight w:val="none"/>
          <w:lang w:eastAsia="zh-CN"/>
        </w:rPr>
        <w:t>申请人</w:t>
      </w:r>
      <w:r>
        <w:rPr>
          <w:rFonts w:hint="eastAsia" w:cs="宋体"/>
          <w:color w:val="auto"/>
          <w:highlight w:val="none"/>
        </w:rPr>
        <w:t>应按</w:t>
      </w:r>
      <w:r>
        <w:rPr>
          <w:rFonts w:hint="eastAsia" w:cs="宋体"/>
          <w:color w:val="auto"/>
          <w:highlight w:val="none"/>
          <w:lang w:eastAsia="zh-CN"/>
        </w:rPr>
        <w:t>竞争性磋商文件</w:t>
      </w:r>
      <w:r>
        <w:rPr>
          <w:rFonts w:hint="eastAsia" w:cs="宋体"/>
          <w:color w:val="auto"/>
          <w:highlight w:val="none"/>
        </w:rPr>
        <w:t xml:space="preserve">规定提供资格审查资料，以证明其满足本章第1.4款规定的资格要求。 </w:t>
      </w:r>
    </w:p>
    <w:p w14:paraId="3BCFED69">
      <w:pPr>
        <w:pStyle w:val="114"/>
        <w:spacing w:line="500" w:lineRule="exact"/>
        <w:rPr>
          <w:rFonts w:cs="宋体"/>
          <w:color w:val="auto"/>
          <w:sz w:val="28"/>
          <w:highlight w:val="none"/>
        </w:rPr>
      </w:pPr>
      <w:r>
        <w:rPr>
          <w:rFonts w:hint="eastAsia" w:cs="宋体"/>
          <w:color w:val="auto"/>
          <w:sz w:val="28"/>
          <w:highlight w:val="none"/>
        </w:rPr>
        <w:t>3.6 备选</w:t>
      </w:r>
      <w:r>
        <w:rPr>
          <w:rFonts w:hint="eastAsia" w:cs="宋体"/>
          <w:color w:val="auto"/>
          <w:sz w:val="28"/>
          <w:highlight w:val="none"/>
          <w:lang w:val="en-US" w:eastAsia="zh-CN"/>
        </w:rPr>
        <w:t>磋商</w:t>
      </w:r>
      <w:r>
        <w:rPr>
          <w:rFonts w:hint="eastAsia" w:cs="宋体"/>
          <w:color w:val="auto"/>
          <w:sz w:val="28"/>
          <w:highlight w:val="none"/>
        </w:rPr>
        <w:t xml:space="preserve">方案 </w:t>
      </w:r>
    </w:p>
    <w:p w14:paraId="6AE12274">
      <w:pPr>
        <w:pStyle w:val="114"/>
        <w:spacing w:line="500" w:lineRule="exact"/>
        <w:rPr>
          <w:rFonts w:cs="宋体"/>
          <w:color w:val="auto"/>
          <w:highlight w:val="none"/>
        </w:rPr>
      </w:pPr>
      <w:r>
        <w:rPr>
          <w:rFonts w:hint="eastAsia" w:cs="宋体"/>
          <w:color w:val="auto"/>
          <w:highlight w:val="none"/>
        </w:rPr>
        <w:t>3.6.1 除</w:t>
      </w:r>
      <w:r>
        <w:rPr>
          <w:rFonts w:hint="eastAsia" w:cs="宋体"/>
          <w:color w:val="auto"/>
          <w:highlight w:val="none"/>
          <w:lang w:eastAsia="zh-CN"/>
        </w:rPr>
        <w:t>申请人</w:t>
      </w:r>
      <w:r>
        <w:rPr>
          <w:rFonts w:hint="eastAsia" w:cs="宋体"/>
          <w:color w:val="auto"/>
          <w:highlight w:val="none"/>
        </w:rPr>
        <w:t>须知前附表规定允许外，</w:t>
      </w:r>
      <w:r>
        <w:rPr>
          <w:rFonts w:hint="eastAsia" w:cs="宋体"/>
          <w:color w:val="auto"/>
          <w:highlight w:val="none"/>
          <w:lang w:eastAsia="zh-CN"/>
        </w:rPr>
        <w:t>申请人</w:t>
      </w:r>
      <w:r>
        <w:rPr>
          <w:rFonts w:hint="eastAsia" w:cs="宋体"/>
          <w:color w:val="auto"/>
          <w:highlight w:val="none"/>
        </w:rPr>
        <w:t>不得递交备选</w:t>
      </w:r>
      <w:r>
        <w:rPr>
          <w:rFonts w:hint="eastAsia" w:cs="宋体"/>
          <w:color w:val="auto"/>
          <w:highlight w:val="none"/>
          <w:lang w:val="en-US" w:eastAsia="zh-CN"/>
        </w:rPr>
        <w:t>磋商</w:t>
      </w:r>
      <w:r>
        <w:rPr>
          <w:rFonts w:hint="eastAsia" w:cs="宋体"/>
          <w:color w:val="auto"/>
          <w:highlight w:val="none"/>
        </w:rPr>
        <w:t>方案，否则其</w:t>
      </w:r>
      <w:r>
        <w:rPr>
          <w:rFonts w:hint="eastAsia" w:cs="宋体"/>
          <w:color w:val="auto"/>
          <w:highlight w:val="none"/>
          <w:lang w:val="en-US" w:eastAsia="zh-CN"/>
        </w:rPr>
        <w:t>响应文件无效</w:t>
      </w:r>
      <w:r>
        <w:rPr>
          <w:rFonts w:hint="eastAsia" w:cs="宋体"/>
          <w:color w:val="auto"/>
          <w:highlight w:val="none"/>
        </w:rPr>
        <w:t xml:space="preserve">。 </w:t>
      </w:r>
    </w:p>
    <w:p w14:paraId="6C612430">
      <w:pPr>
        <w:pStyle w:val="114"/>
        <w:spacing w:line="500" w:lineRule="exact"/>
        <w:rPr>
          <w:rFonts w:cs="宋体"/>
          <w:color w:val="auto"/>
          <w:highlight w:val="none"/>
        </w:rPr>
      </w:pPr>
      <w:r>
        <w:rPr>
          <w:rFonts w:hint="eastAsia" w:cs="宋体"/>
          <w:color w:val="auto"/>
          <w:highlight w:val="none"/>
        </w:rPr>
        <w:t>3.6.2 允许</w:t>
      </w:r>
      <w:r>
        <w:rPr>
          <w:rFonts w:hint="eastAsia" w:cs="宋体"/>
          <w:color w:val="auto"/>
          <w:highlight w:val="none"/>
          <w:lang w:eastAsia="zh-CN"/>
        </w:rPr>
        <w:t>申请人</w:t>
      </w:r>
      <w:r>
        <w:rPr>
          <w:rFonts w:hint="eastAsia" w:cs="宋体"/>
          <w:color w:val="auto"/>
          <w:highlight w:val="none"/>
        </w:rPr>
        <w:t>递交备选</w:t>
      </w:r>
      <w:r>
        <w:rPr>
          <w:rFonts w:hint="eastAsia" w:cs="宋体"/>
          <w:color w:val="auto"/>
          <w:highlight w:val="none"/>
          <w:lang w:val="en-US" w:eastAsia="zh-CN"/>
        </w:rPr>
        <w:t>磋商</w:t>
      </w:r>
      <w:r>
        <w:rPr>
          <w:rFonts w:hint="eastAsia" w:cs="宋体"/>
          <w:color w:val="auto"/>
          <w:highlight w:val="none"/>
        </w:rPr>
        <w:t>方案的，只有</w:t>
      </w:r>
      <w:r>
        <w:rPr>
          <w:rFonts w:hint="eastAsia" w:cs="宋体"/>
          <w:color w:val="auto"/>
          <w:highlight w:val="none"/>
          <w:lang w:val="en-US" w:eastAsia="zh-CN"/>
        </w:rPr>
        <w:t>成交</w:t>
      </w:r>
      <w:r>
        <w:rPr>
          <w:rFonts w:hint="eastAsia" w:cs="宋体"/>
          <w:color w:val="auto"/>
          <w:highlight w:val="none"/>
        </w:rPr>
        <w:t>人所递交的备选</w:t>
      </w:r>
      <w:r>
        <w:rPr>
          <w:rFonts w:hint="eastAsia" w:cs="宋体"/>
          <w:color w:val="auto"/>
          <w:highlight w:val="none"/>
          <w:lang w:val="en-US" w:eastAsia="zh-CN"/>
        </w:rPr>
        <w:t>磋商</w:t>
      </w:r>
      <w:r>
        <w:rPr>
          <w:rFonts w:hint="eastAsia" w:cs="宋体"/>
          <w:color w:val="auto"/>
          <w:highlight w:val="none"/>
        </w:rPr>
        <w:t>方案方可予以考虑。磋商小组认为成交人的备选</w:t>
      </w:r>
      <w:r>
        <w:rPr>
          <w:rFonts w:hint="eastAsia" w:cs="宋体"/>
          <w:color w:val="auto"/>
          <w:highlight w:val="none"/>
          <w:lang w:val="en-US" w:eastAsia="zh-CN"/>
        </w:rPr>
        <w:t>磋商</w:t>
      </w:r>
      <w:r>
        <w:rPr>
          <w:rFonts w:hint="eastAsia" w:cs="宋体"/>
          <w:color w:val="auto"/>
          <w:highlight w:val="none"/>
        </w:rPr>
        <w:t>方案优于其按照</w:t>
      </w:r>
      <w:r>
        <w:rPr>
          <w:rFonts w:hint="eastAsia" w:cs="宋体"/>
          <w:color w:val="auto"/>
          <w:highlight w:val="none"/>
          <w:lang w:eastAsia="zh-CN"/>
        </w:rPr>
        <w:t>竞争性磋商文件</w:t>
      </w:r>
      <w:r>
        <w:rPr>
          <w:rFonts w:hint="eastAsia" w:cs="宋体"/>
          <w:color w:val="auto"/>
          <w:highlight w:val="none"/>
        </w:rPr>
        <w:t>要求编制的</w:t>
      </w:r>
      <w:r>
        <w:rPr>
          <w:rFonts w:hint="eastAsia" w:cs="宋体"/>
          <w:color w:val="auto"/>
          <w:highlight w:val="none"/>
          <w:lang w:val="en-US" w:eastAsia="zh-CN"/>
        </w:rPr>
        <w:t>磋商</w:t>
      </w:r>
      <w:r>
        <w:rPr>
          <w:rFonts w:hint="eastAsia" w:cs="宋体"/>
          <w:color w:val="auto"/>
          <w:highlight w:val="none"/>
        </w:rPr>
        <w:t>方案的，采购人可以接受该备选</w:t>
      </w:r>
      <w:r>
        <w:rPr>
          <w:rFonts w:hint="eastAsia" w:cs="宋体"/>
          <w:color w:val="auto"/>
          <w:highlight w:val="none"/>
          <w:lang w:val="en-US" w:eastAsia="zh-CN"/>
        </w:rPr>
        <w:t>磋商</w:t>
      </w:r>
      <w:r>
        <w:rPr>
          <w:rFonts w:hint="eastAsia" w:cs="宋体"/>
          <w:color w:val="auto"/>
          <w:highlight w:val="none"/>
        </w:rPr>
        <w:t xml:space="preserve">方案。 </w:t>
      </w:r>
    </w:p>
    <w:p w14:paraId="4994FA93">
      <w:pPr>
        <w:pStyle w:val="114"/>
        <w:spacing w:line="500" w:lineRule="exact"/>
        <w:rPr>
          <w:rFonts w:cs="宋体"/>
          <w:color w:val="auto"/>
          <w:highlight w:val="none"/>
        </w:rPr>
      </w:pPr>
      <w:r>
        <w:rPr>
          <w:rFonts w:hint="eastAsia" w:cs="宋体"/>
          <w:color w:val="auto"/>
          <w:highlight w:val="none"/>
        </w:rPr>
        <w:t xml:space="preserve">3.6.3 </w:t>
      </w:r>
      <w:r>
        <w:rPr>
          <w:rFonts w:hint="eastAsia" w:cs="宋体"/>
          <w:color w:val="auto"/>
          <w:highlight w:val="none"/>
          <w:lang w:eastAsia="zh-CN"/>
        </w:rPr>
        <w:t>申请人</w:t>
      </w:r>
      <w:r>
        <w:rPr>
          <w:rFonts w:hint="eastAsia" w:cs="宋体"/>
          <w:color w:val="auto"/>
          <w:highlight w:val="none"/>
        </w:rPr>
        <w:t xml:space="preserve">提供两个或两个以上报价，视为提供备选方案。 </w:t>
      </w:r>
    </w:p>
    <w:p w14:paraId="67C3AC57">
      <w:pPr>
        <w:pStyle w:val="114"/>
        <w:spacing w:line="500" w:lineRule="exact"/>
        <w:rPr>
          <w:rFonts w:cs="宋体"/>
          <w:color w:val="auto"/>
          <w:sz w:val="28"/>
          <w:highlight w:val="none"/>
        </w:rPr>
      </w:pPr>
      <w:r>
        <w:rPr>
          <w:rFonts w:hint="eastAsia" w:cs="宋体"/>
          <w:color w:val="auto"/>
          <w:sz w:val="28"/>
          <w:highlight w:val="none"/>
        </w:rPr>
        <w:t xml:space="preserve">3.7 响应文件的编制 </w:t>
      </w:r>
    </w:p>
    <w:p w14:paraId="105312A7">
      <w:pPr>
        <w:pStyle w:val="114"/>
        <w:spacing w:line="500" w:lineRule="exact"/>
        <w:rPr>
          <w:rFonts w:cs="宋体"/>
          <w:color w:val="auto"/>
          <w:highlight w:val="none"/>
        </w:rPr>
      </w:pPr>
      <w:r>
        <w:rPr>
          <w:rFonts w:hint="eastAsia" w:cs="宋体"/>
          <w:color w:val="auto"/>
          <w:highlight w:val="none"/>
        </w:rPr>
        <w:t>3.7.1 响应文件应按第六章“响应文件格式”进行编写，如有必要，可以增加附页，作为响应文件的组成部分。</w:t>
      </w:r>
    </w:p>
    <w:p w14:paraId="1B8D6CE8">
      <w:pPr>
        <w:pStyle w:val="114"/>
        <w:spacing w:line="500" w:lineRule="exact"/>
        <w:rPr>
          <w:rFonts w:hint="eastAsia" w:cs="宋体"/>
          <w:color w:val="auto"/>
          <w:highlight w:val="none"/>
        </w:rPr>
      </w:pPr>
      <w:r>
        <w:rPr>
          <w:rFonts w:hint="eastAsia" w:cs="宋体"/>
          <w:color w:val="auto"/>
          <w:highlight w:val="none"/>
        </w:rPr>
        <w:t>3.7.2 响应文件应当对</w:t>
      </w:r>
      <w:r>
        <w:rPr>
          <w:rFonts w:hint="eastAsia" w:cs="宋体"/>
          <w:color w:val="auto"/>
          <w:highlight w:val="none"/>
          <w:lang w:eastAsia="zh-CN"/>
        </w:rPr>
        <w:t>竞争性磋商文件</w:t>
      </w:r>
      <w:r>
        <w:rPr>
          <w:rFonts w:hint="eastAsia" w:cs="宋体"/>
          <w:color w:val="auto"/>
          <w:highlight w:val="none"/>
        </w:rPr>
        <w:t>有关合同履行期限、</w:t>
      </w:r>
      <w:r>
        <w:rPr>
          <w:rFonts w:hint="eastAsia" w:cs="宋体"/>
          <w:color w:val="auto"/>
          <w:highlight w:val="none"/>
          <w:lang w:val="en-US" w:eastAsia="zh-CN"/>
        </w:rPr>
        <w:t>磋商有效期</w:t>
      </w:r>
      <w:r>
        <w:rPr>
          <w:rFonts w:hint="eastAsia" w:cs="宋体"/>
          <w:color w:val="auto"/>
          <w:highlight w:val="none"/>
        </w:rPr>
        <w:t>、采购需求等实质性内容作出响应。</w:t>
      </w:r>
    </w:p>
    <w:p w14:paraId="7935A30B">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3.7.3</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文件全部采用电子文档，</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应安装客户端软件—“政采云电子交易客户端”，并按照</w:t>
      </w:r>
      <w:r>
        <w:rPr>
          <w:rFonts w:hint="eastAsia" w:ascii="宋体" w:hAnsi="宋体" w:eastAsia="宋体" w:cs="宋体"/>
          <w:color w:val="auto"/>
          <w:highlight w:val="none"/>
          <w:lang w:eastAsia="zh-CN"/>
        </w:rPr>
        <w:t>磋商</w:t>
      </w:r>
      <w:r>
        <w:rPr>
          <w:rFonts w:hint="eastAsia" w:ascii="宋体" w:hAnsi="宋体" w:eastAsia="宋体" w:cs="宋体"/>
          <w:color w:val="auto"/>
          <w:highlight w:val="none"/>
        </w:rPr>
        <w:t>文件和政采云电子交易平台的要求编制，编制后应进行电子签名及加密。</w:t>
      </w:r>
    </w:p>
    <w:p w14:paraId="0E1AC84E">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3.7.4</w:t>
      </w:r>
      <w:r>
        <w:rPr>
          <w:rFonts w:hint="eastAsia" w:ascii="宋体" w:hAnsi="宋体" w:eastAsia="宋体" w:cs="宋体"/>
          <w:color w:val="auto"/>
          <w:highlight w:val="none"/>
        </w:rPr>
        <w:t>如</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提交的电子标书不符合</w:t>
      </w:r>
      <w:r>
        <w:rPr>
          <w:rFonts w:hint="eastAsia" w:ascii="宋体" w:hAnsi="宋体" w:eastAsia="宋体" w:cs="宋体"/>
          <w:color w:val="auto"/>
          <w:highlight w:val="none"/>
          <w:lang w:eastAsia="zh-CN"/>
        </w:rPr>
        <w:t>上述</w:t>
      </w:r>
      <w:r>
        <w:rPr>
          <w:rFonts w:hint="eastAsia" w:ascii="宋体" w:hAnsi="宋体" w:eastAsia="宋体" w:cs="宋体"/>
          <w:color w:val="auto"/>
          <w:highlight w:val="none"/>
        </w:rPr>
        <w:t>要求或开标时无法读取导入或解密，其</w:t>
      </w:r>
      <w:r>
        <w:rPr>
          <w:rFonts w:hint="eastAsia" w:ascii="宋体" w:hAnsi="宋体" w:eastAsia="宋体" w:cs="宋体"/>
          <w:color w:val="auto"/>
          <w:highlight w:val="none"/>
          <w:lang w:eastAsia="zh-CN"/>
        </w:rPr>
        <w:t>响应</w:t>
      </w:r>
      <w:r>
        <w:rPr>
          <w:rFonts w:hint="eastAsia" w:ascii="宋体" w:hAnsi="宋体" w:eastAsia="宋体" w:cs="宋体"/>
          <w:color w:val="auto"/>
          <w:highlight w:val="none"/>
        </w:rPr>
        <w:t>文件将不予受理。</w:t>
      </w:r>
    </w:p>
    <w:p w14:paraId="6331F1EC">
      <w:pPr>
        <w:pStyle w:val="114"/>
        <w:spacing w:line="50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3.7.5</w:t>
      </w:r>
      <w:r>
        <w:rPr>
          <w:rFonts w:hint="eastAsia" w:ascii="宋体" w:hAnsi="宋体" w:eastAsia="宋体" w:cs="宋体"/>
          <w:color w:val="auto"/>
          <w:highlight w:val="none"/>
          <w:lang w:eastAsia="zh-CN"/>
        </w:rPr>
        <w:t>响应文件须按统一格式填写，并按“第六章</w:t>
      </w:r>
      <w:r>
        <w:rPr>
          <w:rFonts w:hint="eastAsia" w:ascii="宋体" w:hAnsi="宋体" w:eastAsia="宋体" w:cs="宋体"/>
          <w:color w:val="auto"/>
          <w:highlight w:val="none"/>
          <w:lang w:val="en-US" w:eastAsia="zh-CN"/>
        </w:rPr>
        <w:t xml:space="preserve"> </w:t>
      </w:r>
      <w:r>
        <w:rPr>
          <w:rFonts w:hint="eastAsia" w:ascii="宋体" w:hAnsi="宋体" w:eastAsia="宋体" w:cs="宋体"/>
          <w:color w:val="auto"/>
          <w:highlight w:val="none"/>
          <w:lang w:eastAsia="zh-CN"/>
        </w:rPr>
        <w:t>响应文件格式”规定由法定代表人或其委托代理人在规定的签字处逐一签字（签字或电子签名或电子签章），要求盖章处应盖单位章（电子签章）。</w:t>
      </w:r>
    </w:p>
    <w:p w14:paraId="38746645">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3.7.6</w:t>
      </w:r>
      <w:r>
        <w:rPr>
          <w:rFonts w:hint="eastAsia" w:ascii="宋体" w:hAnsi="宋体" w:eastAsia="宋体" w:cs="宋体"/>
          <w:color w:val="auto"/>
          <w:highlight w:val="none"/>
          <w:lang w:eastAsia="zh-CN"/>
        </w:rPr>
        <w:t>响应文件因字迹潦草、表达不清或材料模糊无法辨认所引起的后果由申请人负责。</w:t>
      </w:r>
    </w:p>
    <w:p w14:paraId="3958ED27">
      <w:pPr>
        <w:pStyle w:val="114"/>
        <w:spacing w:line="500" w:lineRule="exact"/>
        <w:rPr>
          <w:rFonts w:hint="eastAsia" w:ascii="宋体" w:hAnsi="宋体" w:eastAsia="宋体" w:cs="宋体"/>
          <w:b/>
          <w:bCs/>
          <w:color w:val="auto"/>
          <w:highlight w:val="none"/>
          <w:lang w:val="en-US" w:eastAsia="zh-CN"/>
        </w:rPr>
      </w:pPr>
      <w:bookmarkStart w:id="57" w:name="_Toc20209"/>
      <w:bookmarkStart w:id="58" w:name="_Toc8938"/>
      <w:bookmarkStart w:id="59" w:name="_Toc5065_WPSOffice_Level2"/>
      <w:r>
        <w:rPr>
          <w:rFonts w:hint="eastAsia" w:ascii="宋体" w:hAnsi="宋体" w:eastAsia="宋体" w:cs="宋体"/>
          <w:b/>
          <w:bCs/>
          <w:color w:val="auto"/>
          <w:highlight w:val="none"/>
          <w:lang w:val="en-US" w:eastAsia="zh-CN"/>
        </w:rPr>
        <w:t>4.响应文件的递交</w:t>
      </w:r>
      <w:bookmarkEnd w:id="57"/>
      <w:bookmarkEnd w:id="58"/>
    </w:p>
    <w:p w14:paraId="11D733F6">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4.1</w:t>
      </w:r>
      <w:r>
        <w:rPr>
          <w:rFonts w:hint="eastAsia" w:ascii="宋体" w:hAnsi="宋体" w:eastAsia="宋体" w:cs="宋体"/>
          <w:color w:val="auto"/>
          <w:highlight w:val="none"/>
        </w:rPr>
        <w:t>响应文件的密封及标记</w:t>
      </w:r>
    </w:p>
    <w:p w14:paraId="6B34EAAA">
      <w:pPr>
        <w:snapToGrid w:val="0"/>
        <w:spacing w:line="460" w:lineRule="exact"/>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4.1.1</w:t>
      </w:r>
      <w:r>
        <w:rPr>
          <w:rFonts w:hint="eastAsia" w:ascii="宋体" w:hAnsi="宋体" w:eastAsia="宋体" w:cs="Times New Roman"/>
          <w:color w:val="auto"/>
          <w:sz w:val="24"/>
          <w:szCs w:val="24"/>
          <w:highlight w:val="none"/>
          <w:lang w:eastAsia="zh-CN"/>
        </w:rPr>
        <w:t>申请人</w:t>
      </w:r>
      <w:r>
        <w:rPr>
          <w:rFonts w:hint="eastAsia" w:ascii="宋体" w:hAnsi="宋体" w:eastAsia="宋体" w:cs="Times New Roman"/>
          <w:color w:val="auto"/>
          <w:sz w:val="24"/>
          <w:szCs w:val="24"/>
          <w:highlight w:val="none"/>
        </w:rPr>
        <w:t>进行电子交易应安装客户端软件—“政采云电子交易客户端”，并按照</w:t>
      </w:r>
      <w:r>
        <w:rPr>
          <w:rFonts w:hint="eastAsia" w:ascii="宋体" w:hAnsi="宋体" w:eastAsia="宋体" w:cs="Times New Roman"/>
          <w:color w:val="auto"/>
          <w:sz w:val="24"/>
          <w:szCs w:val="24"/>
          <w:highlight w:val="none"/>
          <w:lang w:eastAsia="zh-CN"/>
        </w:rPr>
        <w:t>磋商</w:t>
      </w:r>
      <w:r>
        <w:rPr>
          <w:rFonts w:hint="eastAsia" w:ascii="宋体" w:hAnsi="宋体" w:eastAsia="宋体" w:cs="Times New Roman"/>
          <w:color w:val="auto"/>
          <w:sz w:val="24"/>
          <w:szCs w:val="24"/>
          <w:highlight w:val="none"/>
        </w:rPr>
        <w:t>文件和电子交易平台的要求编制并加密</w:t>
      </w:r>
      <w:r>
        <w:rPr>
          <w:rFonts w:hint="eastAsia" w:ascii="宋体" w:hAnsi="宋体" w:eastAsia="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文件。</w:t>
      </w:r>
      <w:r>
        <w:rPr>
          <w:rFonts w:hint="eastAsia" w:ascii="宋体" w:hAnsi="宋体" w:eastAsia="宋体" w:cs="Times New Roman"/>
          <w:color w:val="auto"/>
          <w:sz w:val="24"/>
          <w:szCs w:val="24"/>
          <w:highlight w:val="none"/>
          <w:lang w:eastAsia="zh-CN"/>
        </w:rPr>
        <w:t>申请人</w:t>
      </w:r>
      <w:r>
        <w:rPr>
          <w:rFonts w:hint="eastAsia" w:ascii="宋体" w:hAnsi="宋体" w:eastAsia="宋体" w:cs="Times New Roman"/>
          <w:color w:val="auto"/>
          <w:sz w:val="24"/>
          <w:szCs w:val="24"/>
          <w:highlight w:val="none"/>
        </w:rPr>
        <w:t>未按规定加密的</w:t>
      </w:r>
      <w:r>
        <w:rPr>
          <w:rFonts w:hint="eastAsia" w:ascii="宋体" w:hAnsi="宋体" w:eastAsia="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文件，电子交易平台将拒收并提示。</w:t>
      </w:r>
    </w:p>
    <w:p w14:paraId="3E6B9AD7">
      <w:pPr>
        <w:snapToGrid w:val="0"/>
        <w:spacing w:line="460" w:lineRule="exact"/>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4.1.2使用“政采云电子交易客户端”需要提前申领CA数字证书。</w:t>
      </w:r>
    </w:p>
    <w:p w14:paraId="3F1CECC0">
      <w:pPr>
        <w:pStyle w:val="114"/>
        <w:spacing w:line="500" w:lineRule="exact"/>
        <w:rPr>
          <w:rFonts w:hint="eastAsia" w:ascii="宋体" w:hAnsi="宋体" w:eastAsia="宋体" w:cs="宋体"/>
          <w:color w:val="auto"/>
          <w:highlight w:val="none"/>
        </w:rPr>
      </w:pPr>
      <w:r>
        <w:rPr>
          <w:rFonts w:hint="eastAsia" w:ascii="宋体" w:hAnsi="宋体" w:eastAsia="宋体" w:cs="Times New Roman"/>
          <w:color w:val="auto"/>
          <w:kern w:val="2"/>
          <w:sz w:val="24"/>
          <w:szCs w:val="24"/>
          <w:highlight w:val="none"/>
          <w:lang w:val="en-US" w:eastAsia="zh-CN" w:bidi="ar-SA"/>
        </w:rPr>
        <w:t>4.1.3为确</w:t>
      </w:r>
      <w:r>
        <w:rPr>
          <w:rFonts w:hint="eastAsia" w:ascii="宋体" w:hAnsi="宋体" w:eastAsia="宋体" w:cs="Times New Roman"/>
          <w:color w:val="auto"/>
          <w:sz w:val="24"/>
          <w:szCs w:val="24"/>
          <w:highlight w:val="none"/>
        </w:rPr>
        <w:t>保网上操作合法、有效和安全，</w:t>
      </w:r>
      <w:r>
        <w:rPr>
          <w:rFonts w:hint="eastAsia" w:ascii="宋体" w:hAnsi="宋体" w:eastAsia="宋体" w:cs="Times New Roman"/>
          <w:color w:val="auto"/>
          <w:sz w:val="24"/>
          <w:szCs w:val="24"/>
          <w:highlight w:val="none"/>
          <w:lang w:eastAsia="zh-CN"/>
        </w:rPr>
        <w:t>申请人</w:t>
      </w:r>
      <w:r>
        <w:rPr>
          <w:rFonts w:hint="eastAsia" w:ascii="宋体" w:hAnsi="宋体" w:eastAsia="宋体" w:cs="Times New Roman"/>
          <w:color w:val="auto"/>
          <w:sz w:val="24"/>
          <w:szCs w:val="24"/>
          <w:highlight w:val="none"/>
        </w:rPr>
        <w:t>应当在</w:t>
      </w:r>
      <w:r>
        <w:rPr>
          <w:rFonts w:hint="eastAsia" w:ascii="宋体" w:hAnsi="宋体" w:eastAsia="宋体" w:cs="Times New Roman"/>
          <w:color w:val="auto"/>
          <w:sz w:val="24"/>
          <w:szCs w:val="24"/>
          <w:highlight w:val="none"/>
          <w:lang w:eastAsia="zh-CN"/>
        </w:rPr>
        <w:t>响应</w:t>
      </w:r>
      <w:r>
        <w:rPr>
          <w:rFonts w:hint="eastAsia" w:ascii="宋体" w:hAnsi="宋体" w:eastAsia="宋体" w:cs="Times New Roman"/>
          <w:color w:val="auto"/>
          <w:sz w:val="24"/>
          <w:szCs w:val="24"/>
          <w:highlight w:val="none"/>
        </w:rPr>
        <w:t>提交截止时间前完成在“政府采购云平台”的身份认证，确保在电子交易过程中能够对相关数据电文进行加密和使用电子签名。</w:t>
      </w:r>
    </w:p>
    <w:p w14:paraId="02401B68">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4.2</w:t>
      </w:r>
      <w:r>
        <w:rPr>
          <w:rFonts w:hint="eastAsia" w:ascii="宋体" w:hAnsi="宋体" w:eastAsia="宋体" w:cs="宋体"/>
          <w:color w:val="auto"/>
          <w:highlight w:val="none"/>
        </w:rPr>
        <w:t>递交响应文件</w:t>
      </w:r>
    </w:p>
    <w:p w14:paraId="25AF50E4">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4.2.1</w:t>
      </w:r>
      <w:r>
        <w:rPr>
          <w:rFonts w:hint="eastAsia" w:ascii="宋体" w:hAnsi="宋体" w:eastAsia="宋体" w:cs="宋体"/>
          <w:color w:val="auto"/>
          <w:highlight w:val="none"/>
        </w:rPr>
        <w:t>网上递交响应文件：</w:t>
      </w:r>
      <w:r>
        <w:rPr>
          <w:rFonts w:hint="eastAsia" w:ascii="宋体" w:hAnsi="宋体" w:eastAsia="宋体" w:cs="宋体"/>
          <w:color w:val="auto"/>
          <w:highlight w:val="none"/>
          <w:lang w:val="en-US" w:eastAsia="zh-CN"/>
        </w:rPr>
        <w:t>申请人应按照本项目采购文件和“政采云”平台的要求编制、加密后在响应文件提交截止时间前上传至“政采云”平台，响应文件提交截止时间前未完成响应文件上传的，视为撤回响应文件。申请人在“政采云”平台提交电子版响应文件时，请填写参加远程采购活动经办人联系方式</w:t>
      </w:r>
      <w:r>
        <w:rPr>
          <w:rFonts w:hint="eastAsia" w:ascii="宋体" w:hAnsi="宋体" w:eastAsia="宋体" w:cs="宋体"/>
          <w:color w:val="auto"/>
          <w:highlight w:val="none"/>
        </w:rPr>
        <w:t>。</w:t>
      </w:r>
    </w:p>
    <w:p w14:paraId="750E6292">
      <w:pPr>
        <w:pStyle w:val="114"/>
        <w:spacing w:line="500" w:lineRule="exact"/>
        <w:rPr>
          <w:rFonts w:hint="eastAsia" w:ascii="宋体" w:hAnsi="宋体" w:eastAsia="宋体" w:cs="宋体"/>
          <w:color w:val="auto"/>
          <w:highlight w:val="none"/>
        </w:rPr>
      </w:pPr>
      <w:bookmarkStart w:id="60" w:name="_Toc19686"/>
      <w:bookmarkStart w:id="61" w:name="_Toc6752"/>
      <w:r>
        <w:rPr>
          <w:rFonts w:hint="eastAsia" w:ascii="宋体" w:hAnsi="宋体" w:eastAsia="宋体" w:cs="宋体"/>
          <w:color w:val="auto"/>
          <w:highlight w:val="none"/>
          <w:lang w:val="en-US" w:eastAsia="zh-CN"/>
        </w:rPr>
        <w:t>4.2.2</w:t>
      </w:r>
      <w:r>
        <w:rPr>
          <w:rFonts w:hint="eastAsia" w:ascii="宋体" w:hAnsi="宋体" w:eastAsia="宋体" w:cs="宋体"/>
          <w:color w:val="auto"/>
          <w:highlight w:val="none"/>
        </w:rPr>
        <w:t>电子响应文件的修改、撤回</w:t>
      </w:r>
      <w:bookmarkEnd w:id="60"/>
      <w:bookmarkEnd w:id="61"/>
    </w:p>
    <w:p w14:paraId="43F1DDC7">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4.2.2.1</w:t>
      </w:r>
      <w:r>
        <w:rPr>
          <w:rFonts w:hint="eastAsia" w:ascii="宋体" w:hAnsi="宋体" w:eastAsia="宋体" w:cs="宋体"/>
          <w:color w:val="auto"/>
          <w:highlight w:val="none"/>
        </w:rPr>
        <w:t>在</w:t>
      </w:r>
      <w:r>
        <w:rPr>
          <w:rFonts w:hint="eastAsia" w:ascii="宋体" w:hAnsi="宋体" w:eastAsia="宋体" w:cs="宋体"/>
          <w:color w:val="auto"/>
          <w:highlight w:val="none"/>
          <w:lang w:eastAsia="zh-CN"/>
        </w:rPr>
        <w:t>递交响应文件</w:t>
      </w:r>
      <w:r>
        <w:rPr>
          <w:rFonts w:hint="eastAsia" w:ascii="宋体" w:hAnsi="宋体" w:eastAsia="宋体" w:cs="宋体"/>
          <w:color w:val="auto"/>
          <w:highlight w:val="none"/>
        </w:rPr>
        <w:t>截止时间前，</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可以修改或撤回已在网上递交的响应文件，无须书面形式通知采购人。</w:t>
      </w:r>
    </w:p>
    <w:p w14:paraId="0D34E8E8">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4.2.2.1</w:t>
      </w:r>
      <w:r>
        <w:rPr>
          <w:rFonts w:hint="eastAsia" w:ascii="宋体" w:hAnsi="宋体" w:eastAsia="宋体" w:cs="宋体"/>
          <w:color w:val="auto"/>
          <w:highlight w:val="none"/>
        </w:rPr>
        <w:t>修改的响应文件应按照</w:t>
      </w:r>
      <w:r>
        <w:rPr>
          <w:rFonts w:hint="eastAsia" w:ascii="宋体" w:hAnsi="宋体" w:eastAsia="宋体" w:cs="宋体"/>
          <w:color w:val="auto"/>
          <w:highlight w:val="none"/>
          <w:lang w:val="en-US" w:eastAsia="zh-CN"/>
        </w:rPr>
        <w:t>采购文件和“政采云”平台的要求</w:t>
      </w:r>
      <w:r>
        <w:rPr>
          <w:rFonts w:hint="eastAsia" w:ascii="宋体" w:hAnsi="宋体" w:eastAsia="宋体" w:cs="宋体"/>
          <w:color w:val="auto"/>
          <w:highlight w:val="none"/>
        </w:rPr>
        <w:t>进行编制、</w:t>
      </w:r>
      <w:r>
        <w:rPr>
          <w:rFonts w:hint="eastAsia" w:ascii="宋体" w:hAnsi="宋体" w:eastAsia="宋体" w:cs="宋体"/>
          <w:color w:val="auto"/>
          <w:sz w:val="24"/>
          <w:szCs w:val="24"/>
          <w:highlight w:val="none"/>
          <w:lang w:eastAsia="zh-CN"/>
        </w:rPr>
        <w:t>加密</w:t>
      </w:r>
      <w:r>
        <w:rPr>
          <w:rFonts w:hint="eastAsia" w:ascii="宋体" w:hAnsi="宋体" w:eastAsia="宋体" w:cs="宋体"/>
          <w:color w:val="auto"/>
          <w:highlight w:val="none"/>
        </w:rPr>
        <w:t>、标记和递交。</w:t>
      </w:r>
    </w:p>
    <w:p w14:paraId="10DA9B9E">
      <w:pPr>
        <w:pStyle w:val="114"/>
        <w:spacing w:line="5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5.</w:t>
      </w:r>
      <w:bookmarkEnd w:id="59"/>
      <w:r>
        <w:rPr>
          <w:rFonts w:hint="eastAsia" w:ascii="宋体" w:hAnsi="宋体" w:eastAsia="宋体" w:cs="宋体"/>
          <w:b/>
          <w:bCs/>
          <w:color w:val="auto"/>
          <w:highlight w:val="none"/>
          <w:lang w:val="en-US" w:eastAsia="zh-CN"/>
        </w:rPr>
        <w:t xml:space="preserve">磋商会议 </w:t>
      </w:r>
    </w:p>
    <w:p w14:paraId="1CC726DD">
      <w:pPr>
        <w:pStyle w:val="114"/>
        <w:spacing w:line="500" w:lineRule="exact"/>
        <w:rPr>
          <w:rFonts w:cs="宋体"/>
          <w:color w:val="auto"/>
          <w:sz w:val="28"/>
          <w:highlight w:val="none"/>
        </w:rPr>
      </w:pPr>
      <w:bookmarkStart w:id="62" w:name="_Toc8473_WPSOffice_Level2"/>
      <w:r>
        <w:rPr>
          <w:rFonts w:hint="eastAsia" w:cs="宋体"/>
          <w:color w:val="auto"/>
          <w:sz w:val="28"/>
          <w:highlight w:val="none"/>
          <w:lang w:val="en-US" w:eastAsia="zh-CN"/>
        </w:rPr>
        <w:t>磋商</w:t>
      </w:r>
      <w:r>
        <w:rPr>
          <w:rFonts w:hint="eastAsia" w:cs="宋体"/>
          <w:color w:val="auto"/>
          <w:sz w:val="28"/>
          <w:highlight w:val="none"/>
          <w:lang w:eastAsia="zh-CN"/>
        </w:rPr>
        <w:t>会议按下列程序进行</w:t>
      </w:r>
      <w:r>
        <w:rPr>
          <w:rFonts w:hint="eastAsia" w:cs="宋体"/>
          <w:color w:val="auto"/>
          <w:sz w:val="28"/>
          <w:highlight w:val="none"/>
        </w:rPr>
        <w:t xml:space="preserve">： </w:t>
      </w:r>
    </w:p>
    <w:p w14:paraId="412CE305">
      <w:pPr>
        <w:pStyle w:val="114"/>
        <w:spacing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5.2.1采购代理机构依托电子交易平台发起开始解密指令，申请人须使用加密时所用的CA锁按平台提示和磋商文件的规定登录到“政采云”平台电子开标大厅签到，并在发起解密指令之时起60分钟内完成对电子响应文件在线解密。</w:t>
      </w:r>
    </w:p>
    <w:p w14:paraId="3744D316">
      <w:pPr>
        <w:pStyle w:val="114"/>
        <w:spacing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5.2.2发起解密指令之时起5分钟内申请人还未进行解密的，代理机构可通知申请人，申请人未预留联系方式或预留联系方式无效，导致代理机构无法联系到申请人进行解密的，视为撤回响应文件。</w:t>
      </w:r>
    </w:p>
    <w:p w14:paraId="7D8489F1">
      <w:pPr>
        <w:pStyle w:val="114"/>
        <w:spacing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如申请人成功解密响应文件，但未在“政采云”电子开标大厅参加开标的，视同认可开标过程和结果，由此产生的后果由申请人自行负责。</w:t>
      </w:r>
    </w:p>
    <w:p w14:paraId="62582205">
      <w:pPr>
        <w:pStyle w:val="114"/>
        <w:spacing w:line="50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5.2.3开标工作人员将做开标记录。</w:t>
      </w:r>
    </w:p>
    <w:p w14:paraId="11332B6A">
      <w:pPr>
        <w:pStyle w:val="114"/>
        <w:spacing w:line="500" w:lineRule="exact"/>
        <w:rPr>
          <w:rFonts w:cs="宋体"/>
          <w:b/>
          <w:color w:val="auto"/>
          <w:sz w:val="32"/>
          <w:highlight w:val="none"/>
        </w:rPr>
      </w:pPr>
      <w:r>
        <w:rPr>
          <w:rFonts w:hint="eastAsia" w:ascii="宋体" w:hAnsi="宋体" w:eastAsia="宋体" w:cs="宋体"/>
          <w:color w:val="auto"/>
          <w:highlight w:val="none"/>
          <w:lang w:val="en-US" w:eastAsia="zh-CN"/>
        </w:rPr>
        <w:t>5.2.4申请人代表对开标过程和开标记录有疑义，以及认为采购人、采购代理机构相关工作人员有需要回避的情形的，应在线提出询问或者回避申请。采购人、采购代理机构对申请人代表提出的询问或者回避申请应当及时处理。</w:t>
      </w:r>
      <w:r>
        <w:rPr>
          <w:rFonts w:hint="eastAsia" w:ascii="宋体" w:hAnsi="宋体" w:eastAsia="宋体" w:cs="宋体"/>
          <w:color w:val="auto"/>
          <w:highlight w:val="none"/>
        </w:rPr>
        <w:t xml:space="preserve"> </w:t>
      </w:r>
      <w:r>
        <w:rPr>
          <w:rFonts w:hint="eastAsia" w:cs="宋体"/>
          <w:color w:val="auto"/>
          <w:highlight w:val="none"/>
        </w:rPr>
        <w:t xml:space="preserve"> </w:t>
      </w:r>
    </w:p>
    <w:p w14:paraId="17B2A181">
      <w:pPr>
        <w:pStyle w:val="114"/>
        <w:spacing w:line="500" w:lineRule="exact"/>
        <w:outlineLvl w:val="1"/>
        <w:rPr>
          <w:rFonts w:cs="宋体"/>
          <w:color w:val="auto"/>
          <w:sz w:val="32"/>
          <w:highlight w:val="none"/>
        </w:rPr>
      </w:pPr>
      <w:r>
        <w:rPr>
          <w:rFonts w:hint="eastAsia" w:ascii="宋体" w:hAnsi="宋体" w:eastAsia="宋体" w:cs="宋体"/>
          <w:b/>
          <w:bCs/>
          <w:color w:val="auto"/>
          <w:highlight w:val="none"/>
          <w:lang w:val="en-US" w:eastAsia="zh-CN"/>
        </w:rPr>
        <w:t>6.</w:t>
      </w:r>
      <w:bookmarkEnd w:id="62"/>
      <w:r>
        <w:rPr>
          <w:rFonts w:hint="eastAsia" w:ascii="宋体" w:hAnsi="宋体" w:eastAsia="宋体" w:cs="宋体"/>
          <w:b/>
          <w:bCs/>
          <w:color w:val="auto"/>
          <w:highlight w:val="none"/>
          <w:lang w:val="en-US" w:eastAsia="zh-CN"/>
        </w:rPr>
        <w:t>磋商及评审</w:t>
      </w:r>
      <w:r>
        <w:rPr>
          <w:rFonts w:hint="eastAsia" w:cs="宋体"/>
          <w:b/>
          <w:color w:val="auto"/>
          <w:sz w:val="32"/>
          <w:highlight w:val="none"/>
        </w:rPr>
        <w:t xml:space="preserve"> </w:t>
      </w:r>
    </w:p>
    <w:p w14:paraId="3F749012">
      <w:pPr>
        <w:pStyle w:val="114"/>
        <w:spacing w:line="500" w:lineRule="exact"/>
        <w:rPr>
          <w:rFonts w:cs="宋体"/>
          <w:color w:val="auto"/>
          <w:sz w:val="28"/>
          <w:highlight w:val="none"/>
        </w:rPr>
      </w:pPr>
      <w:r>
        <w:rPr>
          <w:rFonts w:hint="eastAsia" w:cs="宋体"/>
          <w:color w:val="auto"/>
          <w:sz w:val="28"/>
          <w:highlight w:val="none"/>
        </w:rPr>
        <w:t xml:space="preserve">6.1 磋商小组 </w:t>
      </w:r>
    </w:p>
    <w:p w14:paraId="5C53E0A5">
      <w:pPr>
        <w:spacing w:line="460" w:lineRule="exact"/>
        <w:rPr>
          <w:rFonts w:ascii="宋体" w:hAnsi="宋体" w:eastAsia="宋体" w:cs="宋体"/>
          <w:color w:val="auto"/>
          <w:sz w:val="24"/>
          <w:szCs w:val="24"/>
          <w:highlight w:val="none"/>
        </w:rPr>
      </w:pPr>
      <w:r>
        <w:rPr>
          <w:rFonts w:hint="eastAsia" w:ascii="宋体" w:hAnsi="宋体" w:eastAsia="宋体" w:cs="宋体"/>
          <w:color w:val="auto"/>
          <w:highlight w:val="none"/>
        </w:rPr>
        <w:t xml:space="preserve">6.1.1 </w:t>
      </w:r>
      <w:r>
        <w:rPr>
          <w:rFonts w:hint="eastAsia" w:ascii="宋体" w:hAnsi="宋体" w:eastAsia="宋体" w:cs="宋体"/>
          <w:color w:val="auto"/>
          <w:sz w:val="24"/>
          <w:szCs w:val="24"/>
          <w:highlight w:val="none"/>
          <w:lang w:val="en-US" w:eastAsia="zh-CN"/>
        </w:rPr>
        <w:t>磋商小组组建：</w:t>
      </w:r>
      <w:r>
        <w:rPr>
          <w:rFonts w:hint="eastAsia" w:ascii="宋体" w:hAnsi="宋体" w:eastAsia="宋体" w:cs="宋体"/>
          <w:color w:val="auto"/>
          <w:sz w:val="24"/>
          <w:szCs w:val="24"/>
          <w:highlight w:val="none"/>
        </w:rPr>
        <w:t>磋商小组成员人数以及专家的确定方式见</w:t>
      </w:r>
      <w:r>
        <w:rPr>
          <w:rFonts w:hint="eastAsia" w:ascii="宋体" w:hAnsi="宋体" w:eastAsia="宋体" w:cs="宋体"/>
          <w:color w:val="auto"/>
          <w:sz w:val="24"/>
          <w:szCs w:val="24"/>
          <w:highlight w:val="none"/>
          <w:lang w:eastAsia="zh-CN"/>
        </w:rPr>
        <w:t>申请人</w:t>
      </w:r>
      <w:r>
        <w:rPr>
          <w:rFonts w:hint="eastAsia" w:ascii="宋体" w:hAnsi="宋体" w:eastAsia="宋体" w:cs="宋体"/>
          <w:color w:val="auto"/>
          <w:sz w:val="24"/>
          <w:szCs w:val="24"/>
          <w:highlight w:val="none"/>
        </w:rPr>
        <w:t xml:space="preserve">须知前附表。 </w:t>
      </w:r>
    </w:p>
    <w:p w14:paraId="096D27E3">
      <w:pPr>
        <w:pStyle w:val="114"/>
        <w:spacing w:line="500" w:lineRule="exact"/>
        <w:rPr>
          <w:rFonts w:cs="宋体"/>
          <w:color w:val="auto"/>
          <w:highlight w:val="none"/>
        </w:rPr>
      </w:pPr>
      <w:r>
        <w:rPr>
          <w:rFonts w:hint="eastAsia" w:cs="宋体"/>
          <w:color w:val="auto"/>
          <w:highlight w:val="none"/>
        </w:rPr>
        <w:t xml:space="preserve">6.1.2 磋商小组成员有下列情形之一的，应当回避： </w:t>
      </w:r>
    </w:p>
    <w:p w14:paraId="77EF85A2">
      <w:pPr>
        <w:pStyle w:val="114"/>
        <w:spacing w:line="500" w:lineRule="exact"/>
        <w:rPr>
          <w:rFonts w:cs="宋体"/>
          <w:color w:val="auto"/>
          <w:highlight w:val="none"/>
        </w:rPr>
      </w:pPr>
      <w:r>
        <w:rPr>
          <w:rFonts w:hint="eastAsia" w:cs="宋体"/>
          <w:color w:val="auto"/>
          <w:highlight w:val="none"/>
        </w:rPr>
        <w:t>（1）</w:t>
      </w:r>
      <w:r>
        <w:rPr>
          <w:rFonts w:hint="eastAsia" w:cs="宋体"/>
          <w:color w:val="auto"/>
          <w:highlight w:val="none"/>
          <w:lang w:eastAsia="zh-CN"/>
        </w:rPr>
        <w:t>申请人</w:t>
      </w:r>
      <w:r>
        <w:rPr>
          <w:rFonts w:hint="eastAsia" w:cs="宋体"/>
          <w:color w:val="auto"/>
          <w:highlight w:val="none"/>
        </w:rPr>
        <w:t>或</w:t>
      </w:r>
      <w:r>
        <w:rPr>
          <w:rFonts w:hint="eastAsia" w:cs="宋体"/>
          <w:color w:val="auto"/>
          <w:highlight w:val="none"/>
          <w:lang w:eastAsia="zh-CN"/>
        </w:rPr>
        <w:t>申请人</w:t>
      </w:r>
      <w:r>
        <w:rPr>
          <w:rFonts w:hint="eastAsia" w:cs="宋体"/>
          <w:color w:val="auto"/>
          <w:highlight w:val="none"/>
        </w:rPr>
        <w:t xml:space="preserve">主要负责人的近亲属； </w:t>
      </w:r>
    </w:p>
    <w:p w14:paraId="235BF49C">
      <w:pPr>
        <w:pStyle w:val="114"/>
        <w:spacing w:line="500" w:lineRule="exact"/>
        <w:rPr>
          <w:rFonts w:cs="宋体"/>
          <w:color w:val="auto"/>
          <w:highlight w:val="none"/>
        </w:rPr>
      </w:pPr>
      <w:r>
        <w:rPr>
          <w:rFonts w:hint="eastAsia" w:cs="宋体"/>
          <w:color w:val="auto"/>
          <w:highlight w:val="none"/>
        </w:rPr>
        <w:t xml:space="preserve">（2）项目主管部门或者行政监督部门的人员； </w:t>
      </w:r>
    </w:p>
    <w:p w14:paraId="26F51D8E">
      <w:pPr>
        <w:pStyle w:val="114"/>
        <w:spacing w:line="500" w:lineRule="exact"/>
        <w:rPr>
          <w:rFonts w:cs="宋体"/>
          <w:color w:val="auto"/>
          <w:highlight w:val="none"/>
        </w:rPr>
      </w:pPr>
      <w:r>
        <w:rPr>
          <w:rFonts w:hint="eastAsia" w:cs="宋体"/>
          <w:color w:val="auto"/>
          <w:highlight w:val="none"/>
        </w:rPr>
        <w:t>（3）与</w:t>
      </w:r>
      <w:r>
        <w:rPr>
          <w:rFonts w:hint="eastAsia" w:cs="宋体"/>
          <w:color w:val="auto"/>
          <w:highlight w:val="none"/>
          <w:lang w:eastAsia="zh-CN"/>
        </w:rPr>
        <w:t>申请人</w:t>
      </w:r>
      <w:r>
        <w:rPr>
          <w:rFonts w:hint="eastAsia" w:cs="宋体"/>
          <w:color w:val="auto"/>
          <w:highlight w:val="none"/>
        </w:rPr>
        <w:t>有经济利益关系，可能影响对</w:t>
      </w:r>
      <w:r>
        <w:rPr>
          <w:rFonts w:hint="eastAsia" w:cs="宋体"/>
          <w:color w:val="auto"/>
          <w:highlight w:val="none"/>
          <w:lang w:val="en-US" w:eastAsia="zh-CN"/>
        </w:rPr>
        <w:t>响应文件</w:t>
      </w:r>
      <w:r>
        <w:rPr>
          <w:rFonts w:hint="eastAsia" w:cs="宋体"/>
          <w:color w:val="auto"/>
          <w:highlight w:val="none"/>
        </w:rPr>
        <w:t xml:space="preserve">公正评审的； </w:t>
      </w:r>
    </w:p>
    <w:p w14:paraId="702948C0">
      <w:pPr>
        <w:pStyle w:val="114"/>
        <w:spacing w:line="500" w:lineRule="exact"/>
        <w:rPr>
          <w:rFonts w:cs="宋体"/>
          <w:color w:val="auto"/>
          <w:highlight w:val="none"/>
        </w:rPr>
      </w:pPr>
      <w:r>
        <w:rPr>
          <w:rFonts w:hint="eastAsia" w:cs="宋体"/>
          <w:color w:val="auto"/>
          <w:highlight w:val="none"/>
        </w:rPr>
        <w:t xml:space="preserve">（4）曾因在招标、评标以及其他与招标投标有关活动中从事违法行为而受过行政处罚或刑事处罚的； </w:t>
      </w:r>
    </w:p>
    <w:p w14:paraId="397E26B0">
      <w:pPr>
        <w:pStyle w:val="114"/>
        <w:spacing w:line="500" w:lineRule="exact"/>
        <w:rPr>
          <w:rFonts w:cs="宋体"/>
          <w:color w:val="auto"/>
          <w:highlight w:val="none"/>
        </w:rPr>
      </w:pPr>
      <w:r>
        <w:rPr>
          <w:rFonts w:hint="eastAsia" w:cs="宋体"/>
          <w:color w:val="auto"/>
          <w:highlight w:val="none"/>
        </w:rPr>
        <w:t>（5）与</w:t>
      </w:r>
      <w:r>
        <w:rPr>
          <w:rFonts w:hint="eastAsia" w:cs="宋体"/>
          <w:color w:val="auto"/>
          <w:highlight w:val="none"/>
          <w:lang w:eastAsia="zh-CN"/>
        </w:rPr>
        <w:t>申请人</w:t>
      </w:r>
      <w:r>
        <w:rPr>
          <w:rFonts w:hint="eastAsia" w:cs="宋体"/>
          <w:color w:val="auto"/>
          <w:highlight w:val="none"/>
        </w:rPr>
        <w:t xml:space="preserve">有其他利害关系。 </w:t>
      </w:r>
    </w:p>
    <w:p w14:paraId="24DA1AE7">
      <w:pPr>
        <w:pStyle w:val="114"/>
        <w:spacing w:line="500" w:lineRule="exact"/>
        <w:rPr>
          <w:rFonts w:cs="宋体"/>
          <w:color w:val="auto"/>
          <w:highlight w:val="none"/>
        </w:rPr>
      </w:pPr>
      <w:r>
        <w:rPr>
          <w:rFonts w:hint="eastAsia" w:cs="宋体"/>
          <w:color w:val="auto"/>
          <w:highlight w:val="none"/>
        </w:rPr>
        <w:t xml:space="preserve">6.1.3 </w:t>
      </w:r>
      <w:r>
        <w:rPr>
          <w:rFonts w:hint="eastAsia" w:cs="宋体"/>
          <w:color w:val="auto"/>
          <w:highlight w:val="none"/>
          <w:lang w:val="en-US" w:eastAsia="zh-CN"/>
        </w:rPr>
        <w:t>评审</w:t>
      </w:r>
      <w:r>
        <w:rPr>
          <w:rFonts w:hint="eastAsia" w:cs="宋体"/>
          <w:color w:val="auto"/>
          <w:highlight w:val="none"/>
        </w:rPr>
        <w:t>过程中，磋商小组成员有回避事由、擅离职守或者因健康等原因不能继续</w:t>
      </w:r>
      <w:r>
        <w:rPr>
          <w:rFonts w:hint="eastAsia" w:cs="宋体"/>
          <w:color w:val="auto"/>
          <w:highlight w:val="none"/>
          <w:lang w:val="en-US" w:eastAsia="zh-CN"/>
        </w:rPr>
        <w:t>评审</w:t>
      </w:r>
      <w:r>
        <w:rPr>
          <w:rFonts w:hint="eastAsia" w:cs="宋体"/>
          <w:color w:val="auto"/>
          <w:highlight w:val="none"/>
        </w:rPr>
        <w:t xml:space="preserve">的，采购人有权更换。被更换的磋商小组成员作出的评审结论无效，由更换后的磋商小组成员重新进行评审。 </w:t>
      </w:r>
    </w:p>
    <w:p w14:paraId="4B8DA7EC">
      <w:pPr>
        <w:pStyle w:val="114"/>
        <w:spacing w:line="5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 xml:space="preserve">6.2 评审原则 </w:t>
      </w:r>
    </w:p>
    <w:p w14:paraId="437EB8BA">
      <w:pPr>
        <w:pStyle w:val="114"/>
        <w:spacing w:line="500" w:lineRule="exact"/>
        <w:rPr>
          <w:rFonts w:cs="宋体"/>
          <w:color w:val="auto"/>
          <w:highlight w:val="none"/>
        </w:rPr>
      </w:pPr>
      <w:r>
        <w:rPr>
          <w:rFonts w:hint="eastAsia" w:cs="宋体"/>
          <w:color w:val="auto"/>
          <w:highlight w:val="none"/>
          <w:lang w:val="en-US" w:eastAsia="zh-CN"/>
        </w:rPr>
        <w:t>评审</w:t>
      </w:r>
      <w:r>
        <w:rPr>
          <w:rFonts w:hint="eastAsia" w:cs="宋体"/>
          <w:color w:val="auto"/>
          <w:highlight w:val="none"/>
        </w:rPr>
        <w:t xml:space="preserve">活动遵循公平、公正、科学和择优的原则。 </w:t>
      </w:r>
    </w:p>
    <w:p w14:paraId="2D042420">
      <w:pPr>
        <w:pStyle w:val="114"/>
        <w:spacing w:line="500" w:lineRule="exact"/>
        <w:rPr>
          <w:rFonts w:hint="eastAsia" w:eastAsia="宋体" w:cs="宋体"/>
          <w:color w:val="auto"/>
          <w:sz w:val="28"/>
          <w:highlight w:val="none"/>
          <w:lang w:eastAsia="zh-CN"/>
        </w:rPr>
      </w:pPr>
      <w:r>
        <w:rPr>
          <w:rFonts w:hint="eastAsia" w:cs="宋体"/>
          <w:color w:val="auto"/>
          <w:sz w:val="28"/>
          <w:highlight w:val="none"/>
        </w:rPr>
        <w:t xml:space="preserve">6.3 </w:t>
      </w:r>
      <w:r>
        <w:rPr>
          <w:rFonts w:hint="eastAsia" w:cs="宋体"/>
          <w:color w:val="auto"/>
          <w:sz w:val="28"/>
          <w:highlight w:val="none"/>
          <w:lang w:val="en-US" w:eastAsia="zh-CN"/>
        </w:rPr>
        <w:t>评审</w:t>
      </w:r>
    </w:p>
    <w:p w14:paraId="29675337">
      <w:pPr>
        <w:pStyle w:val="114"/>
        <w:spacing w:line="500" w:lineRule="exact"/>
        <w:rPr>
          <w:rFonts w:cs="宋体"/>
          <w:color w:val="auto"/>
          <w:highlight w:val="none"/>
        </w:rPr>
      </w:pPr>
      <w:r>
        <w:rPr>
          <w:rFonts w:hint="eastAsia" w:cs="宋体"/>
          <w:color w:val="auto"/>
          <w:highlight w:val="none"/>
        </w:rPr>
        <w:t>6.3.1磋商小组按照第四章“评审办法”规定的方法、评审因素、标准和程序对响应文件进行评审。第四章“评审办法”没有规定的方法、评审因素和标准，不作为</w:t>
      </w:r>
      <w:r>
        <w:rPr>
          <w:rFonts w:hint="eastAsia" w:cs="宋体"/>
          <w:color w:val="auto"/>
          <w:highlight w:val="none"/>
          <w:lang w:val="en-US" w:eastAsia="zh-CN"/>
        </w:rPr>
        <w:t>评审</w:t>
      </w:r>
      <w:r>
        <w:rPr>
          <w:rFonts w:hint="eastAsia" w:cs="宋体"/>
          <w:color w:val="auto"/>
          <w:highlight w:val="none"/>
        </w:rPr>
        <w:t xml:space="preserve">依据。 </w:t>
      </w:r>
    </w:p>
    <w:p w14:paraId="1C43532E">
      <w:pPr>
        <w:pStyle w:val="114"/>
        <w:spacing w:line="500" w:lineRule="exact"/>
        <w:rPr>
          <w:rFonts w:cs="宋体"/>
          <w:color w:val="auto"/>
          <w:highlight w:val="none"/>
        </w:rPr>
      </w:pPr>
      <w:r>
        <w:rPr>
          <w:rFonts w:hint="eastAsia" w:cs="宋体"/>
          <w:color w:val="auto"/>
          <w:highlight w:val="none"/>
        </w:rPr>
        <w:t>6.3.2</w:t>
      </w:r>
      <w:r>
        <w:rPr>
          <w:rFonts w:hint="eastAsia" w:cs="宋体"/>
          <w:color w:val="auto"/>
          <w:highlight w:val="none"/>
          <w:lang w:val="en-US" w:eastAsia="zh-CN"/>
        </w:rPr>
        <w:t>评审</w:t>
      </w:r>
      <w:r>
        <w:rPr>
          <w:rFonts w:hint="eastAsia" w:cs="宋体"/>
          <w:color w:val="auto"/>
          <w:highlight w:val="none"/>
        </w:rPr>
        <w:t>完成后，磋商小组应当向采购人提交书面</w:t>
      </w:r>
      <w:r>
        <w:rPr>
          <w:rFonts w:hint="eastAsia" w:cs="宋体"/>
          <w:color w:val="auto"/>
          <w:highlight w:val="none"/>
          <w:lang w:val="en-US" w:eastAsia="zh-CN"/>
        </w:rPr>
        <w:t>评审</w:t>
      </w:r>
      <w:r>
        <w:rPr>
          <w:rFonts w:hint="eastAsia" w:cs="宋体"/>
          <w:color w:val="auto"/>
          <w:highlight w:val="none"/>
        </w:rPr>
        <w:t>报告和成交候选人名单。磋商小组推荐成交候选人的人数见</w:t>
      </w:r>
      <w:r>
        <w:rPr>
          <w:rFonts w:hint="eastAsia" w:cs="宋体"/>
          <w:color w:val="auto"/>
          <w:highlight w:val="none"/>
          <w:lang w:eastAsia="zh-CN"/>
        </w:rPr>
        <w:t>申请人</w:t>
      </w:r>
      <w:r>
        <w:rPr>
          <w:rFonts w:hint="eastAsia" w:cs="宋体"/>
          <w:color w:val="auto"/>
          <w:highlight w:val="none"/>
        </w:rPr>
        <w:t xml:space="preserve">须知前附表。 </w:t>
      </w:r>
    </w:p>
    <w:p w14:paraId="6303F2E1">
      <w:pPr>
        <w:pStyle w:val="114"/>
        <w:spacing w:line="500" w:lineRule="exact"/>
        <w:rPr>
          <w:rFonts w:hint="eastAsia" w:ascii="宋体" w:hAnsi="宋体" w:eastAsia="宋体" w:cs="宋体"/>
          <w:b/>
          <w:bCs/>
          <w:color w:val="auto"/>
          <w:highlight w:val="none"/>
          <w:lang w:val="en-US" w:eastAsia="zh-CN"/>
        </w:rPr>
      </w:pPr>
      <w:bookmarkStart w:id="63" w:name="_Toc14805_WPSOffice_Level2"/>
      <w:r>
        <w:rPr>
          <w:rFonts w:hint="eastAsia" w:ascii="宋体" w:hAnsi="宋体" w:eastAsia="宋体" w:cs="宋体"/>
          <w:b/>
          <w:bCs/>
          <w:color w:val="auto"/>
          <w:highlight w:val="none"/>
          <w:lang w:val="en-US" w:eastAsia="zh-CN"/>
        </w:rPr>
        <w:t>7.合同授予</w:t>
      </w:r>
      <w:bookmarkEnd w:id="63"/>
      <w:r>
        <w:rPr>
          <w:rFonts w:hint="eastAsia" w:ascii="宋体" w:hAnsi="宋体" w:eastAsia="宋体" w:cs="宋体"/>
          <w:b/>
          <w:bCs/>
          <w:color w:val="auto"/>
          <w:highlight w:val="none"/>
          <w:lang w:val="en-US" w:eastAsia="zh-CN"/>
        </w:rPr>
        <w:t xml:space="preserve"> </w:t>
      </w:r>
    </w:p>
    <w:p w14:paraId="072F0BD8">
      <w:pPr>
        <w:pStyle w:val="114"/>
        <w:spacing w:line="500" w:lineRule="exact"/>
        <w:rPr>
          <w:rFonts w:cs="宋体"/>
          <w:color w:val="auto"/>
          <w:sz w:val="28"/>
          <w:highlight w:val="none"/>
        </w:rPr>
      </w:pPr>
      <w:r>
        <w:rPr>
          <w:rFonts w:hint="eastAsia" w:cs="宋体"/>
          <w:color w:val="auto"/>
          <w:sz w:val="28"/>
          <w:highlight w:val="none"/>
        </w:rPr>
        <w:t>7.1成交供应商的确定</w:t>
      </w:r>
    </w:p>
    <w:p w14:paraId="7DEF83DD">
      <w:pPr>
        <w:spacing w:line="460" w:lineRule="exac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7.1.1采购代理机构在评审结束后2个工作日内将评审报告送采购人确认。</w:t>
      </w:r>
    </w:p>
    <w:p w14:paraId="7D97B27F">
      <w:pPr>
        <w:spacing w:line="460" w:lineRule="exac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7.1.2采购人在收到评审报告后5个工作日内，从评审报告提出的成交候选供应商，按照评审报告中推荐的成交候选供应商顺序确定成交供应商。</w:t>
      </w:r>
    </w:p>
    <w:p w14:paraId="3B7DBBCD">
      <w:pPr>
        <w:pStyle w:val="114"/>
        <w:spacing w:line="500" w:lineRule="exact"/>
        <w:rPr>
          <w:rFonts w:cs="宋体"/>
          <w:color w:val="auto"/>
          <w:sz w:val="28"/>
          <w:highlight w:val="none"/>
        </w:rPr>
      </w:pPr>
      <w:r>
        <w:rPr>
          <w:rFonts w:hint="eastAsia" w:cs="宋体"/>
          <w:color w:val="auto"/>
          <w:sz w:val="28"/>
          <w:highlight w:val="none"/>
        </w:rPr>
        <w:t>7.2成交通知书</w:t>
      </w:r>
    </w:p>
    <w:p w14:paraId="4643191B">
      <w:pPr>
        <w:spacing w:line="460" w:lineRule="exac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7.2.1成交供应商确定后，按照</w:t>
      </w:r>
      <w:r>
        <w:rPr>
          <w:rFonts w:hint="eastAsia" w:ascii="宋体" w:hAnsi="宋体" w:eastAsia="宋体" w:cs="宋体"/>
          <w:color w:val="auto"/>
          <w:sz w:val="24"/>
          <w:szCs w:val="24"/>
          <w:highlight w:val="none"/>
          <w:lang w:eastAsia="zh-CN"/>
        </w:rPr>
        <w:t>申请人</w:t>
      </w:r>
      <w:r>
        <w:rPr>
          <w:rFonts w:hint="eastAsia" w:ascii="宋体" w:hAnsi="宋体" w:eastAsia="宋体" w:cs="宋体"/>
          <w:color w:val="auto"/>
          <w:sz w:val="24"/>
          <w:szCs w:val="24"/>
          <w:highlight w:val="none"/>
        </w:rPr>
        <w:t>须知前附表规定的公示媒介和期限进行成交结果公告；</w:t>
      </w:r>
    </w:p>
    <w:p w14:paraId="7A44CE57">
      <w:pPr>
        <w:spacing w:line="460" w:lineRule="exact"/>
        <w:jc w:val="lef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7.2.2发出成交结果公告的同时发出成交通知书；</w:t>
      </w:r>
    </w:p>
    <w:p w14:paraId="18754FCF">
      <w:pPr>
        <w:spacing w:line="460" w:lineRule="exact"/>
        <w:jc w:val="left"/>
        <w:rPr>
          <w:rFonts w:ascii="宋体" w:hAnsi="宋体" w:eastAsia="宋体" w:cs="宋体"/>
          <w:color w:val="auto"/>
          <w:sz w:val="28"/>
          <w:highlight w:val="none"/>
        </w:rPr>
      </w:pPr>
      <w:r>
        <w:rPr>
          <w:rFonts w:hint="eastAsia" w:ascii="宋体" w:hAnsi="宋体" w:eastAsia="宋体" w:cs="宋体"/>
          <w:color w:val="auto"/>
          <w:sz w:val="24"/>
          <w:szCs w:val="24"/>
          <w:highlight w:val="none"/>
        </w:rPr>
        <w:t>7.2.3成交通知书是合同的一个组成部分。</w:t>
      </w:r>
    </w:p>
    <w:p w14:paraId="47E91316">
      <w:pPr>
        <w:pStyle w:val="114"/>
        <w:spacing w:line="500" w:lineRule="exact"/>
        <w:rPr>
          <w:rFonts w:hint="eastAsia" w:eastAsia="宋体" w:cs="宋体"/>
          <w:color w:val="auto"/>
          <w:sz w:val="28"/>
          <w:highlight w:val="none"/>
          <w:lang w:eastAsia="zh-CN"/>
        </w:rPr>
      </w:pPr>
      <w:r>
        <w:rPr>
          <w:rFonts w:hint="eastAsia" w:cs="宋体"/>
          <w:color w:val="auto"/>
          <w:sz w:val="28"/>
          <w:highlight w:val="none"/>
        </w:rPr>
        <w:t xml:space="preserve">7.3 履约保证金 </w:t>
      </w:r>
      <w:r>
        <w:rPr>
          <w:rFonts w:hint="eastAsia" w:ascii="宋体" w:hAnsi="宋体" w:eastAsia="宋体" w:cs="宋体"/>
          <w:color w:val="auto"/>
          <w:kern w:val="2"/>
          <w:sz w:val="24"/>
          <w:szCs w:val="24"/>
          <w:highlight w:val="none"/>
          <w:lang w:val="en-US" w:eastAsia="zh-CN" w:bidi="ar-SA"/>
        </w:rPr>
        <w:t>（本次采购项目履约保证金不</w:t>
      </w:r>
      <w:r>
        <w:rPr>
          <w:rFonts w:hint="eastAsia" w:hAnsi="宋体" w:cs="宋体"/>
          <w:color w:val="auto"/>
          <w:kern w:val="2"/>
          <w:sz w:val="24"/>
          <w:szCs w:val="24"/>
          <w:highlight w:val="none"/>
          <w:lang w:val="en-US" w:eastAsia="zh-CN" w:bidi="ar-SA"/>
        </w:rPr>
        <w:t>做</w:t>
      </w:r>
      <w:r>
        <w:rPr>
          <w:rFonts w:hint="eastAsia" w:ascii="宋体" w:hAnsi="宋体" w:eastAsia="宋体" w:cs="宋体"/>
          <w:color w:val="auto"/>
          <w:kern w:val="2"/>
          <w:sz w:val="24"/>
          <w:szCs w:val="24"/>
          <w:highlight w:val="none"/>
          <w:lang w:val="en-US" w:eastAsia="zh-CN" w:bidi="ar-SA"/>
        </w:rPr>
        <w:t>要求）</w:t>
      </w:r>
    </w:p>
    <w:p w14:paraId="00E0C150">
      <w:pPr>
        <w:pStyle w:val="114"/>
        <w:spacing w:line="500" w:lineRule="exact"/>
        <w:rPr>
          <w:rFonts w:hint="eastAsia" w:cs="宋体"/>
          <w:color w:val="auto"/>
          <w:sz w:val="28"/>
          <w:highlight w:val="none"/>
        </w:rPr>
      </w:pPr>
      <w:r>
        <w:rPr>
          <w:rFonts w:hint="eastAsia" w:cs="宋体"/>
          <w:color w:val="auto"/>
          <w:sz w:val="28"/>
          <w:highlight w:val="none"/>
        </w:rPr>
        <w:t xml:space="preserve">7.4 签订合同 </w:t>
      </w:r>
    </w:p>
    <w:p w14:paraId="172508A3">
      <w:pPr>
        <w:pStyle w:val="114"/>
        <w:spacing w:line="500" w:lineRule="exact"/>
        <w:rPr>
          <w:rFonts w:cs="宋体"/>
          <w:color w:val="auto"/>
          <w:highlight w:val="none"/>
        </w:rPr>
      </w:pPr>
      <w:bookmarkStart w:id="64" w:name="_Toc2572_WPSOffice_Level2"/>
      <w:r>
        <w:rPr>
          <w:rFonts w:hint="eastAsia" w:cs="宋体"/>
          <w:color w:val="auto"/>
          <w:highlight w:val="none"/>
        </w:rPr>
        <w:t>7.4.1采购人与成交供应商应当在成交通知书发出之日起30日内，按照</w:t>
      </w:r>
      <w:r>
        <w:rPr>
          <w:rFonts w:hint="eastAsia" w:cs="宋体"/>
          <w:color w:val="auto"/>
          <w:highlight w:val="none"/>
          <w:lang w:eastAsia="zh-CN"/>
        </w:rPr>
        <w:t>竞争性磋商文件</w:t>
      </w:r>
      <w:r>
        <w:rPr>
          <w:rFonts w:hint="eastAsia" w:cs="宋体"/>
          <w:color w:val="auto"/>
          <w:highlight w:val="none"/>
        </w:rPr>
        <w:t>和成交供应商响应文件的约定，与成交供应商签订书面合同。所签订的合同不得对</w:t>
      </w:r>
      <w:r>
        <w:rPr>
          <w:rFonts w:hint="eastAsia" w:cs="宋体"/>
          <w:color w:val="auto"/>
          <w:highlight w:val="none"/>
          <w:lang w:eastAsia="zh-CN"/>
        </w:rPr>
        <w:t>竞争性磋商文件</w:t>
      </w:r>
      <w:r>
        <w:rPr>
          <w:rFonts w:hint="eastAsia" w:cs="宋体"/>
          <w:color w:val="auto"/>
          <w:highlight w:val="none"/>
        </w:rPr>
        <w:t>和成交供应商响应文件作实质性修改。</w:t>
      </w:r>
    </w:p>
    <w:p w14:paraId="0EE7695A">
      <w:pPr>
        <w:pStyle w:val="114"/>
        <w:spacing w:line="500" w:lineRule="exact"/>
        <w:rPr>
          <w:rFonts w:cs="宋体"/>
          <w:color w:val="auto"/>
          <w:highlight w:val="none"/>
        </w:rPr>
      </w:pPr>
      <w:r>
        <w:rPr>
          <w:rFonts w:hint="eastAsia" w:cs="宋体"/>
          <w:color w:val="auto"/>
          <w:highlight w:val="none"/>
        </w:rPr>
        <w:t>7.4.2《成交通知书》将作为签订合同的重要依据，是合同的一个组成部分，对采购方和成交方具有法律效力。</w:t>
      </w:r>
    </w:p>
    <w:p w14:paraId="4005E7EF">
      <w:pPr>
        <w:pStyle w:val="114"/>
        <w:spacing w:line="500" w:lineRule="exact"/>
        <w:rPr>
          <w:rFonts w:cs="宋体"/>
          <w:color w:val="auto"/>
          <w:highlight w:val="none"/>
        </w:rPr>
      </w:pPr>
      <w:r>
        <w:rPr>
          <w:rFonts w:hint="eastAsia" w:cs="宋体"/>
          <w:color w:val="auto"/>
          <w:highlight w:val="none"/>
        </w:rPr>
        <w:t>7.4.3成交</w:t>
      </w:r>
      <w:r>
        <w:rPr>
          <w:rFonts w:hint="eastAsia" w:cs="宋体"/>
          <w:color w:val="auto"/>
          <w:highlight w:val="none"/>
          <w:lang w:val="en-US" w:eastAsia="zh-CN"/>
        </w:rPr>
        <w:t>人</w:t>
      </w:r>
      <w:r>
        <w:rPr>
          <w:rFonts w:hint="eastAsia" w:cs="宋体"/>
          <w:color w:val="auto"/>
          <w:highlight w:val="none"/>
        </w:rPr>
        <w:t>的响应文件及评审过程中有关澄清文件均作为合同附件。</w:t>
      </w:r>
    </w:p>
    <w:p w14:paraId="79F058E9">
      <w:pPr>
        <w:pStyle w:val="114"/>
        <w:spacing w:line="500" w:lineRule="exact"/>
        <w:rPr>
          <w:rFonts w:hint="eastAsia" w:cs="宋体"/>
          <w:b/>
          <w:color w:val="auto"/>
          <w:sz w:val="32"/>
          <w:highlight w:val="none"/>
        </w:rPr>
      </w:pPr>
      <w:r>
        <w:rPr>
          <w:rFonts w:hint="eastAsia" w:ascii="宋体" w:hAnsi="宋体" w:eastAsia="宋体" w:cs="宋体"/>
          <w:color w:val="auto"/>
          <w:sz w:val="24"/>
          <w:szCs w:val="22"/>
          <w:highlight w:val="none"/>
          <w:lang w:val="en-US" w:eastAsia="zh-CN" w:bidi="ar-SA"/>
        </w:rPr>
        <w:t>7.4.4</w:t>
      </w:r>
      <w:r>
        <w:rPr>
          <w:rFonts w:hint="eastAsia" w:ascii="宋体" w:hAnsi="宋体"/>
          <w:color w:val="auto"/>
          <w:sz w:val="24"/>
          <w:highlight w:val="none"/>
        </w:rPr>
        <w:t>签订之日起2个工作日内由</w:t>
      </w:r>
      <w:r>
        <w:rPr>
          <w:rFonts w:hint="eastAsia" w:ascii="宋体" w:hAnsi="宋体"/>
          <w:color w:val="auto"/>
          <w:sz w:val="24"/>
          <w:highlight w:val="none"/>
          <w:lang w:eastAsia="zh-CN"/>
        </w:rPr>
        <w:t>采购人</w:t>
      </w:r>
      <w:r>
        <w:rPr>
          <w:rFonts w:hint="eastAsia" w:ascii="宋体" w:hAnsi="宋体"/>
          <w:color w:val="auto"/>
          <w:sz w:val="24"/>
          <w:highlight w:val="none"/>
        </w:rPr>
        <w:t>在《云南省政府采购网》进行合同公告，但采购合同中涉及国家秘密、商业秘密的内容除外。</w:t>
      </w:r>
    </w:p>
    <w:p w14:paraId="4175B899">
      <w:pPr>
        <w:pStyle w:val="114"/>
        <w:spacing w:line="5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8.纪律和监督</w:t>
      </w:r>
      <w:bookmarkEnd w:id="64"/>
      <w:r>
        <w:rPr>
          <w:rFonts w:hint="eastAsia" w:ascii="宋体" w:hAnsi="宋体" w:eastAsia="宋体" w:cs="宋体"/>
          <w:b/>
          <w:bCs/>
          <w:color w:val="auto"/>
          <w:highlight w:val="none"/>
          <w:lang w:val="en-US" w:eastAsia="zh-CN"/>
        </w:rPr>
        <w:t xml:space="preserve"> </w:t>
      </w:r>
    </w:p>
    <w:p w14:paraId="16E79CB2">
      <w:pPr>
        <w:pStyle w:val="114"/>
        <w:spacing w:line="500" w:lineRule="exact"/>
        <w:rPr>
          <w:rFonts w:cs="宋体"/>
          <w:color w:val="auto"/>
          <w:sz w:val="28"/>
          <w:highlight w:val="none"/>
        </w:rPr>
      </w:pPr>
      <w:r>
        <w:rPr>
          <w:rFonts w:hint="eastAsia" w:cs="宋体"/>
          <w:color w:val="auto"/>
          <w:sz w:val="28"/>
          <w:highlight w:val="none"/>
        </w:rPr>
        <w:t xml:space="preserve">8.1 对采购人的纪律要求 </w:t>
      </w:r>
    </w:p>
    <w:p w14:paraId="34B61B78">
      <w:pPr>
        <w:pStyle w:val="114"/>
        <w:spacing w:line="500" w:lineRule="exact"/>
        <w:rPr>
          <w:rFonts w:cs="宋体"/>
          <w:color w:val="auto"/>
          <w:highlight w:val="none"/>
        </w:rPr>
      </w:pPr>
      <w:r>
        <w:rPr>
          <w:rFonts w:hint="eastAsia" w:cs="宋体"/>
          <w:color w:val="auto"/>
          <w:highlight w:val="none"/>
        </w:rPr>
        <w:t>采购人不得泄露</w:t>
      </w:r>
      <w:r>
        <w:rPr>
          <w:rFonts w:hint="eastAsia" w:cs="宋体"/>
          <w:color w:val="auto"/>
          <w:highlight w:val="none"/>
          <w:lang w:val="en-US" w:eastAsia="zh-CN"/>
        </w:rPr>
        <w:t>磋商</w:t>
      </w:r>
      <w:r>
        <w:rPr>
          <w:rFonts w:hint="eastAsia" w:cs="宋体"/>
          <w:color w:val="auto"/>
          <w:highlight w:val="none"/>
        </w:rPr>
        <w:t xml:space="preserve">活动中应当保密的情况和资料，不得与供应商串通损害国家利益、社会公共利益或者他人合法权益。 </w:t>
      </w:r>
    </w:p>
    <w:p w14:paraId="3774ABD3">
      <w:pPr>
        <w:pStyle w:val="114"/>
        <w:spacing w:line="500" w:lineRule="exact"/>
        <w:rPr>
          <w:rFonts w:cs="宋体"/>
          <w:color w:val="auto"/>
          <w:sz w:val="28"/>
          <w:highlight w:val="none"/>
        </w:rPr>
      </w:pPr>
      <w:r>
        <w:rPr>
          <w:rFonts w:hint="eastAsia" w:cs="宋体"/>
          <w:color w:val="auto"/>
          <w:sz w:val="28"/>
          <w:highlight w:val="none"/>
        </w:rPr>
        <w:t>8.2 对</w:t>
      </w:r>
      <w:r>
        <w:rPr>
          <w:rFonts w:hint="eastAsia" w:cs="宋体"/>
          <w:color w:val="auto"/>
          <w:sz w:val="28"/>
          <w:highlight w:val="none"/>
          <w:lang w:eastAsia="zh-CN"/>
        </w:rPr>
        <w:t>申请人</w:t>
      </w:r>
      <w:r>
        <w:rPr>
          <w:rFonts w:hint="eastAsia" w:cs="宋体"/>
          <w:color w:val="auto"/>
          <w:sz w:val="28"/>
          <w:highlight w:val="none"/>
        </w:rPr>
        <w:t xml:space="preserve">的纪律要求 </w:t>
      </w:r>
    </w:p>
    <w:p w14:paraId="49D0F064">
      <w:pPr>
        <w:pStyle w:val="114"/>
        <w:spacing w:line="500" w:lineRule="exact"/>
        <w:rPr>
          <w:rFonts w:cs="宋体"/>
          <w:color w:val="auto"/>
          <w:highlight w:val="none"/>
        </w:rPr>
      </w:pPr>
      <w:r>
        <w:rPr>
          <w:rFonts w:hint="eastAsia" w:cs="宋体"/>
          <w:color w:val="auto"/>
          <w:highlight w:val="none"/>
          <w:lang w:eastAsia="zh-CN"/>
        </w:rPr>
        <w:t>申请人</w:t>
      </w:r>
      <w:r>
        <w:rPr>
          <w:rFonts w:hint="eastAsia" w:cs="宋体"/>
          <w:color w:val="auto"/>
          <w:highlight w:val="none"/>
        </w:rPr>
        <w:t>不得相互串通或者与采购人串通，不得向采购人或者磋商小组成员行贿谋取</w:t>
      </w:r>
      <w:r>
        <w:rPr>
          <w:rFonts w:hint="eastAsia" w:cs="宋体"/>
          <w:color w:val="auto"/>
          <w:highlight w:val="none"/>
          <w:lang w:val="en-US" w:eastAsia="zh-CN"/>
        </w:rPr>
        <w:t>成交资格</w:t>
      </w:r>
      <w:r>
        <w:rPr>
          <w:rFonts w:hint="eastAsia" w:cs="宋体"/>
          <w:color w:val="auto"/>
          <w:highlight w:val="none"/>
        </w:rPr>
        <w:t>，不得以他人名义</w:t>
      </w:r>
      <w:r>
        <w:rPr>
          <w:rFonts w:hint="eastAsia" w:cs="宋体"/>
          <w:color w:val="auto"/>
          <w:highlight w:val="none"/>
          <w:lang w:val="en-US" w:eastAsia="zh-CN"/>
        </w:rPr>
        <w:t>参与磋商</w:t>
      </w:r>
      <w:r>
        <w:rPr>
          <w:rFonts w:hint="eastAsia" w:cs="宋体"/>
          <w:color w:val="auto"/>
          <w:highlight w:val="none"/>
        </w:rPr>
        <w:t>或者以其他方式弄虚作假骗取</w:t>
      </w:r>
      <w:r>
        <w:rPr>
          <w:rFonts w:hint="eastAsia" w:cs="宋体"/>
          <w:color w:val="auto"/>
          <w:highlight w:val="none"/>
          <w:lang w:val="en-US" w:eastAsia="zh-CN"/>
        </w:rPr>
        <w:t>成交资格</w:t>
      </w:r>
      <w:r>
        <w:rPr>
          <w:rFonts w:hint="eastAsia" w:cs="宋体"/>
          <w:color w:val="auto"/>
          <w:highlight w:val="none"/>
        </w:rPr>
        <w:t>；</w:t>
      </w:r>
      <w:r>
        <w:rPr>
          <w:rFonts w:hint="eastAsia" w:cs="宋体"/>
          <w:color w:val="auto"/>
          <w:highlight w:val="none"/>
          <w:lang w:eastAsia="zh-CN"/>
        </w:rPr>
        <w:t>申请人</w:t>
      </w:r>
      <w:r>
        <w:rPr>
          <w:rFonts w:hint="eastAsia" w:cs="宋体"/>
          <w:color w:val="auto"/>
          <w:highlight w:val="none"/>
        </w:rPr>
        <w:t>不得以任何方式干扰、影响</w:t>
      </w:r>
      <w:r>
        <w:rPr>
          <w:rFonts w:hint="eastAsia" w:cs="宋体"/>
          <w:color w:val="auto"/>
          <w:highlight w:val="none"/>
          <w:lang w:val="en-US" w:eastAsia="zh-CN"/>
        </w:rPr>
        <w:t>评审</w:t>
      </w:r>
      <w:r>
        <w:rPr>
          <w:rFonts w:hint="eastAsia" w:cs="宋体"/>
          <w:color w:val="auto"/>
          <w:highlight w:val="none"/>
        </w:rPr>
        <w:t xml:space="preserve">工作。 </w:t>
      </w:r>
    </w:p>
    <w:p w14:paraId="650D7E7F">
      <w:pPr>
        <w:pStyle w:val="114"/>
        <w:spacing w:line="500" w:lineRule="exact"/>
        <w:rPr>
          <w:rFonts w:cs="宋体"/>
          <w:color w:val="auto"/>
          <w:sz w:val="28"/>
          <w:highlight w:val="none"/>
        </w:rPr>
      </w:pPr>
      <w:r>
        <w:rPr>
          <w:rFonts w:hint="eastAsia" w:cs="宋体"/>
          <w:color w:val="auto"/>
          <w:sz w:val="28"/>
          <w:highlight w:val="none"/>
        </w:rPr>
        <w:t xml:space="preserve">8.3 对磋商小组成员的纪律要求 </w:t>
      </w:r>
    </w:p>
    <w:p w14:paraId="54C881C1">
      <w:pPr>
        <w:pStyle w:val="114"/>
        <w:spacing w:line="500" w:lineRule="exact"/>
        <w:rPr>
          <w:rFonts w:cs="宋体"/>
          <w:color w:val="auto"/>
          <w:highlight w:val="none"/>
        </w:rPr>
      </w:pPr>
      <w:r>
        <w:rPr>
          <w:rFonts w:hint="eastAsia" w:cs="宋体"/>
          <w:color w:val="auto"/>
          <w:highlight w:val="none"/>
        </w:rPr>
        <w:t>磋商小组成员不得收受他人的财物或者其他好处，不得向他人透露对响应文件的评审和比较、</w:t>
      </w:r>
      <w:r>
        <w:rPr>
          <w:rFonts w:hint="eastAsia" w:cs="宋体"/>
          <w:color w:val="auto"/>
          <w:highlight w:val="none"/>
          <w:lang w:val="en-US" w:eastAsia="zh-CN"/>
        </w:rPr>
        <w:t>成交</w:t>
      </w:r>
      <w:r>
        <w:rPr>
          <w:rFonts w:hint="eastAsia" w:cs="宋体"/>
          <w:color w:val="auto"/>
          <w:highlight w:val="none"/>
        </w:rPr>
        <w:t>候选人的推荐情况以及</w:t>
      </w:r>
      <w:r>
        <w:rPr>
          <w:rFonts w:hint="eastAsia" w:cs="宋体"/>
          <w:color w:val="auto"/>
          <w:highlight w:val="none"/>
          <w:lang w:val="en-US" w:eastAsia="zh-CN"/>
        </w:rPr>
        <w:t>评审</w:t>
      </w:r>
      <w:r>
        <w:rPr>
          <w:rFonts w:hint="eastAsia" w:cs="宋体"/>
          <w:color w:val="auto"/>
          <w:highlight w:val="none"/>
        </w:rPr>
        <w:t>有关的其他情况。在</w:t>
      </w:r>
      <w:r>
        <w:rPr>
          <w:rFonts w:hint="eastAsia" w:cs="宋体"/>
          <w:color w:val="auto"/>
          <w:highlight w:val="none"/>
          <w:lang w:val="en-US" w:eastAsia="zh-CN"/>
        </w:rPr>
        <w:t>评审</w:t>
      </w:r>
      <w:r>
        <w:rPr>
          <w:rFonts w:hint="eastAsia" w:cs="宋体"/>
          <w:color w:val="auto"/>
          <w:highlight w:val="none"/>
        </w:rPr>
        <w:t>活动中，磋商小组成员应当客观、公正地履行职责，遵守职业道德，不得擅离职守，影响</w:t>
      </w:r>
      <w:r>
        <w:rPr>
          <w:rFonts w:hint="eastAsia" w:cs="宋体"/>
          <w:color w:val="auto"/>
          <w:highlight w:val="none"/>
          <w:lang w:val="en-US" w:eastAsia="zh-CN"/>
        </w:rPr>
        <w:t>评审</w:t>
      </w:r>
      <w:r>
        <w:rPr>
          <w:rFonts w:hint="eastAsia" w:cs="宋体"/>
          <w:color w:val="auto"/>
          <w:highlight w:val="none"/>
        </w:rPr>
        <w:t>程序正常进行，不得使用第三章“</w:t>
      </w:r>
      <w:r>
        <w:rPr>
          <w:rFonts w:hint="eastAsia" w:cs="宋体"/>
          <w:color w:val="auto"/>
          <w:highlight w:val="none"/>
          <w:lang w:val="en-US" w:eastAsia="zh-CN"/>
        </w:rPr>
        <w:t>评审</w:t>
      </w:r>
      <w:r>
        <w:rPr>
          <w:rFonts w:hint="eastAsia" w:cs="宋体"/>
          <w:color w:val="auto"/>
          <w:highlight w:val="none"/>
        </w:rPr>
        <w:t>办法”没有规定的评审因素和标准进行</w:t>
      </w:r>
      <w:r>
        <w:rPr>
          <w:rFonts w:hint="eastAsia" w:cs="宋体"/>
          <w:color w:val="auto"/>
          <w:highlight w:val="none"/>
          <w:lang w:val="en-US" w:eastAsia="zh-CN"/>
        </w:rPr>
        <w:t>评审</w:t>
      </w:r>
      <w:r>
        <w:rPr>
          <w:rFonts w:hint="eastAsia" w:cs="宋体"/>
          <w:color w:val="auto"/>
          <w:highlight w:val="none"/>
        </w:rPr>
        <w:t xml:space="preserve">。 </w:t>
      </w:r>
    </w:p>
    <w:p w14:paraId="416CBC28">
      <w:pPr>
        <w:pStyle w:val="114"/>
        <w:spacing w:line="500" w:lineRule="exact"/>
        <w:rPr>
          <w:rFonts w:cs="宋体"/>
          <w:color w:val="auto"/>
          <w:sz w:val="28"/>
          <w:highlight w:val="none"/>
        </w:rPr>
      </w:pPr>
      <w:r>
        <w:rPr>
          <w:rFonts w:hint="eastAsia" w:cs="宋体"/>
          <w:color w:val="auto"/>
          <w:sz w:val="28"/>
          <w:highlight w:val="none"/>
        </w:rPr>
        <w:t>8.4 对与</w:t>
      </w:r>
      <w:r>
        <w:rPr>
          <w:rFonts w:hint="eastAsia" w:cs="宋体"/>
          <w:color w:val="auto"/>
          <w:sz w:val="28"/>
          <w:highlight w:val="none"/>
          <w:lang w:val="en-US" w:eastAsia="zh-CN"/>
        </w:rPr>
        <w:t>评审</w:t>
      </w:r>
      <w:r>
        <w:rPr>
          <w:rFonts w:hint="eastAsia" w:cs="宋体"/>
          <w:color w:val="auto"/>
          <w:sz w:val="28"/>
          <w:highlight w:val="none"/>
        </w:rPr>
        <w:t xml:space="preserve">活动有关的工作人员的纪律要求 </w:t>
      </w:r>
    </w:p>
    <w:p w14:paraId="59686D0F">
      <w:pPr>
        <w:pStyle w:val="114"/>
        <w:spacing w:line="500" w:lineRule="exact"/>
        <w:rPr>
          <w:rFonts w:cs="宋体"/>
          <w:color w:val="auto"/>
          <w:highlight w:val="none"/>
        </w:rPr>
      </w:pPr>
      <w:r>
        <w:rPr>
          <w:rFonts w:hint="eastAsia" w:cs="宋体"/>
          <w:color w:val="auto"/>
          <w:highlight w:val="none"/>
        </w:rPr>
        <w:t>与</w:t>
      </w:r>
      <w:r>
        <w:rPr>
          <w:rFonts w:hint="eastAsia" w:cs="宋体"/>
          <w:color w:val="auto"/>
          <w:highlight w:val="none"/>
          <w:lang w:val="en-US" w:eastAsia="zh-CN"/>
        </w:rPr>
        <w:t>评审</w:t>
      </w:r>
      <w:r>
        <w:rPr>
          <w:rFonts w:hint="eastAsia" w:cs="宋体"/>
          <w:color w:val="auto"/>
          <w:highlight w:val="none"/>
        </w:rPr>
        <w:t>活动有关的工作人员不得收受他人的财物或者其他好处，不得向他人透露对响应文件的评审和比较、</w:t>
      </w:r>
      <w:r>
        <w:rPr>
          <w:rFonts w:hint="eastAsia" w:cs="宋体"/>
          <w:color w:val="auto"/>
          <w:highlight w:val="none"/>
          <w:lang w:val="en-US" w:eastAsia="zh-CN"/>
        </w:rPr>
        <w:t>成交</w:t>
      </w:r>
      <w:r>
        <w:rPr>
          <w:rFonts w:hint="eastAsia" w:cs="宋体"/>
          <w:color w:val="auto"/>
          <w:highlight w:val="none"/>
        </w:rPr>
        <w:t>候选人的推荐情况以及</w:t>
      </w:r>
      <w:r>
        <w:rPr>
          <w:rFonts w:hint="eastAsia" w:cs="宋体"/>
          <w:color w:val="auto"/>
          <w:highlight w:val="none"/>
          <w:lang w:val="en-US" w:eastAsia="zh-CN"/>
        </w:rPr>
        <w:t>评审</w:t>
      </w:r>
      <w:r>
        <w:rPr>
          <w:rFonts w:hint="eastAsia" w:cs="宋体"/>
          <w:color w:val="auto"/>
          <w:highlight w:val="none"/>
        </w:rPr>
        <w:t>有关的其他情况。在</w:t>
      </w:r>
      <w:r>
        <w:rPr>
          <w:rFonts w:hint="eastAsia" w:cs="宋体"/>
          <w:color w:val="auto"/>
          <w:highlight w:val="none"/>
          <w:lang w:val="en-US" w:eastAsia="zh-CN"/>
        </w:rPr>
        <w:t>评审</w:t>
      </w:r>
      <w:r>
        <w:rPr>
          <w:rFonts w:hint="eastAsia" w:cs="宋体"/>
          <w:color w:val="auto"/>
          <w:highlight w:val="none"/>
        </w:rPr>
        <w:t>活动中，与</w:t>
      </w:r>
      <w:r>
        <w:rPr>
          <w:rFonts w:hint="eastAsia" w:cs="宋体"/>
          <w:color w:val="auto"/>
          <w:highlight w:val="none"/>
          <w:lang w:val="en-US" w:eastAsia="zh-CN"/>
        </w:rPr>
        <w:t>评审</w:t>
      </w:r>
      <w:r>
        <w:rPr>
          <w:rFonts w:hint="eastAsia" w:cs="宋体"/>
          <w:color w:val="auto"/>
          <w:highlight w:val="none"/>
        </w:rPr>
        <w:t>活动有关的工作人员不得擅离职守，影响</w:t>
      </w:r>
      <w:r>
        <w:rPr>
          <w:rFonts w:hint="eastAsia" w:cs="宋体"/>
          <w:color w:val="auto"/>
          <w:highlight w:val="none"/>
          <w:lang w:val="en-US" w:eastAsia="zh-CN"/>
        </w:rPr>
        <w:t>评审</w:t>
      </w:r>
      <w:r>
        <w:rPr>
          <w:rFonts w:hint="eastAsia" w:cs="宋体"/>
          <w:color w:val="auto"/>
          <w:highlight w:val="none"/>
        </w:rPr>
        <w:t xml:space="preserve">程序正常进行。 </w:t>
      </w:r>
    </w:p>
    <w:p w14:paraId="56E48D7E">
      <w:pPr>
        <w:pStyle w:val="114"/>
        <w:spacing w:line="500" w:lineRule="exact"/>
        <w:rPr>
          <w:rFonts w:cs="宋体"/>
          <w:color w:val="auto"/>
          <w:sz w:val="28"/>
          <w:highlight w:val="none"/>
        </w:rPr>
      </w:pPr>
      <w:bookmarkStart w:id="65" w:name="_Toc29909_WPSOffice_Level2"/>
      <w:r>
        <w:rPr>
          <w:rFonts w:hint="eastAsia" w:cs="宋体"/>
          <w:color w:val="auto"/>
          <w:sz w:val="28"/>
          <w:highlight w:val="none"/>
        </w:rPr>
        <w:t>8.5质疑与投诉</w:t>
      </w:r>
    </w:p>
    <w:p w14:paraId="681A0500">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8.5.1质疑</w:t>
      </w:r>
    </w:p>
    <w:p w14:paraId="540ABD7D">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8.5.1.1</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认为</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、采购过程或者成交结果使自己的权益受到损害的，可以在知道或者应知其权益受到损害之日起7个工作日内，以书面形式向采购人、采购代理机构提出质疑。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在法定质疑期内一次性提出针对同一采购程序环节的质疑。</w:t>
      </w:r>
    </w:p>
    <w:p w14:paraId="5AB1B33E">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w:t>
      </w:r>
      <w:r>
        <w:rPr>
          <w:rFonts w:hint="eastAsia" w:ascii="宋体" w:hAnsi="宋体" w:eastAsia="宋体" w:cs="宋体"/>
          <w:color w:val="auto"/>
          <w:highlight w:val="none"/>
        </w:rPr>
        <w:t>提出质疑的</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（以下简称质疑</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）应当是参与所质疑项目采购活动的</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w:t>
      </w:r>
    </w:p>
    <w:p w14:paraId="29AF87EE">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潜在</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已依法获取其可质疑的</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的，可以对该文件提出质疑。对</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提出质疑的，应当在获取</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或者</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公告期限届满之日起7个工作日内提出。</w:t>
      </w:r>
    </w:p>
    <w:p w14:paraId="53644B4A">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提出质疑应当提交质疑函和必要的证明材料。质疑函应当包括下列内容：</w:t>
      </w:r>
    </w:p>
    <w:p w14:paraId="18ACC221">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8.5.1.3.1</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的姓名或者名称、地址、邮编、联系人及联系电话；</w:t>
      </w:r>
    </w:p>
    <w:p w14:paraId="753417BC">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8.5.1.3.2</w:t>
      </w:r>
      <w:r>
        <w:rPr>
          <w:rFonts w:hint="eastAsia" w:ascii="宋体" w:hAnsi="宋体" w:eastAsia="宋体" w:cs="宋体"/>
          <w:color w:val="auto"/>
          <w:highlight w:val="none"/>
        </w:rPr>
        <w:t>质疑项目的名称、编号；</w:t>
      </w:r>
    </w:p>
    <w:p w14:paraId="027D70B6">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8.5.1.3.3</w:t>
      </w:r>
      <w:r>
        <w:rPr>
          <w:rFonts w:hint="eastAsia" w:ascii="宋体" w:hAnsi="宋体" w:eastAsia="宋体" w:cs="宋体"/>
          <w:color w:val="auto"/>
          <w:highlight w:val="none"/>
        </w:rPr>
        <w:t>具体、明确的质疑事项和与质疑事项相关的请求；</w:t>
      </w:r>
    </w:p>
    <w:p w14:paraId="647E6EE8">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8.5.1.3.4</w:t>
      </w:r>
      <w:r>
        <w:rPr>
          <w:rFonts w:hint="eastAsia" w:ascii="宋体" w:hAnsi="宋体" w:eastAsia="宋体" w:cs="宋体"/>
          <w:color w:val="auto"/>
          <w:highlight w:val="none"/>
        </w:rPr>
        <w:t>事实依据；</w:t>
      </w:r>
    </w:p>
    <w:p w14:paraId="605D60E7">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8.5.1.3.5</w:t>
      </w:r>
      <w:r>
        <w:rPr>
          <w:rFonts w:hint="eastAsia" w:ascii="宋体" w:hAnsi="宋体" w:eastAsia="宋体" w:cs="宋体"/>
          <w:color w:val="auto"/>
          <w:highlight w:val="none"/>
        </w:rPr>
        <w:t>必要的法律依据；</w:t>
      </w:r>
    </w:p>
    <w:p w14:paraId="51D35D5D">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8.5.1.3.6</w:t>
      </w:r>
      <w:r>
        <w:rPr>
          <w:rFonts w:hint="eastAsia" w:ascii="宋体" w:hAnsi="宋体" w:eastAsia="宋体" w:cs="宋体"/>
          <w:color w:val="auto"/>
          <w:highlight w:val="none"/>
        </w:rPr>
        <w:t>提出质疑的日期。</w:t>
      </w:r>
    </w:p>
    <w:p w14:paraId="3CB5F6E2">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为自然人的，应当由本人签字；</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为法人或者其他组织的，应当由法定代表人、主要负责人，或者其授权代表签字或者盖章，并加盖公章。</w:t>
      </w:r>
    </w:p>
    <w:p w14:paraId="5766499E">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8.5.1.4</w:t>
      </w:r>
      <w:r>
        <w:rPr>
          <w:rFonts w:hint="eastAsia" w:ascii="宋体" w:hAnsi="宋体" w:eastAsia="宋体" w:cs="宋体"/>
          <w:color w:val="auto"/>
          <w:highlight w:val="none"/>
        </w:rPr>
        <w:t>接收质疑函的方式、联系电话和通讯地址</w:t>
      </w:r>
    </w:p>
    <w:p w14:paraId="2D52F16F">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对</w:t>
      </w:r>
      <w:r>
        <w:rPr>
          <w:rFonts w:hint="eastAsia" w:ascii="宋体" w:hAnsi="宋体" w:eastAsia="宋体" w:cs="宋体"/>
          <w:color w:val="auto"/>
          <w:highlight w:val="none"/>
          <w:lang w:eastAsia="zh-CN"/>
        </w:rPr>
        <w:t>竞争性磋商文件</w:t>
      </w:r>
      <w:r>
        <w:rPr>
          <w:rFonts w:hint="eastAsia" w:ascii="宋体" w:hAnsi="宋体" w:eastAsia="宋体" w:cs="宋体"/>
          <w:color w:val="auto"/>
          <w:highlight w:val="none"/>
        </w:rPr>
        <w:t>、采购过程或者成交结果有质疑的应以书面形式递交至</w:t>
      </w:r>
      <w:r>
        <w:rPr>
          <w:rFonts w:hint="eastAsia" w:ascii="宋体" w:hAnsi="宋体" w:eastAsia="宋体" w:cs="宋体"/>
          <w:color w:val="auto"/>
          <w:highlight w:val="none"/>
          <w:lang w:eastAsia="zh-CN"/>
        </w:rPr>
        <w:t>云南泽诚工程项目管理有限公司</w:t>
      </w:r>
      <w:r>
        <w:rPr>
          <w:rFonts w:hint="eastAsia" w:ascii="宋体" w:hAnsi="宋体" w:eastAsia="宋体" w:cs="宋体"/>
          <w:color w:val="auto"/>
          <w:highlight w:val="none"/>
        </w:rPr>
        <w:t>，地址：</w:t>
      </w:r>
      <w:r>
        <w:rPr>
          <w:rFonts w:hint="eastAsia" w:ascii="宋体" w:hAnsi="宋体" w:eastAsia="宋体" w:cs="宋体"/>
          <w:color w:val="auto"/>
          <w:highlight w:val="none"/>
          <w:lang w:val="en-US" w:eastAsia="zh-CN"/>
        </w:rPr>
        <w:t>昭阳区国学路万景进园小区17栋1楼5号</w:t>
      </w:r>
      <w:r>
        <w:rPr>
          <w:rFonts w:hint="eastAsia" w:ascii="宋体" w:hAnsi="宋体" w:eastAsia="宋体" w:cs="宋体"/>
          <w:color w:val="auto"/>
          <w:highlight w:val="none"/>
        </w:rPr>
        <w:t>，联系电话：</w:t>
      </w:r>
      <w:r>
        <w:rPr>
          <w:rFonts w:hint="eastAsia" w:ascii="宋体" w:hAnsi="宋体" w:eastAsia="宋体" w:cs="宋体"/>
          <w:color w:val="auto"/>
          <w:highlight w:val="none"/>
          <w:lang w:val="en-US" w:eastAsia="zh-CN"/>
        </w:rPr>
        <w:t>08702226588</w:t>
      </w:r>
      <w:r>
        <w:rPr>
          <w:rFonts w:hint="eastAsia" w:ascii="宋体" w:hAnsi="宋体" w:eastAsia="宋体" w:cs="宋体"/>
          <w:color w:val="auto"/>
          <w:highlight w:val="none"/>
        </w:rPr>
        <w:t>。</w:t>
      </w:r>
    </w:p>
    <w:p w14:paraId="720D0153">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8.5.1.5</w:t>
      </w:r>
      <w:r>
        <w:rPr>
          <w:rFonts w:hint="eastAsia" w:ascii="宋体" w:hAnsi="宋体" w:eastAsia="宋体" w:cs="宋体"/>
          <w:color w:val="auto"/>
          <w:highlight w:val="none"/>
        </w:rPr>
        <w:t>采购人、采购代理机构不得拒收质疑</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在法定质疑期内发出的质疑函，应当在收到质疑函后7个工作日内作出答复，并以书面形式通知质疑</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和其他有关</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w:t>
      </w:r>
    </w:p>
    <w:p w14:paraId="60D1F4D8">
      <w:pPr>
        <w:pStyle w:val="18"/>
        <w:keepNext w:val="0"/>
        <w:keepLines w:val="0"/>
        <w:pageBreakBefore w:val="0"/>
        <w:kinsoku/>
        <w:wordWrap/>
        <w:overflowPunct/>
        <w:topLinePunct w:val="0"/>
        <w:autoSpaceDE/>
        <w:autoSpaceDN/>
        <w:bidi w:val="0"/>
        <w:adjustRightInd/>
        <w:spacing w:after="0" w:line="500" w:lineRule="exact"/>
        <w:ind w:left="0" w:leftChars="0" w:firstLine="0" w:firstLineChars="0"/>
        <w:textAlignment w:val="auto"/>
        <w:rPr>
          <w:rFonts w:hint="eastAsia" w:ascii="宋体" w:hAnsi="宋体" w:cs="宋体"/>
          <w:b/>
          <w:bCs/>
          <w:color w:val="auto"/>
          <w:sz w:val="24"/>
          <w:highlight w:val="none"/>
        </w:rPr>
      </w:pPr>
      <w:r>
        <w:rPr>
          <w:rFonts w:hint="eastAsia" w:ascii="宋体" w:hAnsi="宋体" w:cs="宋体"/>
          <w:b/>
          <w:bCs/>
          <w:color w:val="auto"/>
          <w:sz w:val="24"/>
          <w:highlight w:val="none"/>
        </w:rPr>
        <w:t>注：</w:t>
      </w:r>
      <w:r>
        <w:rPr>
          <w:rFonts w:hint="eastAsia" w:ascii="宋体" w:hAnsi="宋体" w:cs="宋体"/>
          <w:b/>
          <w:bCs/>
          <w:color w:val="auto"/>
          <w:sz w:val="24"/>
          <w:highlight w:val="none"/>
          <w:lang w:eastAsia="zh-CN"/>
        </w:rPr>
        <w:t>本项目在政采云平台组织采购活动，申请人</w:t>
      </w:r>
      <w:r>
        <w:rPr>
          <w:rFonts w:hint="eastAsia" w:ascii="宋体" w:hAnsi="宋体" w:cs="宋体"/>
          <w:b/>
          <w:bCs/>
          <w:color w:val="auto"/>
          <w:sz w:val="24"/>
          <w:highlight w:val="none"/>
        </w:rPr>
        <w:t>质疑</w:t>
      </w:r>
      <w:r>
        <w:rPr>
          <w:rFonts w:hint="eastAsia" w:ascii="宋体" w:hAnsi="宋体" w:cs="宋体"/>
          <w:b/>
          <w:bCs/>
          <w:color w:val="auto"/>
          <w:sz w:val="24"/>
          <w:highlight w:val="none"/>
          <w:lang w:eastAsia="zh-CN"/>
        </w:rPr>
        <w:t>函的递交及代理机构的回复，均在政采云平台进行</w:t>
      </w:r>
      <w:r>
        <w:rPr>
          <w:rFonts w:hint="eastAsia" w:ascii="宋体" w:hAnsi="宋体" w:cs="宋体"/>
          <w:b/>
          <w:bCs/>
          <w:color w:val="auto"/>
          <w:sz w:val="24"/>
          <w:highlight w:val="none"/>
        </w:rPr>
        <w:t>。</w:t>
      </w:r>
    </w:p>
    <w:p w14:paraId="3E6384C5">
      <w:pPr>
        <w:pStyle w:val="114"/>
        <w:spacing w:line="5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8.5.2投诉</w:t>
      </w:r>
    </w:p>
    <w:p w14:paraId="5A78518C">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8.5.2.1</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质疑</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对采购人、采购代理机构的答复不满意，或者采购人、采购代理机构未在规定时间内作出答复的，可以在答复期满后15个工作日内向</w:t>
      </w:r>
      <w:r>
        <w:rPr>
          <w:rFonts w:hint="eastAsia" w:ascii="宋体" w:hAnsi="宋体" w:eastAsia="宋体" w:cs="宋体"/>
          <w:color w:val="auto"/>
          <w:highlight w:val="none"/>
          <w:lang w:eastAsia="zh-CN"/>
        </w:rPr>
        <w:t>同级财政部门</w:t>
      </w:r>
      <w:r>
        <w:rPr>
          <w:rFonts w:hint="eastAsia" w:ascii="宋体" w:hAnsi="宋体" w:eastAsia="宋体" w:cs="宋体"/>
          <w:color w:val="auto"/>
          <w:highlight w:val="none"/>
        </w:rPr>
        <w:t>提起投诉。</w:t>
      </w:r>
    </w:p>
    <w:p w14:paraId="1FA6F4EB">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投诉人投诉时,应当提交投诉书和必要的证明材料，并按照被投诉采购人、采购代理机构（以下简称被投诉人）和与投诉事项有关的</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数量提供投诉书的副本。投诉书应当包括下列内容：</w:t>
      </w:r>
    </w:p>
    <w:p w14:paraId="6DA6B36B">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8.5.2.2.1</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投诉人和被投诉人的姓名或者名称、通讯地址、邮编、联系人及联系电话；</w:t>
      </w:r>
    </w:p>
    <w:p w14:paraId="7E640B9E">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8.5.2.2.2</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质疑和质疑答复情况说明及相关证明材料；</w:t>
      </w:r>
    </w:p>
    <w:p w14:paraId="722A3B3C">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8.5.2.2.3</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具体、明确的投诉事项和与投诉事项相关的投诉请求；</w:t>
      </w:r>
    </w:p>
    <w:p w14:paraId="4913C64A">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8.5.2.2.4</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事实依据；</w:t>
      </w:r>
    </w:p>
    <w:p w14:paraId="2AB0AB3E">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8.5.2.2.5</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法律依据；</w:t>
      </w:r>
    </w:p>
    <w:p w14:paraId="4A9965A7">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8.5.2.2.6</w:t>
      </w:r>
      <w:r>
        <w:rPr>
          <w:rFonts w:hint="eastAsia" w:hAnsi="宋体" w:cs="宋体"/>
          <w:color w:val="auto"/>
          <w:highlight w:val="none"/>
          <w:lang w:val="en-US" w:eastAsia="zh-CN"/>
        </w:rPr>
        <w:t xml:space="preserve"> </w:t>
      </w:r>
      <w:r>
        <w:rPr>
          <w:rFonts w:hint="eastAsia" w:ascii="宋体" w:hAnsi="宋体" w:eastAsia="宋体" w:cs="宋体"/>
          <w:color w:val="auto"/>
          <w:highlight w:val="none"/>
        </w:rPr>
        <w:t>提起投诉的日期。</w:t>
      </w:r>
    </w:p>
    <w:p w14:paraId="201DEB23">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rPr>
        <w:t>投诉人为自然人的，应当由本人签字；投诉人为法人或者其他组织的，应当由法定代表人、主要负责人，或者其授权代表签字或者盖章，并加盖公章。</w:t>
      </w:r>
    </w:p>
    <w:p w14:paraId="638D6024">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8.5.2.3</w:t>
      </w:r>
      <w:r>
        <w:rPr>
          <w:rFonts w:hint="eastAsia" w:ascii="宋体" w:hAnsi="宋体" w:eastAsia="宋体" w:cs="宋体"/>
          <w:color w:val="auto"/>
          <w:highlight w:val="none"/>
        </w:rPr>
        <w:t>投诉人提起投诉应当符合下列条件：</w:t>
      </w:r>
    </w:p>
    <w:p w14:paraId="368FADCD">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8.5.2.3.1</w:t>
      </w:r>
      <w:r>
        <w:rPr>
          <w:rFonts w:hint="eastAsia" w:ascii="宋体" w:hAnsi="宋体" w:eastAsia="宋体" w:cs="宋体"/>
          <w:color w:val="auto"/>
          <w:highlight w:val="none"/>
        </w:rPr>
        <w:t>提起投诉前已依法进行质疑；</w:t>
      </w:r>
    </w:p>
    <w:p w14:paraId="5D4C324D">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8.5.2.3.2</w:t>
      </w:r>
      <w:r>
        <w:rPr>
          <w:rFonts w:hint="eastAsia" w:ascii="宋体" w:hAnsi="宋体" w:eastAsia="宋体" w:cs="宋体"/>
          <w:color w:val="auto"/>
          <w:highlight w:val="none"/>
        </w:rPr>
        <w:t>投诉书内容符合本办法的规定；</w:t>
      </w:r>
    </w:p>
    <w:p w14:paraId="4BF8E24B">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8.5.2.3.3</w:t>
      </w:r>
      <w:r>
        <w:rPr>
          <w:rFonts w:hint="eastAsia" w:ascii="宋体" w:hAnsi="宋体" w:eastAsia="宋体" w:cs="宋体"/>
          <w:color w:val="auto"/>
          <w:highlight w:val="none"/>
        </w:rPr>
        <w:t>在投诉有效期限内提起投诉；</w:t>
      </w:r>
    </w:p>
    <w:p w14:paraId="16701E03">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8.5.2.3.4</w:t>
      </w:r>
      <w:r>
        <w:rPr>
          <w:rFonts w:hint="eastAsia" w:ascii="宋体" w:hAnsi="宋体" w:eastAsia="宋体" w:cs="宋体"/>
          <w:color w:val="auto"/>
          <w:highlight w:val="none"/>
        </w:rPr>
        <w:t>同一投诉事项未经财政部门投诉处理；</w:t>
      </w:r>
    </w:p>
    <w:p w14:paraId="370AF716">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8.5.2.3.5</w:t>
      </w:r>
      <w:r>
        <w:rPr>
          <w:rFonts w:hint="eastAsia" w:ascii="宋体" w:hAnsi="宋体" w:eastAsia="宋体" w:cs="宋体"/>
          <w:color w:val="auto"/>
          <w:highlight w:val="none"/>
        </w:rPr>
        <w:t>财政部规定的其他条件。</w:t>
      </w:r>
    </w:p>
    <w:p w14:paraId="226CE962">
      <w:pPr>
        <w:pStyle w:val="114"/>
        <w:spacing w:line="50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8.5.2.4</w:t>
      </w:r>
      <w:r>
        <w:rPr>
          <w:rFonts w:hint="eastAsia" w:ascii="宋体" w:hAnsi="宋体" w:eastAsia="宋体" w:cs="宋体"/>
          <w:color w:val="auto"/>
          <w:highlight w:val="none"/>
          <w:lang w:eastAsia="zh-CN"/>
        </w:rPr>
        <w:t>申请人</w:t>
      </w:r>
      <w:r>
        <w:rPr>
          <w:rFonts w:hint="eastAsia" w:ascii="宋体" w:hAnsi="宋体" w:eastAsia="宋体" w:cs="宋体"/>
          <w:color w:val="auto"/>
          <w:highlight w:val="none"/>
        </w:rPr>
        <w:t>投诉的事项不得超出已质疑事项的范围，但基于质疑答复内容提出的投诉事项除外。</w:t>
      </w:r>
    </w:p>
    <w:p w14:paraId="519DF829">
      <w:pPr>
        <w:pStyle w:val="114"/>
        <w:spacing w:line="500" w:lineRule="exact"/>
        <w:rPr>
          <w:rFonts w:hint="eastAsia" w:ascii="宋体" w:hAnsi="宋体" w:eastAsia="宋体" w:cs="宋体"/>
          <w:b/>
          <w:bCs/>
          <w:color w:val="auto"/>
          <w:highlight w:val="none"/>
          <w:lang w:val="en-US" w:eastAsia="zh-CN"/>
        </w:rPr>
      </w:pPr>
      <w:r>
        <w:rPr>
          <w:rFonts w:hint="eastAsia" w:ascii="宋体" w:hAnsi="宋体" w:eastAsia="宋体" w:cs="宋体"/>
          <w:b/>
          <w:bCs/>
          <w:color w:val="auto"/>
          <w:highlight w:val="none"/>
          <w:lang w:val="en-US" w:eastAsia="zh-CN"/>
        </w:rPr>
        <w:t>9.是否采用电子</w:t>
      </w:r>
      <w:bookmarkEnd w:id="65"/>
      <w:r>
        <w:rPr>
          <w:rFonts w:hint="eastAsia" w:ascii="宋体" w:hAnsi="宋体" w:eastAsia="宋体" w:cs="宋体"/>
          <w:b/>
          <w:bCs/>
          <w:color w:val="auto"/>
          <w:highlight w:val="none"/>
          <w:lang w:val="en-US" w:eastAsia="zh-CN"/>
        </w:rPr>
        <w:t xml:space="preserve">标 </w:t>
      </w:r>
    </w:p>
    <w:p w14:paraId="591B4E40">
      <w:pPr>
        <w:pStyle w:val="114"/>
        <w:spacing w:line="500" w:lineRule="exact"/>
        <w:rPr>
          <w:rFonts w:cs="宋体"/>
          <w:b/>
          <w:color w:val="auto"/>
          <w:sz w:val="32"/>
          <w:highlight w:val="none"/>
        </w:rPr>
      </w:pPr>
      <w:r>
        <w:rPr>
          <w:rFonts w:hint="eastAsia" w:cs="宋体"/>
          <w:color w:val="auto"/>
          <w:highlight w:val="none"/>
        </w:rPr>
        <w:t>本采购项目是否采用电子</w:t>
      </w:r>
      <w:r>
        <w:rPr>
          <w:rFonts w:hint="eastAsia" w:cs="宋体"/>
          <w:color w:val="auto"/>
          <w:highlight w:val="none"/>
          <w:lang w:val="en-US" w:eastAsia="zh-CN"/>
        </w:rPr>
        <w:t>磋商</w:t>
      </w:r>
      <w:r>
        <w:rPr>
          <w:rFonts w:hint="eastAsia" w:cs="宋体"/>
          <w:color w:val="auto"/>
          <w:highlight w:val="none"/>
        </w:rPr>
        <w:t>方式，见</w:t>
      </w:r>
      <w:r>
        <w:rPr>
          <w:rFonts w:hint="eastAsia" w:cs="宋体"/>
          <w:color w:val="auto"/>
          <w:highlight w:val="none"/>
          <w:lang w:eastAsia="zh-CN"/>
        </w:rPr>
        <w:t>申请人</w:t>
      </w:r>
      <w:r>
        <w:rPr>
          <w:rFonts w:hint="eastAsia" w:cs="宋体"/>
          <w:color w:val="auto"/>
          <w:highlight w:val="none"/>
        </w:rPr>
        <w:t xml:space="preserve">须知前附表。 </w:t>
      </w:r>
    </w:p>
    <w:p w14:paraId="5F9E9E71">
      <w:pPr>
        <w:pStyle w:val="114"/>
        <w:spacing w:line="500" w:lineRule="exact"/>
        <w:rPr>
          <w:rFonts w:hint="eastAsia" w:ascii="宋体" w:hAnsi="宋体" w:eastAsia="宋体" w:cs="宋体"/>
          <w:b/>
          <w:bCs/>
          <w:color w:val="auto"/>
          <w:highlight w:val="none"/>
          <w:lang w:val="en-US" w:eastAsia="zh-CN"/>
        </w:rPr>
      </w:pPr>
      <w:bookmarkStart w:id="66" w:name="_Toc25115_WPSOffice_Level2"/>
      <w:r>
        <w:rPr>
          <w:rFonts w:hint="eastAsia" w:ascii="宋体" w:hAnsi="宋体" w:eastAsia="宋体" w:cs="宋体"/>
          <w:b/>
          <w:bCs/>
          <w:color w:val="auto"/>
          <w:highlight w:val="none"/>
          <w:lang w:val="en-US" w:eastAsia="zh-CN"/>
        </w:rPr>
        <w:t>10.需要补充的其他内容</w:t>
      </w:r>
      <w:bookmarkEnd w:id="66"/>
      <w:r>
        <w:rPr>
          <w:rFonts w:hint="eastAsia" w:ascii="宋体" w:hAnsi="宋体" w:eastAsia="宋体" w:cs="宋体"/>
          <w:b/>
          <w:bCs/>
          <w:color w:val="auto"/>
          <w:highlight w:val="none"/>
          <w:lang w:val="en-US" w:eastAsia="zh-CN"/>
        </w:rPr>
        <w:t xml:space="preserve"> </w:t>
      </w:r>
    </w:p>
    <w:p w14:paraId="52F609E5">
      <w:pPr>
        <w:pStyle w:val="114"/>
        <w:spacing w:line="500" w:lineRule="exact"/>
        <w:rPr>
          <w:rFonts w:hint="eastAsia" w:cs="宋体"/>
          <w:color w:val="auto"/>
          <w:highlight w:val="none"/>
        </w:rPr>
      </w:pPr>
      <w:r>
        <w:rPr>
          <w:rFonts w:hint="eastAsia" w:cs="宋体"/>
          <w:color w:val="auto"/>
          <w:highlight w:val="none"/>
        </w:rPr>
        <w:t>需要补充的其他内容：见</w:t>
      </w:r>
      <w:r>
        <w:rPr>
          <w:rFonts w:hint="eastAsia" w:cs="宋体"/>
          <w:color w:val="auto"/>
          <w:highlight w:val="none"/>
          <w:lang w:val="en-US" w:eastAsia="zh-CN"/>
        </w:rPr>
        <w:t>申请人</w:t>
      </w:r>
      <w:r>
        <w:rPr>
          <w:rFonts w:hint="eastAsia" w:cs="宋体"/>
          <w:color w:val="auto"/>
          <w:highlight w:val="none"/>
        </w:rPr>
        <w:t>须知前附表。</w:t>
      </w:r>
    </w:p>
    <w:p w14:paraId="00DDE667">
      <w:pPr>
        <w:keepNext/>
        <w:keepLines/>
        <w:tabs>
          <w:tab w:val="left" w:pos="3769"/>
        </w:tabs>
        <w:spacing w:before="120" w:after="120" w:line="360" w:lineRule="auto"/>
        <w:ind w:left="425"/>
        <w:jc w:val="center"/>
        <w:outlineLvl w:val="1"/>
        <w:rPr>
          <w:rFonts w:hint="eastAsia" w:ascii="微软雅黑" w:hAnsi="微软雅黑" w:eastAsia="微软雅黑" w:cs="微软雅黑"/>
          <w:b w:val="0"/>
          <w:bCs w:val="0"/>
          <w:color w:val="auto"/>
          <w:kern w:val="2"/>
          <w:sz w:val="32"/>
          <w:szCs w:val="32"/>
          <w:highlight w:val="none"/>
          <w:lang w:val="en-US" w:eastAsia="zh-CN" w:bidi="ar-SA"/>
        </w:rPr>
      </w:pPr>
      <w:bookmarkStart w:id="67" w:name="_Toc13604"/>
      <w:r>
        <w:rPr>
          <w:rFonts w:hint="eastAsia" w:ascii="微软雅黑" w:hAnsi="微软雅黑" w:eastAsia="微软雅黑" w:cs="微软雅黑"/>
          <w:b w:val="0"/>
          <w:bCs w:val="0"/>
          <w:color w:val="auto"/>
          <w:kern w:val="2"/>
          <w:sz w:val="32"/>
          <w:szCs w:val="32"/>
          <w:highlight w:val="none"/>
          <w:lang w:val="en-US" w:eastAsia="zh-CN" w:bidi="ar-SA"/>
        </w:rPr>
        <w:t>附件：中小企业划型标准规定</w:t>
      </w:r>
      <w:bookmarkEnd w:id="50"/>
      <w:bookmarkEnd w:id="51"/>
      <w:bookmarkEnd w:id="67"/>
    </w:p>
    <w:p w14:paraId="05D2F2EA">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一、根据《中华人民共和国中小企业促进法》和《国务院关于进一步促进中小企业发展 的若干意见》(国发〔2009〕36 号)，制定本规定。 </w:t>
      </w:r>
    </w:p>
    <w:p w14:paraId="24FA7156">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二、中小企业划分为中型、小型、微型三种类型，具体标准根据企业从业人员、营业收 入、资产总额等指标，结合行业特点制定。</w:t>
      </w:r>
    </w:p>
    <w:p w14:paraId="71FFC024">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三、本规定适用的行业包括：农、林、牧、渔业，工业（包括采矿业，制造业，电力、 热力、燃气及水生产和供应业），建筑业，批发业，零售业，交通运输业（不含铁路运输业）， 仓储业，邮政业，住宿业，餐饮业，信息传输业（包括电信、互联网和相关服务），软件和 信息技术服务业，房地产开发经营，物业管理，租赁和商务服务业，其他未列明行业（包括 科学研究和技术服务业，水利、环境和公共设施管理业，居民服务、修理和其他服务业，社 会工作，文化、体育和娱乐业等）。 四、各行业划型标准为： </w:t>
      </w:r>
    </w:p>
    <w:p w14:paraId="30805952">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（一）农、林、牧、渔业。营业收入 20000 万元以下的为中小微型企业。其中，营业收 入 500 万元及以上的为中型企业，营业收入 50 万元及以上的为小型企业，营业收入 50 万元 以下的为微型企业。 </w:t>
      </w:r>
    </w:p>
    <w:p w14:paraId="696FF58A">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（二）工业。从业人员 1000 人以下或营业收入 40000 万元以下的为中小微型企业。其中， 从业人员 300 人及以上，且营业收入 2000 万元及以上的为中型企业；从业人员 20 人及以上， 且营业收入 300 万元及以上的为小型企业；从业人员 20 人以下或营业收入 300 万元以下的为 微型企业。 </w:t>
      </w:r>
    </w:p>
    <w:p w14:paraId="4985CB80">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（三）建筑业。营业收入 80000 万元以下或资产总额 80000 万元以下的为中小微型企业。 其中，营业收入 6000 万元及以上，且资产总额 5000 万元及以上的为中型企业；营业收入 300 万元及以上，且资产总额 300 万元及以上的为小型企业；营业收入 300 万元以下或资产总额 300 万元以下的为微型企业。 </w:t>
      </w:r>
    </w:p>
    <w:p w14:paraId="45BCFE1A">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（四）批发业。从业人员 200 人以下或营业收入 40000 万元以下的为中小微型企业。其 中，从业人员 20 人及以上，且营业收入 5000 万元及以上的为中型企业；从业人员 5 人及以上，且营业收入 1000 万元及以上的为小型企业；从业人员 5 人以下或营业收入 1000 万元以 下的为微型企业。</w:t>
      </w:r>
    </w:p>
    <w:p w14:paraId="426DA0B0">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（五）零售业。从业人员 300 人以下或营业收入 20000 万元以下的为中小微型企业。其 中，从业人员 50 人及以上，且营业收入 500 万元及以上的为中型企业；从业人员 10 人及以 上，且营业收入 100 万元及以上的为小型企业；从业人员 10 人以下或营业收入 100 万元以下 的为微型企业。 </w:t>
      </w:r>
    </w:p>
    <w:p w14:paraId="747B44B2">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（六）交通运输业。从业人员 1000 人以下或营业收入 30000 万元以下的为中小微型企业。 其中，从业人员 300 人及以上，且营业收入 3000 万元及以上的为中型企业；从业人员 20 人 及以上，且营业收入 200 万元及以上的为小型企业；从业人员 20 人以下或营业收入 200 万元 以下的为微型企业。 </w:t>
      </w:r>
    </w:p>
    <w:p w14:paraId="20C52B01">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（七）仓储业。从业人员 200 人以下或营业收入 30000 万元以下的为中小微型企业。其 中，从业人员 100 人及以上，且营业收入 1000 万元及以上的为中型企业；从业人员 20 人及 以上，且营业收入 100 万元及以上的为小型企业；从业人员 20 人以下或营业收入 100 万元以 下的为微型企业。</w:t>
      </w:r>
    </w:p>
    <w:p w14:paraId="316C3A25">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（八）邮政业。从业人员 1000 人以下或营业收入 30000 万元以下的为中小微型企业。其 中，从业人员 300 人及以上，且营业收入 2000 万元及以上的为中型企业；从业人员 20 人及 以上，且营业收入 100 万元及以上的为小型企业；从业人员 20 人以下或营业收入 100 万元以 下的为微型企业。</w:t>
      </w:r>
    </w:p>
    <w:p w14:paraId="1E7742A4">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（九）住宿业。从业人员 300 人以下或营业收入 10000 万元以下的为中小微型企业。其 中，从业人员 100 人及以上，且营业收入 2000 万元及以上的为中型企业；从业人员 10 人及 以上，且营业收入 100 万元及以上的为小型企业；从业人员 10 人以下或营业收入 100 万元以 下的为微型企业。</w:t>
      </w:r>
    </w:p>
    <w:p w14:paraId="7D05F30C">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（十）餐饮业。从业人员 300 人以下或营业收入 10000 万元以下的为中小微型企业。其 中，从业人员 100 人及以上，且营业收入 2000 万元及以上的为中型企业；从业人员 10 人及 以上，且营业收入 100 万元及以上的为小型企业；从业人员 10 人以下或营业收入 100 万元以 下的为微型企业。</w:t>
      </w:r>
    </w:p>
    <w:p w14:paraId="33F2D19B">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（十一）信息传输业。从业人员 2000 人以下或营业收入 100000 万元以下的为中小微型企业。其中，从业人员 100 人及以上，且营业收入 1000 万元及以上的为中型企业；从业人员 10 人及以上，且营业收入 100 万元及以上的为小型企业；从业人员 10 人以下或营业收入 100 万元以下的为微型企业。 </w:t>
      </w:r>
    </w:p>
    <w:p w14:paraId="5C50FCC1">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（十二）软件和信息技术服务业。从业人员 300 人以下或营业收入 10000 万元以下的为 中小微型企业。其中，从业人员 100 人及以上，且营业收入 1000 万元及以上的为中型企业； 从业人员 10 人及以上，且营业收入 50 万元及以上的为小型企业；从业人员 10 人以下或营业 收入 50 万元以下的为微型企业。 </w:t>
      </w:r>
    </w:p>
    <w:p w14:paraId="0C3E5D4B">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（十三）房地产开发经营。营业收入 200000 万元以下或资产总额 10000 万元以下的为中 小微型企业。其中，营业收入 1000 万元及以上，且资产总额 5000 万元及以上的为中型企业； 营业收入 100 万元及以上，且资产总额 2000 万元及以上的为小型企业；营业收入 100 万元以 下或资产总额 2000 万元以下的为微型企业。 </w:t>
      </w:r>
    </w:p>
    <w:p w14:paraId="04AD4F94">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（十四）物业管理。从业人员 1000 人以下或营业收入 5000 万元以下的为中小微型企业。 其中，从业人员 300 人及以上，且营业收入 1000 万元及以上的为中型企业；从业人员 100 人 及以上，且营业收入 500 万元及以上的为小型企业；从业人员 100 人以下或营业收入 500 万 元以下的为微型企业。</w:t>
      </w:r>
    </w:p>
    <w:p w14:paraId="3F9F9358">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（十五）租赁和商务服务业。从业人员 300 人以下或资产总额 120000 万元以下的为中小 微型企业。其中，从业人员 100 人及以上，且资产总额 8000 万元及以上的为中型企业；从业 人员 10 人及以上，且资产总额 100 万元及以上的为小型企业；从业人员 10 人以下或资产总 额 100 万元以下的为微型企业。 </w:t>
      </w:r>
    </w:p>
    <w:p w14:paraId="77C75112">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（十六）其他未列明行业。从业人员 300 人以下的为中小微型企业。其中，从业人员 100 人及以上的为中型企业；从业人员 10 人及以上的为小型企业；从业人员 10 人以下的为微型 企业。</w:t>
      </w:r>
    </w:p>
    <w:p w14:paraId="02A98A40">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五、企业类型的划分以统计部门的统计数据为依据。</w:t>
      </w:r>
    </w:p>
    <w:p w14:paraId="20E5A82B">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六、本规定适用于在中华人民共和国境内依法设立的各类所有制和各种组织形式的企业。 个体工商户和本规定以外的行业，参照本规定进行划型。</w:t>
      </w:r>
    </w:p>
    <w:p w14:paraId="430D9021">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七、本规定的中型企业标准上限即为大型企业标准的下限，国家统计部门据此制定大中 小微型企业的统计分类。国务院有关部门据此进行相关数据分析，不得制定与本规定不一致 的企业划型标准。</w:t>
      </w:r>
    </w:p>
    <w:p w14:paraId="58384470">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八、本规定由工业和信息化部、国家统计局会同有关部门根据《国民经济行业分类》修 订情况和企业发展变化情况适时修订。</w:t>
      </w:r>
    </w:p>
    <w:p w14:paraId="02CC8D18">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九、本规定由工业和信息化部、国家统计局会同有关部门负责解释。</w:t>
      </w:r>
    </w:p>
    <w:p w14:paraId="0B891F7D">
      <w:pPr>
        <w:pStyle w:val="16"/>
        <w:numPr>
          <w:ilvl w:val="0"/>
          <w:numId w:val="0"/>
        </w:numPr>
        <w:ind w:firstLine="480" w:firstLineChars="200"/>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 xml:space="preserve"> 十、本规定自发布之日起执行，原国家经贸委、原国家计委、财政部和国家统计局 2003 年颁布的《中小企业标准暂行规定》同时废止。</w:t>
      </w:r>
      <w:bookmarkEnd w:id="52"/>
      <w:bookmarkEnd w:id="53"/>
      <w:bookmarkEnd w:id="54"/>
      <w:bookmarkStart w:id="68" w:name="_Toc17151"/>
      <w:bookmarkStart w:id="69" w:name="_Toc11995"/>
      <w:bookmarkStart w:id="70" w:name="_Toc27420"/>
      <w:bookmarkStart w:id="71" w:name="_Toc519693326"/>
      <w:bookmarkStart w:id="72" w:name="_Toc31923"/>
      <w:bookmarkStart w:id="73" w:name="_Toc26230"/>
      <w:bookmarkStart w:id="74" w:name="_Toc17009858"/>
      <w:bookmarkStart w:id="75" w:name="_Toc25400"/>
      <w:bookmarkStart w:id="76" w:name="_Toc15539"/>
      <w:bookmarkStart w:id="77" w:name="_Toc23428"/>
      <w:bookmarkStart w:id="78" w:name="_Toc29574"/>
      <w:bookmarkStart w:id="79" w:name="_Toc21860"/>
      <w:bookmarkStart w:id="80" w:name="_Toc469476332"/>
      <w:bookmarkStart w:id="81" w:name="_Toc27367"/>
      <w:bookmarkStart w:id="82" w:name="_Toc7947"/>
      <w:bookmarkStart w:id="83" w:name="_Toc30581"/>
      <w:bookmarkStart w:id="84" w:name="_Toc32071"/>
      <w:bookmarkStart w:id="85" w:name="_Toc179632618"/>
      <w:bookmarkStart w:id="86" w:name="_Toc246996986"/>
      <w:bookmarkStart w:id="87" w:name="_Toc462164502"/>
      <w:bookmarkStart w:id="88" w:name="_Toc247085758"/>
      <w:bookmarkStart w:id="89" w:name="_Toc152042377"/>
      <w:bookmarkStart w:id="90" w:name="_Toc246996243"/>
      <w:bookmarkStart w:id="91" w:name="_Toc15169"/>
      <w:bookmarkStart w:id="92" w:name="_Toc144974567"/>
      <w:bookmarkStart w:id="93" w:name="_Toc349724791"/>
      <w:bookmarkStart w:id="94" w:name="_Toc152045600"/>
      <w:bookmarkStart w:id="95" w:name="_Toc27301"/>
    </w:p>
    <w:p w14:paraId="78DA7E2A">
      <w:pPr>
        <w:rPr>
          <w:rFonts w:hint="eastAsia"/>
          <w:lang w:val="en-US" w:eastAsia="zh-CN"/>
        </w:rPr>
      </w:pPr>
    </w:p>
    <w:p w14:paraId="508BD7B1">
      <w:pPr>
        <w:rPr>
          <w:rFonts w:hint="eastAsia"/>
          <w:lang w:val="en-US" w:eastAsia="zh-CN"/>
        </w:rPr>
      </w:pPr>
    </w:p>
    <w:p w14:paraId="18F2A143">
      <w:pPr>
        <w:rPr>
          <w:rFonts w:hint="eastAsia"/>
          <w:lang w:val="en-US" w:eastAsia="zh-CN"/>
        </w:rPr>
      </w:pPr>
    </w:p>
    <w:p w14:paraId="010AD328">
      <w:pPr>
        <w:rPr>
          <w:rFonts w:hint="eastAsia"/>
          <w:lang w:val="en-US" w:eastAsia="zh-CN"/>
        </w:rPr>
      </w:pPr>
    </w:p>
    <w:p w14:paraId="397A9278">
      <w:pPr>
        <w:pStyle w:val="2"/>
        <w:pageBreakBefore w:val="0"/>
        <w:widowControl w:val="0"/>
        <w:numPr>
          <w:ilvl w:val="0"/>
          <w:numId w:val="0"/>
        </w:numPr>
        <w:kinsoku/>
        <w:wordWrap/>
        <w:overflowPunct/>
        <w:topLinePunct w:val="0"/>
        <w:autoSpaceDE/>
        <w:autoSpaceDN/>
        <w:bidi w:val="0"/>
        <w:spacing w:before="0" w:after="0" w:line="360" w:lineRule="auto"/>
        <w:jc w:val="center"/>
        <w:textAlignment w:val="auto"/>
        <w:rPr>
          <w:rFonts w:hint="eastAsia" w:ascii="宋体" w:hAnsi="宋体" w:eastAsia="宋体" w:cs="宋体"/>
          <w:b/>
          <w:bCs/>
          <w:color w:val="auto"/>
          <w:sz w:val="32"/>
          <w:szCs w:val="32"/>
          <w:highlight w:val="none"/>
        </w:rPr>
      </w:pPr>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第三章  评标办法（综合评分法）</w:t>
      </w:r>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p>
    <w:p w14:paraId="3ABD94F5">
      <w:pPr>
        <w:spacing w:line="360" w:lineRule="auto"/>
        <w:jc w:val="cente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一、评标方法</w:t>
      </w:r>
    </w:p>
    <w:p w14:paraId="3007CB14">
      <w:pPr>
        <w:spacing w:line="360" w:lineRule="auto"/>
        <w:ind w:left="0" w:leftChars="0" w:firstLine="480" w:firstLineChars="200"/>
        <w:rPr>
          <w:rFonts w:hint="eastAsia" w:ascii="宋体" w:hAnsi="宋体" w:eastAsia="宋体" w:cs="宋体"/>
          <w:color w:val="auto"/>
          <w:sz w:val="24"/>
          <w:szCs w:val="24"/>
          <w:highlight w:val="none"/>
        </w:rPr>
      </w:pPr>
      <w:bookmarkStart w:id="96" w:name="_Toc305158883"/>
      <w:bookmarkStart w:id="97" w:name="_Toc264969231"/>
      <w:bookmarkStart w:id="98" w:name="_Toc305158809"/>
      <w:bookmarkStart w:id="99" w:name="_Toc164229236"/>
      <w:bookmarkStart w:id="100" w:name="_Toc127151742"/>
      <w:bookmarkStart w:id="101" w:name="_Toc150480779"/>
      <w:bookmarkStart w:id="102" w:name="_Toc127161455"/>
      <w:bookmarkStart w:id="103" w:name="_Toc151190168"/>
      <w:bookmarkStart w:id="104" w:name="_Toc164351635"/>
      <w:bookmarkStart w:id="105" w:name="_Toc142311043"/>
      <w:bookmarkStart w:id="106" w:name="_Toc164229382"/>
      <w:bookmarkStart w:id="107" w:name="_Toc127151541"/>
      <w:bookmarkStart w:id="108" w:name="_Toc150774746"/>
      <w:bookmarkStart w:id="109" w:name="_Toc151193711"/>
      <w:bookmarkStart w:id="110" w:name="_Toc164608810"/>
      <w:bookmarkStart w:id="111" w:name="_Toc226309785"/>
      <w:bookmarkStart w:id="112" w:name="_Toc149720834"/>
      <w:bookmarkStart w:id="113" w:name="_Toc265228379"/>
      <w:bookmarkStart w:id="114" w:name="_Toc226337237"/>
      <w:bookmarkStart w:id="115" w:name="_Toc226965731"/>
      <w:bookmarkStart w:id="116" w:name="_Toc195842906"/>
      <w:bookmarkStart w:id="117" w:name="_Toc151193929"/>
      <w:bookmarkStart w:id="118" w:name="_Toc150509292"/>
      <w:bookmarkStart w:id="119" w:name="_Toc151193783"/>
      <w:bookmarkStart w:id="120" w:name="_Toc226965814"/>
      <w:bookmarkStart w:id="121" w:name="_Toc150774641"/>
      <w:bookmarkStart w:id="122" w:name="_Toc151193639"/>
      <w:bookmarkStart w:id="123" w:name="_Toc151193855"/>
      <w:bookmarkStart w:id="124" w:name="_Toc164608655"/>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投标文件的符合性审查</w:t>
      </w:r>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p>
    <w:p w14:paraId="37735654">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1.1</w:t>
      </w:r>
      <w:r>
        <w:rPr>
          <w:rFonts w:hint="eastAsia" w:ascii="宋体" w:hAnsi="宋体" w:eastAsia="宋体" w:cs="宋体"/>
          <w:color w:val="auto"/>
          <w:sz w:val="24"/>
          <w:szCs w:val="24"/>
          <w:highlight w:val="none"/>
        </w:rPr>
        <w:t>评标委员会对资格审查合格的投标人的投标文件进行符合性审查，以确定其是否满足招标文件的实质性要求。</w:t>
      </w:r>
      <w:bookmarkStart w:id="125" w:name="_Toc520356167"/>
    </w:p>
    <w:p w14:paraId="6D643D4C">
      <w:pPr>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1.2</w:t>
      </w:r>
      <w:r>
        <w:rPr>
          <w:rFonts w:hint="eastAsia" w:ascii="宋体" w:hAnsi="宋体" w:eastAsia="宋体" w:cs="宋体"/>
          <w:color w:val="auto"/>
          <w:sz w:val="24"/>
          <w:szCs w:val="24"/>
          <w:highlight w:val="none"/>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125"/>
      <w:r>
        <w:rPr>
          <w:rFonts w:hint="eastAsia" w:ascii="宋体" w:hAnsi="宋体" w:eastAsia="宋体" w:cs="宋体"/>
          <w:color w:val="auto"/>
          <w:sz w:val="24"/>
          <w:szCs w:val="24"/>
          <w:highlight w:val="none"/>
        </w:rPr>
        <w:t>要求的，</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271AAD61">
      <w:pPr>
        <w:spacing w:line="360" w:lineRule="auto"/>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8"/>
          <w:szCs w:val="28"/>
          <w:highlight w:val="none"/>
        </w:rPr>
        <w:t>符合性审查要求</w:t>
      </w:r>
    </w:p>
    <w:p w14:paraId="2928E62F">
      <w:pPr>
        <w:numPr>
          <w:ilvl w:val="0"/>
          <w:numId w:val="1"/>
        </w:numPr>
        <w:rPr>
          <w:rFonts w:hint="eastAsia" w:ascii="宋体" w:hAnsi="宋体" w:eastAsia="宋体" w:cs="宋体"/>
          <w:b/>
          <w:bCs/>
          <w:color w:val="auto"/>
          <w:sz w:val="28"/>
          <w:szCs w:val="28"/>
          <w:highlight w:val="none"/>
          <w:lang w:val="en-US" w:eastAsia="zh-CN"/>
        </w:rPr>
      </w:pPr>
      <w:r>
        <w:rPr>
          <w:rFonts w:hint="eastAsia" w:ascii="宋体" w:hAnsi="宋体" w:eastAsia="宋体" w:cs="宋体"/>
          <w:b/>
          <w:bCs/>
          <w:color w:val="auto"/>
          <w:sz w:val="28"/>
          <w:szCs w:val="28"/>
          <w:highlight w:val="none"/>
          <w:lang w:val="en-US" w:eastAsia="zh-CN"/>
        </w:rPr>
        <w:t>初步评审部分</w:t>
      </w:r>
    </w:p>
    <w:tbl>
      <w:tblPr>
        <w:tblStyle w:val="45"/>
        <w:tblW w:w="928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13"/>
        <w:gridCol w:w="1515"/>
        <w:gridCol w:w="1515"/>
        <w:gridCol w:w="5638"/>
      </w:tblGrid>
      <w:tr w14:paraId="3AF3CE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613" w:type="dxa"/>
            <w:noWrap w:val="0"/>
            <w:vAlign w:val="center"/>
          </w:tcPr>
          <w:p w14:paraId="24CE83F3">
            <w:pPr>
              <w:widowControl/>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序号</w:t>
            </w:r>
          </w:p>
        </w:tc>
        <w:tc>
          <w:tcPr>
            <w:tcW w:w="3030" w:type="dxa"/>
            <w:gridSpan w:val="2"/>
            <w:noWrap w:val="0"/>
            <w:vAlign w:val="center"/>
          </w:tcPr>
          <w:p w14:paraId="25C7893B">
            <w:pPr>
              <w:widowControl/>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审查因素</w:t>
            </w:r>
          </w:p>
        </w:tc>
        <w:tc>
          <w:tcPr>
            <w:tcW w:w="5638" w:type="dxa"/>
            <w:noWrap w:val="0"/>
            <w:vAlign w:val="center"/>
          </w:tcPr>
          <w:p w14:paraId="23E8ECF7">
            <w:pPr>
              <w:widowControl/>
              <w:jc w:val="center"/>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审查内容</w:t>
            </w:r>
          </w:p>
        </w:tc>
      </w:tr>
      <w:tr w14:paraId="20294C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restart"/>
            <w:noWrap w:val="0"/>
            <w:vAlign w:val="center"/>
          </w:tcPr>
          <w:p w14:paraId="7F39A73D">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w:t>
            </w:r>
          </w:p>
          <w:p w14:paraId="5E26BA57">
            <w:pPr>
              <w:widowControl/>
              <w:jc w:val="center"/>
              <w:rPr>
                <w:rFonts w:hint="eastAsia" w:ascii="宋体" w:hAnsi="宋体" w:eastAsia="宋体" w:cs="宋体"/>
                <w:color w:val="auto"/>
                <w:kern w:val="0"/>
                <w:sz w:val="24"/>
                <w:szCs w:val="24"/>
                <w:highlight w:val="none"/>
              </w:rPr>
            </w:pPr>
          </w:p>
        </w:tc>
        <w:tc>
          <w:tcPr>
            <w:tcW w:w="1515" w:type="dxa"/>
            <w:vMerge w:val="restart"/>
            <w:noWrap w:val="0"/>
            <w:vAlign w:val="center"/>
          </w:tcPr>
          <w:p w14:paraId="555879A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报价审查</w:t>
            </w:r>
          </w:p>
        </w:tc>
        <w:tc>
          <w:tcPr>
            <w:tcW w:w="1515" w:type="dxa"/>
            <w:noWrap w:val="0"/>
            <w:vAlign w:val="center"/>
          </w:tcPr>
          <w:p w14:paraId="093E74F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w:t>
            </w:r>
          </w:p>
        </w:tc>
        <w:tc>
          <w:tcPr>
            <w:tcW w:w="5638" w:type="dxa"/>
            <w:noWrap w:val="0"/>
            <w:vAlign w:val="center"/>
          </w:tcPr>
          <w:p w14:paraId="5861223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投标报价未</w:t>
            </w:r>
            <w:r>
              <w:rPr>
                <w:rFonts w:hint="eastAsia" w:ascii="宋体" w:hAnsi="宋体" w:eastAsia="宋体" w:cs="宋体"/>
                <w:color w:val="auto"/>
                <w:sz w:val="24"/>
                <w:szCs w:val="24"/>
                <w:highlight w:val="none"/>
              </w:rPr>
              <w:t>超过招标文件中规定的项目/采购包预算金额或者项目/采购包最高限价</w:t>
            </w:r>
            <w:r>
              <w:rPr>
                <w:rFonts w:hint="eastAsia" w:ascii="宋体" w:hAnsi="宋体" w:eastAsia="宋体" w:cs="宋体"/>
                <w:color w:val="auto"/>
                <w:kern w:val="0"/>
                <w:sz w:val="24"/>
                <w:szCs w:val="24"/>
                <w:highlight w:val="none"/>
              </w:rPr>
              <w:t>；</w:t>
            </w:r>
          </w:p>
        </w:tc>
      </w:tr>
      <w:tr w14:paraId="189A81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16B162D3">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0A949104">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1F8EE89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报价唯一性</w:t>
            </w:r>
          </w:p>
        </w:tc>
        <w:tc>
          <w:tcPr>
            <w:tcW w:w="5638" w:type="dxa"/>
            <w:noWrap w:val="0"/>
            <w:vAlign w:val="center"/>
          </w:tcPr>
          <w:p w14:paraId="25795F0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投标文件未</w:t>
            </w:r>
            <w:r>
              <w:rPr>
                <w:rFonts w:hint="eastAsia" w:ascii="宋体" w:hAnsi="宋体" w:eastAsia="宋体" w:cs="宋体"/>
                <w:color w:val="auto"/>
                <w:sz w:val="24"/>
                <w:szCs w:val="24"/>
                <w:highlight w:val="none"/>
              </w:rPr>
              <w:t>出现可选择性或可调整的报价（招标文件另有规定的除外）</w:t>
            </w:r>
            <w:r>
              <w:rPr>
                <w:rFonts w:hint="eastAsia" w:ascii="宋体" w:hAnsi="宋体" w:eastAsia="宋体" w:cs="宋体"/>
                <w:color w:val="auto"/>
                <w:kern w:val="0"/>
                <w:sz w:val="24"/>
                <w:szCs w:val="24"/>
                <w:highlight w:val="none"/>
              </w:rPr>
              <w:t>；</w:t>
            </w:r>
          </w:p>
        </w:tc>
      </w:tr>
      <w:tr w14:paraId="340F96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69B5A0FF">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608FF098">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300613C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报价合理性</w:t>
            </w:r>
          </w:p>
        </w:tc>
        <w:tc>
          <w:tcPr>
            <w:tcW w:w="5638" w:type="dxa"/>
            <w:noWrap w:val="0"/>
            <w:vAlign w:val="center"/>
          </w:tcPr>
          <w:p w14:paraId="7AC3099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报价合理，或</w:t>
            </w:r>
            <w:r>
              <w:rPr>
                <w:rFonts w:hint="eastAsia" w:ascii="宋体" w:hAnsi="宋体" w:eastAsia="宋体" w:cs="宋体"/>
                <w:color w:val="auto"/>
                <w:sz w:val="24"/>
                <w:szCs w:val="24"/>
                <w:highlight w:val="none"/>
              </w:rPr>
              <w:t>投标人的报价明显低于其他通过符合性审查投标人的报价，有可能影响产品质量或者不能诚信履约的，能够应评标委员会要求在规定时间内证明其报价合理性</w:t>
            </w:r>
            <w:r>
              <w:rPr>
                <w:rFonts w:hint="eastAsia" w:ascii="宋体" w:hAnsi="宋体" w:eastAsia="宋体" w:cs="宋体"/>
                <w:color w:val="auto"/>
                <w:kern w:val="0"/>
                <w:sz w:val="24"/>
                <w:szCs w:val="24"/>
                <w:highlight w:val="none"/>
              </w:rPr>
              <w:t>；</w:t>
            </w:r>
          </w:p>
        </w:tc>
      </w:tr>
      <w:tr w14:paraId="343CE6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613" w:type="dxa"/>
            <w:vMerge w:val="continue"/>
            <w:noWrap w:val="0"/>
            <w:vAlign w:val="center"/>
          </w:tcPr>
          <w:p w14:paraId="2C0FBE85">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7A027E26">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5275E76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报价的修正（如有）</w:t>
            </w:r>
          </w:p>
        </w:tc>
        <w:tc>
          <w:tcPr>
            <w:tcW w:w="5638" w:type="dxa"/>
            <w:noWrap w:val="0"/>
            <w:vAlign w:val="center"/>
          </w:tcPr>
          <w:p w14:paraId="3151E03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投标文件报价出现前后不一致时，投标人对修正后的报价予以确认；（如有）</w:t>
            </w:r>
          </w:p>
        </w:tc>
      </w:tr>
      <w:tr w14:paraId="45A249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5" w:hRule="atLeast"/>
          <w:jc w:val="center"/>
        </w:trPr>
        <w:tc>
          <w:tcPr>
            <w:tcW w:w="613" w:type="dxa"/>
            <w:vMerge w:val="restart"/>
            <w:noWrap w:val="0"/>
            <w:vAlign w:val="center"/>
          </w:tcPr>
          <w:p w14:paraId="7002F105">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w:t>
            </w:r>
          </w:p>
        </w:tc>
        <w:tc>
          <w:tcPr>
            <w:tcW w:w="1515" w:type="dxa"/>
            <w:vMerge w:val="restart"/>
            <w:noWrap w:val="0"/>
            <w:vAlign w:val="center"/>
          </w:tcPr>
          <w:p w14:paraId="7E6CB3E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技术审查</w:t>
            </w:r>
          </w:p>
          <w:p w14:paraId="7B09C7E8">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57C578A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采购需求响应</w:t>
            </w:r>
          </w:p>
        </w:tc>
        <w:tc>
          <w:tcPr>
            <w:tcW w:w="5638" w:type="dxa"/>
            <w:noWrap w:val="0"/>
            <w:vAlign w:val="center"/>
          </w:tcPr>
          <w:p w14:paraId="47E72EAC">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投标文件实质性满足招标文件</w:t>
            </w:r>
            <w:r>
              <w:rPr>
                <w:rFonts w:hint="eastAsia" w:ascii="宋体" w:hAnsi="宋体" w:eastAsia="宋体" w:cs="宋体"/>
                <w:color w:val="auto"/>
                <w:sz w:val="24"/>
                <w:szCs w:val="24"/>
                <w:highlight w:val="none"/>
              </w:rPr>
              <w:t>第五章《采购需求》</w:t>
            </w:r>
            <w:r>
              <w:rPr>
                <w:rFonts w:hint="eastAsia" w:ascii="宋体" w:hAnsi="宋体" w:eastAsia="宋体" w:cs="宋体"/>
                <w:color w:val="auto"/>
                <w:kern w:val="0"/>
                <w:sz w:val="24"/>
                <w:szCs w:val="24"/>
                <w:highlight w:val="none"/>
              </w:rPr>
              <w:t>中所有条款要求；</w:t>
            </w:r>
          </w:p>
        </w:tc>
      </w:tr>
      <w:tr w14:paraId="18F19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0" w:hRule="atLeast"/>
          <w:jc w:val="center"/>
        </w:trPr>
        <w:tc>
          <w:tcPr>
            <w:tcW w:w="613" w:type="dxa"/>
            <w:vMerge w:val="continue"/>
            <w:noWrap w:val="0"/>
            <w:vAlign w:val="center"/>
          </w:tcPr>
          <w:p w14:paraId="7A550051">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701BFE29">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4CEFE061">
            <w:pPr>
              <w:tabs>
                <w:tab w:val="left" w:pos="1080"/>
              </w:tabs>
              <w:snapToGrid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投标完整性</w:t>
            </w:r>
          </w:p>
        </w:tc>
        <w:tc>
          <w:tcPr>
            <w:tcW w:w="5638" w:type="dxa"/>
            <w:noWrap w:val="0"/>
            <w:vAlign w:val="center"/>
          </w:tcPr>
          <w:p w14:paraId="1437194E">
            <w:pPr>
              <w:tabs>
                <w:tab w:val="left" w:pos="1080"/>
              </w:tabs>
              <w:snapToGrid w:val="0"/>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分项报价响应完整，未将一个采购包中的内容拆分投标</w:t>
            </w:r>
          </w:p>
        </w:tc>
      </w:tr>
      <w:tr w14:paraId="143105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5" w:hRule="atLeast"/>
          <w:jc w:val="center"/>
        </w:trPr>
        <w:tc>
          <w:tcPr>
            <w:tcW w:w="613" w:type="dxa"/>
            <w:vMerge w:val="continue"/>
            <w:noWrap w:val="0"/>
            <w:vAlign w:val="center"/>
          </w:tcPr>
          <w:p w14:paraId="3D0B1E6D">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5DB5E4BB">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3EDAA70A">
            <w:pPr>
              <w:tabs>
                <w:tab w:val="left" w:pos="1080"/>
              </w:tabs>
              <w:snapToGrid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串通投标</w:t>
            </w:r>
          </w:p>
        </w:tc>
        <w:tc>
          <w:tcPr>
            <w:tcW w:w="5638" w:type="dxa"/>
            <w:noWrap w:val="0"/>
            <w:vAlign w:val="center"/>
          </w:tcPr>
          <w:p w14:paraId="1A0E6A35">
            <w:pPr>
              <w:tabs>
                <w:tab w:val="left" w:pos="1080"/>
              </w:tabs>
              <w:snapToGrid w:val="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14:paraId="0AA37B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6" w:hRule="atLeast"/>
          <w:jc w:val="center"/>
        </w:trPr>
        <w:tc>
          <w:tcPr>
            <w:tcW w:w="613" w:type="dxa"/>
            <w:vMerge w:val="continue"/>
            <w:noWrap w:val="0"/>
            <w:vAlign w:val="center"/>
          </w:tcPr>
          <w:p w14:paraId="1B3BC124">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21E94EF1">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13AE3E4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附加条件</w:t>
            </w:r>
          </w:p>
        </w:tc>
        <w:tc>
          <w:tcPr>
            <w:tcW w:w="5638" w:type="dxa"/>
            <w:noWrap w:val="0"/>
            <w:vAlign w:val="center"/>
          </w:tcPr>
          <w:p w14:paraId="53549798">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投标文件未含有采购人不能接受的附加条件；</w:t>
            </w:r>
          </w:p>
        </w:tc>
      </w:tr>
      <w:tr w14:paraId="35BEB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restart"/>
            <w:noWrap w:val="0"/>
            <w:vAlign w:val="center"/>
          </w:tcPr>
          <w:p w14:paraId="3D7A0D80">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w:t>
            </w:r>
          </w:p>
        </w:tc>
        <w:tc>
          <w:tcPr>
            <w:tcW w:w="1515" w:type="dxa"/>
            <w:vMerge w:val="restart"/>
            <w:noWrap w:val="0"/>
            <w:vAlign w:val="center"/>
          </w:tcPr>
          <w:p w14:paraId="1DBEF05C">
            <w:pPr>
              <w:widowControl/>
              <w:jc w:val="center"/>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商务审查</w:t>
            </w:r>
          </w:p>
        </w:tc>
        <w:tc>
          <w:tcPr>
            <w:tcW w:w="1515" w:type="dxa"/>
            <w:noWrap w:val="0"/>
            <w:vAlign w:val="center"/>
          </w:tcPr>
          <w:p w14:paraId="018BAD35">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投标有效期</w:t>
            </w:r>
          </w:p>
        </w:tc>
        <w:tc>
          <w:tcPr>
            <w:tcW w:w="5638" w:type="dxa"/>
            <w:noWrap w:val="0"/>
            <w:vAlign w:val="center"/>
          </w:tcPr>
          <w:p w14:paraId="05ABB189">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投标文件中承诺的投标有效期满足招标文件中载明的投标有效期；</w:t>
            </w:r>
          </w:p>
        </w:tc>
      </w:tr>
      <w:tr w14:paraId="24A074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2E706BA6">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4109F971">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1C1C847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法定代表人资格证明书</w:t>
            </w:r>
          </w:p>
        </w:tc>
        <w:tc>
          <w:tcPr>
            <w:tcW w:w="5638" w:type="dxa"/>
            <w:noWrap w:val="0"/>
            <w:vAlign w:val="center"/>
          </w:tcPr>
          <w:p w14:paraId="605E069D">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按招标文件要求提供法定代表人资格证明书；</w:t>
            </w:r>
          </w:p>
        </w:tc>
      </w:tr>
      <w:tr w14:paraId="34A4A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613" w:type="dxa"/>
            <w:vMerge w:val="continue"/>
            <w:noWrap w:val="0"/>
            <w:vAlign w:val="center"/>
          </w:tcPr>
          <w:p w14:paraId="2DFF9E50">
            <w:pPr>
              <w:widowControl/>
              <w:rPr>
                <w:rFonts w:hint="eastAsia" w:ascii="宋体" w:hAnsi="宋体" w:eastAsia="宋体" w:cs="宋体"/>
                <w:color w:val="auto"/>
                <w:kern w:val="0"/>
                <w:sz w:val="24"/>
                <w:szCs w:val="24"/>
                <w:highlight w:val="none"/>
              </w:rPr>
            </w:pPr>
          </w:p>
        </w:tc>
        <w:tc>
          <w:tcPr>
            <w:tcW w:w="1515" w:type="dxa"/>
            <w:vMerge w:val="continue"/>
            <w:noWrap w:val="0"/>
            <w:vAlign w:val="center"/>
          </w:tcPr>
          <w:p w14:paraId="2AF5E4F5">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6670295E">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法定代表人授权委托书</w:t>
            </w:r>
          </w:p>
        </w:tc>
        <w:tc>
          <w:tcPr>
            <w:tcW w:w="5638" w:type="dxa"/>
            <w:noWrap w:val="0"/>
            <w:vAlign w:val="center"/>
          </w:tcPr>
          <w:p w14:paraId="6B2FDDC4">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按招标文件要求提供授权委托书（法定代表人签署投标文件的不审查此项）；</w:t>
            </w:r>
          </w:p>
        </w:tc>
      </w:tr>
      <w:tr w14:paraId="390135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9" w:hRule="atLeast"/>
          <w:jc w:val="center"/>
        </w:trPr>
        <w:tc>
          <w:tcPr>
            <w:tcW w:w="613" w:type="dxa"/>
            <w:vMerge w:val="continue"/>
            <w:noWrap w:val="0"/>
            <w:vAlign w:val="center"/>
          </w:tcPr>
          <w:p w14:paraId="68F18C4B">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677556A9">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6FC8F30B">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公平竞争</w:t>
            </w:r>
          </w:p>
        </w:tc>
        <w:tc>
          <w:tcPr>
            <w:tcW w:w="5638" w:type="dxa"/>
            <w:noWrap w:val="0"/>
            <w:vAlign w:val="center"/>
          </w:tcPr>
          <w:p w14:paraId="5BCDBA97">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sz w:val="24"/>
                <w:szCs w:val="24"/>
                <w:highlight w:val="none"/>
              </w:rPr>
              <w:t>投标人遵循公平竞争的原则，不存在恶意串通，妨碍其他投标人的竞争行为，不存在损害采购人或者其他投标人的合法权益情形；</w:t>
            </w:r>
          </w:p>
        </w:tc>
      </w:tr>
      <w:tr w14:paraId="05A047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6" w:hRule="atLeast"/>
          <w:jc w:val="center"/>
        </w:trPr>
        <w:tc>
          <w:tcPr>
            <w:tcW w:w="613" w:type="dxa"/>
            <w:vMerge w:val="continue"/>
            <w:noWrap w:val="0"/>
            <w:vAlign w:val="center"/>
          </w:tcPr>
          <w:p w14:paraId="0F1DC897">
            <w:pPr>
              <w:widowControl/>
              <w:jc w:val="center"/>
              <w:rPr>
                <w:rFonts w:hint="eastAsia" w:ascii="宋体" w:hAnsi="宋体" w:eastAsia="宋体" w:cs="宋体"/>
                <w:color w:val="auto"/>
                <w:kern w:val="0"/>
                <w:sz w:val="24"/>
                <w:szCs w:val="24"/>
                <w:highlight w:val="none"/>
              </w:rPr>
            </w:pPr>
          </w:p>
        </w:tc>
        <w:tc>
          <w:tcPr>
            <w:tcW w:w="1515" w:type="dxa"/>
            <w:vMerge w:val="continue"/>
            <w:noWrap w:val="0"/>
            <w:vAlign w:val="center"/>
          </w:tcPr>
          <w:p w14:paraId="7B43D9DE">
            <w:pPr>
              <w:widowControl/>
              <w:jc w:val="center"/>
              <w:rPr>
                <w:rFonts w:hint="eastAsia" w:ascii="宋体" w:hAnsi="宋体" w:eastAsia="宋体" w:cs="宋体"/>
                <w:color w:val="auto"/>
                <w:kern w:val="0"/>
                <w:sz w:val="24"/>
                <w:szCs w:val="24"/>
                <w:highlight w:val="none"/>
              </w:rPr>
            </w:pPr>
          </w:p>
        </w:tc>
        <w:tc>
          <w:tcPr>
            <w:tcW w:w="1515" w:type="dxa"/>
            <w:noWrap w:val="0"/>
            <w:vAlign w:val="center"/>
          </w:tcPr>
          <w:p w14:paraId="15A8EA0A">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实质性格式</w:t>
            </w:r>
          </w:p>
        </w:tc>
        <w:tc>
          <w:tcPr>
            <w:tcW w:w="5638" w:type="dxa"/>
            <w:noWrap w:val="0"/>
            <w:vAlign w:val="center"/>
          </w:tcPr>
          <w:p w14:paraId="0039B941">
            <w:pPr>
              <w:widowControl/>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标记为“实质性格式”的文件均按招标文件要求提供且签署、盖章；</w:t>
            </w:r>
          </w:p>
        </w:tc>
      </w:tr>
    </w:tbl>
    <w:p w14:paraId="36794DD2">
      <w:pPr>
        <w:pStyle w:val="18"/>
        <w:ind w:left="0" w:leftChars="0" w:firstLine="0" w:firstLineChars="0"/>
        <w:rPr>
          <w:rFonts w:hint="eastAsia" w:ascii="宋体" w:hAnsi="宋体" w:eastAsia="宋体" w:cs="宋体"/>
          <w:b/>
          <w:bCs/>
          <w:color w:val="auto"/>
          <w:sz w:val="28"/>
          <w:szCs w:val="28"/>
          <w:highlight w:val="none"/>
          <w:lang w:val="en-US" w:eastAsia="zh-CN"/>
        </w:rPr>
      </w:pPr>
    </w:p>
    <w:p w14:paraId="2F5CBF27">
      <w:pPr>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投标文件有关事项的澄清或者说明</w:t>
      </w:r>
    </w:p>
    <w:p w14:paraId="45F7B5A2">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若投标人为事业单位或其他组织或分支机构，可为单位负责人）或其授权的代表签字。投标人的澄清、说明或者补正不得超出投标文件的范围或者改变投标文件的实质性内容。澄清文件将作为投标文件内容的一部分</w:t>
      </w:r>
      <w:r>
        <w:rPr>
          <w:rFonts w:hint="eastAsia" w:ascii="宋体" w:hAnsi="宋体" w:eastAsia="宋体" w:cs="宋体"/>
          <w:color w:val="auto"/>
          <w:sz w:val="24"/>
          <w:szCs w:val="24"/>
          <w:highlight w:val="none"/>
        </w:rPr>
        <w:t>。</w:t>
      </w:r>
    </w:p>
    <w:p w14:paraId="61DCC19D">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2.2</w:t>
      </w:r>
      <w:r>
        <w:rPr>
          <w:rFonts w:hint="eastAsia" w:ascii="宋体" w:hAnsi="宋体" w:eastAsia="宋体" w:cs="宋体"/>
          <w:color w:val="auto"/>
          <w:sz w:val="24"/>
          <w:szCs w:val="24"/>
          <w:highlight w:val="none"/>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rFonts w:hint="eastAsia" w:ascii="宋体" w:hAnsi="宋体" w:eastAsia="宋体" w:cs="宋体"/>
          <w:b/>
          <w:bCs/>
          <w:color w:val="auto"/>
          <w:sz w:val="24"/>
          <w:szCs w:val="24"/>
          <w:highlight w:val="none"/>
        </w:rPr>
        <w:t>无效投标处理</w:t>
      </w:r>
      <w:r>
        <w:rPr>
          <w:rFonts w:hint="eastAsia" w:ascii="宋体" w:hAnsi="宋体" w:eastAsia="宋体" w:cs="宋体"/>
          <w:color w:val="auto"/>
          <w:sz w:val="24"/>
          <w:szCs w:val="24"/>
          <w:highlight w:val="none"/>
        </w:rPr>
        <w:t>。</w:t>
      </w:r>
    </w:p>
    <w:p w14:paraId="41B45CB6">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2.3</w:t>
      </w:r>
      <w:r>
        <w:rPr>
          <w:rFonts w:hint="eastAsia" w:ascii="宋体" w:hAnsi="宋体" w:eastAsia="宋体" w:cs="宋体"/>
          <w:color w:val="auto"/>
          <w:sz w:val="24"/>
          <w:szCs w:val="24"/>
          <w:highlight w:val="none"/>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w:t>
      </w:r>
      <w:r>
        <w:rPr>
          <w:rFonts w:hint="eastAsia" w:ascii="宋体" w:hAnsi="宋体" w:eastAsia="宋体" w:cs="宋体"/>
          <w:color w:val="auto"/>
          <w:sz w:val="24"/>
          <w:szCs w:val="24"/>
          <w:highlight w:val="none"/>
          <w:lang w:eastAsia="zh-CN"/>
        </w:rPr>
        <w:t>分</w:t>
      </w:r>
      <w:r>
        <w:rPr>
          <w:rFonts w:hint="eastAsia" w:ascii="宋体" w:hAnsi="宋体" w:eastAsia="宋体" w:cs="宋体"/>
          <w:color w:val="auto"/>
          <w:sz w:val="24"/>
          <w:szCs w:val="24"/>
          <w:highlight w:val="none"/>
        </w:rPr>
        <w:t>投标，其</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0AAA48E0">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w:t>
      </w:r>
      <w:r>
        <w:rPr>
          <w:rFonts w:hint="eastAsia" w:ascii="宋体" w:hAnsi="宋体" w:eastAsia="宋体" w:cs="宋体"/>
          <w:color w:val="auto"/>
          <w:sz w:val="24"/>
          <w:szCs w:val="24"/>
          <w:highlight w:val="none"/>
        </w:rPr>
        <w:t>投标文件报价出现前后不一致的，按照下列规定修正：</w:t>
      </w:r>
    </w:p>
    <w:p w14:paraId="45B212A2">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2.4.1</w:t>
      </w:r>
      <w:r>
        <w:rPr>
          <w:rFonts w:hint="eastAsia" w:ascii="宋体" w:hAnsi="宋体" w:eastAsia="宋体" w:cs="宋体"/>
          <w:color w:val="auto"/>
          <w:sz w:val="24"/>
          <w:szCs w:val="24"/>
          <w:highlight w:val="none"/>
        </w:rPr>
        <w:t>招标文件对于报价修正是否另有规定：</w:t>
      </w:r>
    </w:p>
    <w:p w14:paraId="1BD0187B">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有，具体规定为：______________</w:t>
      </w:r>
    </w:p>
    <w:p w14:paraId="2B296725">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无，按下述2.4.2-2.4.</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项规定修正。</w:t>
      </w:r>
    </w:p>
    <w:p w14:paraId="6097335B">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2.4.2</w:t>
      </w:r>
      <w:r>
        <w:rPr>
          <w:rFonts w:hint="eastAsia" w:ascii="宋体" w:hAnsi="宋体" w:eastAsia="宋体" w:cs="宋体"/>
          <w:color w:val="auto"/>
          <w:sz w:val="24"/>
          <w:szCs w:val="24"/>
          <w:highlight w:val="none"/>
        </w:rPr>
        <w:t>投标文件中开标一览表（报价表）内容与投标文件中相应内容不一致的，以开标一览表（报价表）为准；</w:t>
      </w:r>
    </w:p>
    <w:p w14:paraId="46332F68">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2.4.3</w:t>
      </w:r>
      <w:r>
        <w:rPr>
          <w:rFonts w:hint="eastAsia" w:ascii="宋体" w:hAnsi="宋体" w:eastAsia="宋体" w:cs="宋体"/>
          <w:color w:val="auto"/>
          <w:sz w:val="24"/>
          <w:szCs w:val="24"/>
          <w:highlight w:val="none"/>
        </w:rPr>
        <w:t>大写金额和小写金额不一致的，以大写金额为准；</w:t>
      </w:r>
    </w:p>
    <w:p w14:paraId="1FF0C5B2">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2.4.4</w:t>
      </w:r>
      <w:r>
        <w:rPr>
          <w:rFonts w:hint="eastAsia" w:ascii="宋体" w:hAnsi="宋体" w:eastAsia="宋体" w:cs="宋体"/>
          <w:color w:val="auto"/>
          <w:sz w:val="24"/>
          <w:szCs w:val="24"/>
          <w:highlight w:val="none"/>
        </w:rPr>
        <w:t>单价金额小数点或者百分比有明显错位的，以开标一览表的总价为准，并修改单价；</w:t>
      </w:r>
    </w:p>
    <w:p w14:paraId="45C7E4FF">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2.4.5</w:t>
      </w:r>
      <w:r>
        <w:rPr>
          <w:rFonts w:hint="eastAsia" w:ascii="宋体" w:hAnsi="宋体" w:eastAsia="宋体" w:cs="宋体"/>
          <w:color w:val="auto"/>
          <w:sz w:val="24"/>
          <w:szCs w:val="24"/>
          <w:highlight w:val="none"/>
        </w:rPr>
        <w:t>总价金额与按单价汇总金额不一致的，以单价金额计算结果为准。</w:t>
      </w:r>
    </w:p>
    <w:p w14:paraId="1B569920">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2.4.6</w:t>
      </w:r>
      <w:r>
        <w:rPr>
          <w:rFonts w:hint="eastAsia" w:ascii="宋体" w:hAnsi="宋体" w:eastAsia="宋体" w:cs="宋体"/>
          <w:color w:val="auto"/>
          <w:sz w:val="24"/>
          <w:szCs w:val="24"/>
          <w:highlight w:val="none"/>
        </w:rPr>
        <w:t>同时出现两种以上不一致的，按照前款规定的顺序修正。修正后的报价经投标人书面确认后产生约束力，投标人不确认的，其</w:t>
      </w:r>
      <w:r>
        <w:rPr>
          <w:rFonts w:hint="eastAsia" w:ascii="宋体" w:hAnsi="宋体" w:eastAsia="宋体" w:cs="宋体"/>
          <w:b/>
          <w:bCs/>
          <w:color w:val="auto"/>
          <w:sz w:val="24"/>
          <w:szCs w:val="24"/>
          <w:highlight w:val="none"/>
        </w:rPr>
        <w:t>投标无效</w:t>
      </w:r>
      <w:r>
        <w:rPr>
          <w:rFonts w:hint="eastAsia" w:ascii="宋体" w:hAnsi="宋体" w:eastAsia="宋体" w:cs="宋体"/>
          <w:color w:val="auto"/>
          <w:sz w:val="24"/>
          <w:szCs w:val="24"/>
          <w:highlight w:val="none"/>
        </w:rPr>
        <w:t>。</w:t>
      </w:r>
    </w:p>
    <w:p w14:paraId="43579F5F">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w:t>
      </w:r>
      <w:r>
        <w:rPr>
          <w:rFonts w:hint="eastAsia" w:ascii="宋体" w:hAnsi="宋体" w:eastAsia="宋体" w:cs="宋体"/>
          <w:color w:val="auto"/>
          <w:sz w:val="24"/>
          <w:szCs w:val="24"/>
          <w:highlight w:val="none"/>
          <w:lang w:val="en-US" w:eastAsia="zh-CN"/>
        </w:rPr>
        <w:t>落实政府采购政策的价格调整：只有符合第二章《投标人须知》5.2条规定情形的，可以享受中小企业扶持政策，用扣除后的价格参加评审；否则，评标时价格不予扣除</w:t>
      </w:r>
      <w:r>
        <w:rPr>
          <w:rFonts w:hint="eastAsia" w:ascii="宋体" w:hAnsi="宋体" w:eastAsia="宋体" w:cs="宋体"/>
          <w:color w:val="auto"/>
          <w:sz w:val="24"/>
          <w:szCs w:val="24"/>
          <w:highlight w:val="none"/>
        </w:rPr>
        <w:t>。</w:t>
      </w:r>
    </w:p>
    <w:p w14:paraId="1810C25D">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2.5.1</w:t>
      </w:r>
      <w:r>
        <w:rPr>
          <w:rFonts w:hint="eastAsia" w:ascii="宋体" w:hAnsi="宋体" w:eastAsia="宋体" w:cs="宋体"/>
          <w:color w:val="auto"/>
          <w:sz w:val="24"/>
          <w:szCs w:val="24"/>
          <w:highlight w:val="none"/>
        </w:rPr>
        <w:t>对于未预留份额专门面向中小企业采购的采购项目，以及预留份额项目中的非预留部分采购包，对小微企业报价给予</w:t>
      </w:r>
      <w:r>
        <w:rPr>
          <w:rFonts w:hint="eastAsia" w:ascii="宋体" w:hAnsi="宋体" w:cs="宋体"/>
          <w:color w:val="auto"/>
          <w:sz w:val="24"/>
          <w:szCs w:val="24"/>
          <w:highlight w:val="none"/>
          <w:u w:val="single"/>
          <w:lang w:val="en-US" w:eastAsia="zh-CN"/>
        </w:rPr>
        <w:t>10</w:t>
      </w:r>
      <w:r>
        <w:rPr>
          <w:rFonts w:hint="eastAsia" w:ascii="宋体" w:hAnsi="宋体" w:eastAsia="宋体" w:cs="宋体"/>
          <w:color w:val="auto"/>
          <w:sz w:val="24"/>
          <w:szCs w:val="24"/>
          <w:highlight w:val="none"/>
        </w:rPr>
        <w:t>%的扣除，用扣除后的价格参加评审。</w:t>
      </w:r>
    </w:p>
    <w:p w14:paraId="4E39DAA6">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2.5.2</w:t>
      </w:r>
      <w:r>
        <w:rPr>
          <w:rFonts w:hint="eastAsia" w:ascii="宋体" w:hAnsi="宋体" w:eastAsia="宋体" w:cs="宋体"/>
          <w:color w:val="auto"/>
          <w:sz w:val="24"/>
          <w:szCs w:val="24"/>
          <w:highlight w:val="none"/>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ascii="宋体" w:hAnsi="宋体" w:cs="宋体"/>
          <w:color w:val="auto"/>
          <w:sz w:val="24"/>
          <w:szCs w:val="24"/>
          <w:highlight w:val="none"/>
          <w:u w:val="single"/>
          <w:lang w:val="en-US" w:eastAsia="zh-CN"/>
        </w:rPr>
        <w:t>4</w:t>
      </w:r>
      <w:r>
        <w:rPr>
          <w:rFonts w:hint="eastAsia" w:ascii="宋体" w:hAnsi="宋体" w:eastAsia="宋体" w:cs="宋体"/>
          <w:color w:val="auto"/>
          <w:sz w:val="24"/>
          <w:szCs w:val="24"/>
          <w:highlight w:val="none"/>
        </w:rPr>
        <w:t>%的扣除，用扣除后的价格参加评审。</w:t>
      </w:r>
    </w:p>
    <w:p w14:paraId="17B6ABB8">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2.5.3</w:t>
      </w:r>
      <w:r>
        <w:rPr>
          <w:rFonts w:hint="eastAsia" w:ascii="宋体" w:hAnsi="宋体" w:eastAsia="宋体" w:cs="宋体"/>
          <w:color w:val="auto"/>
          <w:sz w:val="24"/>
          <w:szCs w:val="24"/>
          <w:highlight w:val="none"/>
        </w:rPr>
        <w:t>组成联合体或者接受分包的小微企业与联合体内其他企业、分包企业之间存在直接控股、管理关系的，不享受价格扣除优惠政策。</w:t>
      </w:r>
    </w:p>
    <w:p w14:paraId="79179454">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2.5.4</w:t>
      </w:r>
      <w:r>
        <w:rPr>
          <w:rFonts w:hint="eastAsia" w:ascii="宋体" w:hAnsi="宋体" w:eastAsia="宋体" w:cs="宋体"/>
          <w:color w:val="auto"/>
          <w:sz w:val="24"/>
          <w:szCs w:val="24"/>
          <w:highlight w:val="none"/>
        </w:rPr>
        <w:t>价格扣除比例对小型企业和微型企业同等对待，不作区分。</w:t>
      </w:r>
    </w:p>
    <w:p w14:paraId="09B919DF">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2.5.5</w:t>
      </w:r>
      <w:r>
        <w:rPr>
          <w:rFonts w:hint="eastAsia" w:ascii="宋体" w:hAnsi="宋体" w:eastAsia="宋体" w:cs="宋体"/>
          <w:color w:val="auto"/>
          <w:sz w:val="24"/>
          <w:szCs w:val="24"/>
          <w:highlight w:val="none"/>
          <w:lang w:val="en-US" w:eastAsia="zh-CN"/>
        </w:rPr>
        <w:t>中小企业参加政府采购活动，应当按照招标文件给定的格式出具《中小企业声明函》，否则不得享受相关中小企业扶持政策</w:t>
      </w:r>
      <w:r>
        <w:rPr>
          <w:rFonts w:hint="eastAsia" w:ascii="宋体" w:hAnsi="宋体" w:eastAsia="宋体" w:cs="宋体"/>
          <w:color w:val="auto"/>
          <w:sz w:val="24"/>
          <w:szCs w:val="24"/>
          <w:highlight w:val="none"/>
        </w:rPr>
        <w:t>。</w:t>
      </w:r>
    </w:p>
    <w:p w14:paraId="43BF8136">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2.5.6</w:t>
      </w:r>
      <w:r>
        <w:rPr>
          <w:rFonts w:hint="eastAsia" w:ascii="宋体" w:hAnsi="宋体" w:eastAsia="宋体" w:cs="宋体"/>
          <w:color w:val="auto"/>
          <w:sz w:val="24"/>
          <w:szCs w:val="24"/>
          <w:highlight w:val="none"/>
          <w:lang w:val="en-US" w:eastAsia="zh-CN"/>
        </w:rPr>
        <w:t>监狱企业提供了由省级以上监狱管理局、戒毒管理局（含新疆生产建设兵团）出具的属于监狱企业的证明文件的，视同小微企业</w:t>
      </w:r>
      <w:r>
        <w:rPr>
          <w:rFonts w:hint="eastAsia" w:ascii="宋体" w:hAnsi="宋体" w:eastAsia="宋体" w:cs="宋体"/>
          <w:color w:val="auto"/>
          <w:sz w:val="24"/>
          <w:szCs w:val="24"/>
          <w:highlight w:val="none"/>
        </w:rPr>
        <w:t>。</w:t>
      </w:r>
    </w:p>
    <w:p w14:paraId="1763B5E7">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2.5.7</w:t>
      </w:r>
      <w:r>
        <w:rPr>
          <w:rFonts w:hint="eastAsia" w:ascii="宋体" w:hAnsi="宋体" w:eastAsia="宋体" w:cs="宋体"/>
          <w:color w:val="auto"/>
          <w:sz w:val="24"/>
          <w:szCs w:val="24"/>
          <w:highlight w:val="none"/>
          <w:lang w:val="en-US" w:eastAsia="zh-CN"/>
        </w:rPr>
        <w:t>残疾人福利性单位按招标文件要求提供了《残疾人福利性单位声明函》的，视同小微企业</w:t>
      </w:r>
      <w:r>
        <w:rPr>
          <w:rFonts w:hint="eastAsia" w:ascii="宋体" w:hAnsi="宋体" w:eastAsia="宋体" w:cs="宋体"/>
          <w:color w:val="auto"/>
          <w:sz w:val="24"/>
          <w:szCs w:val="24"/>
          <w:highlight w:val="none"/>
        </w:rPr>
        <w:t>。</w:t>
      </w:r>
    </w:p>
    <w:p w14:paraId="41F8F605">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2.5.8</w:t>
      </w:r>
      <w:r>
        <w:rPr>
          <w:rFonts w:hint="eastAsia" w:ascii="宋体" w:hAnsi="宋体" w:eastAsia="宋体" w:cs="宋体"/>
          <w:color w:val="auto"/>
          <w:sz w:val="24"/>
          <w:szCs w:val="24"/>
          <w:highlight w:val="none"/>
        </w:rPr>
        <w:t>若投标人同时属于小型或微型企业、监狱企业、残疾人福利性单位中的两种及以上，将不重复享受小微企业价格扣减的优惠政策。</w:t>
      </w:r>
    </w:p>
    <w:p w14:paraId="6A4630E3">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投标文件的比较和评价</w:t>
      </w:r>
    </w:p>
    <w:p w14:paraId="0612D62F">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3.1</w:t>
      </w:r>
      <w:r>
        <w:rPr>
          <w:rFonts w:hint="eastAsia" w:ascii="宋体" w:hAnsi="宋体" w:eastAsia="宋体" w:cs="宋体"/>
          <w:color w:val="auto"/>
          <w:sz w:val="24"/>
          <w:szCs w:val="24"/>
          <w:highlight w:val="none"/>
        </w:rPr>
        <w:t>评标委员会将按照招标文件中规定的评标方法和标准，对符合性审查合格的投标文件进行商务和技术评估，综合比较与评价；未通过符合性审查的投标文件不得进入比较与评价。</w:t>
      </w:r>
    </w:p>
    <w:p w14:paraId="6641C348">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评标方法和评标标准</w:t>
      </w:r>
    </w:p>
    <w:p w14:paraId="7F70C1A9">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3.2</w:t>
      </w:r>
      <w:r>
        <w:rPr>
          <w:rFonts w:hint="eastAsia" w:ascii="宋体" w:hAnsi="宋体" w:eastAsia="宋体" w:cs="宋体"/>
          <w:color w:val="auto"/>
          <w:sz w:val="24"/>
          <w:szCs w:val="24"/>
          <w:highlight w:val="none"/>
        </w:rPr>
        <w:t>本项目采用的评标方法为：</w:t>
      </w:r>
    </w:p>
    <w:p w14:paraId="4D87A94B">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3.2.1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综合评分法，指投标文件满足招标文件全部实质性要求，且按照评审因素的量化指标评审得分最高的投标人为中标候选人的评标方法，见《评标标准》，招标文件中没有规定的评标标准不得作为评审的依据。</w:t>
      </w:r>
    </w:p>
    <w:p w14:paraId="2EE6B34E">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最低评标价法，指投标文件满足招标文件全部实质性要求，且投标报价最低的投标人为中标候选人的评标方法。</w:t>
      </w:r>
    </w:p>
    <w:p w14:paraId="710E50B0">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3.2.2</w:t>
      </w:r>
      <w:r>
        <w:rPr>
          <w:rFonts w:hint="eastAsia" w:ascii="宋体" w:hAnsi="宋体" w:eastAsia="宋体" w:cs="宋体"/>
          <w:color w:val="auto"/>
          <w:sz w:val="24"/>
          <w:szCs w:val="24"/>
          <w:highlight w:val="none"/>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投标无效。</w:t>
      </w:r>
    </w:p>
    <w:p w14:paraId="2FE36D6D">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随机抽取</w:t>
      </w:r>
    </w:p>
    <w:p w14:paraId="42054D81">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其他方式，具体要求：_____</w:t>
      </w:r>
    </w:p>
    <w:p w14:paraId="3B74F1CC">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3.2.3</w:t>
      </w:r>
      <w:r>
        <w:rPr>
          <w:rFonts w:hint="eastAsia" w:ascii="宋体" w:hAnsi="宋体" w:eastAsia="宋体" w:cs="宋体"/>
          <w:color w:val="auto"/>
          <w:sz w:val="24"/>
          <w:szCs w:val="24"/>
          <w:highlight w:val="none"/>
        </w:rPr>
        <w:t>非政府强制采购的节能产品或环境标志产品，依据品目清单和认证证书实施政府优先采购。优先采购的具体规定（如涉及）_____。</w:t>
      </w:r>
    </w:p>
    <w:p w14:paraId="6C1B6FDB">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3.2.4</w:t>
      </w:r>
      <w:r>
        <w:rPr>
          <w:rFonts w:hint="eastAsia" w:ascii="宋体" w:hAnsi="宋体" w:eastAsia="宋体" w:cs="宋体"/>
          <w:color w:val="auto"/>
          <w:sz w:val="24"/>
          <w:szCs w:val="24"/>
          <w:highlight w:val="none"/>
        </w:rPr>
        <w:t>关于无线局域网认证产品政府采购清单中的产品，优先采购的具体规定（如涉及）_____。</w:t>
      </w:r>
    </w:p>
    <w:p w14:paraId="51ED9924">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确定</w:t>
      </w:r>
      <w:bookmarkStart w:id="126" w:name="_Toc127151546"/>
      <w:bookmarkStart w:id="127" w:name="_Toc226337242"/>
      <w:bookmarkStart w:id="128" w:name="_Toc164608815"/>
      <w:bookmarkStart w:id="129" w:name="_Toc264969236"/>
      <w:bookmarkStart w:id="130" w:name="_Ref467307010"/>
      <w:bookmarkStart w:id="131" w:name="_Toc149720839"/>
      <w:bookmarkStart w:id="132" w:name="_Toc150774646"/>
      <w:bookmarkStart w:id="133" w:name="_Toc305158814"/>
      <w:bookmarkStart w:id="134" w:name="_Toc164229241"/>
      <w:bookmarkStart w:id="135" w:name="_Toc164229387"/>
      <w:bookmarkStart w:id="136" w:name="_Toc226309790"/>
      <w:bookmarkStart w:id="137" w:name="_Toc164351640"/>
      <w:bookmarkStart w:id="138" w:name="_Toc142311048"/>
      <w:bookmarkStart w:id="139" w:name="_Toc164608660"/>
      <w:bookmarkStart w:id="140" w:name="_Toc151193788"/>
      <w:bookmarkStart w:id="141" w:name="_Toc151190173"/>
      <w:bookmarkStart w:id="142" w:name="_Toc265228384"/>
      <w:bookmarkStart w:id="143" w:name="_Toc127151747"/>
      <w:bookmarkStart w:id="144" w:name="_Toc150509297"/>
      <w:bookmarkStart w:id="145" w:name="_Toc520356170"/>
      <w:bookmarkStart w:id="146" w:name="_Toc195842911"/>
      <w:bookmarkStart w:id="147" w:name="_Toc226965736"/>
      <w:bookmarkStart w:id="148" w:name="_Toc151193644"/>
      <w:bookmarkStart w:id="149" w:name="_Toc150480784"/>
      <w:bookmarkStart w:id="150" w:name="_Toc151193860"/>
      <w:bookmarkStart w:id="151" w:name="_Toc127161460"/>
      <w:bookmarkStart w:id="152" w:name="_Toc226965819"/>
      <w:bookmarkStart w:id="153" w:name="_Toc151193934"/>
      <w:bookmarkStart w:id="154" w:name="_Toc150774751"/>
      <w:bookmarkStart w:id="155" w:name="_Toc151193716"/>
      <w:bookmarkStart w:id="156" w:name="_Toc305158888"/>
      <w:r>
        <w:rPr>
          <w:rFonts w:hint="eastAsia" w:ascii="宋体" w:hAnsi="宋体" w:eastAsia="宋体" w:cs="宋体"/>
          <w:color w:val="auto"/>
          <w:sz w:val="24"/>
          <w:szCs w:val="24"/>
          <w:highlight w:val="none"/>
        </w:rPr>
        <w:t>中标候选人名单</w:t>
      </w:r>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p>
    <w:p w14:paraId="78D3FC4B">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4.1</w:t>
      </w:r>
      <w:r>
        <w:rPr>
          <w:rFonts w:hint="eastAsia" w:ascii="宋体" w:hAnsi="宋体" w:eastAsia="宋体" w:cs="宋体"/>
          <w:color w:val="auto"/>
          <w:sz w:val="24"/>
          <w:szCs w:val="24"/>
          <w:highlight w:val="none"/>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14:paraId="034873C9">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随机抽取</w:t>
      </w:r>
    </w:p>
    <w:p w14:paraId="4790CA56">
      <w:pPr>
        <w:spacing w:line="360" w:lineRule="auto"/>
        <w:ind w:left="0" w:leftChars="0" w:firstLine="480" w:firstLineChars="200"/>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其他方式，具体要求：</w:t>
      </w:r>
      <w:r>
        <w:rPr>
          <w:rFonts w:hint="eastAsia" w:ascii="宋体" w:hAnsi="宋体" w:cs="宋体"/>
          <w:color w:val="auto"/>
          <w:sz w:val="24"/>
          <w:szCs w:val="24"/>
          <w:highlight w:val="none"/>
          <w:u w:val="single"/>
          <w:lang w:val="en-US" w:eastAsia="zh-CN"/>
        </w:rPr>
        <w:t>以</w:t>
      </w:r>
      <w:r>
        <w:rPr>
          <w:rFonts w:hint="eastAsia" w:ascii="宋体" w:hAnsi="宋体" w:eastAsia="宋体" w:cs="宋体"/>
          <w:color w:val="auto"/>
          <w:sz w:val="24"/>
          <w:szCs w:val="24"/>
          <w:highlight w:val="none"/>
          <w:u w:val="single"/>
          <w:lang w:eastAsia="zh-CN"/>
        </w:rPr>
        <w:t>技术部分得分高者为中标人</w:t>
      </w:r>
      <w:r>
        <w:rPr>
          <w:rFonts w:hint="eastAsia" w:ascii="宋体" w:hAnsi="宋体" w:cs="宋体"/>
          <w:color w:val="auto"/>
          <w:sz w:val="24"/>
          <w:szCs w:val="24"/>
          <w:highlight w:val="none"/>
          <w:u w:val="single"/>
          <w:lang w:eastAsia="zh-CN"/>
        </w:rPr>
        <w:t>。</w:t>
      </w:r>
    </w:p>
    <w:p w14:paraId="7FAC8C34">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4.2</w:t>
      </w:r>
      <w:r>
        <w:rPr>
          <w:rFonts w:hint="eastAsia" w:ascii="宋体" w:hAnsi="宋体" w:eastAsia="宋体" w:cs="宋体"/>
          <w:color w:val="auto"/>
          <w:sz w:val="24"/>
          <w:szCs w:val="24"/>
          <w:highlight w:val="none"/>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14:paraId="7DDDCD75">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4.3</w:t>
      </w:r>
      <w:r>
        <w:rPr>
          <w:rFonts w:hint="eastAsia" w:ascii="宋体" w:hAnsi="宋体" w:eastAsia="宋体" w:cs="宋体"/>
          <w:color w:val="auto"/>
          <w:sz w:val="24"/>
          <w:szCs w:val="24"/>
          <w:highlight w:val="none"/>
        </w:rPr>
        <w:t>采用最低评标价法时，评标结果按本章2.4、2.5调整后的投标报价由低到高顺序排列。投标报价相同的并列。投标文件满足招标文件全部实质性要求且投标报价最低的投标人为排名第一的中标候选人。</w:t>
      </w:r>
    </w:p>
    <w:p w14:paraId="5D8CC15D">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4.4</w:t>
      </w:r>
      <w:r>
        <w:rPr>
          <w:rFonts w:hint="eastAsia" w:ascii="宋体" w:hAnsi="宋体" w:eastAsia="宋体" w:cs="宋体"/>
          <w:color w:val="auto"/>
          <w:sz w:val="24"/>
          <w:szCs w:val="24"/>
          <w:highlight w:val="none"/>
        </w:rPr>
        <w:t>评标委员会要对评分汇总情况进行复核，特别是对排名第一的、报价最低的、投标或响应文件被认定为无效的情形进行重点复核。</w:t>
      </w:r>
    </w:p>
    <w:p w14:paraId="047BEC86">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4.5</w:t>
      </w:r>
      <w:r>
        <w:rPr>
          <w:rFonts w:hint="eastAsia" w:ascii="宋体" w:hAnsi="宋体" w:eastAsia="宋体" w:cs="宋体"/>
          <w:color w:val="auto"/>
          <w:sz w:val="24"/>
          <w:szCs w:val="24"/>
          <w:highlight w:val="none"/>
        </w:rPr>
        <w:t>评标委员会将根据各投标人的评标排序，依次推荐本项目（各采购包）的中标候选人，起草并签署评标报告。本项目（各采购包）评标委员会共（各）推荐</w:t>
      </w:r>
      <w:r>
        <w:rPr>
          <w:rFonts w:hint="eastAsia" w:ascii="宋体" w:hAnsi="宋体" w:cs="宋体"/>
          <w:color w:val="auto"/>
          <w:sz w:val="24"/>
          <w:szCs w:val="24"/>
          <w:highlight w:val="none"/>
          <w:u w:val="single"/>
          <w:lang w:val="en-US" w:eastAsia="zh-CN"/>
        </w:rPr>
        <w:t xml:space="preserve"> 3 </w:t>
      </w:r>
      <w:r>
        <w:rPr>
          <w:rFonts w:hint="eastAsia" w:ascii="宋体" w:hAnsi="宋体" w:eastAsia="宋体" w:cs="宋体"/>
          <w:color w:val="auto"/>
          <w:sz w:val="24"/>
          <w:szCs w:val="24"/>
          <w:highlight w:val="none"/>
        </w:rPr>
        <w:t>名中标候选人。</w:t>
      </w:r>
    </w:p>
    <w:p w14:paraId="1BFE5B09">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rPr>
        <w:t>报告违法行为</w:t>
      </w:r>
    </w:p>
    <w:p w14:paraId="73369DA1">
      <w:p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5.1</w:t>
      </w:r>
      <w:r>
        <w:rPr>
          <w:rFonts w:hint="eastAsia" w:ascii="宋体" w:hAnsi="宋体" w:eastAsia="宋体" w:cs="宋体"/>
          <w:color w:val="auto"/>
          <w:sz w:val="24"/>
          <w:szCs w:val="24"/>
          <w:highlight w:val="none"/>
        </w:rPr>
        <w:t>评标委员会在评标过程中发现投标人有行贿、提供虚假材料或者串通等违法行为时，有向采购人、采购代理机构或者有关部门报告的职责。</w:t>
      </w:r>
    </w:p>
    <w:p w14:paraId="63FE5661">
      <w:pPr>
        <w:pStyle w:val="18"/>
        <w:rPr>
          <w:rFonts w:hint="eastAsia" w:ascii="宋体" w:hAnsi="宋体" w:eastAsia="宋体" w:cs="宋体"/>
          <w:b/>
          <w:bCs/>
          <w:color w:val="auto"/>
          <w:sz w:val="28"/>
          <w:szCs w:val="28"/>
          <w:highlight w:val="none"/>
          <w:lang w:val="en-US" w:eastAsia="zh-CN"/>
        </w:rPr>
      </w:pPr>
    </w:p>
    <w:p w14:paraId="13196993">
      <w:pPr>
        <w:pStyle w:val="18"/>
        <w:ind w:left="0" w:leftChars="0" w:firstLine="0" w:firstLineChars="0"/>
        <w:rPr>
          <w:rFonts w:hint="eastAsia" w:ascii="宋体" w:hAnsi="宋体" w:cs="宋体"/>
          <w:b/>
          <w:bCs/>
          <w:color w:val="auto"/>
          <w:sz w:val="28"/>
          <w:szCs w:val="28"/>
          <w:highlight w:val="none"/>
          <w:lang w:val="en-US" w:eastAsia="zh-CN"/>
        </w:rPr>
      </w:pPr>
    </w:p>
    <w:p w14:paraId="032A2271">
      <w:pPr>
        <w:spacing w:line="360" w:lineRule="auto"/>
        <w:jc w:val="center"/>
        <w:rPr>
          <w:rFonts w:hint="default"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二、评标标准</w:t>
      </w:r>
    </w:p>
    <w:tbl>
      <w:tblPr>
        <w:tblStyle w:val="45"/>
        <w:tblpPr w:leftFromText="180" w:rightFromText="180" w:vertAnchor="text" w:horzAnchor="page" w:tblpX="707" w:tblpY="36"/>
        <w:tblOverlap w:val="never"/>
        <w:tblW w:w="10518"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1009"/>
        <w:gridCol w:w="1966"/>
        <w:gridCol w:w="7543"/>
      </w:tblGrid>
      <w:tr w14:paraId="13EC6B1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1754" w:hRule="atLeast"/>
        </w:trPr>
        <w:tc>
          <w:tcPr>
            <w:tcW w:w="1009" w:type="dxa"/>
            <w:vAlign w:val="center"/>
          </w:tcPr>
          <w:p w14:paraId="08BEF450">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2.1.</w:t>
            </w:r>
          </w:p>
        </w:tc>
        <w:tc>
          <w:tcPr>
            <w:tcW w:w="1966" w:type="dxa"/>
            <w:vAlign w:val="center"/>
          </w:tcPr>
          <w:p w14:paraId="72390F33">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分值构成</w:t>
            </w:r>
          </w:p>
          <w:p w14:paraId="3E60BD25">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（总分100分）</w:t>
            </w:r>
          </w:p>
        </w:tc>
        <w:tc>
          <w:tcPr>
            <w:tcW w:w="7543" w:type="dxa"/>
            <w:vAlign w:val="center"/>
          </w:tcPr>
          <w:p w14:paraId="60976278">
            <w:pPr>
              <w:pStyle w:val="148"/>
              <w:keepNext w:val="0"/>
              <w:keepLines w:val="0"/>
              <w:pageBreakBefore w:val="0"/>
              <w:widowControl w:val="0"/>
              <w:numPr>
                <w:ilvl w:val="0"/>
                <w:numId w:val="2"/>
              </w:numPr>
              <w:kinsoku/>
              <w:wordWrap/>
              <w:overflowPunct/>
              <w:topLinePunct w:val="0"/>
              <w:autoSpaceDE/>
              <w:autoSpaceDN/>
              <w:bidi w:val="0"/>
              <w:adjustRightInd/>
              <w:snapToGrid/>
              <w:spacing w:after="0" w:line="380" w:lineRule="exac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商务部分：投标报价（10分）</w:t>
            </w:r>
          </w:p>
          <w:p w14:paraId="6B659605">
            <w:pPr>
              <w:pStyle w:val="148"/>
              <w:keepNext w:val="0"/>
              <w:keepLines w:val="0"/>
              <w:pageBreakBefore w:val="0"/>
              <w:widowControl w:val="0"/>
              <w:numPr>
                <w:ilvl w:val="0"/>
                <w:numId w:val="2"/>
              </w:numPr>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技术部分:(90分)</w:t>
            </w:r>
          </w:p>
          <w:p w14:paraId="0F39895F">
            <w:pPr>
              <w:pStyle w:val="148"/>
              <w:keepNext w:val="0"/>
              <w:keepLines w:val="0"/>
              <w:pageBreakBefore w:val="0"/>
              <w:widowControl w:val="0"/>
              <w:numPr>
                <w:ilvl w:val="0"/>
                <w:numId w:val="2"/>
              </w:numPr>
              <w:kinsoku/>
              <w:wordWrap/>
              <w:overflowPunct/>
              <w:topLinePunct w:val="0"/>
              <w:autoSpaceDE/>
              <w:autoSpaceDN/>
              <w:bidi w:val="0"/>
              <w:adjustRightInd/>
              <w:snapToGrid/>
              <w:spacing w:after="0" w:line="380" w:lineRule="exact"/>
              <w:ind w:left="0" w:leftChars="0" w:firstLine="0" w:firstLineChars="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投标单位最后得分= A + B</w:t>
            </w:r>
          </w:p>
        </w:tc>
      </w:tr>
      <w:tr w14:paraId="59FEB008">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599" w:hRule="atLeast"/>
        </w:trPr>
        <w:tc>
          <w:tcPr>
            <w:tcW w:w="10518" w:type="dxa"/>
            <w:gridSpan w:val="3"/>
            <w:vAlign w:val="center"/>
          </w:tcPr>
          <w:p w14:paraId="64A7F826">
            <w:pPr>
              <w:pStyle w:val="22"/>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kern w:val="2"/>
                <w:sz w:val="32"/>
                <w:szCs w:val="32"/>
                <w:highlight w:val="none"/>
                <w:lang w:val="en-US" w:eastAsia="zh-CN" w:bidi="ar-SA"/>
              </w:rPr>
              <w:t>商务部分</w:t>
            </w:r>
          </w:p>
        </w:tc>
      </w:tr>
      <w:tr w14:paraId="3B77210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7637" w:hRule="atLeast"/>
        </w:trPr>
        <w:tc>
          <w:tcPr>
            <w:tcW w:w="1009" w:type="dxa"/>
            <w:vAlign w:val="center"/>
          </w:tcPr>
          <w:p w14:paraId="0F66AB76">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宋体" w:hAnsi="宋体" w:eastAsia="宋体" w:cs="宋体"/>
                <w:color w:val="auto"/>
                <w:kern w:val="2"/>
                <w:sz w:val="28"/>
                <w:szCs w:val="28"/>
                <w:highlight w:val="none"/>
                <w:lang w:val="en-US" w:eastAsia="zh-CN" w:bidi="ar-SA"/>
              </w:rPr>
            </w:pPr>
            <w:r>
              <w:rPr>
                <w:rFonts w:hint="eastAsia" w:ascii="宋体" w:hAnsi="宋体" w:eastAsia="宋体" w:cs="宋体"/>
                <w:color w:val="auto"/>
                <w:kern w:val="2"/>
                <w:sz w:val="28"/>
                <w:szCs w:val="28"/>
                <w:highlight w:val="none"/>
                <w:lang w:val="en-US" w:eastAsia="zh-CN" w:bidi="ar-SA"/>
              </w:rPr>
              <w:t>2.2.1</w:t>
            </w:r>
          </w:p>
        </w:tc>
        <w:tc>
          <w:tcPr>
            <w:tcW w:w="1966" w:type="dxa"/>
            <w:vAlign w:val="center"/>
          </w:tcPr>
          <w:p w14:paraId="5B52158A">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投标报价</w:t>
            </w:r>
          </w:p>
          <w:p w14:paraId="10D4DD6E">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（10分）</w:t>
            </w:r>
          </w:p>
          <w:p w14:paraId="02912E8C">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宋体" w:hAnsi="宋体" w:eastAsia="宋体" w:cs="宋体"/>
                <w:color w:val="auto"/>
                <w:kern w:val="2"/>
                <w:sz w:val="24"/>
                <w:szCs w:val="24"/>
                <w:highlight w:val="none"/>
                <w:lang w:val="en-US" w:eastAsia="zh-CN" w:bidi="ar-SA"/>
              </w:rPr>
            </w:pPr>
          </w:p>
        </w:tc>
        <w:tc>
          <w:tcPr>
            <w:tcW w:w="7543" w:type="dxa"/>
            <w:vAlign w:val="center"/>
          </w:tcPr>
          <w:p w14:paraId="632126C3">
            <w:pPr>
              <w:pStyle w:val="22"/>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2"/>
                <w:szCs w:val="22"/>
                <w:highlight w:val="none"/>
                <w:lang w:val="en-US" w:eastAsia="zh-CN" w:bidi="ar-SA"/>
              </w:rPr>
            </w:pPr>
            <w:r>
              <w:rPr>
                <w:rFonts w:hint="eastAsia" w:ascii="微软雅黑 Light" w:hAnsi="微软雅黑 Light" w:eastAsia="微软雅黑 Light" w:cs="微软雅黑 Light"/>
                <w:color w:val="auto"/>
                <w:kern w:val="2"/>
                <w:sz w:val="22"/>
                <w:szCs w:val="22"/>
                <w:highlight w:val="none"/>
                <w:lang w:val="en-US" w:eastAsia="zh-CN" w:bidi="ar-SA"/>
              </w:rPr>
              <w:t>1.投标报价等于评标基准价得满分10分。</w:t>
            </w:r>
          </w:p>
          <w:p w14:paraId="1C0F9968">
            <w:pPr>
              <w:pStyle w:val="22"/>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2"/>
                <w:szCs w:val="22"/>
                <w:highlight w:val="none"/>
                <w:lang w:val="en-US" w:eastAsia="zh-CN" w:bidi="ar-SA"/>
              </w:rPr>
            </w:pPr>
            <w:r>
              <w:rPr>
                <w:rFonts w:hint="eastAsia" w:ascii="微软雅黑 Light" w:hAnsi="微软雅黑 Light" w:eastAsia="微软雅黑 Light" w:cs="微软雅黑 Light"/>
                <w:color w:val="auto"/>
                <w:kern w:val="2"/>
                <w:sz w:val="22"/>
                <w:szCs w:val="22"/>
                <w:highlight w:val="none"/>
                <w:lang w:val="en-US" w:eastAsia="zh-CN" w:bidi="ar-SA"/>
              </w:rPr>
              <w:t>2.评标基准价计算方式：所有有效投标单位的二次报价为最终有效报价，以投标单位最终有效报价的最低投标报价为评标基准价。</w:t>
            </w:r>
          </w:p>
          <w:p w14:paraId="6C433A8E">
            <w:pPr>
              <w:pStyle w:val="22"/>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default" w:ascii="微软雅黑 Light" w:hAnsi="微软雅黑 Light" w:eastAsia="微软雅黑 Light" w:cs="微软雅黑 Light"/>
                <w:color w:val="auto"/>
                <w:kern w:val="2"/>
                <w:sz w:val="22"/>
                <w:szCs w:val="22"/>
                <w:highlight w:val="none"/>
                <w:lang w:val="en-US" w:eastAsia="zh-CN" w:bidi="ar-SA"/>
              </w:rPr>
            </w:pPr>
            <w:r>
              <w:rPr>
                <w:rFonts w:hint="eastAsia" w:ascii="微软雅黑 Light" w:hAnsi="微软雅黑 Light" w:eastAsia="微软雅黑 Light" w:cs="微软雅黑 Light"/>
                <w:color w:val="auto"/>
                <w:kern w:val="2"/>
                <w:sz w:val="22"/>
                <w:szCs w:val="22"/>
                <w:highlight w:val="none"/>
                <w:lang w:val="en-US" w:eastAsia="zh-CN" w:bidi="ar-SA"/>
              </w:rPr>
              <w:t>3.</w:t>
            </w:r>
            <w:r>
              <w:rPr>
                <w:rFonts w:hint="default" w:ascii="微软雅黑 Light" w:hAnsi="微软雅黑 Light" w:eastAsia="微软雅黑 Light" w:cs="微软雅黑 Light"/>
                <w:color w:val="auto"/>
                <w:kern w:val="2"/>
                <w:sz w:val="22"/>
                <w:szCs w:val="22"/>
                <w:highlight w:val="none"/>
                <w:lang w:val="en-US" w:eastAsia="zh-CN" w:bidi="ar-SA"/>
              </w:rPr>
              <w:t>所有投标单位的报价等于评标基准价的得满分</w:t>
            </w:r>
            <w:r>
              <w:rPr>
                <w:rFonts w:hint="eastAsia" w:ascii="微软雅黑 Light" w:hAnsi="微软雅黑 Light" w:eastAsia="微软雅黑 Light" w:cs="微软雅黑 Light"/>
                <w:color w:val="auto"/>
                <w:kern w:val="2"/>
                <w:sz w:val="22"/>
                <w:szCs w:val="22"/>
                <w:highlight w:val="none"/>
                <w:lang w:val="en-US" w:eastAsia="zh-CN" w:bidi="ar-SA"/>
              </w:rPr>
              <w:t>1</w:t>
            </w:r>
            <w:r>
              <w:rPr>
                <w:rFonts w:hint="default" w:ascii="微软雅黑 Light" w:hAnsi="微软雅黑 Light" w:eastAsia="微软雅黑 Light" w:cs="微软雅黑 Light"/>
                <w:color w:val="auto"/>
                <w:kern w:val="2"/>
                <w:sz w:val="22"/>
                <w:szCs w:val="22"/>
                <w:highlight w:val="none"/>
                <w:lang w:val="en-US" w:eastAsia="zh-CN" w:bidi="ar-SA"/>
              </w:rPr>
              <w:t>0分，投标报价得分计算公式：</w:t>
            </w:r>
          </w:p>
          <w:p w14:paraId="11E1D04F">
            <w:pPr>
              <w:pStyle w:val="22"/>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2"/>
                <w:szCs w:val="22"/>
                <w:highlight w:val="none"/>
                <w:lang w:val="en-US" w:eastAsia="zh-CN" w:bidi="ar-SA"/>
              </w:rPr>
            </w:pPr>
            <w:r>
              <w:rPr>
                <w:rFonts w:hint="default" w:ascii="微软雅黑 Light" w:hAnsi="微软雅黑 Light" w:eastAsia="微软雅黑 Light" w:cs="微软雅黑 Light"/>
                <w:color w:val="auto"/>
                <w:kern w:val="2"/>
                <w:sz w:val="22"/>
                <w:szCs w:val="22"/>
                <w:highlight w:val="none"/>
                <w:lang w:val="en-US" w:eastAsia="zh-CN" w:bidi="ar-SA"/>
              </w:rPr>
              <w:t xml:space="preserve">报价得分= </w:t>
            </w:r>
            <w:r>
              <w:rPr>
                <w:rFonts w:hint="eastAsia" w:ascii="微软雅黑 Light" w:hAnsi="微软雅黑 Light" w:eastAsia="微软雅黑 Light" w:cs="微软雅黑 Light"/>
                <w:color w:val="auto"/>
                <w:kern w:val="2"/>
                <w:sz w:val="22"/>
                <w:szCs w:val="22"/>
                <w:highlight w:val="none"/>
                <w:lang w:val="en-US" w:eastAsia="zh-CN" w:bidi="ar-SA"/>
              </w:rPr>
              <w:t>1</w:t>
            </w:r>
            <w:r>
              <w:rPr>
                <w:rFonts w:hint="default" w:ascii="微软雅黑 Light" w:hAnsi="微软雅黑 Light" w:eastAsia="微软雅黑 Light" w:cs="微软雅黑 Light"/>
                <w:color w:val="auto"/>
                <w:kern w:val="2"/>
                <w:sz w:val="22"/>
                <w:szCs w:val="22"/>
                <w:highlight w:val="none"/>
                <w:lang w:val="en-US" w:eastAsia="zh-CN" w:bidi="ar-SA"/>
              </w:rPr>
              <w:t>0</w:t>
            </w:r>
            <w:r>
              <w:rPr>
                <w:rFonts w:hint="eastAsia" w:ascii="微软雅黑 Light" w:hAnsi="微软雅黑 Light" w:eastAsia="微软雅黑 Light" w:cs="微软雅黑 Light"/>
                <w:color w:val="auto"/>
                <w:kern w:val="2"/>
                <w:sz w:val="22"/>
                <w:szCs w:val="22"/>
                <w:highlight w:val="none"/>
                <w:lang w:val="en-US" w:eastAsia="zh-CN" w:bidi="ar-SA"/>
              </w:rPr>
              <w:t>*</w:t>
            </w:r>
            <w:r>
              <w:rPr>
                <w:rFonts w:hint="default" w:ascii="微软雅黑 Light" w:hAnsi="微软雅黑 Light" w:eastAsia="微软雅黑 Light" w:cs="微软雅黑 Light"/>
                <w:color w:val="auto"/>
                <w:kern w:val="2"/>
                <w:sz w:val="22"/>
                <w:szCs w:val="22"/>
                <w:highlight w:val="none"/>
                <w:lang w:val="en-US" w:eastAsia="zh-CN" w:bidi="ar-SA"/>
              </w:rPr>
              <w:t>（评标基准价</w:t>
            </w:r>
            <w:r>
              <w:rPr>
                <w:rFonts w:hint="eastAsia" w:ascii="微软雅黑 Light" w:hAnsi="微软雅黑 Light" w:eastAsia="微软雅黑 Light" w:cs="微软雅黑 Light"/>
                <w:color w:val="auto"/>
                <w:kern w:val="2"/>
                <w:sz w:val="22"/>
                <w:szCs w:val="22"/>
                <w:highlight w:val="none"/>
                <w:lang w:val="en-US" w:eastAsia="zh-CN" w:bidi="ar-SA"/>
              </w:rPr>
              <w:t>/投标</w:t>
            </w:r>
            <w:r>
              <w:rPr>
                <w:rFonts w:hint="default" w:ascii="微软雅黑 Light" w:hAnsi="微软雅黑 Light" w:eastAsia="微软雅黑 Light" w:cs="微软雅黑 Light"/>
                <w:color w:val="auto"/>
                <w:kern w:val="2"/>
                <w:sz w:val="22"/>
                <w:szCs w:val="22"/>
                <w:highlight w:val="none"/>
                <w:lang w:val="en-US" w:eastAsia="zh-CN" w:bidi="ar-SA"/>
              </w:rPr>
              <w:t>报价）</w:t>
            </w:r>
          </w:p>
          <w:p w14:paraId="7AD7B689">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rPr>
            </w:pPr>
            <w:r>
              <w:rPr>
                <w:rFonts w:hint="eastAsia" w:ascii="微软雅黑 Light" w:hAnsi="微软雅黑 Light" w:eastAsia="微软雅黑 Light" w:cs="微软雅黑 Light"/>
                <w:sz w:val="24"/>
                <w:szCs w:val="24"/>
                <w:highlight w:val="none"/>
              </w:rPr>
              <w:t>注：1、因落实政府采购政策进行价格调整的，以调整后的价格计算评标基准价和最后报价；</w:t>
            </w:r>
          </w:p>
          <w:p w14:paraId="56FBEB43">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rPr>
            </w:pPr>
            <w:r>
              <w:rPr>
                <w:rFonts w:hint="eastAsia" w:ascii="微软雅黑 Light" w:hAnsi="微软雅黑 Light" w:eastAsia="微软雅黑 Light" w:cs="微软雅黑 Light"/>
                <w:sz w:val="24"/>
                <w:szCs w:val="24"/>
                <w:highlight w:val="none"/>
                <w:lang w:val="en-US" w:eastAsia="zh-CN"/>
              </w:rPr>
              <w:t>2</w:t>
            </w:r>
            <w:r>
              <w:rPr>
                <w:rFonts w:hint="eastAsia" w:ascii="微软雅黑 Light" w:hAnsi="微软雅黑 Light" w:eastAsia="微软雅黑 Light" w:cs="微软雅黑 Light"/>
                <w:sz w:val="24"/>
                <w:szCs w:val="24"/>
                <w:highlight w:val="none"/>
              </w:rPr>
              <w:t>、若货物为小微型企业（残疾人福利性单位、监狱企业）产品、服务，请在分项报价表备注栏中标明并同时提供证明材料，经评审小组核实方可获得价格扣除；</w:t>
            </w:r>
          </w:p>
          <w:p w14:paraId="506A8352">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rPr>
            </w:pPr>
            <w:r>
              <w:rPr>
                <w:rFonts w:hint="eastAsia" w:ascii="微软雅黑 Light" w:hAnsi="微软雅黑 Light" w:eastAsia="微软雅黑 Light" w:cs="微软雅黑 Light"/>
                <w:sz w:val="24"/>
                <w:szCs w:val="24"/>
                <w:highlight w:val="none"/>
              </w:rPr>
              <w:t>3、对小型和微型企业产品、服务的价格给予</w:t>
            </w:r>
            <w:r>
              <w:rPr>
                <w:rFonts w:hint="eastAsia" w:ascii="微软雅黑 Light" w:hAnsi="微软雅黑 Light" w:eastAsia="微软雅黑 Light" w:cs="微软雅黑 Light"/>
                <w:sz w:val="24"/>
                <w:szCs w:val="24"/>
                <w:highlight w:val="none"/>
                <w:lang w:val="en-US" w:eastAsia="zh-CN"/>
              </w:rPr>
              <w:t>10</w:t>
            </w:r>
            <w:r>
              <w:rPr>
                <w:rFonts w:hint="eastAsia" w:ascii="微软雅黑 Light" w:hAnsi="微软雅黑 Light" w:eastAsia="微软雅黑 Light" w:cs="微软雅黑 Light"/>
                <w:sz w:val="24"/>
                <w:szCs w:val="24"/>
                <w:highlight w:val="none"/>
              </w:rPr>
              <w:t>%的扣除，用扣除后的价格参与评审；</w:t>
            </w:r>
          </w:p>
          <w:p w14:paraId="769A97EE">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rPr>
            </w:pPr>
            <w:r>
              <w:rPr>
                <w:rFonts w:hint="eastAsia" w:ascii="微软雅黑 Light" w:hAnsi="微软雅黑 Light" w:eastAsia="微软雅黑 Light" w:cs="微软雅黑 Light"/>
                <w:sz w:val="24"/>
                <w:szCs w:val="24"/>
                <w:highlight w:val="none"/>
              </w:rPr>
              <w:t>4、残疾人福利性单位（监狱企业）产品、服务视同小型、微型企业产品、服务，享受同等价格扣除；</w:t>
            </w:r>
          </w:p>
          <w:p w14:paraId="3A01C2B2">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rPr>
            </w:pPr>
            <w:r>
              <w:rPr>
                <w:rFonts w:hint="eastAsia" w:ascii="微软雅黑 Light" w:hAnsi="微软雅黑 Light" w:eastAsia="微软雅黑 Light" w:cs="微软雅黑 Light"/>
                <w:sz w:val="24"/>
                <w:szCs w:val="24"/>
                <w:highlight w:val="none"/>
              </w:rPr>
              <w:t>5、</w:t>
            </w:r>
            <w:r>
              <w:rPr>
                <w:rFonts w:hint="eastAsia" w:ascii="微软雅黑 Light" w:hAnsi="微软雅黑 Light" w:eastAsia="微软雅黑 Light" w:cs="微软雅黑 Light"/>
                <w:sz w:val="24"/>
                <w:szCs w:val="24"/>
                <w:highlight w:val="none"/>
                <w:lang w:eastAsia="zh-CN"/>
              </w:rPr>
              <w:t>投标单位</w:t>
            </w:r>
            <w:r>
              <w:rPr>
                <w:rFonts w:hint="eastAsia" w:ascii="微软雅黑 Light" w:hAnsi="微软雅黑 Light" w:eastAsia="微软雅黑 Light" w:cs="微软雅黑 Light"/>
                <w:sz w:val="24"/>
                <w:szCs w:val="24"/>
                <w:highlight w:val="none"/>
              </w:rPr>
              <w:t>仅能获得一种政策的价格扣除，不重复享受；</w:t>
            </w:r>
          </w:p>
          <w:p w14:paraId="37A4A2A1">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rPr>
            </w:pPr>
            <w:r>
              <w:rPr>
                <w:rFonts w:hint="eastAsia" w:ascii="微软雅黑 Light" w:hAnsi="微软雅黑 Light" w:eastAsia="微软雅黑 Light" w:cs="微软雅黑 Light"/>
                <w:sz w:val="24"/>
                <w:szCs w:val="24"/>
                <w:highlight w:val="none"/>
              </w:rPr>
              <w:t>6、投标报价</w:t>
            </w:r>
            <w:r>
              <w:rPr>
                <w:rFonts w:hint="eastAsia" w:ascii="微软雅黑 Light" w:hAnsi="微软雅黑 Light" w:eastAsia="微软雅黑 Light" w:cs="微软雅黑 Light"/>
                <w:sz w:val="24"/>
                <w:szCs w:val="24"/>
                <w:highlight w:val="none"/>
                <w:lang w:eastAsia="zh-CN"/>
              </w:rPr>
              <w:t>经评审</w:t>
            </w:r>
            <w:r>
              <w:rPr>
                <w:rFonts w:hint="eastAsia" w:ascii="微软雅黑 Light" w:hAnsi="微软雅黑 Light" w:eastAsia="微软雅黑 Light" w:cs="微软雅黑 Light"/>
                <w:sz w:val="24"/>
                <w:szCs w:val="24"/>
                <w:highlight w:val="none"/>
              </w:rPr>
              <w:t>小组认定属于恶意低价的，此项得分为零。</w:t>
            </w:r>
          </w:p>
          <w:p w14:paraId="7829E080">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ind w:left="0" w:leftChars="0" w:firstLine="0" w:firstLineChars="0"/>
              <w:jc w:val="both"/>
              <w:textAlignment w:val="auto"/>
              <w:rPr>
                <w:rFonts w:hint="eastAsia" w:ascii="宋体" w:hAnsi="宋体" w:eastAsia="宋体" w:cs="宋体"/>
                <w:color w:val="auto"/>
                <w:sz w:val="24"/>
                <w:szCs w:val="24"/>
                <w:highlight w:val="none"/>
                <w:lang w:val="en-US" w:eastAsia="zh-CN"/>
              </w:rPr>
            </w:pPr>
            <w:r>
              <w:rPr>
                <w:rFonts w:hint="eastAsia" w:ascii="微软雅黑 Light" w:hAnsi="微软雅黑 Light" w:eastAsia="微软雅黑 Light" w:cs="微软雅黑 Light"/>
                <w:sz w:val="24"/>
                <w:szCs w:val="24"/>
                <w:highlight w:val="none"/>
                <w:lang w:val="en-US" w:eastAsia="zh-CN"/>
              </w:rPr>
              <w:t>7、</w:t>
            </w:r>
            <w:r>
              <w:rPr>
                <w:rFonts w:hint="eastAsia" w:ascii="微软雅黑 Light" w:hAnsi="微软雅黑 Light" w:eastAsia="微软雅黑 Light" w:cs="微软雅黑 Light"/>
                <w:sz w:val="24"/>
                <w:szCs w:val="24"/>
                <w:highlight w:val="none"/>
                <w:lang w:eastAsia="zh-CN"/>
              </w:rPr>
              <w:t>投标人在报价阶段中有效投标单位</w:t>
            </w:r>
            <w:r>
              <w:rPr>
                <w:rFonts w:hint="eastAsia" w:ascii="微软雅黑 Light" w:hAnsi="微软雅黑 Light" w:eastAsia="微软雅黑 Light" w:cs="微软雅黑 Light"/>
                <w:sz w:val="24"/>
                <w:szCs w:val="24"/>
                <w:highlight w:val="none"/>
              </w:rPr>
              <w:t>不足3家时，</w:t>
            </w:r>
            <w:r>
              <w:rPr>
                <w:rFonts w:hint="eastAsia" w:ascii="微软雅黑 Light" w:hAnsi="微软雅黑 Light" w:eastAsia="微软雅黑 Light" w:cs="微软雅黑 Light"/>
                <w:sz w:val="24"/>
                <w:szCs w:val="24"/>
                <w:highlight w:val="none"/>
                <w:lang w:eastAsia="zh-CN"/>
              </w:rPr>
              <w:t>经评审组认定剩余有效投标单位不具有竞争性的，</w:t>
            </w:r>
            <w:r>
              <w:rPr>
                <w:rFonts w:hint="eastAsia" w:ascii="微软雅黑 Light" w:hAnsi="微软雅黑 Light" w:eastAsia="微软雅黑 Light" w:cs="微软雅黑 Light"/>
                <w:sz w:val="24"/>
                <w:szCs w:val="24"/>
                <w:highlight w:val="none"/>
              </w:rPr>
              <w:t>本项目将按</w:t>
            </w:r>
            <w:r>
              <w:rPr>
                <w:rFonts w:hint="eastAsia" w:ascii="微软雅黑 Light" w:hAnsi="微软雅黑 Light" w:eastAsia="微软雅黑 Light" w:cs="微软雅黑 Light"/>
                <w:sz w:val="24"/>
                <w:szCs w:val="24"/>
                <w:highlight w:val="none"/>
                <w:lang w:eastAsia="zh-CN"/>
              </w:rPr>
              <w:t>流</w:t>
            </w:r>
            <w:r>
              <w:rPr>
                <w:rFonts w:hint="eastAsia" w:ascii="微软雅黑 Light" w:hAnsi="微软雅黑 Light" w:eastAsia="微软雅黑 Light" w:cs="微软雅黑 Light"/>
                <w:sz w:val="24"/>
                <w:szCs w:val="24"/>
                <w:highlight w:val="none"/>
              </w:rPr>
              <w:t>标处理，不再进行评审。</w:t>
            </w:r>
          </w:p>
        </w:tc>
      </w:tr>
    </w:tbl>
    <w:p w14:paraId="1EEFF035">
      <w:pPr>
        <w:pStyle w:val="18"/>
        <w:rPr>
          <w:rFonts w:hint="eastAsia" w:ascii="宋体" w:hAnsi="宋体" w:eastAsia="宋体" w:cs="宋体"/>
          <w:b/>
          <w:bCs/>
          <w:color w:val="auto"/>
          <w:sz w:val="28"/>
          <w:szCs w:val="28"/>
          <w:highlight w:val="none"/>
          <w:lang w:val="en-US" w:eastAsia="zh-CN"/>
        </w:rPr>
      </w:pPr>
    </w:p>
    <w:p w14:paraId="154A77BD">
      <w:pPr>
        <w:pStyle w:val="18"/>
        <w:rPr>
          <w:rFonts w:hint="eastAsia" w:ascii="宋体" w:hAnsi="宋体" w:eastAsia="宋体" w:cs="宋体"/>
          <w:b/>
          <w:bCs/>
          <w:color w:val="auto"/>
          <w:sz w:val="28"/>
          <w:szCs w:val="28"/>
          <w:highlight w:val="none"/>
          <w:lang w:val="en-US" w:eastAsia="zh-CN"/>
        </w:rPr>
      </w:pPr>
    </w:p>
    <w:p w14:paraId="45814717">
      <w:pPr>
        <w:pStyle w:val="18"/>
        <w:rPr>
          <w:rFonts w:hint="eastAsia" w:ascii="宋体" w:hAnsi="宋体" w:eastAsia="宋体" w:cs="宋体"/>
          <w:b/>
          <w:bCs/>
          <w:color w:val="auto"/>
          <w:sz w:val="28"/>
          <w:szCs w:val="28"/>
          <w:highlight w:val="none"/>
          <w:lang w:val="en-US" w:eastAsia="zh-CN"/>
        </w:rPr>
      </w:pPr>
    </w:p>
    <w:p w14:paraId="59935A03">
      <w:pPr>
        <w:pStyle w:val="18"/>
        <w:rPr>
          <w:rFonts w:hint="eastAsia" w:ascii="宋体" w:hAnsi="宋体" w:eastAsia="宋体" w:cs="宋体"/>
          <w:b/>
          <w:bCs/>
          <w:color w:val="auto"/>
          <w:sz w:val="28"/>
          <w:szCs w:val="28"/>
          <w:highlight w:val="none"/>
          <w:lang w:val="en-US" w:eastAsia="zh-CN"/>
        </w:rPr>
      </w:pPr>
    </w:p>
    <w:p w14:paraId="3D936696">
      <w:pPr>
        <w:pStyle w:val="5"/>
        <w:rPr>
          <w:rFonts w:hint="eastAsia" w:ascii="宋体" w:hAnsi="宋体" w:eastAsia="宋体" w:cs="宋体"/>
          <w:color w:val="auto"/>
          <w:highlight w:val="none"/>
        </w:rPr>
      </w:pPr>
    </w:p>
    <w:p w14:paraId="07AA4803">
      <w:pPr>
        <w:rPr>
          <w:rFonts w:hint="eastAsia" w:ascii="宋体" w:hAnsi="宋体" w:eastAsia="宋体" w:cs="宋体"/>
          <w:color w:val="auto"/>
          <w:highlight w:val="none"/>
        </w:rPr>
      </w:pPr>
    </w:p>
    <w:p w14:paraId="144520A2">
      <w:pPr>
        <w:rPr>
          <w:rFonts w:hint="eastAsia" w:ascii="宋体" w:hAnsi="宋体" w:eastAsia="宋体" w:cs="宋体"/>
          <w:color w:val="auto"/>
          <w:highlight w:val="none"/>
        </w:rPr>
      </w:pPr>
    </w:p>
    <w:p w14:paraId="1D468EDD">
      <w:pPr>
        <w:rPr>
          <w:rFonts w:hint="eastAsia" w:ascii="宋体" w:hAnsi="宋体" w:eastAsia="宋体" w:cs="宋体"/>
          <w:color w:val="auto"/>
          <w:highlight w:val="none"/>
        </w:rPr>
      </w:pPr>
    </w:p>
    <w:p w14:paraId="4B8C2A10">
      <w:pPr>
        <w:rPr>
          <w:rFonts w:hint="eastAsia" w:ascii="宋体" w:hAnsi="宋体" w:eastAsia="宋体" w:cs="宋体"/>
          <w:color w:val="auto"/>
          <w:highlight w:val="none"/>
        </w:rPr>
      </w:pPr>
    </w:p>
    <w:p w14:paraId="1615F173">
      <w:pPr>
        <w:rPr>
          <w:rFonts w:hint="eastAsia" w:ascii="宋体" w:hAnsi="宋体" w:eastAsia="宋体" w:cs="宋体"/>
          <w:color w:val="auto"/>
          <w:highlight w:val="none"/>
        </w:rPr>
      </w:pPr>
    </w:p>
    <w:p w14:paraId="04F40390">
      <w:pPr>
        <w:rPr>
          <w:rFonts w:hint="eastAsia" w:ascii="宋体" w:hAnsi="宋体" w:eastAsia="宋体" w:cs="宋体"/>
          <w:color w:val="auto"/>
          <w:highlight w:val="none"/>
        </w:rPr>
      </w:pPr>
    </w:p>
    <w:tbl>
      <w:tblPr>
        <w:tblStyle w:val="45"/>
        <w:tblpPr w:leftFromText="180" w:rightFromText="180" w:vertAnchor="text" w:horzAnchor="page" w:tblpX="979" w:tblpY="222"/>
        <w:tblOverlap w:val="never"/>
        <w:tblW w:w="10556" w:type="dxa"/>
        <w:tblInd w:w="0"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003"/>
        <w:gridCol w:w="3516"/>
        <w:gridCol w:w="6037"/>
      </w:tblGrid>
      <w:tr w14:paraId="402D8C9C">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556" w:type="dxa"/>
            <w:gridSpan w:val="3"/>
            <w:vAlign w:val="center"/>
          </w:tcPr>
          <w:p w14:paraId="396D3275">
            <w:pPr>
              <w:keepNext w:val="0"/>
              <w:keepLines w:val="0"/>
              <w:pageBreakBefore w:val="0"/>
              <w:widowControl w:val="0"/>
              <w:numPr>
                <w:ilvl w:val="0"/>
                <w:numId w:val="0"/>
              </w:numPr>
              <w:kinsoku/>
              <w:wordWrap/>
              <w:overflowPunct/>
              <w:topLinePunct w:val="0"/>
              <w:autoSpaceDE/>
              <w:autoSpaceDN/>
              <w:bidi w:val="0"/>
              <w:adjustRightInd/>
              <w:snapToGrid/>
              <w:spacing w:after="0" w:line="240" w:lineRule="auto"/>
              <w:jc w:val="center"/>
              <w:textAlignment w:val="auto"/>
              <w:rPr>
                <w:rFonts w:hint="default"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40"/>
                <w:szCs w:val="40"/>
                <w:highlight w:val="none"/>
                <w:lang w:val="en-US" w:eastAsia="zh-CN"/>
              </w:rPr>
              <w:t>技术部分</w:t>
            </w:r>
          </w:p>
        </w:tc>
      </w:tr>
      <w:tr w14:paraId="0C4D9FD0">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restart"/>
            <w:vAlign w:val="center"/>
          </w:tcPr>
          <w:p w14:paraId="47578FF9">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default"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2.2.2</w:t>
            </w:r>
          </w:p>
        </w:tc>
        <w:tc>
          <w:tcPr>
            <w:tcW w:w="3516" w:type="dxa"/>
            <w:vAlign w:val="center"/>
          </w:tcPr>
          <w:p w14:paraId="30C016B2">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color w:val="auto"/>
                <w:kern w:val="2"/>
                <w:sz w:val="28"/>
                <w:szCs w:val="28"/>
                <w:highlight w:val="none"/>
                <w:lang w:val="en-US" w:eastAsia="zh-CN" w:bidi="ar-SA"/>
              </w:rPr>
              <w:t>服务方案(满分40分)</w:t>
            </w:r>
          </w:p>
        </w:tc>
        <w:tc>
          <w:tcPr>
            <w:tcW w:w="6037" w:type="dxa"/>
            <w:vAlign w:val="center"/>
          </w:tcPr>
          <w:p w14:paraId="659EF90A">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sz w:val="24"/>
                <w:szCs w:val="24"/>
                <w:highlight w:val="none"/>
                <w:lang w:val="en-US" w:eastAsia="zh-CN"/>
              </w:rPr>
              <w:t>第一档：技术服务方案阐述完整、详细，可操作性强，各项安排明确、规范、合理，完全满足本项目需求，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30-40</w:t>
            </w:r>
            <w:r>
              <w:rPr>
                <w:rFonts w:hint="eastAsia" w:ascii="微软雅黑 Light" w:hAnsi="微软雅黑 Light" w:eastAsia="微软雅黑 Light" w:cs="微软雅黑 Light"/>
                <w:sz w:val="24"/>
                <w:szCs w:val="24"/>
                <w:highlight w:val="none"/>
                <w:lang w:val="zh-CN" w:eastAsia="zh-CN"/>
              </w:rPr>
              <w:t>分。</w:t>
            </w:r>
          </w:p>
          <w:p w14:paraId="2852493B">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24"/>
                <w:szCs w:val="24"/>
                <w:highlight w:val="none"/>
                <w:lang w:val="en-US" w:eastAsia="zh-CN"/>
              </w:rPr>
              <w:t>第二档：技术服务方案阐述较完整、详细，可操作性良好，各项安排较明确、规范、合理，满足本项目需求，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20-29</w:t>
            </w:r>
            <w:r>
              <w:rPr>
                <w:rFonts w:hint="eastAsia" w:ascii="微软雅黑 Light" w:hAnsi="微软雅黑 Light" w:eastAsia="微软雅黑 Light" w:cs="微软雅黑 Light"/>
                <w:sz w:val="24"/>
                <w:szCs w:val="24"/>
                <w:highlight w:val="none"/>
                <w:lang w:val="zh-CN" w:eastAsia="zh-CN"/>
              </w:rPr>
              <w:t>分。</w:t>
            </w:r>
          </w:p>
          <w:p w14:paraId="459ECB62">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24"/>
                <w:szCs w:val="24"/>
                <w:highlight w:val="none"/>
                <w:lang w:val="en-US" w:eastAsia="zh-CN"/>
              </w:rPr>
              <w:t>第三档：技术服务方案阐述基本完整、详细，具有可操作性，各项安排基本明确、规范、合理，基本满足本项目需求，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10-19</w:t>
            </w:r>
            <w:r>
              <w:rPr>
                <w:rFonts w:hint="eastAsia" w:ascii="微软雅黑 Light" w:hAnsi="微软雅黑 Light" w:eastAsia="微软雅黑 Light" w:cs="微软雅黑 Light"/>
                <w:sz w:val="24"/>
                <w:szCs w:val="24"/>
                <w:highlight w:val="none"/>
                <w:lang w:val="zh-CN" w:eastAsia="zh-CN"/>
              </w:rPr>
              <w:t>分。</w:t>
            </w:r>
          </w:p>
          <w:p w14:paraId="7D6D4BB3">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24"/>
                <w:szCs w:val="24"/>
                <w:highlight w:val="none"/>
                <w:lang w:val="en-US" w:eastAsia="zh-CN"/>
              </w:rPr>
              <w:t>第四档：技术服务方案阐述有缺漏、不详细，可操作性差，各项安排不够明确、规范、合理，难以满足本项目需求，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5-9</w:t>
            </w:r>
            <w:r>
              <w:rPr>
                <w:rFonts w:hint="eastAsia" w:ascii="微软雅黑 Light" w:hAnsi="微软雅黑 Light" w:eastAsia="微软雅黑 Light" w:cs="微软雅黑 Light"/>
                <w:sz w:val="24"/>
                <w:szCs w:val="24"/>
                <w:highlight w:val="none"/>
                <w:lang w:val="zh-CN" w:eastAsia="zh-CN"/>
              </w:rPr>
              <w:t>分。</w:t>
            </w:r>
          </w:p>
          <w:p w14:paraId="5E4F39FA">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24"/>
                <w:szCs w:val="24"/>
                <w:highlight w:val="none"/>
                <w:lang w:val="en-US" w:eastAsia="zh-CN"/>
              </w:rPr>
              <w:t>第五档：技术服务方案阐述笼统，前后不一致，重点不明确，基本没有可操作性，不能满足本项目需求，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0-5</w:t>
            </w:r>
            <w:r>
              <w:rPr>
                <w:rFonts w:hint="eastAsia" w:ascii="微软雅黑 Light" w:hAnsi="微软雅黑 Light" w:eastAsia="微软雅黑 Light" w:cs="微软雅黑 Light"/>
                <w:sz w:val="24"/>
                <w:szCs w:val="24"/>
                <w:highlight w:val="none"/>
                <w:lang w:val="zh-CN" w:eastAsia="zh-CN"/>
              </w:rPr>
              <w:t>分。</w:t>
            </w:r>
          </w:p>
        </w:tc>
      </w:tr>
      <w:tr w14:paraId="0F9689B5">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continue"/>
            <w:vAlign w:val="center"/>
          </w:tcPr>
          <w:p w14:paraId="17322703">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8"/>
                <w:szCs w:val="28"/>
                <w:highlight w:val="none"/>
                <w:lang w:val="en-US" w:eastAsia="zh-CN" w:bidi="ar-SA"/>
              </w:rPr>
            </w:pPr>
          </w:p>
        </w:tc>
        <w:tc>
          <w:tcPr>
            <w:tcW w:w="3516" w:type="dxa"/>
            <w:vAlign w:val="center"/>
          </w:tcPr>
          <w:p w14:paraId="41383F68">
            <w:pPr>
              <w:pStyle w:val="148"/>
              <w:keepNext w:val="0"/>
              <w:keepLines w:val="0"/>
              <w:pageBreakBefore w:val="0"/>
              <w:widowControl w:val="0"/>
              <w:kinsoku/>
              <w:wordWrap/>
              <w:overflowPunct/>
              <w:topLinePunct w:val="0"/>
              <w:autoSpaceDE/>
              <w:autoSpaceDN/>
              <w:bidi w:val="0"/>
              <w:adjustRightInd/>
              <w:snapToGrid/>
              <w:spacing w:after="0" w:line="40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服务进度计划、组织措施方案（10分）</w:t>
            </w:r>
          </w:p>
        </w:tc>
        <w:tc>
          <w:tcPr>
            <w:tcW w:w="6037" w:type="dxa"/>
            <w:vAlign w:val="center"/>
          </w:tcPr>
          <w:p w14:paraId="1E8E6CB6">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sz w:val="24"/>
                <w:szCs w:val="24"/>
                <w:highlight w:val="none"/>
                <w:lang w:val="en-US" w:eastAsia="zh-CN"/>
              </w:rPr>
              <w:t>第一档：供应商拟供货进度计划、组织措施方案阐述完整、详细，可操作性强，各项安排明确、规范、合理，完全满足本项目需求，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5-10</w:t>
            </w:r>
            <w:r>
              <w:rPr>
                <w:rFonts w:hint="eastAsia" w:ascii="微软雅黑 Light" w:hAnsi="微软雅黑 Light" w:eastAsia="微软雅黑 Light" w:cs="微软雅黑 Light"/>
                <w:sz w:val="24"/>
                <w:szCs w:val="24"/>
                <w:highlight w:val="none"/>
                <w:lang w:val="zh-CN" w:eastAsia="zh-CN"/>
              </w:rPr>
              <w:t>分。</w:t>
            </w:r>
          </w:p>
          <w:p w14:paraId="316C273D">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24"/>
                <w:szCs w:val="24"/>
                <w:highlight w:val="none"/>
                <w:lang w:val="en-US" w:eastAsia="zh-CN"/>
              </w:rPr>
              <w:t>第二档：供应商拟供货进度计划、组织措施方案阐述较基本完整、不够详细，可操作性一般，各项安排基本明确、规范、合理，基本满足本项目需求，</w:t>
            </w:r>
            <w:r>
              <w:rPr>
                <w:rFonts w:hint="eastAsia" w:ascii="微软雅黑 Light" w:hAnsi="微软雅黑 Light" w:eastAsia="微软雅黑 Light" w:cs="微软雅黑 Light"/>
                <w:sz w:val="24"/>
                <w:szCs w:val="24"/>
                <w:highlight w:val="none"/>
                <w:lang w:val="zh-CN" w:eastAsia="zh-CN"/>
              </w:rPr>
              <w:t>得</w:t>
            </w:r>
            <w:r>
              <w:rPr>
                <w:rFonts w:hint="eastAsia" w:ascii="微软雅黑 Light" w:hAnsi="微软雅黑 Light" w:eastAsia="微软雅黑 Light" w:cs="微软雅黑 Light"/>
                <w:sz w:val="24"/>
                <w:szCs w:val="24"/>
                <w:highlight w:val="none"/>
                <w:lang w:val="en-US" w:eastAsia="zh-CN"/>
              </w:rPr>
              <w:t>1-5</w:t>
            </w:r>
            <w:r>
              <w:rPr>
                <w:rFonts w:hint="eastAsia" w:ascii="微软雅黑 Light" w:hAnsi="微软雅黑 Light" w:eastAsia="微软雅黑 Light" w:cs="微软雅黑 Light"/>
                <w:sz w:val="24"/>
                <w:szCs w:val="24"/>
                <w:highlight w:val="none"/>
                <w:lang w:val="zh-CN" w:eastAsia="zh-CN"/>
              </w:rPr>
              <w:t>分。</w:t>
            </w:r>
          </w:p>
          <w:p w14:paraId="74BF7AAA">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color w:val="auto"/>
                <w:kern w:val="2"/>
                <w:sz w:val="24"/>
                <w:szCs w:val="24"/>
                <w:highlight w:val="none"/>
                <w:lang w:val="en-US" w:eastAsia="zh-CN" w:bidi="ar-SA"/>
              </w:rPr>
              <w:t>无方案内容的为0分。</w:t>
            </w:r>
          </w:p>
        </w:tc>
      </w:tr>
      <w:tr w14:paraId="632B639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continue"/>
            <w:vAlign w:val="center"/>
          </w:tcPr>
          <w:p w14:paraId="371EA55C">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8"/>
                <w:szCs w:val="28"/>
                <w:highlight w:val="none"/>
                <w:lang w:val="en-US" w:eastAsia="zh-CN" w:bidi="ar-SA"/>
              </w:rPr>
            </w:pPr>
          </w:p>
        </w:tc>
        <w:tc>
          <w:tcPr>
            <w:tcW w:w="3516" w:type="dxa"/>
            <w:vAlign w:val="center"/>
          </w:tcPr>
          <w:p w14:paraId="5E39E4C8">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服务质量承诺及保证措施方案（10分）</w:t>
            </w:r>
          </w:p>
        </w:tc>
        <w:tc>
          <w:tcPr>
            <w:tcW w:w="6037" w:type="dxa"/>
            <w:vAlign w:val="center"/>
          </w:tcPr>
          <w:p w14:paraId="4F290B75">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sz w:val="24"/>
                <w:szCs w:val="24"/>
                <w:highlight w:val="none"/>
                <w:lang w:val="zh-CN" w:eastAsia="zh-CN"/>
              </w:rPr>
              <w:t>第一档：</w:t>
            </w:r>
            <w:r>
              <w:rPr>
                <w:rFonts w:hint="eastAsia" w:ascii="微软雅黑 Light" w:hAnsi="微软雅黑 Light" w:eastAsia="微软雅黑 Light" w:cs="微软雅黑 Light"/>
                <w:sz w:val="24"/>
                <w:szCs w:val="24"/>
                <w:highlight w:val="none"/>
                <w:lang w:val="en-US" w:eastAsia="zh-CN"/>
              </w:rPr>
              <w:t>服务</w:t>
            </w:r>
            <w:r>
              <w:rPr>
                <w:rFonts w:hint="eastAsia" w:ascii="微软雅黑 Light" w:hAnsi="微软雅黑 Light" w:eastAsia="微软雅黑 Light" w:cs="微软雅黑 Light"/>
                <w:sz w:val="24"/>
                <w:szCs w:val="24"/>
                <w:highlight w:val="none"/>
                <w:lang w:val="zh-CN" w:eastAsia="zh-CN"/>
              </w:rPr>
              <w:t>质量保证承诺</w:t>
            </w:r>
            <w:r>
              <w:rPr>
                <w:rFonts w:hint="eastAsia" w:ascii="微软雅黑 Light" w:hAnsi="微软雅黑 Light" w:eastAsia="微软雅黑 Light" w:cs="微软雅黑 Light"/>
                <w:sz w:val="24"/>
                <w:szCs w:val="24"/>
                <w:highlight w:val="none"/>
                <w:lang w:val="en-US" w:eastAsia="zh-CN"/>
              </w:rPr>
              <w:t>优</w:t>
            </w:r>
            <w:r>
              <w:rPr>
                <w:rFonts w:hint="eastAsia" w:ascii="微软雅黑 Light" w:hAnsi="微软雅黑 Light" w:eastAsia="微软雅黑 Light" w:cs="微软雅黑 Light"/>
                <w:sz w:val="24"/>
                <w:szCs w:val="24"/>
                <w:highlight w:val="none"/>
                <w:lang w:val="zh-CN" w:eastAsia="zh-CN"/>
              </w:rPr>
              <w:t>，保证措施完善，对各项服务内容均有针对性的保证措施，质量承诺及保证措施较优，得</w:t>
            </w:r>
            <w:r>
              <w:rPr>
                <w:rFonts w:hint="eastAsia" w:ascii="微软雅黑 Light" w:hAnsi="微软雅黑 Light" w:eastAsia="微软雅黑 Light" w:cs="微软雅黑 Light"/>
                <w:sz w:val="24"/>
                <w:szCs w:val="24"/>
                <w:highlight w:val="none"/>
                <w:lang w:val="en-US" w:eastAsia="zh-CN"/>
              </w:rPr>
              <w:t>9-10</w:t>
            </w:r>
            <w:r>
              <w:rPr>
                <w:rFonts w:hint="eastAsia" w:ascii="微软雅黑 Light" w:hAnsi="微软雅黑 Light" w:eastAsia="微软雅黑 Light" w:cs="微软雅黑 Light"/>
                <w:sz w:val="24"/>
                <w:szCs w:val="24"/>
                <w:highlight w:val="none"/>
                <w:lang w:val="zh-CN" w:eastAsia="zh-CN"/>
              </w:rPr>
              <w:t>分；</w:t>
            </w:r>
          </w:p>
          <w:p w14:paraId="122CD620">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sz w:val="24"/>
                <w:szCs w:val="24"/>
                <w:highlight w:val="none"/>
                <w:lang w:val="zh-CN" w:eastAsia="zh-CN"/>
              </w:rPr>
              <w:t>第二档：质量保证承诺</w:t>
            </w:r>
            <w:r>
              <w:rPr>
                <w:rFonts w:hint="eastAsia" w:ascii="微软雅黑 Light" w:hAnsi="微软雅黑 Light" w:eastAsia="微软雅黑 Light" w:cs="微软雅黑 Light"/>
                <w:sz w:val="24"/>
                <w:szCs w:val="24"/>
                <w:highlight w:val="none"/>
                <w:lang w:val="en-US" w:eastAsia="zh-CN"/>
              </w:rPr>
              <w:t>较好</w:t>
            </w:r>
            <w:r>
              <w:rPr>
                <w:rFonts w:hint="eastAsia" w:ascii="微软雅黑 Light" w:hAnsi="微软雅黑 Light" w:eastAsia="微软雅黑 Light" w:cs="微软雅黑 Light"/>
                <w:sz w:val="24"/>
                <w:szCs w:val="24"/>
                <w:highlight w:val="none"/>
                <w:lang w:val="zh-CN" w:eastAsia="zh-CN"/>
              </w:rPr>
              <w:t>，保证措施</w:t>
            </w:r>
            <w:r>
              <w:rPr>
                <w:rFonts w:hint="eastAsia" w:ascii="微软雅黑 Light" w:hAnsi="微软雅黑 Light" w:eastAsia="微软雅黑 Light" w:cs="微软雅黑 Light"/>
                <w:sz w:val="24"/>
                <w:szCs w:val="24"/>
                <w:highlight w:val="none"/>
                <w:lang w:val="en-US" w:eastAsia="zh-CN"/>
              </w:rPr>
              <w:t>基本</w:t>
            </w:r>
            <w:r>
              <w:rPr>
                <w:rFonts w:hint="eastAsia" w:ascii="微软雅黑 Light" w:hAnsi="微软雅黑 Light" w:eastAsia="微软雅黑 Light" w:cs="微软雅黑 Light"/>
                <w:sz w:val="24"/>
                <w:szCs w:val="24"/>
                <w:highlight w:val="none"/>
                <w:lang w:val="zh-CN" w:eastAsia="zh-CN"/>
              </w:rPr>
              <w:t>完善，对服务内容有可行的保证措施，质量承诺及保证措施良好的得</w:t>
            </w:r>
            <w:r>
              <w:rPr>
                <w:rFonts w:hint="eastAsia" w:ascii="微软雅黑 Light" w:hAnsi="微软雅黑 Light" w:eastAsia="微软雅黑 Light" w:cs="微软雅黑 Light"/>
                <w:sz w:val="24"/>
                <w:szCs w:val="24"/>
                <w:highlight w:val="none"/>
                <w:lang w:val="en-US" w:eastAsia="zh-CN"/>
              </w:rPr>
              <w:t>7-8</w:t>
            </w:r>
            <w:r>
              <w:rPr>
                <w:rFonts w:hint="eastAsia" w:ascii="微软雅黑 Light" w:hAnsi="微软雅黑 Light" w:eastAsia="微软雅黑 Light" w:cs="微软雅黑 Light"/>
                <w:sz w:val="24"/>
                <w:szCs w:val="24"/>
                <w:highlight w:val="none"/>
                <w:lang w:val="zh-CN" w:eastAsia="zh-CN"/>
              </w:rPr>
              <w:t>分；</w:t>
            </w:r>
          </w:p>
          <w:p w14:paraId="63D9331D">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sz w:val="24"/>
                <w:szCs w:val="24"/>
                <w:highlight w:val="none"/>
                <w:lang w:val="zh-CN" w:eastAsia="zh-CN"/>
              </w:rPr>
              <w:t>第</w:t>
            </w:r>
            <w:r>
              <w:rPr>
                <w:rFonts w:hint="eastAsia" w:ascii="微软雅黑 Light" w:hAnsi="微软雅黑 Light" w:eastAsia="微软雅黑 Light" w:cs="微软雅黑 Light"/>
                <w:sz w:val="24"/>
                <w:szCs w:val="24"/>
                <w:highlight w:val="none"/>
                <w:lang w:val="en-US" w:eastAsia="zh-CN"/>
              </w:rPr>
              <w:t>三</w:t>
            </w:r>
            <w:r>
              <w:rPr>
                <w:rFonts w:hint="eastAsia" w:ascii="微软雅黑 Light" w:hAnsi="微软雅黑 Light" w:eastAsia="微软雅黑 Light" w:cs="微软雅黑 Light"/>
                <w:sz w:val="24"/>
                <w:szCs w:val="24"/>
                <w:highlight w:val="none"/>
                <w:lang w:val="zh-CN" w:eastAsia="zh-CN"/>
              </w:rPr>
              <w:t>档：质量保证承诺</w:t>
            </w:r>
            <w:r>
              <w:rPr>
                <w:rFonts w:hint="eastAsia" w:ascii="微软雅黑 Light" w:hAnsi="微软雅黑 Light" w:eastAsia="微软雅黑 Light" w:cs="微软雅黑 Light"/>
                <w:sz w:val="24"/>
                <w:szCs w:val="24"/>
                <w:highlight w:val="none"/>
                <w:lang w:val="en-US" w:eastAsia="zh-CN"/>
              </w:rPr>
              <w:t>中等</w:t>
            </w:r>
            <w:r>
              <w:rPr>
                <w:rFonts w:hint="eastAsia" w:ascii="微软雅黑 Light" w:hAnsi="微软雅黑 Light" w:eastAsia="微软雅黑 Light" w:cs="微软雅黑 Light"/>
                <w:sz w:val="24"/>
                <w:szCs w:val="24"/>
                <w:highlight w:val="none"/>
                <w:lang w:val="zh-CN" w:eastAsia="zh-CN"/>
              </w:rPr>
              <w:t>，保证措施</w:t>
            </w:r>
            <w:r>
              <w:rPr>
                <w:rFonts w:hint="eastAsia" w:ascii="微软雅黑 Light" w:hAnsi="微软雅黑 Light" w:eastAsia="微软雅黑 Light" w:cs="微软雅黑 Light"/>
                <w:sz w:val="24"/>
                <w:szCs w:val="24"/>
                <w:highlight w:val="none"/>
                <w:lang w:val="en-US" w:eastAsia="zh-CN"/>
              </w:rPr>
              <w:t>基本</w:t>
            </w:r>
            <w:r>
              <w:rPr>
                <w:rFonts w:hint="eastAsia" w:ascii="微软雅黑 Light" w:hAnsi="微软雅黑 Light" w:eastAsia="微软雅黑 Light" w:cs="微软雅黑 Light"/>
                <w:sz w:val="24"/>
                <w:szCs w:val="24"/>
                <w:highlight w:val="none"/>
                <w:lang w:val="zh-CN" w:eastAsia="zh-CN"/>
              </w:rPr>
              <w:t>完善、对服务内容有可行的保证措施，质量承诺及保证措施</w:t>
            </w:r>
            <w:r>
              <w:rPr>
                <w:rFonts w:hint="eastAsia" w:ascii="微软雅黑 Light" w:hAnsi="微软雅黑 Light" w:eastAsia="微软雅黑 Light" w:cs="微软雅黑 Light"/>
                <w:sz w:val="24"/>
                <w:szCs w:val="24"/>
                <w:highlight w:val="none"/>
                <w:lang w:val="en-US" w:eastAsia="zh-CN"/>
              </w:rPr>
              <w:t>中等</w:t>
            </w:r>
            <w:r>
              <w:rPr>
                <w:rFonts w:hint="eastAsia" w:ascii="微软雅黑 Light" w:hAnsi="微软雅黑 Light" w:eastAsia="微软雅黑 Light" w:cs="微软雅黑 Light"/>
                <w:sz w:val="24"/>
                <w:szCs w:val="24"/>
                <w:highlight w:val="none"/>
                <w:lang w:val="zh-CN" w:eastAsia="zh-CN"/>
              </w:rPr>
              <w:t>的得</w:t>
            </w:r>
            <w:r>
              <w:rPr>
                <w:rFonts w:hint="eastAsia" w:ascii="微软雅黑 Light" w:hAnsi="微软雅黑 Light" w:eastAsia="微软雅黑 Light" w:cs="微软雅黑 Light"/>
                <w:sz w:val="24"/>
                <w:szCs w:val="24"/>
                <w:highlight w:val="none"/>
                <w:lang w:val="en-US" w:eastAsia="zh-CN"/>
              </w:rPr>
              <w:t>5-6</w:t>
            </w:r>
            <w:r>
              <w:rPr>
                <w:rFonts w:hint="eastAsia" w:ascii="微软雅黑 Light" w:hAnsi="微软雅黑 Light" w:eastAsia="微软雅黑 Light" w:cs="微软雅黑 Light"/>
                <w:sz w:val="24"/>
                <w:szCs w:val="24"/>
                <w:highlight w:val="none"/>
                <w:lang w:val="zh-CN" w:eastAsia="zh-CN"/>
              </w:rPr>
              <w:t>分；</w:t>
            </w:r>
          </w:p>
          <w:p w14:paraId="75B04F51">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jc w:val="both"/>
              <w:textAlignment w:val="auto"/>
              <w:rPr>
                <w:rFonts w:hint="eastAsia" w:ascii="微软雅黑 Light" w:hAnsi="微软雅黑 Light" w:eastAsia="微软雅黑 Light" w:cs="微软雅黑 Light"/>
                <w:sz w:val="24"/>
                <w:szCs w:val="24"/>
                <w:highlight w:val="none"/>
                <w:lang w:val="zh-CN" w:eastAsia="zh-CN"/>
              </w:rPr>
            </w:pPr>
            <w:r>
              <w:rPr>
                <w:rFonts w:hint="eastAsia" w:ascii="微软雅黑 Light" w:hAnsi="微软雅黑 Light" w:eastAsia="微软雅黑 Light" w:cs="微软雅黑 Light"/>
                <w:sz w:val="24"/>
                <w:szCs w:val="24"/>
                <w:highlight w:val="none"/>
                <w:lang w:val="zh-CN" w:eastAsia="zh-CN"/>
              </w:rPr>
              <w:t>第</w:t>
            </w:r>
            <w:r>
              <w:rPr>
                <w:rFonts w:hint="eastAsia" w:ascii="微软雅黑 Light" w:hAnsi="微软雅黑 Light" w:eastAsia="微软雅黑 Light" w:cs="微软雅黑 Light"/>
                <w:sz w:val="24"/>
                <w:szCs w:val="24"/>
                <w:highlight w:val="none"/>
                <w:lang w:val="en-US" w:eastAsia="zh-CN"/>
              </w:rPr>
              <w:t>四</w:t>
            </w:r>
            <w:r>
              <w:rPr>
                <w:rFonts w:hint="eastAsia" w:ascii="微软雅黑 Light" w:hAnsi="微软雅黑 Light" w:eastAsia="微软雅黑 Light" w:cs="微软雅黑 Light"/>
                <w:sz w:val="24"/>
                <w:szCs w:val="24"/>
                <w:highlight w:val="none"/>
                <w:lang w:val="zh-CN" w:eastAsia="zh-CN"/>
              </w:rPr>
              <w:t>档：质量保证承诺</w:t>
            </w:r>
            <w:r>
              <w:rPr>
                <w:rFonts w:hint="eastAsia" w:ascii="微软雅黑 Light" w:hAnsi="微软雅黑 Light" w:eastAsia="微软雅黑 Light" w:cs="微软雅黑 Light"/>
                <w:sz w:val="24"/>
                <w:szCs w:val="24"/>
                <w:highlight w:val="none"/>
                <w:lang w:val="en-US" w:eastAsia="zh-CN"/>
              </w:rPr>
              <w:t>一般</w:t>
            </w:r>
            <w:r>
              <w:rPr>
                <w:rFonts w:hint="eastAsia" w:ascii="微软雅黑 Light" w:hAnsi="微软雅黑 Light" w:eastAsia="微软雅黑 Light" w:cs="微软雅黑 Light"/>
                <w:sz w:val="24"/>
                <w:szCs w:val="24"/>
                <w:highlight w:val="none"/>
                <w:lang w:val="zh-CN" w:eastAsia="zh-CN"/>
              </w:rPr>
              <w:t>，保证措施</w:t>
            </w:r>
            <w:r>
              <w:rPr>
                <w:rFonts w:hint="eastAsia" w:ascii="微软雅黑 Light" w:hAnsi="微软雅黑 Light" w:eastAsia="微软雅黑 Light" w:cs="微软雅黑 Light"/>
                <w:sz w:val="24"/>
                <w:szCs w:val="24"/>
                <w:highlight w:val="none"/>
                <w:lang w:val="en-US" w:eastAsia="zh-CN"/>
              </w:rPr>
              <w:t>基本</w:t>
            </w:r>
            <w:r>
              <w:rPr>
                <w:rFonts w:hint="eastAsia" w:ascii="微软雅黑 Light" w:hAnsi="微软雅黑 Light" w:eastAsia="微软雅黑 Light" w:cs="微软雅黑 Light"/>
                <w:sz w:val="24"/>
                <w:szCs w:val="24"/>
                <w:highlight w:val="none"/>
                <w:lang w:val="zh-CN" w:eastAsia="zh-CN"/>
              </w:rPr>
              <w:t>完善、对服务内容有可行的保证措施，质量承诺及保证措施</w:t>
            </w:r>
            <w:r>
              <w:rPr>
                <w:rFonts w:hint="eastAsia" w:ascii="微软雅黑 Light" w:hAnsi="微软雅黑 Light" w:eastAsia="微软雅黑 Light" w:cs="微软雅黑 Light"/>
                <w:sz w:val="24"/>
                <w:szCs w:val="24"/>
                <w:highlight w:val="none"/>
                <w:lang w:val="en-US" w:eastAsia="zh-CN"/>
              </w:rPr>
              <w:t>一般</w:t>
            </w:r>
            <w:r>
              <w:rPr>
                <w:rFonts w:hint="eastAsia" w:ascii="微软雅黑 Light" w:hAnsi="微软雅黑 Light" w:eastAsia="微软雅黑 Light" w:cs="微软雅黑 Light"/>
                <w:sz w:val="24"/>
                <w:szCs w:val="24"/>
                <w:highlight w:val="none"/>
                <w:lang w:val="zh-CN" w:eastAsia="zh-CN"/>
              </w:rPr>
              <w:t>的得</w:t>
            </w:r>
            <w:r>
              <w:rPr>
                <w:rFonts w:hint="eastAsia" w:ascii="微软雅黑 Light" w:hAnsi="微软雅黑 Light" w:eastAsia="微软雅黑 Light" w:cs="微软雅黑 Light"/>
                <w:sz w:val="24"/>
                <w:szCs w:val="24"/>
                <w:highlight w:val="none"/>
                <w:lang w:val="en-US" w:eastAsia="zh-CN"/>
              </w:rPr>
              <w:t>3-4</w:t>
            </w:r>
            <w:r>
              <w:rPr>
                <w:rFonts w:hint="eastAsia" w:ascii="微软雅黑 Light" w:hAnsi="微软雅黑 Light" w:eastAsia="微软雅黑 Light" w:cs="微软雅黑 Light"/>
                <w:sz w:val="24"/>
                <w:szCs w:val="24"/>
                <w:highlight w:val="none"/>
                <w:lang w:val="zh-CN" w:eastAsia="zh-CN"/>
              </w:rPr>
              <w:t>分；</w:t>
            </w:r>
          </w:p>
          <w:p w14:paraId="4981FFEC">
            <w:pPr>
              <w:keepNext w:val="0"/>
              <w:keepLines w:val="0"/>
              <w:pageBreakBefore w:val="0"/>
              <w:widowControl w:val="0"/>
              <w:numPr>
                <w:ilvl w:val="0"/>
                <w:numId w:val="0"/>
              </w:numPr>
              <w:kinsoku/>
              <w:wordWrap/>
              <w:overflowPunct/>
              <w:topLinePunct w:val="0"/>
              <w:autoSpaceDE/>
              <w:autoSpaceDN/>
              <w:bidi w:val="0"/>
              <w:adjustRightInd/>
              <w:snapToGrid/>
              <w:spacing w:after="0" w:line="380" w:lineRule="exact"/>
              <w:ind w:left="0" w:leftChars="0" w:firstLine="0" w:firstLineChars="0"/>
              <w:jc w:val="both"/>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sz w:val="24"/>
                <w:szCs w:val="24"/>
                <w:highlight w:val="none"/>
                <w:lang w:val="zh-CN" w:eastAsia="zh-CN"/>
              </w:rPr>
              <w:t>第</w:t>
            </w:r>
            <w:r>
              <w:rPr>
                <w:rFonts w:hint="eastAsia" w:ascii="微软雅黑 Light" w:hAnsi="微软雅黑 Light" w:eastAsia="微软雅黑 Light" w:cs="微软雅黑 Light"/>
                <w:sz w:val="24"/>
                <w:szCs w:val="24"/>
                <w:highlight w:val="none"/>
                <w:lang w:val="en-US" w:eastAsia="zh-CN"/>
              </w:rPr>
              <w:t>五</w:t>
            </w:r>
            <w:r>
              <w:rPr>
                <w:rFonts w:hint="eastAsia" w:ascii="微软雅黑 Light" w:hAnsi="微软雅黑 Light" w:eastAsia="微软雅黑 Light" w:cs="微软雅黑 Light"/>
                <w:sz w:val="24"/>
                <w:szCs w:val="24"/>
                <w:highlight w:val="none"/>
                <w:lang w:val="zh-CN" w:eastAsia="zh-CN"/>
              </w:rPr>
              <w:t>档：质量保证承诺一般，保证措施基本完善、措施基本可行的，得</w:t>
            </w:r>
            <w:r>
              <w:rPr>
                <w:rFonts w:hint="eastAsia" w:ascii="微软雅黑 Light" w:hAnsi="微软雅黑 Light" w:eastAsia="微软雅黑 Light" w:cs="微软雅黑 Light"/>
                <w:sz w:val="24"/>
                <w:szCs w:val="24"/>
                <w:highlight w:val="none"/>
                <w:lang w:val="en-US" w:eastAsia="zh-CN"/>
              </w:rPr>
              <w:t>0-2</w:t>
            </w:r>
            <w:r>
              <w:rPr>
                <w:rFonts w:hint="eastAsia" w:ascii="微软雅黑 Light" w:hAnsi="微软雅黑 Light" w:eastAsia="微软雅黑 Light" w:cs="微软雅黑 Light"/>
                <w:sz w:val="24"/>
                <w:szCs w:val="24"/>
                <w:highlight w:val="none"/>
                <w:lang w:val="zh-CN" w:eastAsia="zh-CN"/>
              </w:rPr>
              <w:t>分</w:t>
            </w:r>
            <w:r>
              <w:rPr>
                <w:rFonts w:hint="eastAsia" w:ascii="宋体" w:hAnsi="宋体" w:eastAsia="宋体" w:cs="Times New Roman"/>
                <w:sz w:val="24"/>
                <w:highlight w:val="none"/>
                <w:lang w:val="zh-CN" w:eastAsia="zh-CN" w:bidi="en-US"/>
              </w:rPr>
              <w:t>；</w:t>
            </w:r>
          </w:p>
        </w:tc>
      </w:tr>
      <w:tr w14:paraId="7C76ED49">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continue"/>
            <w:vAlign w:val="center"/>
          </w:tcPr>
          <w:p w14:paraId="5B6791DE">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8"/>
                <w:szCs w:val="28"/>
                <w:highlight w:val="none"/>
                <w:lang w:val="en-US" w:eastAsia="zh-CN" w:bidi="ar-SA"/>
              </w:rPr>
            </w:pPr>
          </w:p>
        </w:tc>
        <w:tc>
          <w:tcPr>
            <w:tcW w:w="3516" w:type="dxa"/>
            <w:vAlign w:val="center"/>
          </w:tcPr>
          <w:p w14:paraId="1246087D">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服务内容的响应性（10分）</w:t>
            </w:r>
          </w:p>
        </w:tc>
        <w:tc>
          <w:tcPr>
            <w:tcW w:w="6037" w:type="dxa"/>
            <w:vAlign w:val="center"/>
          </w:tcPr>
          <w:p w14:paraId="35B02300">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color w:val="auto"/>
                <w:kern w:val="2"/>
                <w:sz w:val="24"/>
                <w:szCs w:val="24"/>
                <w:highlight w:val="none"/>
                <w:lang w:val="en-US" w:eastAsia="zh-CN" w:bidi="ar-SA"/>
              </w:rPr>
            </w:pPr>
            <w:r>
              <w:rPr>
                <w:rFonts w:hint="eastAsia" w:ascii="微软雅黑 Light" w:hAnsi="微软雅黑 Light" w:eastAsia="微软雅黑 Light" w:cs="微软雅黑 Light"/>
                <w:color w:val="auto"/>
                <w:kern w:val="2"/>
                <w:sz w:val="24"/>
                <w:szCs w:val="24"/>
                <w:highlight w:val="none"/>
                <w:lang w:val="en-US" w:eastAsia="zh-CN" w:bidi="ar-SA"/>
              </w:rPr>
              <w:t>第一档：拟完成的服务内容全部满足采购需求，得基本分8分，</w:t>
            </w:r>
          </w:p>
          <w:p w14:paraId="2FB0AA2C">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color w:val="auto"/>
                <w:kern w:val="2"/>
                <w:sz w:val="24"/>
                <w:szCs w:val="24"/>
                <w:highlight w:val="none"/>
                <w:lang w:val="en-US" w:eastAsia="zh-CN" w:bidi="ar-SA"/>
              </w:rPr>
            </w:pPr>
            <w:r>
              <w:rPr>
                <w:rFonts w:hint="eastAsia" w:ascii="微软雅黑 Light" w:hAnsi="微软雅黑 Light" w:eastAsia="微软雅黑 Light" w:cs="微软雅黑 Light"/>
                <w:color w:val="auto"/>
                <w:kern w:val="2"/>
                <w:sz w:val="24"/>
                <w:szCs w:val="24"/>
                <w:highlight w:val="none"/>
                <w:lang w:val="en-US" w:eastAsia="zh-CN" w:bidi="ar-SA"/>
              </w:rPr>
              <w:t>第二档：拟提供的服务内容在满足基本要求的条件上有明显优于采购需求的其他增值服务的，由评审组综合评审酌情加分，加1-2分；</w:t>
            </w:r>
          </w:p>
          <w:p w14:paraId="18728A1E">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color w:val="auto"/>
                <w:kern w:val="2"/>
                <w:sz w:val="24"/>
                <w:szCs w:val="24"/>
                <w:highlight w:val="none"/>
                <w:lang w:val="en-US" w:eastAsia="zh-CN" w:bidi="ar-SA"/>
              </w:rPr>
            </w:pPr>
            <w:r>
              <w:rPr>
                <w:rFonts w:hint="eastAsia" w:ascii="微软雅黑 Light" w:hAnsi="微软雅黑 Light" w:eastAsia="微软雅黑 Light" w:cs="微软雅黑 Light"/>
                <w:color w:val="auto"/>
                <w:kern w:val="2"/>
                <w:sz w:val="24"/>
                <w:szCs w:val="24"/>
                <w:highlight w:val="none"/>
                <w:lang w:val="en-US" w:eastAsia="zh-CN" w:bidi="ar-SA"/>
              </w:rPr>
              <w:t>本项最高得分不超过10分；</w:t>
            </w:r>
          </w:p>
        </w:tc>
      </w:tr>
      <w:tr w14:paraId="1FBEEC2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continue"/>
            <w:vAlign w:val="center"/>
          </w:tcPr>
          <w:p w14:paraId="560ED3B6">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8"/>
                <w:szCs w:val="28"/>
                <w:highlight w:val="none"/>
                <w:lang w:val="en-US" w:eastAsia="zh-CN" w:bidi="ar-SA"/>
              </w:rPr>
            </w:pPr>
          </w:p>
        </w:tc>
        <w:tc>
          <w:tcPr>
            <w:tcW w:w="3516" w:type="dxa"/>
            <w:vAlign w:val="center"/>
          </w:tcPr>
          <w:p w14:paraId="4A357F35">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后续服务方案（8分）</w:t>
            </w:r>
          </w:p>
        </w:tc>
        <w:tc>
          <w:tcPr>
            <w:tcW w:w="6037" w:type="dxa"/>
            <w:vAlign w:val="center"/>
          </w:tcPr>
          <w:p w14:paraId="5822EAB6">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color w:val="auto"/>
                <w:kern w:val="2"/>
                <w:sz w:val="24"/>
                <w:szCs w:val="24"/>
                <w:highlight w:val="none"/>
                <w:lang w:val="en-US" w:eastAsia="zh-CN" w:bidi="ar-SA"/>
              </w:rPr>
            </w:pPr>
            <w:r>
              <w:rPr>
                <w:rFonts w:hint="eastAsia" w:ascii="微软雅黑 Light" w:hAnsi="微软雅黑 Light" w:eastAsia="微软雅黑 Light" w:cs="微软雅黑 Light"/>
                <w:color w:val="auto"/>
                <w:kern w:val="2"/>
                <w:sz w:val="24"/>
                <w:szCs w:val="24"/>
                <w:highlight w:val="none"/>
                <w:lang w:val="en-US" w:eastAsia="zh-CN" w:bidi="ar-SA"/>
              </w:rPr>
              <w:t>第一档（4～8分）：后续服务措施完整可行，完全满足采购文件要求（提供完整的后续服务方案）；</w:t>
            </w:r>
          </w:p>
          <w:p w14:paraId="4C73C36C">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color w:val="auto"/>
                <w:kern w:val="2"/>
                <w:sz w:val="24"/>
                <w:szCs w:val="24"/>
                <w:highlight w:val="none"/>
                <w:lang w:val="en-US" w:eastAsia="zh-CN" w:bidi="ar-SA"/>
              </w:rPr>
              <w:t>第二档（1～4分）：方案基本满足采购文件需求；</w:t>
            </w:r>
          </w:p>
        </w:tc>
      </w:tr>
      <w:tr w14:paraId="2898414A">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continue"/>
            <w:vAlign w:val="center"/>
          </w:tcPr>
          <w:p w14:paraId="7CD18BD4">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8"/>
                <w:szCs w:val="28"/>
                <w:highlight w:val="none"/>
                <w:lang w:val="en-US" w:eastAsia="zh-CN" w:bidi="ar-SA"/>
              </w:rPr>
            </w:pPr>
          </w:p>
        </w:tc>
        <w:tc>
          <w:tcPr>
            <w:tcW w:w="3516" w:type="dxa"/>
            <w:vAlign w:val="center"/>
          </w:tcPr>
          <w:p w14:paraId="68240E1F">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default" w:ascii="微软雅黑 Light" w:hAnsi="微软雅黑 Light" w:eastAsia="微软雅黑 Light" w:cs="微软雅黑 Light"/>
                <w:color w:val="auto"/>
                <w:kern w:val="2"/>
                <w:sz w:val="28"/>
                <w:szCs w:val="28"/>
                <w:highlight w:val="none"/>
                <w:lang w:val="en-US" w:eastAsia="zh-CN" w:bidi="ar-SA"/>
              </w:rPr>
              <w:t>拟投入服务</w:t>
            </w:r>
            <w:r>
              <w:rPr>
                <w:rFonts w:hint="eastAsia" w:ascii="微软雅黑 Light" w:hAnsi="微软雅黑 Light" w:eastAsia="微软雅黑 Light" w:cs="微软雅黑 Light"/>
                <w:color w:val="auto"/>
                <w:kern w:val="2"/>
                <w:sz w:val="28"/>
                <w:szCs w:val="28"/>
                <w:highlight w:val="none"/>
                <w:lang w:val="en-US" w:eastAsia="zh-CN" w:bidi="ar-SA"/>
              </w:rPr>
              <w:t>人员</w:t>
            </w:r>
            <w:r>
              <w:rPr>
                <w:rFonts w:hint="default" w:ascii="微软雅黑 Light" w:hAnsi="微软雅黑 Light" w:eastAsia="微软雅黑 Light" w:cs="微软雅黑 Light"/>
                <w:color w:val="auto"/>
                <w:kern w:val="2"/>
                <w:sz w:val="28"/>
                <w:szCs w:val="28"/>
                <w:highlight w:val="none"/>
                <w:lang w:val="en-US" w:eastAsia="zh-CN" w:bidi="ar-SA"/>
              </w:rPr>
              <w:t>和售后服务人员情况</w:t>
            </w:r>
            <w:r>
              <w:rPr>
                <w:rFonts w:hint="eastAsia" w:ascii="微软雅黑 Light" w:hAnsi="微软雅黑 Light" w:eastAsia="微软雅黑 Light" w:cs="微软雅黑 Light"/>
                <w:color w:val="auto"/>
                <w:kern w:val="2"/>
                <w:sz w:val="28"/>
                <w:szCs w:val="28"/>
                <w:highlight w:val="none"/>
                <w:lang w:val="en-US" w:eastAsia="zh-CN" w:bidi="ar-SA"/>
              </w:rPr>
              <w:t>（</w:t>
            </w:r>
            <w:r>
              <w:rPr>
                <w:rFonts w:hint="default" w:ascii="微软雅黑 Light" w:hAnsi="微软雅黑 Light" w:eastAsia="微软雅黑 Light" w:cs="微软雅黑 Light"/>
                <w:color w:val="auto"/>
                <w:kern w:val="2"/>
                <w:sz w:val="28"/>
                <w:szCs w:val="28"/>
                <w:highlight w:val="none"/>
                <w:lang w:val="en-US" w:eastAsia="zh-CN" w:bidi="ar-SA"/>
              </w:rPr>
              <w:t>7分</w:t>
            </w:r>
            <w:r>
              <w:rPr>
                <w:rFonts w:hint="eastAsia" w:ascii="微软雅黑 Light" w:hAnsi="微软雅黑 Light" w:eastAsia="微软雅黑 Light" w:cs="微软雅黑 Light"/>
                <w:color w:val="auto"/>
                <w:kern w:val="2"/>
                <w:sz w:val="28"/>
                <w:szCs w:val="28"/>
                <w:highlight w:val="none"/>
                <w:lang w:val="en-US" w:eastAsia="zh-CN" w:bidi="ar-SA"/>
              </w:rPr>
              <w:t>）</w:t>
            </w:r>
          </w:p>
        </w:tc>
        <w:tc>
          <w:tcPr>
            <w:tcW w:w="6037" w:type="dxa"/>
            <w:vAlign w:val="center"/>
          </w:tcPr>
          <w:p w14:paraId="300F73E1">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color w:val="auto"/>
                <w:kern w:val="2"/>
                <w:sz w:val="24"/>
                <w:szCs w:val="24"/>
                <w:highlight w:val="none"/>
                <w:lang w:val="en-US" w:eastAsia="zh-CN" w:bidi="ar-SA"/>
              </w:rPr>
              <w:t>根据供应商对本次采购项目拟投入服务人员和后续工作服务人员配备情况、专业人员搭配的科学性等综合情况进行酌情打分，得1-7分，无拟投入服务人员和售后服务人员的为0分</w:t>
            </w:r>
          </w:p>
        </w:tc>
      </w:tr>
      <w:tr w14:paraId="1CC9D764">
        <w:tblPrEx>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CellMar>
            <w:top w:w="0" w:type="dxa"/>
            <w:left w:w="108" w:type="dxa"/>
            <w:bottom w:w="0" w:type="dxa"/>
            <w:right w:w="108" w:type="dxa"/>
          </w:tblCellMar>
        </w:tblPrEx>
        <w:trPr>
          <w:trHeight w:val="549" w:hRule="atLeast"/>
        </w:trPr>
        <w:tc>
          <w:tcPr>
            <w:tcW w:w="1003" w:type="dxa"/>
            <w:vMerge w:val="continue"/>
            <w:vAlign w:val="center"/>
          </w:tcPr>
          <w:p w14:paraId="56BC7C6A">
            <w:pPr>
              <w:pStyle w:val="148"/>
              <w:keepNext w:val="0"/>
              <w:keepLines w:val="0"/>
              <w:pageBreakBefore w:val="0"/>
              <w:widowControl w:val="0"/>
              <w:kinsoku/>
              <w:wordWrap/>
              <w:overflowPunct/>
              <w:topLinePunct w:val="0"/>
              <w:autoSpaceDE/>
              <w:autoSpaceDN/>
              <w:bidi w:val="0"/>
              <w:adjustRightInd/>
              <w:snapToGrid/>
              <w:spacing w:after="0" w:line="380" w:lineRule="exact"/>
              <w:textAlignment w:val="auto"/>
              <w:rPr>
                <w:rFonts w:hint="eastAsia" w:ascii="微软雅黑 Light" w:hAnsi="微软雅黑 Light" w:eastAsia="微软雅黑 Light" w:cs="微软雅黑 Light"/>
                <w:color w:val="auto"/>
                <w:kern w:val="2"/>
                <w:sz w:val="28"/>
                <w:szCs w:val="28"/>
                <w:highlight w:val="none"/>
                <w:lang w:val="en-US" w:eastAsia="zh-CN" w:bidi="ar-SA"/>
              </w:rPr>
            </w:pPr>
          </w:p>
        </w:tc>
        <w:tc>
          <w:tcPr>
            <w:tcW w:w="3516" w:type="dxa"/>
            <w:vAlign w:val="center"/>
          </w:tcPr>
          <w:p w14:paraId="12EBE62A">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投标人综合实力</w:t>
            </w:r>
          </w:p>
          <w:p w14:paraId="3ED4F6E8">
            <w:pPr>
              <w:pStyle w:val="148"/>
              <w:keepNext w:val="0"/>
              <w:keepLines w:val="0"/>
              <w:pageBreakBefore w:val="0"/>
              <w:widowControl w:val="0"/>
              <w:kinsoku/>
              <w:wordWrap/>
              <w:overflowPunct/>
              <w:topLinePunct w:val="0"/>
              <w:autoSpaceDE/>
              <w:autoSpaceDN/>
              <w:bidi w:val="0"/>
              <w:adjustRightInd/>
              <w:snapToGrid/>
              <w:spacing w:after="0" w:line="380" w:lineRule="exact"/>
              <w:jc w:val="center"/>
              <w:textAlignment w:val="auto"/>
              <w:rPr>
                <w:rFonts w:hint="eastAsia" w:ascii="微软雅黑 Light" w:hAnsi="微软雅黑 Light" w:eastAsia="微软雅黑 Light" w:cs="微软雅黑 Light"/>
                <w:color w:val="auto"/>
                <w:kern w:val="2"/>
                <w:sz w:val="28"/>
                <w:szCs w:val="28"/>
                <w:highlight w:val="none"/>
                <w:lang w:val="en-US" w:eastAsia="zh-CN" w:bidi="ar-SA"/>
              </w:rPr>
            </w:pPr>
            <w:r>
              <w:rPr>
                <w:rFonts w:hint="eastAsia" w:ascii="微软雅黑 Light" w:hAnsi="微软雅黑 Light" w:eastAsia="微软雅黑 Light" w:cs="微软雅黑 Light"/>
                <w:color w:val="auto"/>
                <w:kern w:val="2"/>
                <w:sz w:val="28"/>
                <w:szCs w:val="28"/>
                <w:highlight w:val="none"/>
                <w:lang w:val="en-US" w:eastAsia="zh-CN" w:bidi="ar-SA"/>
              </w:rPr>
              <w:t>（5分）</w:t>
            </w:r>
          </w:p>
        </w:tc>
        <w:tc>
          <w:tcPr>
            <w:tcW w:w="6037" w:type="dxa"/>
            <w:vAlign w:val="center"/>
          </w:tcPr>
          <w:p w14:paraId="72513B33">
            <w:pPr>
              <w:pStyle w:val="148"/>
              <w:keepNext w:val="0"/>
              <w:keepLines w:val="0"/>
              <w:pageBreakBefore w:val="0"/>
              <w:widowControl w:val="0"/>
              <w:kinsoku/>
              <w:wordWrap/>
              <w:overflowPunct/>
              <w:topLinePunct w:val="0"/>
              <w:autoSpaceDE/>
              <w:autoSpaceDN/>
              <w:bidi w:val="0"/>
              <w:adjustRightInd/>
              <w:snapToGrid/>
              <w:spacing w:after="0" w:line="400" w:lineRule="exact"/>
              <w:textAlignment w:val="auto"/>
              <w:rPr>
                <w:rFonts w:hint="eastAsia" w:ascii="微软雅黑 Light" w:hAnsi="微软雅黑 Light" w:eastAsia="微软雅黑 Light" w:cs="微软雅黑 Light"/>
                <w:sz w:val="24"/>
                <w:szCs w:val="24"/>
                <w:highlight w:val="none"/>
                <w:lang w:val="en-US" w:eastAsia="zh-CN"/>
              </w:rPr>
            </w:pPr>
            <w:r>
              <w:rPr>
                <w:rFonts w:hint="eastAsia" w:ascii="微软雅黑 Light" w:hAnsi="微软雅黑 Light" w:eastAsia="微软雅黑 Light" w:cs="微软雅黑 Light"/>
                <w:color w:val="auto"/>
                <w:kern w:val="2"/>
                <w:sz w:val="24"/>
                <w:szCs w:val="24"/>
                <w:highlight w:val="none"/>
                <w:lang w:val="en-US" w:eastAsia="zh-CN" w:bidi="ar-SA"/>
              </w:rPr>
              <w:t>根据投标人获得的服务方案内容、企业的信誉状况、后需服务能力等优良情况、拟投入的人员配备情况等方面进行综合评审打分，得1-5分。</w:t>
            </w:r>
          </w:p>
        </w:tc>
      </w:tr>
    </w:tbl>
    <w:p w14:paraId="76259917">
      <w:pPr>
        <w:rPr>
          <w:rFonts w:hint="eastAsia" w:ascii="宋体" w:hAnsi="宋体" w:eastAsia="宋体" w:cs="宋体"/>
          <w:color w:val="auto"/>
          <w:highlight w:val="none"/>
        </w:rPr>
      </w:pPr>
    </w:p>
    <w:p w14:paraId="6C3AC2AD">
      <w:pPr>
        <w:rPr>
          <w:rFonts w:hint="eastAsia" w:ascii="宋体" w:hAnsi="宋体" w:eastAsia="宋体" w:cs="宋体"/>
          <w:color w:val="auto"/>
          <w:highlight w:val="none"/>
        </w:rPr>
      </w:pPr>
    </w:p>
    <w:bookmarkEnd w:id="84"/>
    <w:bookmarkEnd w:id="85"/>
    <w:bookmarkEnd w:id="86"/>
    <w:bookmarkEnd w:id="87"/>
    <w:bookmarkEnd w:id="88"/>
    <w:bookmarkEnd w:id="89"/>
    <w:bookmarkEnd w:id="90"/>
    <w:bookmarkEnd w:id="91"/>
    <w:bookmarkEnd w:id="92"/>
    <w:bookmarkEnd w:id="93"/>
    <w:bookmarkEnd w:id="94"/>
    <w:bookmarkEnd w:id="95"/>
    <w:p w14:paraId="7C8ABEE9">
      <w:pPr>
        <w:pStyle w:val="3"/>
        <w:spacing w:before="0" w:after="0"/>
        <w:jc w:val="center"/>
        <w:rPr>
          <w:rFonts w:hint="eastAsia" w:ascii="微软雅黑" w:hAnsi="微软雅黑" w:eastAsia="微软雅黑" w:cs="微软雅黑"/>
          <w:b w:val="0"/>
          <w:bCs w:val="0"/>
          <w:color w:val="auto"/>
          <w:sz w:val="32"/>
          <w:szCs w:val="32"/>
          <w:highlight w:val="none"/>
          <w:lang w:val="en-US" w:eastAsia="zh-CN"/>
        </w:rPr>
      </w:pPr>
      <w:bookmarkStart w:id="157" w:name="_Toc12641"/>
      <w:bookmarkStart w:id="158" w:name="_Toc3911"/>
      <w:bookmarkStart w:id="159" w:name="_Toc6638"/>
      <w:r>
        <w:rPr>
          <w:rFonts w:hint="eastAsia" w:ascii="微软雅黑" w:hAnsi="微软雅黑" w:eastAsia="微软雅黑" w:cs="微软雅黑"/>
          <w:b w:val="0"/>
          <w:bCs w:val="0"/>
          <w:color w:val="auto"/>
          <w:sz w:val="32"/>
          <w:szCs w:val="32"/>
          <w:highlight w:val="none"/>
        </w:rPr>
        <w:t>评标方法</w:t>
      </w:r>
      <w:r>
        <w:rPr>
          <w:rFonts w:hint="eastAsia" w:ascii="微软雅黑" w:hAnsi="微软雅黑" w:eastAsia="微软雅黑" w:cs="微软雅黑"/>
          <w:b w:val="0"/>
          <w:bCs w:val="0"/>
          <w:color w:val="auto"/>
          <w:sz w:val="32"/>
          <w:szCs w:val="32"/>
          <w:highlight w:val="none"/>
          <w:lang w:val="en-US" w:eastAsia="zh-CN"/>
        </w:rPr>
        <w:t>正文</w:t>
      </w:r>
      <w:bookmarkEnd w:id="157"/>
      <w:bookmarkEnd w:id="158"/>
      <w:bookmarkEnd w:id="159"/>
    </w:p>
    <w:p w14:paraId="7EB34ABB">
      <w:pPr>
        <w:pStyle w:val="3"/>
        <w:pageBreakBefore w:val="0"/>
        <w:widowControl w:val="0"/>
        <w:kinsoku/>
        <w:wordWrap/>
        <w:overflowPunct/>
        <w:topLinePunct w:val="0"/>
        <w:autoSpaceDE/>
        <w:autoSpaceDN/>
        <w:bidi w:val="0"/>
        <w:adjustRightInd/>
        <w:snapToGrid/>
        <w:spacing w:before="0" w:after="0" w:line="410" w:lineRule="exact"/>
        <w:textAlignment w:val="auto"/>
        <w:rPr>
          <w:rFonts w:hint="eastAsia" w:ascii="微软雅黑" w:hAnsi="微软雅黑" w:eastAsia="微软雅黑" w:cs="微软雅黑"/>
          <w:b w:val="0"/>
          <w:bCs w:val="0"/>
          <w:color w:val="auto"/>
          <w:sz w:val="24"/>
          <w:szCs w:val="24"/>
          <w:highlight w:val="none"/>
          <w:lang w:val="en-US" w:eastAsia="zh-CN"/>
        </w:rPr>
      </w:pPr>
      <w:bookmarkStart w:id="160" w:name="_Toc18729"/>
      <w:bookmarkStart w:id="161" w:name="_Toc23270"/>
      <w:bookmarkStart w:id="162" w:name="_Toc32095"/>
      <w:r>
        <w:rPr>
          <w:rFonts w:hint="eastAsia" w:ascii="微软雅黑" w:hAnsi="微软雅黑" w:eastAsia="微软雅黑" w:cs="微软雅黑"/>
          <w:b w:val="0"/>
          <w:bCs w:val="0"/>
          <w:color w:val="auto"/>
          <w:sz w:val="24"/>
          <w:szCs w:val="24"/>
          <w:highlight w:val="none"/>
          <w:lang w:val="en-US" w:eastAsia="zh-CN"/>
        </w:rPr>
        <w:t>1.本次评标采用综合评分法。</w:t>
      </w:r>
      <w:bookmarkEnd w:id="160"/>
      <w:bookmarkEnd w:id="161"/>
      <w:bookmarkEnd w:id="162"/>
    </w:p>
    <w:p w14:paraId="2A40799E">
      <w:pPr>
        <w:ind w:firstLine="440" w:firstLineChars="200"/>
        <w:rPr>
          <w:rFonts w:hint="eastAsia" w:ascii="微软雅黑" w:hAnsi="微软雅黑" w:eastAsia="微软雅黑" w:cs="微软雅黑"/>
          <w:b w:val="0"/>
          <w:bCs w:val="0"/>
          <w:color w:val="auto"/>
          <w:sz w:val="22"/>
          <w:szCs w:val="22"/>
          <w:highlight w:val="none"/>
          <w:lang w:val="en-US" w:eastAsia="zh-CN"/>
        </w:rPr>
      </w:pPr>
      <w:bookmarkStart w:id="163" w:name="_Toc349724792"/>
      <w:bookmarkStart w:id="164" w:name="_Toc4011"/>
      <w:bookmarkStart w:id="165" w:name="_Toc19161"/>
      <w:bookmarkStart w:id="166" w:name="_Toc462164503"/>
      <w:bookmarkStart w:id="167" w:name="_Toc8497"/>
      <w:bookmarkStart w:id="168" w:name="_Toc152045601"/>
      <w:bookmarkStart w:id="169" w:name="_Toc144974568"/>
      <w:bookmarkStart w:id="170" w:name="_Toc246996244"/>
      <w:bookmarkStart w:id="171" w:name="_Toc179632619"/>
      <w:bookmarkStart w:id="172" w:name="_Toc152042378"/>
      <w:bookmarkStart w:id="173" w:name="_Toc247085759"/>
      <w:bookmarkStart w:id="174" w:name="_Toc246996987"/>
      <w:r>
        <w:rPr>
          <w:rFonts w:hint="eastAsia" w:ascii="微软雅黑" w:hAnsi="微软雅黑" w:eastAsia="微软雅黑" w:cs="微软雅黑"/>
          <w:b w:val="0"/>
          <w:bCs w:val="0"/>
          <w:color w:val="auto"/>
          <w:sz w:val="22"/>
          <w:szCs w:val="22"/>
          <w:highlight w:val="none"/>
          <w:lang w:val="en-US" w:eastAsia="zh-CN"/>
        </w:rPr>
        <w:t>评标委员会对满足竞争性磋商文件实质性要求的投标响应文件，按照本章规定的评分标准进行打分，并按最后得分由高到低顺序推荐中标候选人，或根据招标人授权直接确定中标人，但磋商报价低于其成本的除外。综合评分相等时，以投标报价低的优先；投标报价也相等的，由招标人或其授权的评标委员会按技术部分得分由高到低顺序排序自行确定。</w:t>
      </w:r>
    </w:p>
    <w:p w14:paraId="54F1801F">
      <w:pPr>
        <w:numPr>
          <w:ilvl w:val="0"/>
          <w:numId w:val="0"/>
        </w:numPr>
        <w:outlineLvl w:val="1"/>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2.评审标准</w:t>
      </w:r>
      <w:bookmarkEnd w:id="163"/>
      <w:bookmarkEnd w:id="164"/>
      <w:bookmarkEnd w:id="165"/>
      <w:bookmarkEnd w:id="166"/>
      <w:bookmarkEnd w:id="167"/>
      <w:bookmarkEnd w:id="168"/>
      <w:bookmarkEnd w:id="169"/>
      <w:bookmarkEnd w:id="170"/>
      <w:bookmarkEnd w:id="171"/>
      <w:bookmarkEnd w:id="172"/>
      <w:bookmarkEnd w:id="173"/>
      <w:bookmarkEnd w:id="174"/>
      <w:bookmarkStart w:id="175" w:name="_Toc247085760"/>
      <w:bookmarkStart w:id="176" w:name="_Toc179632620"/>
      <w:bookmarkStart w:id="177" w:name="_Toc462164504"/>
      <w:bookmarkStart w:id="178" w:name="_Toc335"/>
      <w:bookmarkStart w:id="179" w:name="_Toc246996988"/>
      <w:bookmarkStart w:id="180" w:name="_Toc152045602"/>
      <w:bookmarkStart w:id="181" w:name="_Toc349724793"/>
      <w:bookmarkStart w:id="182" w:name="_Toc6787"/>
      <w:bookmarkStart w:id="183" w:name="_Toc3942"/>
      <w:bookmarkStart w:id="184" w:name="_Toc144974569"/>
      <w:bookmarkStart w:id="185" w:name="_Toc246996245"/>
      <w:bookmarkStart w:id="186" w:name="_Toc152042379"/>
      <w:bookmarkStart w:id="187" w:name="_Toc10741"/>
    </w:p>
    <w:p w14:paraId="2B744646">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2.1 初步评审标准</w:t>
      </w:r>
      <w:bookmarkEnd w:id="175"/>
      <w:bookmarkEnd w:id="176"/>
      <w:bookmarkEnd w:id="177"/>
      <w:bookmarkEnd w:id="178"/>
      <w:bookmarkEnd w:id="179"/>
      <w:bookmarkEnd w:id="180"/>
      <w:bookmarkEnd w:id="181"/>
      <w:bookmarkEnd w:id="182"/>
      <w:bookmarkEnd w:id="183"/>
      <w:bookmarkEnd w:id="184"/>
      <w:bookmarkEnd w:id="185"/>
      <w:bookmarkEnd w:id="186"/>
      <w:bookmarkEnd w:id="187"/>
    </w:p>
    <w:p w14:paraId="5D80FD81">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2.1.1 形式评审标准：见评标办法前附表。</w:t>
      </w:r>
    </w:p>
    <w:p w14:paraId="5C119B40">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2.1.2 响应性评审标准：见评标办法前附表。</w:t>
      </w:r>
    </w:p>
    <w:p w14:paraId="5FA31B3E">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bookmarkStart w:id="188" w:name="_Toc349724794"/>
      <w:bookmarkStart w:id="189" w:name="_Toc6690"/>
      <w:bookmarkStart w:id="190" w:name="_Toc152042380"/>
      <w:bookmarkStart w:id="191" w:name="_Toc11550"/>
      <w:bookmarkStart w:id="192" w:name="_Toc144974570"/>
      <w:bookmarkStart w:id="193" w:name="_Toc247085761"/>
      <w:bookmarkStart w:id="194" w:name="_Toc246996246"/>
      <w:bookmarkStart w:id="195" w:name="_Toc13794"/>
      <w:bookmarkStart w:id="196" w:name="_Toc462164505"/>
      <w:bookmarkStart w:id="197" w:name="_Toc152045603"/>
      <w:bookmarkStart w:id="198" w:name="_Toc1399"/>
      <w:bookmarkStart w:id="199" w:name="_Toc246996989"/>
      <w:bookmarkStart w:id="200" w:name="_Toc179632621"/>
      <w:r>
        <w:rPr>
          <w:rFonts w:hint="eastAsia" w:ascii="微软雅黑" w:hAnsi="微软雅黑" w:eastAsia="微软雅黑" w:cs="微软雅黑"/>
          <w:b w:val="0"/>
          <w:bCs w:val="0"/>
          <w:color w:val="auto"/>
          <w:kern w:val="2"/>
          <w:sz w:val="24"/>
          <w:szCs w:val="24"/>
          <w:highlight w:val="none"/>
          <w:lang w:val="en-US" w:eastAsia="zh-CN" w:bidi="ar-SA"/>
        </w:rPr>
        <w:t>2.2 分值构成与评分标准</w:t>
      </w:r>
      <w:bookmarkEnd w:id="188"/>
      <w:bookmarkEnd w:id="189"/>
      <w:bookmarkEnd w:id="190"/>
      <w:bookmarkEnd w:id="191"/>
      <w:bookmarkEnd w:id="192"/>
      <w:bookmarkEnd w:id="193"/>
      <w:bookmarkEnd w:id="194"/>
      <w:bookmarkEnd w:id="195"/>
      <w:bookmarkEnd w:id="196"/>
      <w:bookmarkEnd w:id="197"/>
      <w:bookmarkEnd w:id="198"/>
      <w:bookmarkEnd w:id="199"/>
      <w:bookmarkEnd w:id="200"/>
    </w:p>
    <w:p w14:paraId="395D82AF">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2.2.1 分值构成</w:t>
      </w:r>
    </w:p>
    <w:p w14:paraId="34A88352">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（1）磋商报价：见评标办法前附表；</w:t>
      </w:r>
    </w:p>
    <w:p w14:paraId="6ABA9D12">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（2）施工组织设计：见评标办法前附表；</w:t>
      </w:r>
    </w:p>
    <w:p w14:paraId="0E2333DB">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（3）项目管理机构：见评标办法前附表；</w:t>
      </w:r>
    </w:p>
    <w:p w14:paraId="12F6337A">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（4）其他评分因素（业绩）：见评标办法前附表。</w:t>
      </w:r>
    </w:p>
    <w:p w14:paraId="5C3B53B9">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2.2.2 磋商基准价计算</w:t>
      </w:r>
    </w:p>
    <w:p w14:paraId="539D1D5C">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磋商基准价计算方法：见评标办法前附表。</w:t>
      </w:r>
    </w:p>
    <w:p w14:paraId="3E18D213">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2.2.3 磋商报价的分值计算</w:t>
      </w:r>
    </w:p>
    <w:p w14:paraId="7A7D26D8">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磋商报价的分值计算公式：见评标办法前附表。</w:t>
      </w:r>
    </w:p>
    <w:p w14:paraId="428C71BC">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2.2.4 评分标准</w:t>
      </w:r>
    </w:p>
    <w:p w14:paraId="0C22C28D">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见评标办法前附表。</w:t>
      </w:r>
    </w:p>
    <w:p w14:paraId="040B5740">
      <w:pPr>
        <w:numPr>
          <w:ilvl w:val="0"/>
          <w:numId w:val="0"/>
        </w:numPr>
        <w:outlineLvl w:val="1"/>
        <w:rPr>
          <w:rFonts w:hint="eastAsia" w:ascii="微软雅黑" w:hAnsi="微软雅黑" w:eastAsia="微软雅黑" w:cs="微软雅黑"/>
          <w:b w:val="0"/>
          <w:bCs w:val="0"/>
          <w:color w:val="auto"/>
          <w:kern w:val="2"/>
          <w:sz w:val="24"/>
          <w:szCs w:val="24"/>
          <w:highlight w:val="none"/>
          <w:lang w:val="en-US" w:eastAsia="zh-CN" w:bidi="ar-SA"/>
        </w:rPr>
      </w:pPr>
      <w:bookmarkStart w:id="201" w:name="_Toc247085762"/>
      <w:bookmarkStart w:id="202" w:name="_Toc462164506"/>
      <w:bookmarkStart w:id="203" w:name="_Toc179632622"/>
      <w:bookmarkStart w:id="204" w:name="_Toc246996990"/>
      <w:bookmarkStart w:id="205" w:name="_Toc144974571"/>
      <w:bookmarkStart w:id="206" w:name="_Toc9011"/>
      <w:bookmarkStart w:id="207" w:name="_Toc349724795"/>
      <w:bookmarkStart w:id="208" w:name="_Toc246996247"/>
      <w:bookmarkStart w:id="209" w:name="_Toc14648"/>
      <w:bookmarkStart w:id="210" w:name="_Toc152045604"/>
      <w:bookmarkStart w:id="211" w:name="_Toc18502"/>
      <w:bookmarkStart w:id="212" w:name="_Toc152042381"/>
      <w:r>
        <w:rPr>
          <w:rFonts w:hint="eastAsia" w:ascii="微软雅黑" w:hAnsi="微软雅黑" w:eastAsia="微软雅黑" w:cs="微软雅黑"/>
          <w:b w:val="0"/>
          <w:bCs w:val="0"/>
          <w:color w:val="auto"/>
          <w:kern w:val="2"/>
          <w:sz w:val="24"/>
          <w:szCs w:val="24"/>
          <w:highlight w:val="none"/>
          <w:lang w:val="en-US" w:eastAsia="zh-CN" w:bidi="ar-SA"/>
        </w:rPr>
        <w:t>3. 评标程序</w:t>
      </w:r>
      <w:bookmarkEnd w:id="201"/>
      <w:bookmarkEnd w:id="202"/>
      <w:bookmarkEnd w:id="203"/>
      <w:bookmarkEnd w:id="204"/>
      <w:bookmarkEnd w:id="205"/>
      <w:bookmarkEnd w:id="206"/>
      <w:bookmarkEnd w:id="207"/>
      <w:bookmarkEnd w:id="208"/>
      <w:bookmarkEnd w:id="209"/>
      <w:bookmarkEnd w:id="210"/>
      <w:bookmarkEnd w:id="211"/>
      <w:bookmarkEnd w:id="212"/>
    </w:p>
    <w:p w14:paraId="2E996847">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评审委员会根据磋商申请人的响应文件先进行初步评审，只有通过初步评审合格的申请人，才能进入到详细评审程序，未通过初步评审程序的磋商申请人，不得进入详细评审程序。</w:t>
      </w:r>
    </w:p>
    <w:p w14:paraId="0D0E1622">
      <w:pPr>
        <w:numPr>
          <w:ilvl w:val="0"/>
          <w:numId w:val="0"/>
        </w:numPr>
        <w:ind w:firstLine="840" w:firstLineChars="300"/>
        <w:rPr>
          <w:rFonts w:hint="eastAsia" w:ascii="微软雅黑" w:hAnsi="微软雅黑" w:eastAsia="微软雅黑" w:cs="微软雅黑"/>
          <w:b/>
          <w:bCs/>
          <w:color w:val="auto"/>
          <w:kern w:val="2"/>
          <w:sz w:val="28"/>
          <w:szCs w:val="28"/>
          <w:highlight w:val="none"/>
          <w:lang w:val="en-US" w:eastAsia="zh-CN" w:bidi="ar-SA"/>
        </w:rPr>
      </w:pPr>
      <w:r>
        <w:rPr>
          <w:rFonts w:hint="eastAsia" w:ascii="微软雅黑" w:hAnsi="微软雅黑" w:eastAsia="微软雅黑" w:cs="微软雅黑"/>
          <w:b/>
          <w:bCs/>
          <w:color w:val="auto"/>
          <w:kern w:val="2"/>
          <w:sz w:val="28"/>
          <w:szCs w:val="28"/>
          <w:highlight w:val="none"/>
          <w:lang w:val="en-US" w:eastAsia="zh-CN" w:bidi="ar-SA"/>
        </w:rPr>
        <w:t>初步评审  → 二次磋商报价 →详细评审→评审报告</w:t>
      </w:r>
    </w:p>
    <w:p w14:paraId="22DACAEC">
      <w:pPr>
        <w:numPr>
          <w:ilvl w:val="0"/>
          <w:numId w:val="0"/>
        </w:numPr>
        <w:rPr>
          <w:rFonts w:hint="eastAsia" w:ascii="微软雅黑" w:hAnsi="微软雅黑" w:eastAsia="微软雅黑" w:cs="微软雅黑"/>
          <w:b/>
          <w:bCs/>
          <w:color w:val="auto"/>
          <w:kern w:val="2"/>
          <w:sz w:val="24"/>
          <w:szCs w:val="24"/>
          <w:highlight w:val="none"/>
          <w:lang w:val="en-US" w:eastAsia="zh-CN" w:bidi="ar-SA"/>
        </w:rPr>
      </w:pPr>
      <w:bookmarkStart w:id="213" w:name="_Toc20098"/>
      <w:bookmarkStart w:id="214" w:name="_Toc152045605"/>
      <w:bookmarkStart w:id="215" w:name="_Toc246996248"/>
      <w:bookmarkStart w:id="216" w:name="_Toc179632623"/>
      <w:bookmarkStart w:id="217" w:name="_Toc31348"/>
      <w:bookmarkStart w:id="218" w:name="_Toc32017"/>
      <w:bookmarkStart w:id="219" w:name="_Toc247085763"/>
      <w:bookmarkStart w:id="220" w:name="_Toc144974572"/>
      <w:bookmarkStart w:id="221" w:name="_Toc4406"/>
      <w:bookmarkStart w:id="222" w:name="_Toc349724796"/>
      <w:bookmarkStart w:id="223" w:name="_Toc246996991"/>
      <w:bookmarkStart w:id="224" w:name="_Toc152042382"/>
      <w:bookmarkStart w:id="225" w:name="_Toc462164507"/>
      <w:r>
        <w:rPr>
          <w:rFonts w:hint="eastAsia" w:ascii="微软雅黑" w:hAnsi="微软雅黑" w:eastAsia="微软雅黑" w:cs="微软雅黑"/>
          <w:b/>
          <w:bCs/>
          <w:color w:val="auto"/>
          <w:kern w:val="2"/>
          <w:sz w:val="24"/>
          <w:szCs w:val="24"/>
          <w:highlight w:val="none"/>
          <w:lang w:val="en-US" w:eastAsia="zh-CN" w:bidi="ar-SA"/>
        </w:rPr>
        <w:t>3.1 初步评审</w:t>
      </w:r>
      <w:bookmarkEnd w:id="213"/>
      <w:bookmarkEnd w:id="214"/>
      <w:bookmarkEnd w:id="215"/>
      <w:bookmarkEnd w:id="216"/>
      <w:bookmarkEnd w:id="217"/>
      <w:bookmarkEnd w:id="218"/>
      <w:bookmarkEnd w:id="219"/>
      <w:bookmarkEnd w:id="220"/>
      <w:bookmarkEnd w:id="221"/>
      <w:bookmarkEnd w:id="222"/>
      <w:bookmarkEnd w:id="223"/>
      <w:bookmarkEnd w:id="224"/>
      <w:bookmarkEnd w:id="225"/>
    </w:p>
    <w:p w14:paraId="661E9830">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3.1.1 评标委员会可以要求磋商申请人提交注意事项里规定的有关证明和证件的原件，以便核验。评标委员会依据本章第2.1款规定的标准对投标响应文件进行初步评审。有一项不符合评审标准的，评标委员会应当否决其投标。</w:t>
      </w:r>
    </w:p>
    <w:p w14:paraId="716D9843">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3.1.2 磋商申请人有以下情形之一的，评标委员会应当否决其投标：</w:t>
      </w:r>
    </w:p>
    <w:p w14:paraId="5C3FF7B1">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（1）第二章“磋商申请人须知”规定的任何一种情形的；</w:t>
      </w:r>
    </w:p>
    <w:p w14:paraId="399657D3">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（2）串通投标或弄虚作假或有其他违法行为的；</w:t>
      </w:r>
    </w:p>
    <w:p w14:paraId="29FC50B7">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（3）不按评标委员会要求澄清、说明或补正的。</w:t>
      </w:r>
    </w:p>
    <w:p w14:paraId="1DEC5090">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3.1.3磋商报价有算术错误的，评标委员会按以下原则对磋商报价进行修正，修正的价格经磋商申请人书面确认后具有约束力。磋商申请人不接受修正价格的，评标委员会应当否决其投标。</w:t>
      </w:r>
    </w:p>
    <w:p w14:paraId="2B6C43BA">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bookmarkStart w:id="226" w:name="_Toc152042383"/>
      <w:r>
        <w:rPr>
          <w:rFonts w:hint="eastAsia" w:ascii="微软雅黑" w:hAnsi="微软雅黑" w:eastAsia="微软雅黑" w:cs="微软雅黑"/>
          <w:b w:val="0"/>
          <w:bCs w:val="0"/>
          <w:color w:val="auto"/>
          <w:kern w:val="2"/>
          <w:sz w:val="24"/>
          <w:szCs w:val="24"/>
          <w:highlight w:val="none"/>
          <w:lang w:val="en-US" w:eastAsia="zh-CN" w:bidi="ar-SA"/>
        </w:rPr>
        <w:t>（1）投标响应文件中的大写金额与小写金额不一致的，以大写金额为准；</w:t>
      </w:r>
      <w:bookmarkEnd w:id="226"/>
    </w:p>
    <w:p w14:paraId="461C478A">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（2）总价金额与依据单价计算出的结果不一致的，以单价金额为准修正总价，但单价金额小数点有明显错误的除外。</w:t>
      </w:r>
      <w:bookmarkStart w:id="227" w:name="_Toc21416"/>
      <w:bookmarkStart w:id="228" w:name="_Toc144974573"/>
      <w:bookmarkStart w:id="229" w:name="_Toc179632624"/>
      <w:bookmarkStart w:id="230" w:name="_Toc24484"/>
      <w:bookmarkStart w:id="231" w:name="_Toc246996992"/>
      <w:bookmarkStart w:id="232" w:name="_Toc349724797"/>
      <w:bookmarkStart w:id="233" w:name="_Toc462164508"/>
      <w:bookmarkStart w:id="234" w:name="_Toc2973"/>
      <w:bookmarkStart w:id="235" w:name="_Toc247085764"/>
      <w:bookmarkStart w:id="236" w:name="_Toc152042384"/>
      <w:bookmarkStart w:id="237" w:name="_Toc708"/>
      <w:bookmarkStart w:id="238" w:name="_Toc246996249"/>
      <w:bookmarkStart w:id="239" w:name="_Toc152045606"/>
    </w:p>
    <w:p w14:paraId="3F8A5DC5">
      <w:pPr>
        <w:numPr>
          <w:ilvl w:val="0"/>
          <w:numId w:val="0"/>
        </w:numPr>
        <w:rPr>
          <w:rFonts w:hint="eastAsia" w:ascii="微软雅黑" w:hAnsi="微软雅黑" w:eastAsia="微软雅黑" w:cs="微软雅黑"/>
          <w:b/>
          <w:bCs/>
          <w:color w:val="auto"/>
          <w:kern w:val="2"/>
          <w:sz w:val="24"/>
          <w:szCs w:val="24"/>
          <w:highlight w:val="none"/>
          <w:u w:val="none"/>
          <w:lang w:val="en-US" w:eastAsia="zh-CN" w:bidi="ar-SA"/>
        </w:rPr>
      </w:pPr>
      <w:r>
        <w:rPr>
          <w:rFonts w:hint="eastAsia" w:ascii="微软雅黑" w:hAnsi="微软雅黑" w:eastAsia="微软雅黑" w:cs="微软雅黑"/>
          <w:b/>
          <w:bCs/>
          <w:color w:val="auto"/>
          <w:kern w:val="2"/>
          <w:sz w:val="24"/>
          <w:szCs w:val="24"/>
          <w:highlight w:val="none"/>
          <w:u w:val="none"/>
          <w:lang w:val="en-US" w:eastAsia="zh-CN" w:bidi="ar-SA"/>
        </w:rPr>
        <w:t>3.2 二次磋商报价</w:t>
      </w:r>
    </w:p>
    <w:p w14:paraId="07621342">
      <w:pPr>
        <w:numPr>
          <w:ilvl w:val="0"/>
          <w:numId w:val="0"/>
        </w:numPr>
        <w:ind w:firstLine="480" w:firstLineChars="200"/>
        <w:rPr>
          <w:rFonts w:hint="eastAsia" w:ascii="微软雅黑" w:hAnsi="微软雅黑" w:eastAsia="微软雅黑" w:cs="微软雅黑"/>
          <w:b w:val="0"/>
          <w:bCs w:val="0"/>
          <w:color w:val="auto"/>
          <w:kern w:val="2"/>
          <w:sz w:val="24"/>
          <w:szCs w:val="24"/>
          <w:highlight w:val="none"/>
          <w:u w:val="none"/>
          <w:lang w:val="en-US" w:eastAsia="zh-CN" w:bidi="ar-SA"/>
        </w:rPr>
      </w:pPr>
      <w:r>
        <w:rPr>
          <w:rFonts w:hint="eastAsia" w:ascii="微软雅黑" w:hAnsi="微软雅黑" w:eastAsia="微软雅黑" w:cs="微软雅黑"/>
          <w:b w:val="0"/>
          <w:bCs w:val="0"/>
          <w:color w:val="auto"/>
          <w:kern w:val="2"/>
          <w:sz w:val="24"/>
          <w:szCs w:val="24"/>
          <w:highlight w:val="none"/>
          <w:u w:val="none"/>
          <w:lang w:val="en-US" w:eastAsia="zh-CN" w:bidi="ar-SA"/>
        </w:rPr>
        <w:t>由磋商申请人进行二次现场磋商报价，二次磋商报价为最终报价，未通过初步评审程序的磋商申请人，不得进入详细评审程序。</w:t>
      </w:r>
    </w:p>
    <w:p w14:paraId="01E564DB">
      <w:pPr>
        <w:numPr>
          <w:ilvl w:val="0"/>
          <w:numId w:val="0"/>
        </w:numPr>
        <w:rPr>
          <w:rFonts w:hint="eastAsia" w:ascii="微软雅黑" w:hAnsi="微软雅黑" w:eastAsia="微软雅黑" w:cs="微软雅黑"/>
          <w:b/>
          <w:bCs/>
          <w:color w:val="auto"/>
          <w:kern w:val="2"/>
          <w:sz w:val="24"/>
          <w:szCs w:val="24"/>
          <w:highlight w:val="none"/>
          <w:lang w:val="en-US" w:eastAsia="zh-CN" w:bidi="ar-SA"/>
        </w:rPr>
      </w:pPr>
      <w:r>
        <w:rPr>
          <w:rFonts w:hint="eastAsia" w:ascii="微软雅黑" w:hAnsi="微软雅黑" w:eastAsia="微软雅黑" w:cs="微软雅黑"/>
          <w:b/>
          <w:bCs/>
          <w:color w:val="auto"/>
          <w:kern w:val="2"/>
          <w:sz w:val="24"/>
          <w:szCs w:val="24"/>
          <w:highlight w:val="none"/>
          <w:lang w:val="en-US" w:eastAsia="zh-CN" w:bidi="ar-SA"/>
        </w:rPr>
        <w:t>3.3详细评审</w:t>
      </w:r>
      <w:bookmarkEnd w:id="227"/>
      <w:bookmarkEnd w:id="228"/>
      <w:bookmarkEnd w:id="229"/>
      <w:bookmarkEnd w:id="230"/>
      <w:bookmarkEnd w:id="231"/>
      <w:bookmarkEnd w:id="232"/>
      <w:bookmarkEnd w:id="233"/>
      <w:bookmarkEnd w:id="234"/>
      <w:bookmarkEnd w:id="235"/>
      <w:bookmarkEnd w:id="236"/>
      <w:bookmarkEnd w:id="237"/>
      <w:bookmarkEnd w:id="238"/>
      <w:bookmarkEnd w:id="239"/>
    </w:p>
    <w:p w14:paraId="747EF7F5">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3.3.1 评标委员会按本章规定的量化因素和分值进行打分，并计算出综合评分得分。</w:t>
      </w:r>
    </w:p>
    <w:p w14:paraId="14EC167D">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3.3.2磋商申请人最后得分=报价得分  +  技术部分得分</w:t>
      </w:r>
    </w:p>
    <w:p w14:paraId="1BC48F3C">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3.3.3 评标委员会发现磋商申请人的报价明显低于其他投标报价，或者在设有标底时明显低于标底，使得其投标报价可能低于其个别成本的，应当要求该磋商申请人作出书面说明并提供相应的证明材料。磋商申请人不能合理说明或者不能提供相应证明材料的，评标委员会应当认定该磋商申请人以低于成本报价竞标，否决其投标。</w:t>
      </w:r>
    </w:p>
    <w:p w14:paraId="08275009">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bookmarkStart w:id="240" w:name="_Toc144974575"/>
      <w:bookmarkStart w:id="241" w:name="_Toc152045607"/>
      <w:bookmarkStart w:id="242" w:name="_Toc7102"/>
      <w:bookmarkStart w:id="243" w:name="_Toc462164509"/>
      <w:bookmarkStart w:id="244" w:name="_Toc246996993"/>
      <w:bookmarkStart w:id="245" w:name="_Toc179632625"/>
      <w:bookmarkStart w:id="246" w:name="_Toc26195"/>
      <w:bookmarkStart w:id="247" w:name="_Toc11137"/>
      <w:bookmarkStart w:id="248" w:name="_Toc247085765"/>
      <w:bookmarkStart w:id="249" w:name="_Toc152042385"/>
      <w:bookmarkStart w:id="250" w:name="_Toc26860"/>
      <w:bookmarkStart w:id="251" w:name="_Toc246996250"/>
      <w:bookmarkStart w:id="252" w:name="_Toc349724798"/>
      <w:r>
        <w:rPr>
          <w:rFonts w:hint="eastAsia" w:ascii="微软雅黑" w:hAnsi="微软雅黑" w:eastAsia="微软雅黑" w:cs="微软雅黑"/>
          <w:b w:val="0"/>
          <w:bCs w:val="0"/>
          <w:color w:val="auto"/>
          <w:kern w:val="2"/>
          <w:sz w:val="24"/>
          <w:szCs w:val="24"/>
          <w:highlight w:val="none"/>
          <w:lang w:val="en-US" w:eastAsia="zh-CN" w:bidi="ar-SA"/>
        </w:rPr>
        <w:t>3.3.4 投标响应文件的澄清</w:t>
      </w:r>
      <w:bookmarkEnd w:id="240"/>
      <w:r>
        <w:rPr>
          <w:rFonts w:hint="eastAsia" w:ascii="微软雅黑" w:hAnsi="微软雅黑" w:eastAsia="微软雅黑" w:cs="微软雅黑"/>
          <w:b w:val="0"/>
          <w:bCs w:val="0"/>
          <w:color w:val="auto"/>
          <w:kern w:val="2"/>
          <w:sz w:val="24"/>
          <w:szCs w:val="24"/>
          <w:highlight w:val="none"/>
          <w:lang w:val="en-US" w:eastAsia="zh-CN" w:bidi="ar-SA"/>
        </w:rPr>
        <w:t>和补正</w:t>
      </w:r>
      <w:bookmarkEnd w:id="241"/>
      <w:bookmarkEnd w:id="242"/>
      <w:bookmarkEnd w:id="243"/>
      <w:bookmarkEnd w:id="244"/>
      <w:bookmarkEnd w:id="245"/>
      <w:bookmarkEnd w:id="246"/>
      <w:bookmarkEnd w:id="247"/>
      <w:bookmarkEnd w:id="248"/>
      <w:bookmarkEnd w:id="249"/>
      <w:bookmarkEnd w:id="250"/>
      <w:bookmarkEnd w:id="251"/>
      <w:bookmarkEnd w:id="252"/>
    </w:p>
    <w:p w14:paraId="5A03C73A">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3.3.4.1在评标过程中，评标委员会可以书面形式要求磋商申请人对所提交投标响应文件中不明确的内容进行书面澄清或说明，或者对细微偏差进行补正。评标委员会不接受磋商申请人主动提出的澄清、说明或补正。</w:t>
      </w:r>
    </w:p>
    <w:p w14:paraId="420B48F3">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3.3.4.2 澄清、说明和补正不得改变投标响应文件的实质性内容。磋商申请人的书面澄清、说明和补正属于投标响应文件的组成部分。</w:t>
      </w:r>
    </w:p>
    <w:p w14:paraId="1F23E02F">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3.3.4.3 评标委员会对磋商申请人提交的澄清、说明或补正有疑问的，可以要求磋商申请人进一步澄清、说明或补正，直至满足评标委员会的要求。</w:t>
      </w:r>
    </w:p>
    <w:p w14:paraId="712836C0">
      <w:pPr>
        <w:numPr>
          <w:ilvl w:val="0"/>
          <w:numId w:val="0"/>
        </w:numPr>
        <w:rPr>
          <w:rFonts w:hint="eastAsia" w:ascii="微软雅黑" w:hAnsi="微软雅黑" w:eastAsia="微软雅黑" w:cs="微软雅黑"/>
          <w:b/>
          <w:bCs/>
          <w:color w:val="auto"/>
          <w:kern w:val="2"/>
          <w:sz w:val="24"/>
          <w:szCs w:val="24"/>
          <w:highlight w:val="none"/>
          <w:lang w:val="en-US" w:eastAsia="zh-CN" w:bidi="ar-SA"/>
        </w:rPr>
      </w:pPr>
      <w:bookmarkStart w:id="253" w:name="_Toc462164510"/>
      <w:bookmarkStart w:id="254" w:name="_Toc30076"/>
      <w:bookmarkStart w:id="255" w:name="_Toc29802"/>
      <w:bookmarkStart w:id="256" w:name="_Toc247085766"/>
      <w:bookmarkStart w:id="257" w:name="_Toc31509"/>
      <w:bookmarkStart w:id="258" w:name="_Toc246996994"/>
      <w:bookmarkStart w:id="259" w:name="_Toc179632626"/>
      <w:bookmarkStart w:id="260" w:name="_Toc2344"/>
      <w:bookmarkStart w:id="261" w:name="_Toc246996251"/>
      <w:bookmarkStart w:id="262" w:name="_Toc152045608"/>
      <w:bookmarkStart w:id="263" w:name="_Toc349724799"/>
      <w:bookmarkStart w:id="264" w:name="_Toc152042386"/>
      <w:bookmarkStart w:id="265" w:name="_Toc144974576"/>
      <w:r>
        <w:rPr>
          <w:rFonts w:hint="eastAsia" w:ascii="微软雅黑" w:hAnsi="微软雅黑" w:eastAsia="微软雅黑" w:cs="微软雅黑"/>
          <w:b/>
          <w:bCs/>
          <w:color w:val="auto"/>
          <w:kern w:val="2"/>
          <w:sz w:val="24"/>
          <w:szCs w:val="24"/>
          <w:highlight w:val="none"/>
          <w:lang w:val="en-US" w:eastAsia="zh-CN" w:bidi="ar-SA"/>
        </w:rPr>
        <w:t>3.4 评标结果</w:t>
      </w:r>
      <w:bookmarkEnd w:id="253"/>
      <w:bookmarkEnd w:id="254"/>
      <w:bookmarkEnd w:id="255"/>
      <w:bookmarkEnd w:id="256"/>
      <w:bookmarkEnd w:id="257"/>
      <w:bookmarkEnd w:id="258"/>
      <w:bookmarkEnd w:id="259"/>
      <w:bookmarkEnd w:id="260"/>
      <w:bookmarkEnd w:id="261"/>
      <w:bookmarkEnd w:id="262"/>
      <w:bookmarkEnd w:id="263"/>
      <w:bookmarkEnd w:id="264"/>
      <w:bookmarkEnd w:id="265"/>
    </w:p>
    <w:p w14:paraId="2A51639F">
      <w:pPr>
        <w:numPr>
          <w:ilvl w:val="0"/>
          <w:numId w:val="0"/>
        </w:numPr>
        <w:rPr>
          <w:rFonts w:hint="eastAsia" w:ascii="微软雅黑" w:hAnsi="微软雅黑" w:eastAsia="微软雅黑" w:cs="微软雅黑"/>
          <w:b w:val="0"/>
          <w:bCs w:val="0"/>
          <w:color w:val="auto"/>
          <w:kern w:val="2"/>
          <w:sz w:val="24"/>
          <w:szCs w:val="24"/>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3.5.1除第二章“磋商申请人须知”前附表授权直接确定中标人外，评标委员会按照综合得分由高到低的顺序推荐中标候选人。</w:t>
      </w:r>
    </w:p>
    <w:p w14:paraId="4A42FA49">
      <w:pPr>
        <w:numPr>
          <w:ilvl w:val="0"/>
          <w:numId w:val="0"/>
        </w:numPr>
        <w:rPr>
          <w:rFonts w:hint="eastAsia" w:ascii="微软雅黑" w:hAnsi="微软雅黑" w:eastAsia="微软雅黑" w:cs="微软雅黑"/>
          <w:b w:val="0"/>
          <w:bCs w:val="0"/>
          <w:color w:val="auto"/>
          <w:kern w:val="2"/>
          <w:sz w:val="32"/>
          <w:szCs w:val="32"/>
          <w:highlight w:val="none"/>
          <w:lang w:val="en-US" w:eastAsia="zh-CN" w:bidi="ar-SA"/>
        </w:rPr>
      </w:pPr>
      <w:r>
        <w:rPr>
          <w:rFonts w:hint="eastAsia" w:ascii="微软雅黑" w:hAnsi="微软雅黑" w:eastAsia="微软雅黑" w:cs="微软雅黑"/>
          <w:b w:val="0"/>
          <w:bCs w:val="0"/>
          <w:color w:val="auto"/>
          <w:kern w:val="2"/>
          <w:sz w:val="24"/>
          <w:szCs w:val="24"/>
          <w:highlight w:val="none"/>
          <w:lang w:val="en-US" w:eastAsia="zh-CN" w:bidi="ar-SA"/>
        </w:rPr>
        <w:t>3.5.2 评标委员会完成评标后，应当向招标人提交书面评标报告。</w:t>
      </w:r>
    </w:p>
    <w:p w14:paraId="0BC02304">
      <w:pPr>
        <w:pStyle w:val="2"/>
        <w:keepNext/>
        <w:keepLines/>
        <w:pageBreakBefore w:val="0"/>
        <w:widowControl w:val="0"/>
        <w:kinsoku/>
        <w:wordWrap/>
        <w:overflowPunct/>
        <w:topLinePunct w:val="0"/>
        <w:autoSpaceDE/>
        <w:autoSpaceDN/>
        <w:bidi w:val="0"/>
        <w:adjustRightInd/>
        <w:snapToGrid/>
        <w:spacing w:line="240" w:lineRule="auto"/>
        <w:jc w:val="center"/>
        <w:textAlignment w:val="auto"/>
        <w:outlineLvl w:val="9"/>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bookmarkStart w:id="266" w:name="_Toc247085767"/>
      <w:bookmarkStart w:id="267" w:name="_Toc246996995"/>
      <w:bookmarkStart w:id="268" w:name="_Toc296602497"/>
      <w:bookmarkStart w:id="269" w:name="_Toc144974577"/>
      <w:bookmarkStart w:id="270" w:name="_Toc152045609"/>
      <w:bookmarkStart w:id="271" w:name="_Toc179632627"/>
      <w:bookmarkStart w:id="272" w:name="_Toc246996252"/>
      <w:bookmarkStart w:id="273" w:name="_Toc152042387"/>
    </w:p>
    <w:p w14:paraId="45FA27F6">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2337A632">
      <w:pPr>
        <w:pStyle w:val="5"/>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2FBE5590">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313DF535">
      <w:pPr>
        <w:pStyle w:val="5"/>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16016626">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0AB9FE7D">
      <w:pPr>
        <w:pStyle w:val="5"/>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30104D1C">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4AEEB2E5">
      <w:pPr>
        <w:pStyle w:val="5"/>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3D8728C7">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4B16FCC1">
      <w:pPr>
        <w:pStyle w:val="5"/>
        <w:rPr>
          <w:rFonts w:hint="eastAsia"/>
          <w:highlight w:val="none"/>
          <w:lang w:val="en-US" w:eastAsia="zh-CN"/>
        </w:rPr>
      </w:pPr>
    </w:p>
    <w:p w14:paraId="0E016A6C">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1DF9A1E9">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p w14:paraId="26850BC9">
      <w:pP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p>
    <w:bookmarkEnd w:id="266"/>
    <w:bookmarkEnd w:id="267"/>
    <w:bookmarkEnd w:id="268"/>
    <w:bookmarkEnd w:id="269"/>
    <w:bookmarkEnd w:id="270"/>
    <w:bookmarkEnd w:id="271"/>
    <w:bookmarkEnd w:id="272"/>
    <w:bookmarkEnd w:id="273"/>
    <w:p w14:paraId="1DD0B9E7">
      <w:pPr>
        <w:pStyle w:val="2"/>
        <w:spacing w:before="0" w:after="0" w:line="240" w:lineRule="auto"/>
        <w:jc w:val="center"/>
        <w:rPr>
          <w:rFonts w:hint="eastAsia" w:ascii="宋体" w:hAnsi="宋体" w:eastAsia="宋体" w:cs="宋体"/>
          <w:b w:val="0"/>
          <w:bCs w:val="0"/>
          <w:color w:val="auto"/>
          <w:kern w:val="2"/>
          <w:sz w:val="44"/>
          <w:szCs w:val="44"/>
          <w:highlight w:val="none"/>
          <w:lang w:val="en-US" w:eastAsia="zh-CN" w:bidi="ar-SA"/>
        </w:rPr>
      </w:pPr>
      <w:bookmarkStart w:id="274" w:name="_Toc24837"/>
      <w:bookmarkStart w:id="275" w:name="_Toc12364"/>
      <w:bookmarkStart w:id="276" w:name="_Toc12131"/>
    </w:p>
    <w:p w14:paraId="782E14E8">
      <w:pPr>
        <w:rPr>
          <w:rFonts w:hint="eastAsia" w:ascii="宋体" w:hAnsi="宋体" w:eastAsia="宋体" w:cs="宋体"/>
          <w:b w:val="0"/>
          <w:bCs w:val="0"/>
          <w:color w:val="auto"/>
          <w:kern w:val="2"/>
          <w:sz w:val="44"/>
          <w:szCs w:val="44"/>
          <w:highlight w:val="none"/>
          <w:lang w:val="en-US" w:eastAsia="zh-CN" w:bidi="ar-SA"/>
        </w:rPr>
      </w:pPr>
    </w:p>
    <w:p w14:paraId="301485B3">
      <w:pPr>
        <w:rPr>
          <w:rFonts w:hint="eastAsia" w:ascii="宋体" w:hAnsi="宋体" w:eastAsia="宋体" w:cs="宋体"/>
          <w:b w:val="0"/>
          <w:bCs w:val="0"/>
          <w:color w:val="auto"/>
          <w:kern w:val="2"/>
          <w:sz w:val="44"/>
          <w:szCs w:val="44"/>
          <w:highlight w:val="none"/>
          <w:lang w:val="en-US" w:eastAsia="zh-CN" w:bidi="ar-SA"/>
        </w:rPr>
      </w:pPr>
    </w:p>
    <w:p w14:paraId="3A511E8E">
      <w:pPr>
        <w:pStyle w:val="2"/>
        <w:pageBreakBefore w:val="0"/>
        <w:widowControl w:val="0"/>
        <w:numPr>
          <w:ilvl w:val="0"/>
          <w:numId w:val="0"/>
        </w:numPr>
        <w:kinsoku/>
        <w:wordWrap/>
        <w:overflowPunct/>
        <w:topLinePunct w:val="0"/>
        <w:autoSpaceDE/>
        <w:autoSpaceDN/>
        <w:bidi w:val="0"/>
        <w:spacing w:before="0" w:after="0" w:line="360" w:lineRule="auto"/>
        <w:jc w:val="center"/>
        <w:textAlignment w:val="auto"/>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bookmarkStart w:id="277" w:name="_Toc1258"/>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第四章  合同基本格式</w:t>
      </w:r>
      <w:bookmarkEnd w:id="274"/>
      <w:bookmarkEnd w:id="275"/>
      <w:bookmarkEnd w:id="276"/>
      <w:bookmarkEnd w:id="277"/>
    </w:p>
    <w:p w14:paraId="441AF0E5">
      <w:pPr>
        <w:jc w:val="center"/>
        <w:rPr>
          <w:rFonts w:hint="eastAsia" w:ascii="宋体" w:hAnsi="宋体" w:eastAsia="宋体" w:cs="宋体"/>
          <w:color w:val="auto"/>
          <w:sz w:val="40"/>
          <w:szCs w:val="36"/>
          <w:highlight w:val="none"/>
        </w:rPr>
      </w:pPr>
      <w:r>
        <w:rPr>
          <w:rFonts w:hint="eastAsia" w:ascii="宋体" w:hAnsi="宋体" w:eastAsia="宋体" w:cs="宋体"/>
          <w:color w:val="auto"/>
          <w:sz w:val="32"/>
          <w:szCs w:val="28"/>
          <w:highlight w:val="none"/>
        </w:rPr>
        <w:t>（</w:t>
      </w:r>
      <w:r>
        <w:rPr>
          <w:rFonts w:hint="eastAsia" w:ascii="宋体" w:hAnsi="宋体" w:cs="宋体"/>
          <w:color w:val="auto"/>
          <w:sz w:val="32"/>
          <w:szCs w:val="28"/>
          <w:highlight w:val="none"/>
          <w:lang w:val="en-US" w:eastAsia="zh-CN"/>
        </w:rPr>
        <w:t>合同</w:t>
      </w:r>
      <w:r>
        <w:rPr>
          <w:rFonts w:hint="eastAsia" w:ascii="宋体" w:hAnsi="宋体" w:eastAsia="宋体" w:cs="宋体"/>
          <w:b w:val="0"/>
          <w:bCs w:val="0"/>
          <w:color w:val="auto"/>
          <w:kern w:val="2"/>
          <w:sz w:val="36"/>
          <w:szCs w:val="36"/>
          <w:highlight w:val="none"/>
          <w:lang w:val="en-US" w:eastAsia="zh-CN" w:bidi="ar-SA"/>
        </w:rPr>
        <w:t>基本格式及内容</w:t>
      </w:r>
      <w:r>
        <w:rPr>
          <w:rFonts w:hint="eastAsia" w:ascii="宋体" w:hAnsi="宋体" w:eastAsia="宋体" w:cs="宋体"/>
          <w:color w:val="auto"/>
          <w:sz w:val="32"/>
          <w:szCs w:val="28"/>
          <w:highlight w:val="none"/>
        </w:rPr>
        <w:t>仅供参考</w:t>
      </w:r>
      <w:r>
        <w:rPr>
          <w:rFonts w:hint="eastAsia" w:ascii="宋体" w:hAnsi="宋体" w:cs="宋体"/>
          <w:color w:val="auto"/>
          <w:sz w:val="32"/>
          <w:szCs w:val="28"/>
          <w:highlight w:val="none"/>
          <w:lang w:eastAsia="zh-CN"/>
        </w:rPr>
        <w:t>，</w:t>
      </w:r>
      <w:r>
        <w:rPr>
          <w:rFonts w:hint="eastAsia" w:ascii="宋体" w:hAnsi="宋体" w:cs="宋体"/>
          <w:color w:val="auto"/>
          <w:sz w:val="32"/>
          <w:szCs w:val="28"/>
          <w:highlight w:val="none"/>
          <w:lang w:val="en-US" w:eastAsia="zh-CN"/>
        </w:rPr>
        <w:t>最终以双方实际签订的合同为准</w:t>
      </w:r>
      <w:r>
        <w:rPr>
          <w:rFonts w:hint="eastAsia" w:ascii="宋体" w:hAnsi="宋体" w:eastAsia="宋体" w:cs="宋体"/>
          <w:color w:val="auto"/>
          <w:sz w:val="32"/>
          <w:szCs w:val="28"/>
          <w:highlight w:val="none"/>
        </w:rPr>
        <w:t>）</w:t>
      </w:r>
    </w:p>
    <w:p w14:paraId="6795EE9D">
      <w:pPr>
        <w:rPr>
          <w:rFonts w:hint="eastAsia" w:ascii="宋体" w:hAnsi="宋体" w:eastAsia="宋体" w:cs="宋体"/>
          <w:color w:val="auto"/>
          <w:highlight w:val="none"/>
        </w:rPr>
      </w:pPr>
    </w:p>
    <w:p w14:paraId="4B0FEC53">
      <w:pPr>
        <w:autoSpaceDE w:val="0"/>
        <w:autoSpaceDN w:val="0"/>
        <w:adjustRightInd w:val="0"/>
        <w:spacing w:line="400" w:lineRule="atLeast"/>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 xml:space="preserve">合同编号:                                              </w:t>
      </w:r>
    </w:p>
    <w:p w14:paraId="2CFC1649">
      <w:pPr>
        <w:widowControl/>
        <w:spacing w:after="240"/>
        <w:ind w:right="-109" w:rightChars="-52"/>
        <w:jc w:val="left"/>
        <w:rPr>
          <w:rFonts w:hint="eastAsia" w:ascii="宋体" w:hAnsi="宋体" w:eastAsia="宋体" w:cs="宋体"/>
          <w:color w:val="auto"/>
          <w:kern w:val="0"/>
          <w:sz w:val="24"/>
          <w:highlight w:val="none"/>
        </w:rPr>
      </w:pPr>
    </w:p>
    <w:p w14:paraId="68FEA2DF">
      <w:pPr>
        <w:pStyle w:val="16"/>
        <w:spacing w:line="360" w:lineRule="auto"/>
        <w:jc w:val="center"/>
        <w:rPr>
          <w:rFonts w:hint="eastAsia" w:ascii="宋体" w:hAnsi="宋体" w:eastAsia="宋体" w:cs="宋体"/>
          <w:b/>
          <w:color w:val="auto"/>
          <w:sz w:val="72"/>
          <w:szCs w:val="72"/>
          <w:highlight w:val="none"/>
        </w:rPr>
      </w:pPr>
      <w:r>
        <w:rPr>
          <w:rFonts w:hint="eastAsia" w:ascii="宋体" w:hAnsi="宋体" w:eastAsia="宋体" w:cs="宋体"/>
          <w:b/>
          <w:color w:val="auto"/>
          <w:sz w:val="72"/>
          <w:szCs w:val="72"/>
          <w:highlight w:val="none"/>
        </w:rPr>
        <w:t>政府采购合同</w:t>
      </w:r>
    </w:p>
    <w:p w14:paraId="21879CA9">
      <w:pPr>
        <w:pStyle w:val="16"/>
        <w:spacing w:line="360" w:lineRule="auto"/>
        <w:jc w:val="center"/>
        <w:rPr>
          <w:rFonts w:hint="eastAsia" w:ascii="宋体" w:hAnsi="宋体" w:eastAsia="宋体" w:cs="宋体"/>
          <w:color w:val="auto"/>
          <w:sz w:val="44"/>
          <w:szCs w:val="44"/>
          <w:highlight w:val="none"/>
        </w:rPr>
      </w:pPr>
      <w:r>
        <w:rPr>
          <w:rFonts w:hint="eastAsia" w:ascii="宋体" w:hAnsi="宋体" w:eastAsia="宋体" w:cs="宋体"/>
          <w:color w:val="auto"/>
          <w:sz w:val="44"/>
          <w:szCs w:val="44"/>
          <w:highlight w:val="none"/>
        </w:rPr>
        <w:t>（电子交易项目适用）</w:t>
      </w:r>
    </w:p>
    <w:p w14:paraId="23E10D4C">
      <w:pPr>
        <w:pStyle w:val="16"/>
        <w:rPr>
          <w:rFonts w:hint="eastAsia" w:ascii="宋体" w:hAnsi="宋体" w:eastAsia="宋体" w:cs="宋体"/>
          <w:color w:val="auto"/>
          <w:sz w:val="24"/>
          <w:szCs w:val="24"/>
          <w:highlight w:val="none"/>
        </w:rPr>
      </w:pPr>
    </w:p>
    <w:p w14:paraId="676CD987">
      <w:pPr>
        <w:pStyle w:val="16"/>
        <w:rPr>
          <w:rFonts w:hint="eastAsia" w:ascii="宋体" w:hAnsi="宋体" w:eastAsia="宋体" w:cs="宋体"/>
          <w:color w:val="auto"/>
          <w:sz w:val="24"/>
          <w:szCs w:val="24"/>
          <w:highlight w:val="none"/>
        </w:rPr>
      </w:pPr>
    </w:p>
    <w:p w14:paraId="291FFE8A">
      <w:pPr>
        <w:pStyle w:val="16"/>
        <w:rPr>
          <w:rFonts w:hint="eastAsia" w:ascii="宋体" w:hAnsi="宋体" w:eastAsia="宋体" w:cs="宋体"/>
          <w:color w:val="auto"/>
          <w:sz w:val="24"/>
          <w:szCs w:val="24"/>
          <w:highlight w:val="none"/>
        </w:rPr>
      </w:pPr>
    </w:p>
    <w:p w14:paraId="52B0EA42">
      <w:pPr>
        <w:pStyle w:val="16"/>
        <w:rPr>
          <w:rFonts w:hint="eastAsia" w:ascii="宋体" w:hAnsi="宋体" w:eastAsia="宋体" w:cs="宋体"/>
          <w:color w:val="auto"/>
          <w:sz w:val="24"/>
          <w:szCs w:val="24"/>
          <w:highlight w:val="none"/>
        </w:rPr>
      </w:pPr>
    </w:p>
    <w:p w14:paraId="1BBFD04D">
      <w:pPr>
        <w:pStyle w:val="16"/>
        <w:rPr>
          <w:rFonts w:hint="eastAsia" w:ascii="宋体" w:hAnsi="宋体" w:eastAsia="宋体" w:cs="宋体"/>
          <w:color w:val="auto"/>
          <w:sz w:val="24"/>
          <w:szCs w:val="24"/>
          <w:highlight w:val="none"/>
        </w:rPr>
      </w:pPr>
    </w:p>
    <w:p w14:paraId="5A213CCB">
      <w:pPr>
        <w:pStyle w:val="16"/>
        <w:adjustRightInd w:val="0"/>
        <w:snapToGrid w:val="0"/>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p>
    <w:p w14:paraId="54B285E7">
      <w:pPr>
        <w:pStyle w:val="16"/>
        <w:adjustRightInd w:val="0"/>
        <w:snapToGrid w:val="0"/>
        <w:spacing w:line="360" w:lineRule="auto"/>
        <w:rPr>
          <w:rFonts w:hint="eastAsia" w:ascii="宋体" w:hAnsi="宋体" w:eastAsia="宋体" w:cs="宋体"/>
          <w:color w:val="auto"/>
          <w:sz w:val="36"/>
          <w:szCs w:val="36"/>
          <w:highlight w:val="none"/>
        </w:rPr>
      </w:pPr>
    </w:p>
    <w:p w14:paraId="56AA1642">
      <w:pPr>
        <w:pStyle w:val="16"/>
        <w:adjustRightInd w:val="0"/>
        <w:snapToGrid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合同编号：</w:t>
      </w:r>
    </w:p>
    <w:p w14:paraId="628CF501">
      <w:pPr>
        <w:pStyle w:val="16"/>
        <w:adjustRightInd w:val="0"/>
        <w:snapToGrid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甲    方：</w:t>
      </w:r>
    </w:p>
    <w:p w14:paraId="6611DAF5">
      <w:pPr>
        <w:pStyle w:val="16"/>
        <w:adjustRightInd w:val="0"/>
        <w:snapToGrid w:val="0"/>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乙    方：</w:t>
      </w:r>
    </w:p>
    <w:p w14:paraId="0AA358B7">
      <w:pPr>
        <w:pStyle w:val="16"/>
        <w:adjustRightInd w:val="0"/>
        <w:snapToGrid w:val="0"/>
        <w:spacing w:line="360" w:lineRule="auto"/>
        <w:rPr>
          <w:rFonts w:hint="eastAsia" w:ascii="宋体" w:hAnsi="宋体" w:eastAsia="宋体" w:cs="宋体"/>
          <w:color w:val="auto"/>
          <w:sz w:val="32"/>
          <w:szCs w:val="32"/>
          <w:highlight w:val="none"/>
        </w:rPr>
      </w:pPr>
    </w:p>
    <w:p w14:paraId="15A42728">
      <w:pPr>
        <w:pStyle w:val="16"/>
        <w:adjustRightInd w:val="0"/>
        <w:snapToGrid w:val="0"/>
        <w:spacing w:line="360" w:lineRule="auto"/>
        <w:ind w:firstLine="960" w:firstLineChars="300"/>
        <w:jc w:val="cente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年    月    日</w:t>
      </w:r>
    </w:p>
    <w:p w14:paraId="1B187F22">
      <w:pPr>
        <w:rPr>
          <w:rFonts w:hint="eastAsia" w:ascii="宋体" w:hAnsi="宋体" w:eastAsia="宋体" w:cs="宋体"/>
          <w:b/>
          <w:color w:val="auto"/>
          <w:sz w:val="28"/>
          <w:szCs w:val="28"/>
          <w:highlight w:val="none"/>
        </w:rPr>
      </w:pPr>
      <w:r>
        <w:rPr>
          <w:rFonts w:hint="eastAsia" w:ascii="宋体" w:hAnsi="宋体" w:eastAsia="宋体" w:cs="宋体"/>
          <w:color w:val="auto"/>
          <w:sz w:val="24"/>
          <w:szCs w:val="24"/>
          <w:highlight w:val="none"/>
        </w:rPr>
        <w:br w:type="page"/>
      </w:r>
    </w:p>
    <w:p w14:paraId="63C3CBF6">
      <w:pPr>
        <w:spacing w:line="360" w:lineRule="auto"/>
        <w:ind w:firstLine="482" w:firstLineChars="200"/>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甲方：</w:t>
      </w:r>
      <w:r>
        <w:rPr>
          <w:rFonts w:hint="eastAsia" w:ascii="宋体" w:hAnsi="宋体" w:eastAsia="宋体" w:cs="宋体"/>
          <w:color w:val="auto"/>
          <w:sz w:val="24"/>
          <w:szCs w:val="24"/>
          <w:highlight w:val="none"/>
          <w:u w:val="single"/>
        </w:rPr>
        <w:t xml:space="preserve">                       </w:t>
      </w:r>
    </w:p>
    <w:p w14:paraId="50445A50">
      <w:pPr>
        <w:spacing w:line="360" w:lineRule="auto"/>
        <w:ind w:firstLine="482" w:firstLineChars="200"/>
        <w:textAlignment w:val="top"/>
        <w:rPr>
          <w:rFonts w:hint="eastAsia" w:ascii="宋体" w:hAnsi="宋体" w:eastAsia="宋体" w:cs="宋体"/>
          <w:b/>
          <w:color w:val="auto"/>
          <w:sz w:val="24"/>
          <w:szCs w:val="24"/>
          <w:highlight w:val="none"/>
          <w:u w:val="single"/>
        </w:rPr>
      </w:pPr>
    </w:p>
    <w:p w14:paraId="3545E7FB">
      <w:pPr>
        <w:spacing w:line="360" w:lineRule="auto"/>
        <w:ind w:firstLine="482" w:firstLineChars="200"/>
        <w:textAlignment w:val="top"/>
        <w:rPr>
          <w:rFonts w:hint="eastAsia" w:ascii="宋体" w:hAnsi="宋体" w:eastAsia="宋体" w:cs="宋体"/>
          <w:color w:val="auto"/>
          <w:sz w:val="24"/>
          <w:szCs w:val="24"/>
          <w:highlight w:val="none"/>
          <w:u w:val="single"/>
        </w:rPr>
      </w:pPr>
      <w:r>
        <w:rPr>
          <w:rFonts w:hint="eastAsia" w:ascii="宋体" w:hAnsi="宋体" w:eastAsia="宋体" w:cs="宋体"/>
          <w:b/>
          <w:color w:val="auto"/>
          <w:sz w:val="24"/>
          <w:szCs w:val="24"/>
          <w:highlight w:val="none"/>
        </w:rPr>
        <w:t>乙方：</w:t>
      </w:r>
      <w:r>
        <w:rPr>
          <w:rFonts w:hint="eastAsia" w:ascii="宋体" w:hAnsi="宋体" w:eastAsia="宋体" w:cs="宋体"/>
          <w:b/>
          <w:color w:val="auto"/>
          <w:sz w:val="24"/>
          <w:szCs w:val="24"/>
          <w:highlight w:val="none"/>
          <w:u w:val="single"/>
        </w:rPr>
        <w:t xml:space="preserve">                       </w:t>
      </w:r>
    </w:p>
    <w:p w14:paraId="0787F591">
      <w:pPr>
        <w:pStyle w:val="35"/>
        <w:adjustRightInd w:val="0"/>
        <w:snapToGrid w:val="0"/>
        <w:spacing w:line="360" w:lineRule="auto"/>
        <w:ind w:left="0" w:leftChars="0" w:firstLine="480" w:firstLineChars="200"/>
        <w:textAlignment w:val="top"/>
        <w:rPr>
          <w:rFonts w:hint="eastAsia" w:ascii="宋体" w:hAnsi="宋体" w:eastAsia="宋体" w:cs="宋体"/>
          <w:color w:val="auto"/>
          <w:sz w:val="24"/>
          <w:szCs w:val="24"/>
          <w:highlight w:val="none"/>
        </w:rPr>
      </w:pPr>
    </w:p>
    <w:p w14:paraId="2DFBDA6B">
      <w:pPr>
        <w:pStyle w:val="35"/>
        <w:adjustRightInd w:val="0"/>
        <w:snapToGrid w:val="0"/>
        <w:spacing w:line="360" w:lineRule="auto"/>
        <w:ind w:left="0" w:leftChars="0" w:firstLine="480" w:firstLineChars="200"/>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依据《中华人民共和国政府采购法》、《中华人民共和国民法典》及其它有关法律、法规的规定，遵循平等、互利的原则，双方就</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事项协商一致，订立本合同。</w:t>
      </w:r>
    </w:p>
    <w:p w14:paraId="305B8B0E">
      <w:pPr>
        <w:pStyle w:val="144"/>
        <w:adjustRightInd w:val="0"/>
        <w:snapToGrid w:val="0"/>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一、服务范围</w:t>
      </w:r>
    </w:p>
    <w:p w14:paraId="0A67D6BB">
      <w:pPr>
        <w:pStyle w:val="144"/>
        <w:adjustRightInd w:val="0"/>
        <w:snapToGrid w:val="0"/>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二、合同签订及服务周期</w:t>
      </w:r>
    </w:p>
    <w:p w14:paraId="679831F1">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合同签订时间：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08877F58">
      <w:pPr>
        <w:pStyle w:val="144"/>
        <w:adjustRightInd w:val="0"/>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服务期：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，即从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日至</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644E556">
      <w:pPr>
        <w:pStyle w:val="144"/>
        <w:adjustRightInd w:val="0"/>
        <w:snapToGrid w:val="0"/>
        <w:spacing w:line="360" w:lineRule="auto"/>
        <w:ind w:firstLine="422"/>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三、合同金额及支付方式</w:t>
      </w:r>
    </w:p>
    <w:p w14:paraId="33F8A70D">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本合同总价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元，人民币大写：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F8F7D48">
      <w:pPr>
        <w:pStyle w:val="144"/>
        <w:adjustRightInd w:val="0"/>
        <w:snapToGrid w:val="0"/>
        <w:spacing w:line="360" w:lineRule="auto"/>
        <w:jc w:val="lef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支付方式：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466C38E6">
      <w:pPr>
        <w:pStyle w:val="144"/>
        <w:adjustRightInd w:val="0"/>
        <w:snapToGrid w:val="0"/>
        <w:spacing w:line="360" w:lineRule="auto"/>
        <w:ind w:firstLineChars="199"/>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四、服务内容及标准</w:t>
      </w:r>
    </w:p>
    <w:p w14:paraId="786B50B2">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五、质量要求</w:t>
      </w:r>
    </w:p>
    <w:p w14:paraId="4F210429">
      <w:pPr>
        <w:tabs>
          <w:tab w:val="left" w:pos="720"/>
        </w:tabs>
        <w:adjustRightInd w:val="0"/>
        <w:snapToGrid w:val="0"/>
        <w:spacing w:line="360" w:lineRule="auto"/>
        <w:ind w:firstLine="480" w:firstLineChars="200"/>
        <w:textAlignment w:val="top"/>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eastAsia="zh-CN"/>
        </w:rPr>
        <w:t>严格按照国家、云南省、行业相关法律、法规、规范性文件执行，满足采购需要，符合采购人规定，达到采购人验收标准要求</w:t>
      </w:r>
      <w:r>
        <w:rPr>
          <w:rFonts w:hint="eastAsia" w:ascii="宋体" w:hAnsi="宋体" w:eastAsia="宋体" w:cs="宋体"/>
          <w:snapToGrid w:val="0"/>
          <w:color w:val="auto"/>
          <w:sz w:val="24"/>
          <w:szCs w:val="24"/>
          <w:highlight w:val="none"/>
        </w:rPr>
        <w:t>。</w:t>
      </w:r>
    </w:p>
    <w:p w14:paraId="44BC9D77">
      <w:pPr>
        <w:tabs>
          <w:tab w:val="left" w:pos="720"/>
        </w:tabs>
        <w:adjustRightInd w:val="0"/>
        <w:snapToGrid w:val="0"/>
        <w:spacing w:line="360" w:lineRule="auto"/>
        <w:ind w:firstLine="482" w:firstLineChars="200"/>
        <w:textAlignment w:val="top"/>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六、甲乙双方的权利与义务</w:t>
      </w:r>
    </w:p>
    <w:p w14:paraId="7B244700">
      <w:pPr>
        <w:tabs>
          <w:tab w:val="left" w:pos="720"/>
        </w:tabs>
        <w:adjustRightInd w:val="0"/>
        <w:snapToGrid w:val="0"/>
        <w:spacing w:line="360" w:lineRule="auto"/>
        <w:ind w:firstLine="482" w:firstLineChars="200"/>
        <w:textAlignment w:val="top"/>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七、不可抗力</w:t>
      </w:r>
    </w:p>
    <w:p w14:paraId="136CE889">
      <w:pPr>
        <w:tabs>
          <w:tab w:val="left" w:pos="720"/>
        </w:tabs>
        <w:adjustRightInd w:val="0"/>
        <w:snapToGrid w:val="0"/>
        <w:spacing w:line="360" w:lineRule="auto"/>
        <w:ind w:firstLine="482" w:firstLineChars="200"/>
        <w:textAlignment w:val="top"/>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八、履约担保</w:t>
      </w:r>
    </w:p>
    <w:p w14:paraId="26A40ACE">
      <w:pPr>
        <w:tabs>
          <w:tab w:val="left" w:pos="720"/>
        </w:tabs>
        <w:adjustRightInd w:val="0"/>
        <w:snapToGrid w:val="0"/>
        <w:spacing w:line="360" w:lineRule="auto"/>
        <w:ind w:firstLine="480" w:firstLineChars="200"/>
        <w:textAlignment w:val="top"/>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1.履约保证金的形式：</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6BF340CD">
      <w:pPr>
        <w:tabs>
          <w:tab w:val="left" w:pos="720"/>
        </w:tabs>
        <w:adjustRightInd w:val="0"/>
        <w:snapToGrid w:val="0"/>
        <w:spacing w:line="360" w:lineRule="auto"/>
        <w:ind w:firstLine="480" w:firstLineChars="200"/>
        <w:textAlignment w:val="top"/>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2.履约保证金金额：</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5F4DA86C">
      <w:pPr>
        <w:tabs>
          <w:tab w:val="left" w:pos="720"/>
        </w:tabs>
        <w:adjustRightInd w:val="0"/>
        <w:snapToGrid w:val="0"/>
        <w:spacing w:line="360" w:lineRule="auto"/>
        <w:ind w:firstLine="480" w:firstLineChars="200"/>
        <w:textAlignment w:val="top"/>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3.履约保证金的退还：</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24AD86B7">
      <w:pPr>
        <w:tabs>
          <w:tab w:val="left" w:pos="720"/>
        </w:tabs>
        <w:adjustRightInd w:val="0"/>
        <w:snapToGrid w:val="0"/>
        <w:spacing w:line="360" w:lineRule="auto"/>
        <w:ind w:firstLine="480" w:firstLineChars="200"/>
        <w:textAlignment w:val="top"/>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4.履约保证金不予退还的情形：</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w:t>
      </w:r>
    </w:p>
    <w:p w14:paraId="4BEB1D1B">
      <w:pPr>
        <w:tabs>
          <w:tab w:val="left" w:pos="720"/>
        </w:tabs>
        <w:adjustRightInd w:val="0"/>
        <w:snapToGrid w:val="0"/>
        <w:spacing w:line="360" w:lineRule="auto"/>
        <w:ind w:firstLine="482" w:firstLineChars="200"/>
        <w:textAlignment w:val="top"/>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九、争议处理</w:t>
      </w:r>
    </w:p>
    <w:p w14:paraId="6E68AC7F">
      <w:pPr>
        <w:tabs>
          <w:tab w:val="left" w:pos="720"/>
        </w:tabs>
        <w:adjustRightInd w:val="0"/>
        <w:snapToGrid w:val="0"/>
        <w:spacing w:line="360" w:lineRule="auto"/>
        <w:ind w:firstLine="480" w:firstLineChars="200"/>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1.因履行本合同发生的争议，由当事人双方协商解决。</w:t>
      </w:r>
    </w:p>
    <w:p w14:paraId="3F6F1CB1">
      <w:pPr>
        <w:tabs>
          <w:tab w:val="left" w:pos="720"/>
        </w:tabs>
        <w:adjustRightInd w:val="0"/>
        <w:snapToGrid w:val="0"/>
        <w:spacing w:line="360" w:lineRule="auto"/>
        <w:ind w:firstLine="480" w:firstLineChars="200"/>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2.如仍未解决，按下列第</w:t>
      </w:r>
      <w:r>
        <w:rPr>
          <w:rFonts w:hint="eastAsia" w:ascii="宋体" w:hAnsi="宋体" w:eastAsia="宋体" w:cs="宋体"/>
          <w:color w:val="auto"/>
          <w:sz w:val="24"/>
          <w:szCs w:val="24"/>
          <w:highlight w:val="none"/>
          <w:u w:val="single"/>
        </w:rPr>
        <w:t>（2）</w:t>
      </w:r>
      <w:r>
        <w:rPr>
          <w:rFonts w:hint="eastAsia" w:ascii="宋体" w:hAnsi="宋体" w:eastAsia="宋体" w:cs="宋体"/>
          <w:color w:val="auto"/>
          <w:sz w:val="24"/>
          <w:szCs w:val="24"/>
          <w:highlight w:val="none"/>
        </w:rPr>
        <w:t>种方式解决：</w:t>
      </w:r>
    </w:p>
    <w:p w14:paraId="114CF5B3">
      <w:pPr>
        <w:tabs>
          <w:tab w:val="left" w:pos="720"/>
        </w:tabs>
        <w:adjustRightInd w:val="0"/>
        <w:snapToGrid w:val="0"/>
        <w:spacing w:line="360" w:lineRule="auto"/>
        <w:ind w:firstLine="480" w:firstLineChars="200"/>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（1）提交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仲裁委员会仲裁。</w:t>
      </w:r>
    </w:p>
    <w:p w14:paraId="71D7FE67">
      <w:pPr>
        <w:tabs>
          <w:tab w:val="left" w:pos="720"/>
        </w:tabs>
        <w:adjustRightInd w:val="0"/>
        <w:snapToGrid w:val="0"/>
        <w:spacing w:line="360" w:lineRule="auto"/>
        <w:ind w:firstLine="480" w:firstLineChars="200"/>
        <w:textAlignment w:val="top"/>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（2）依法向</w:t>
      </w:r>
      <w:r>
        <w:rPr>
          <w:rFonts w:hint="eastAsia" w:ascii="宋体" w:hAnsi="宋体" w:eastAsia="宋体" w:cs="宋体"/>
          <w:color w:val="auto"/>
          <w:sz w:val="24"/>
          <w:szCs w:val="24"/>
          <w:highlight w:val="none"/>
          <w:u w:val="single"/>
        </w:rPr>
        <w:t>项目所在地</w:t>
      </w:r>
      <w:r>
        <w:rPr>
          <w:rFonts w:hint="eastAsia" w:ascii="宋体" w:hAnsi="宋体" w:eastAsia="宋体" w:cs="宋体"/>
          <w:color w:val="auto"/>
          <w:sz w:val="24"/>
          <w:szCs w:val="24"/>
          <w:highlight w:val="none"/>
        </w:rPr>
        <w:t>人民法院提起诉讼</w:t>
      </w:r>
    </w:p>
    <w:p w14:paraId="40F8CECE">
      <w:pPr>
        <w:adjustRightInd w:val="0"/>
        <w:snapToGrid w:val="0"/>
        <w:spacing w:line="360" w:lineRule="auto"/>
        <w:ind w:firstLine="482" w:firstLineChars="20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十、合同生效及其他</w:t>
      </w:r>
    </w:p>
    <w:p w14:paraId="0F777FF0">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份，甲、乙双方各执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p>
    <w:p w14:paraId="611AE6E2">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2.经双方签字的书面合同附件，与本合同具备同等法律效力。</w:t>
      </w:r>
    </w:p>
    <w:p w14:paraId="5733D678">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3.本合同其他事宜，按合同相关法律法规规定处理。</w:t>
      </w:r>
    </w:p>
    <w:p w14:paraId="675EA6ED">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4.本合同自签订之日起生效。</w:t>
      </w:r>
    </w:p>
    <w:p w14:paraId="76C2BC1E">
      <w:pPr>
        <w:pStyle w:val="144"/>
        <w:adjustRightInd w:val="0"/>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5.本合同不可分割之部分：竞争性磋商文件、乙方的响应文件、成交通知书、合同书附件。</w:t>
      </w:r>
    </w:p>
    <w:p w14:paraId="64191964">
      <w:pPr>
        <w:pStyle w:val="144"/>
        <w:wordWrap w:val="0"/>
        <w:spacing w:line="360" w:lineRule="auto"/>
        <w:ind w:left="400"/>
        <w:rPr>
          <w:rFonts w:hint="eastAsia" w:ascii="宋体" w:hAnsi="宋体" w:eastAsia="宋体" w:cs="宋体"/>
          <w:color w:val="auto"/>
          <w:sz w:val="24"/>
          <w:szCs w:val="24"/>
          <w:highlight w:val="none"/>
        </w:rPr>
      </w:pPr>
    </w:p>
    <w:p w14:paraId="75B8C7B4">
      <w:pPr>
        <w:adjustRightInd w:val="0"/>
        <w:snapToGrid w:val="0"/>
        <w:spacing w:line="480" w:lineRule="auto"/>
        <w:ind w:firstLine="972" w:firstLineChars="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                                         乙方：</w:t>
      </w:r>
    </w:p>
    <w:p w14:paraId="5AC2515D">
      <w:pPr>
        <w:adjustRightInd w:val="0"/>
        <w:snapToGrid w:val="0"/>
        <w:spacing w:line="480" w:lineRule="auto"/>
        <w:ind w:firstLine="972" w:firstLineChars="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14:paraId="3A1BF97D">
      <w:pPr>
        <w:adjustRightInd w:val="0"/>
        <w:snapToGrid w:val="0"/>
        <w:spacing w:line="480" w:lineRule="auto"/>
        <w:ind w:firstLine="972" w:firstLineChars="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                                   法定代表人：</w:t>
      </w:r>
    </w:p>
    <w:p w14:paraId="50BD4E7D">
      <w:pPr>
        <w:adjustRightInd w:val="0"/>
        <w:snapToGrid w:val="0"/>
        <w:spacing w:line="480" w:lineRule="auto"/>
        <w:ind w:firstLine="972" w:firstLineChars="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委托代理人：                                  委托代理人：  </w:t>
      </w:r>
    </w:p>
    <w:p w14:paraId="58E2C188">
      <w:pPr>
        <w:adjustRightInd w:val="0"/>
        <w:snapToGrid w:val="0"/>
        <w:spacing w:line="480" w:lineRule="auto"/>
        <w:ind w:firstLine="972" w:firstLineChars="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14:paraId="1B7CD512">
      <w:pPr>
        <w:adjustRightInd w:val="0"/>
        <w:snapToGrid w:val="0"/>
        <w:spacing w:line="480" w:lineRule="auto"/>
        <w:ind w:firstLine="972" w:firstLineChars="40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14:paraId="28A35D7D">
      <w:pPr>
        <w:adjustRightInd w:val="0"/>
        <w:snapToGrid w:val="0"/>
        <w:spacing w:line="480" w:lineRule="auto"/>
        <w:ind w:firstLine="972" w:firstLineChars="405"/>
        <w:rPr>
          <w:rFonts w:hint="eastAsia" w:ascii="宋体" w:hAnsi="宋体" w:eastAsia="宋体" w:cs="宋体"/>
          <w:color w:val="auto"/>
          <w:sz w:val="24"/>
          <w:szCs w:val="24"/>
          <w:highlight w:val="none"/>
        </w:rPr>
      </w:pPr>
      <w:bookmarkStart w:id="278" w:name="_Toc367051623"/>
      <w:bookmarkStart w:id="279" w:name="_Toc367052069"/>
      <w:bookmarkStart w:id="280" w:name="_Toc367051729"/>
      <w:r>
        <w:rPr>
          <w:rFonts w:hint="eastAsia" w:ascii="宋体" w:hAnsi="宋体" w:eastAsia="宋体" w:cs="宋体"/>
          <w:color w:val="auto"/>
          <w:sz w:val="24"/>
          <w:szCs w:val="24"/>
          <w:highlight w:val="none"/>
        </w:rPr>
        <w:t>账号：                                          账号：</w:t>
      </w:r>
      <w:bookmarkEnd w:id="278"/>
      <w:bookmarkEnd w:id="279"/>
      <w:bookmarkEnd w:id="280"/>
    </w:p>
    <w:p w14:paraId="11E22783">
      <w:pPr>
        <w:spacing w:line="520" w:lineRule="atLeast"/>
        <w:ind w:firstLine="480"/>
        <w:rPr>
          <w:rFonts w:hint="eastAsia" w:ascii="宋体" w:hAnsi="宋体" w:eastAsia="宋体" w:cs="宋体"/>
          <w:color w:val="auto"/>
          <w:kern w:val="0"/>
          <w:sz w:val="24"/>
          <w:szCs w:val="24"/>
          <w:highlight w:val="none"/>
          <w:lang w:val="zh-CN"/>
        </w:rPr>
      </w:pPr>
    </w:p>
    <w:p w14:paraId="203FAD15">
      <w:pPr>
        <w:rPr>
          <w:rFonts w:hint="eastAsia" w:ascii="微软雅黑" w:hAnsi="微软雅黑" w:eastAsia="微软雅黑" w:cs="微软雅黑"/>
          <w:b w:val="0"/>
          <w:bCs w:val="0"/>
          <w:color w:val="auto"/>
          <w:sz w:val="21"/>
          <w:szCs w:val="21"/>
          <w:highlight w:val="none"/>
        </w:rPr>
      </w:pPr>
    </w:p>
    <w:p w14:paraId="1CCD6E14">
      <w:pPr>
        <w:pStyle w:val="22"/>
        <w:rPr>
          <w:rFonts w:hint="eastAsia" w:ascii="微软雅黑" w:hAnsi="微软雅黑" w:eastAsia="微软雅黑" w:cs="微软雅黑"/>
          <w:b w:val="0"/>
          <w:bCs w:val="0"/>
          <w:color w:val="auto"/>
          <w:sz w:val="21"/>
          <w:szCs w:val="21"/>
          <w:highlight w:val="none"/>
        </w:rPr>
      </w:pPr>
    </w:p>
    <w:p w14:paraId="6EE8B4D3">
      <w:pPr>
        <w:rPr>
          <w:rFonts w:hint="eastAsia" w:ascii="微软雅黑" w:hAnsi="微软雅黑" w:eastAsia="微软雅黑" w:cs="微软雅黑"/>
          <w:b w:val="0"/>
          <w:bCs w:val="0"/>
          <w:color w:val="auto"/>
          <w:sz w:val="21"/>
          <w:szCs w:val="21"/>
          <w:highlight w:val="none"/>
        </w:rPr>
      </w:pPr>
    </w:p>
    <w:p w14:paraId="10774797">
      <w:pPr>
        <w:pStyle w:val="30"/>
        <w:rPr>
          <w:rFonts w:hint="eastAsia" w:ascii="微软雅黑" w:hAnsi="微软雅黑" w:eastAsia="微软雅黑" w:cs="微软雅黑"/>
          <w:b w:val="0"/>
          <w:bCs w:val="0"/>
          <w:color w:val="auto"/>
          <w:sz w:val="21"/>
          <w:szCs w:val="21"/>
          <w:highlight w:val="none"/>
        </w:rPr>
      </w:pPr>
    </w:p>
    <w:p w14:paraId="38C1E86C">
      <w:pPr>
        <w:rPr>
          <w:rFonts w:hint="eastAsia" w:ascii="微软雅黑" w:hAnsi="微软雅黑" w:eastAsia="微软雅黑" w:cs="微软雅黑"/>
          <w:b w:val="0"/>
          <w:bCs w:val="0"/>
          <w:color w:val="auto"/>
          <w:sz w:val="21"/>
          <w:szCs w:val="21"/>
          <w:highlight w:val="none"/>
        </w:rPr>
      </w:pPr>
    </w:p>
    <w:p w14:paraId="2749EADF">
      <w:pPr>
        <w:pStyle w:val="18"/>
        <w:rPr>
          <w:rFonts w:hint="eastAsia" w:ascii="微软雅黑" w:hAnsi="微软雅黑" w:eastAsia="微软雅黑" w:cs="微软雅黑"/>
          <w:b w:val="0"/>
          <w:bCs w:val="0"/>
          <w:color w:val="auto"/>
          <w:sz w:val="21"/>
          <w:szCs w:val="21"/>
          <w:highlight w:val="none"/>
        </w:rPr>
      </w:pPr>
    </w:p>
    <w:p w14:paraId="6E75DA38">
      <w:pPr>
        <w:pStyle w:val="18"/>
        <w:rPr>
          <w:rFonts w:hint="eastAsia" w:ascii="微软雅黑" w:hAnsi="微软雅黑" w:eastAsia="微软雅黑" w:cs="微软雅黑"/>
          <w:b w:val="0"/>
          <w:bCs w:val="0"/>
          <w:color w:val="auto"/>
          <w:sz w:val="21"/>
          <w:szCs w:val="21"/>
          <w:highlight w:val="none"/>
        </w:rPr>
      </w:pPr>
    </w:p>
    <w:p w14:paraId="5AF3C79D">
      <w:pPr>
        <w:pStyle w:val="18"/>
        <w:rPr>
          <w:rFonts w:hint="eastAsia" w:ascii="微软雅黑" w:hAnsi="微软雅黑" w:eastAsia="微软雅黑" w:cs="微软雅黑"/>
          <w:b w:val="0"/>
          <w:bCs w:val="0"/>
          <w:color w:val="auto"/>
          <w:sz w:val="21"/>
          <w:szCs w:val="21"/>
          <w:highlight w:val="none"/>
        </w:rPr>
      </w:pPr>
    </w:p>
    <w:p w14:paraId="7AB01276">
      <w:pPr>
        <w:pStyle w:val="18"/>
        <w:rPr>
          <w:rFonts w:hint="eastAsia" w:ascii="微软雅黑" w:hAnsi="微软雅黑" w:eastAsia="微软雅黑" w:cs="微软雅黑"/>
          <w:b w:val="0"/>
          <w:bCs w:val="0"/>
          <w:color w:val="auto"/>
          <w:sz w:val="21"/>
          <w:szCs w:val="21"/>
          <w:highlight w:val="none"/>
        </w:rPr>
      </w:pPr>
    </w:p>
    <w:p w14:paraId="7149E1B3">
      <w:pPr>
        <w:pStyle w:val="18"/>
        <w:rPr>
          <w:rFonts w:hint="eastAsia" w:ascii="微软雅黑" w:hAnsi="微软雅黑" w:eastAsia="微软雅黑" w:cs="微软雅黑"/>
          <w:b w:val="0"/>
          <w:bCs w:val="0"/>
          <w:color w:val="auto"/>
          <w:sz w:val="21"/>
          <w:szCs w:val="21"/>
          <w:highlight w:val="none"/>
        </w:rPr>
      </w:pPr>
    </w:p>
    <w:p w14:paraId="205C5F10">
      <w:pPr>
        <w:pStyle w:val="18"/>
        <w:rPr>
          <w:rFonts w:hint="eastAsia" w:ascii="微软雅黑" w:hAnsi="微软雅黑" w:eastAsia="微软雅黑" w:cs="微软雅黑"/>
          <w:b w:val="0"/>
          <w:bCs w:val="0"/>
          <w:color w:val="auto"/>
          <w:sz w:val="21"/>
          <w:szCs w:val="21"/>
          <w:highlight w:val="none"/>
        </w:rPr>
      </w:pPr>
    </w:p>
    <w:p w14:paraId="2E085AE0">
      <w:pPr>
        <w:pStyle w:val="18"/>
        <w:rPr>
          <w:rFonts w:hint="eastAsia" w:ascii="微软雅黑" w:hAnsi="微软雅黑" w:eastAsia="微软雅黑" w:cs="微软雅黑"/>
          <w:b w:val="0"/>
          <w:bCs w:val="0"/>
          <w:color w:val="auto"/>
          <w:sz w:val="21"/>
          <w:szCs w:val="21"/>
          <w:highlight w:val="none"/>
        </w:rPr>
      </w:pPr>
    </w:p>
    <w:p w14:paraId="354BDD8A">
      <w:pPr>
        <w:pStyle w:val="18"/>
        <w:rPr>
          <w:rFonts w:hint="eastAsia" w:ascii="微软雅黑" w:hAnsi="微软雅黑" w:eastAsia="微软雅黑" w:cs="微软雅黑"/>
          <w:b w:val="0"/>
          <w:bCs w:val="0"/>
          <w:color w:val="auto"/>
          <w:sz w:val="21"/>
          <w:szCs w:val="21"/>
          <w:highlight w:val="none"/>
        </w:rPr>
      </w:pPr>
    </w:p>
    <w:p w14:paraId="41B5D841">
      <w:pPr>
        <w:pStyle w:val="18"/>
        <w:rPr>
          <w:rFonts w:hint="eastAsia" w:ascii="微软雅黑" w:hAnsi="微软雅黑" w:eastAsia="微软雅黑" w:cs="微软雅黑"/>
          <w:b w:val="0"/>
          <w:bCs w:val="0"/>
          <w:color w:val="auto"/>
          <w:sz w:val="21"/>
          <w:szCs w:val="21"/>
          <w:highlight w:val="none"/>
        </w:rPr>
      </w:pPr>
    </w:p>
    <w:p w14:paraId="4D9CE087">
      <w:pPr>
        <w:pStyle w:val="18"/>
        <w:rPr>
          <w:rFonts w:hint="eastAsia" w:ascii="微软雅黑" w:hAnsi="微软雅黑" w:eastAsia="微软雅黑" w:cs="微软雅黑"/>
          <w:b w:val="0"/>
          <w:bCs w:val="0"/>
          <w:color w:val="auto"/>
          <w:sz w:val="21"/>
          <w:szCs w:val="21"/>
          <w:highlight w:val="none"/>
        </w:rPr>
      </w:pPr>
    </w:p>
    <w:p w14:paraId="51BE851E">
      <w:pPr>
        <w:pStyle w:val="18"/>
        <w:rPr>
          <w:rFonts w:hint="eastAsia" w:ascii="微软雅黑" w:hAnsi="微软雅黑" w:eastAsia="微软雅黑" w:cs="微软雅黑"/>
          <w:b w:val="0"/>
          <w:bCs w:val="0"/>
          <w:color w:val="auto"/>
          <w:sz w:val="21"/>
          <w:szCs w:val="21"/>
          <w:highlight w:val="none"/>
        </w:rPr>
      </w:pPr>
    </w:p>
    <w:p w14:paraId="5BB55B42">
      <w:pPr>
        <w:pStyle w:val="2"/>
        <w:pageBreakBefore w:val="0"/>
        <w:widowControl w:val="0"/>
        <w:numPr>
          <w:ilvl w:val="0"/>
          <w:numId w:val="0"/>
        </w:numPr>
        <w:kinsoku/>
        <w:wordWrap/>
        <w:overflowPunct/>
        <w:topLinePunct w:val="0"/>
        <w:autoSpaceDE/>
        <w:autoSpaceDN/>
        <w:bidi w:val="0"/>
        <w:spacing w:before="0" w:after="0" w:line="360" w:lineRule="auto"/>
        <w:jc w:val="center"/>
        <w:textAlignment w:val="auto"/>
        <w:rPr>
          <w:rFonts w:hint="eastAsia"/>
          <w:highlight w:val="none"/>
          <w:lang w:val="en-US" w:eastAsia="zh-CN"/>
        </w:rPr>
      </w:pPr>
      <w:bookmarkStart w:id="281" w:name="_Toc26991"/>
      <w:bookmarkStart w:id="282" w:name="_Toc23603"/>
      <w:bookmarkStart w:id="283" w:name="_Toc9574"/>
      <w:bookmarkStart w:id="284" w:name="_Toc296602596"/>
      <w:bookmarkStart w:id="285" w:name="_Toc246996350"/>
      <w:bookmarkStart w:id="286" w:name="_Toc246997093"/>
      <w:bookmarkStart w:id="287" w:name="_Toc152045782"/>
      <w:bookmarkStart w:id="288" w:name="_Toc247096438"/>
      <w:bookmarkStart w:id="289" w:name="_Toc247085866"/>
      <w:bookmarkStart w:id="290" w:name="_Toc152042571"/>
      <w:bookmarkStart w:id="291" w:name="_Toc179632800"/>
      <w:bookmarkStart w:id="292" w:name="_Toc144974851"/>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第五章 采购内容</w:t>
      </w:r>
      <w:bookmarkEnd w:id="281"/>
      <w:bookmarkEnd w:id="282"/>
      <w:bookmarkEnd w:id="283"/>
    </w:p>
    <w:p w14:paraId="73671047">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1.采购计划编号：4530600JH202501944</w:t>
      </w:r>
    </w:p>
    <w:p w14:paraId="5A0F7ED8">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2.项目名称：2025年上海松江区对口协作昭通特色农产品推介会服务</w:t>
      </w:r>
    </w:p>
    <w:p w14:paraId="0712F868">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3.采购方式：竞争性磋商</w:t>
      </w:r>
    </w:p>
    <w:p w14:paraId="196B1C2F">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4.采购预算总金额：68万元</w:t>
      </w:r>
    </w:p>
    <w:p w14:paraId="68A2E96F">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5.采购需求：2025年上海松江区对口协作昭通特色农产品推介会服务，具体如下：</w:t>
      </w:r>
    </w:p>
    <w:p w14:paraId="625575DC">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640" w:firstLineChars="200"/>
        <w:jc w:val="center"/>
        <w:textAlignment w:val="auto"/>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32"/>
          <w:szCs w:val="32"/>
          <w:highlight w:val="none"/>
          <w:shd w:val="clear" w:fill="FFFFFF"/>
          <w:lang w:val="en-US" w:eastAsia="zh-CN"/>
        </w:rPr>
        <w:t>采购需求明细表</w:t>
      </w:r>
    </w:p>
    <w:tbl>
      <w:tblPr>
        <w:tblStyle w:val="46"/>
        <w:tblW w:w="101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32" w:type="dxa"/>
          <w:left w:w="64" w:type="dxa"/>
          <w:bottom w:w="32" w:type="dxa"/>
          <w:right w:w="64" w:type="dxa"/>
        </w:tblCellMar>
      </w:tblPr>
      <w:tblGrid>
        <w:gridCol w:w="796"/>
        <w:gridCol w:w="741"/>
        <w:gridCol w:w="2371"/>
        <w:gridCol w:w="5091"/>
        <w:gridCol w:w="1107"/>
      </w:tblGrid>
      <w:tr w14:paraId="6E6E7B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tblHeader/>
          <w:jc w:val="center"/>
        </w:trPr>
        <w:tc>
          <w:tcPr>
            <w:tcW w:w="796" w:type="dxa"/>
            <w:vAlign w:val="top"/>
          </w:tcPr>
          <w:p w14:paraId="1DC8457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bookmarkStart w:id="353" w:name="_GoBack" w:colFirst="0" w:colLast="4"/>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序号</w:t>
            </w:r>
          </w:p>
        </w:tc>
        <w:tc>
          <w:tcPr>
            <w:tcW w:w="741" w:type="dxa"/>
            <w:vAlign w:val="top"/>
          </w:tcPr>
          <w:p w14:paraId="09CEAC5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类 别</w:t>
            </w:r>
          </w:p>
        </w:tc>
        <w:tc>
          <w:tcPr>
            <w:tcW w:w="2371" w:type="dxa"/>
            <w:vAlign w:val="top"/>
          </w:tcPr>
          <w:p w14:paraId="16D1D36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名称</w:t>
            </w:r>
          </w:p>
        </w:tc>
        <w:tc>
          <w:tcPr>
            <w:tcW w:w="5091" w:type="dxa"/>
            <w:vAlign w:val="top"/>
          </w:tcPr>
          <w:p w14:paraId="030F902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采购要求</w:t>
            </w:r>
          </w:p>
        </w:tc>
        <w:tc>
          <w:tcPr>
            <w:tcW w:w="1107" w:type="dxa"/>
            <w:vAlign w:val="top"/>
          </w:tcPr>
          <w:p w14:paraId="640BE9F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数量</w:t>
            </w:r>
          </w:p>
        </w:tc>
      </w:tr>
      <w:bookmarkEnd w:id="353"/>
      <w:tr w14:paraId="1AB88D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04D835F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1411B7F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4767AA9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w:t>
            </w:r>
          </w:p>
        </w:tc>
        <w:tc>
          <w:tcPr>
            <w:tcW w:w="741" w:type="dxa"/>
            <w:vMerge w:val="restart"/>
            <w:vAlign w:val="top"/>
          </w:tcPr>
          <w:p w14:paraId="11A5708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28F57A9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1B2B82F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11508AD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67935E7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6C9E6B8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444CBAB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02579D9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23D9708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1C9D5E5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宣</w:t>
            </w:r>
          </w:p>
          <w:p w14:paraId="6B72619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传</w:t>
            </w:r>
          </w:p>
          <w:p w14:paraId="3B5EC68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布</w:t>
            </w:r>
          </w:p>
          <w:p w14:paraId="649193C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w:t>
            </w:r>
          </w:p>
          <w:p w14:paraId="38077D5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及</w:t>
            </w:r>
          </w:p>
          <w:p w14:paraId="2365533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设</w:t>
            </w:r>
          </w:p>
          <w:p w14:paraId="4EF8B82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备</w:t>
            </w:r>
          </w:p>
          <w:p w14:paraId="57DFF1D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类</w:t>
            </w:r>
          </w:p>
        </w:tc>
        <w:tc>
          <w:tcPr>
            <w:tcW w:w="2371" w:type="dxa"/>
            <w:vAlign w:val="center"/>
          </w:tcPr>
          <w:p w14:paraId="6E42FFC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LED屏幕+主舞台氛围布置</w:t>
            </w:r>
          </w:p>
        </w:tc>
        <w:tc>
          <w:tcPr>
            <w:tcW w:w="5091" w:type="dxa"/>
            <w:vAlign w:val="center"/>
          </w:tcPr>
          <w:p w14:paraId="7ACE3E8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LED屏幕10*4米，主舞台 10*5米，使用雷亚架承重固定，保证安全。舞台两侧各1个2m踏步，舞台前方两侧各一个台阶；另外避免任何可能存在安全隐患，舞台地毯及板材，采用防火阻燃地毯。</w:t>
            </w:r>
          </w:p>
        </w:tc>
        <w:tc>
          <w:tcPr>
            <w:tcW w:w="1107" w:type="dxa"/>
            <w:vAlign w:val="center"/>
          </w:tcPr>
          <w:p w14:paraId="211C675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1组</w:t>
            </w:r>
          </w:p>
        </w:tc>
      </w:tr>
      <w:tr w14:paraId="01D1A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796" w:type="dxa"/>
            <w:vAlign w:val="top"/>
          </w:tcPr>
          <w:p w14:paraId="4251838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w:t>
            </w:r>
          </w:p>
        </w:tc>
        <w:tc>
          <w:tcPr>
            <w:tcW w:w="741" w:type="dxa"/>
            <w:vMerge w:val="continue"/>
            <w:vAlign w:val="top"/>
          </w:tcPr>
          <w:p w14:paraId="38CE25B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64F50AB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开 幕 式 座 位</w:t>
            </w:r>
          </w:p>
        </w:tc>
        <w:tc>
          <w:tcPr>
            <w:tcW w:w="5091" w:type="dxa"/>
            <w:vAlign w:val="center"/>
          </w:tcPr>
          <w:p w14:paraId="17BD633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舞台前方均匀排布</w:t>
            </w:r>
          </w:p>
        </w:tc>
        <w:tc>
          <w:tcPr>
            <w:tcW w:w="1107" w:type="dxa"/>
            <w:vAlign w:val="center"/>
          </w:tcPr>
          <w:p w14:paraId="3E0C134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100套</w:t>
            </w:r>
          </w:p>
        </w:tc>
      </w:tr>
      <w:tr w14:paraId="3E8C8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6637E1B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3</w:t>
            </w:r>
          </w:p>
        </w:tc>
        <w:tc>
          <w:tcPr>
            <w:tcW w:w="741" w:type="dxa"/>
            <w:vMerge w:val="continue"/>
            <w:vAlign w:val="top"/>
          </w:tcPr>
          <w:p w14:paraId="644437A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3A5D9E1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指示牌</w:t>
            </w:r>
          </w:p>
        </w:tc>
        <w:tc>
          <w:tcPr>
            <w:tcW w:w="5091" w:type="dxa"/>
            <w:vAlign w:val="center"/>
          </w:tcPr>
          <w:p w14:paraId="11BF88E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展会引导作用</w:t>
            </w:r>
          </w:p>
        </w:tc>
        <w:tc>
          <w:tcPr>
            <w:tcW w:w="1107" w:type="dxa"/>
            <w:vAlign w:val="center"/>
          </w:tcPr>
          <w:p w14:paraId="7BD265C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6个</w:t>
            </w:r>
          </w:p>
        </w:tc>
      </w:tr>
      <w:tr w14:paraId="5A0D3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90" w:hRule="atLeast"/>
          <w:jc w:val="center"/>
        </w:trPr>
        <w:tc>
          <w:tcPr>
            <w:tcW w:w="796" w:type="dxa"/>
            <w:vAlign w:val="top"/>
          </w:tcPr>
          <w:p w14:paraId="5E316B3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4</w:t>
            </w:r>
          </w:p>
        </w:tc>
        <w:tc>
          <w:tcPr>
            <w:tcW w:w="741" w:type="dxa"/>
            <w:vMerge w:val="continue"/>
            <w:vAlign w:val="top"/>
          </w:tcPr>
          <w:p w14:paraId="200A925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2E67D6B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美 陈</w:t>
            </w:r>
          </w:p>
        </w:tc>
        <w:tc>
          <w:tcPr>
            <w:tcW w:w="5091" w:type="dxa"/>
            <w:vAlign w:val="center"/>
          </w:tcPr>
          <w:p w14:paraId="4406426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氛围宣传装置</w:t>
            </w:r>
          </w:p>
        </w:tc>
        <w:tc>
          <w:tcPr>
            <w:tcW w:w="1107" w:type="dxa"/>
            <w:vAlign w:val="center"/>
          </w:tcPr>
          <w:p w14:paraId="61166C7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1组</w:t>
            </w:r>
          </w:p>
        </w:tc>
      </w:tr>
      <w:tr w14:paraId="254C97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5F59343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5</w:t>
            </w:r>
          </w:p>
        </w:tc>
        <w:tc>
          <w:tcPr>
            <w:tcW w:w="741" w:type="dxa"/>
            <w:vMerge w:val="continue"/>
            <w:vAlign w:val="top"/>
          </w:tcPr>
          <w:p w14:paraId="2846F00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25F537F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控台设备</w:t>
            </w:r>
          </w:p>
        </w:tc>
        <w:tc>
          <w:tcPr>
            <w:tcW w:w="5091" w:type="dxa"/>
            <w:vAlign w:val="center"/>
          </w:tcPr>
          <w:p w14:paraId="0387DE7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展会期间控台设备</w:t>
            </w:r>
          </w:p>
        </w:tc>
        <w:tc>
          <w:tcPr>
            <w:tcW w:w="1107" w:type="dxa"/>
            <w:vAlign w:val="center"/>
          </w:tcPr>
          <w:p w14:paraId="6763A4C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1组</w:t>
            </w:r>
          </w:p>
        </w:tc>
      </w:tr>
      <w:tr w14:paraId="0F1267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6CF6423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6</w:t>
            </w:r>
          </w:p>
        </w:tc>
        <w:tc>
          <w:tcPr>
            <w:tcW w:w="741" w:type="dxa"/>
            <w:vMerge w:val="continue"/>
            <w:vAlign w:val="top"/>
          </w:tcPr>
          <w:p w14:paraId="62895D7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643628C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展会大帐篷搭建</w:t>
            </w:r>
          </w:p>
        </w:tc>
        <w:tc>
          <w:tcPr>
            <w:tcW w:w="5091" w:type="dxa"/>
            <w:vAlign w:val="center"/>
          </w:tcPr>
          <w:p w14:paraId="3E32941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铝合金型材+PVC涂层布容纳，包含两侧三角布画面，帐篷内部设有防水台及阻燃地毯等 ，可容纳40个展位。</w:t>
            </w:r>
          </w:p>
        </w:tc>
        <w:tc>
          <w:tcPr>
            <w:tcW w:w="1107" w:type="dxa"/>
            <w:vAlign w:val="center"/>
          </w:tcPr>
          <w:p w14:paraId="7224DA0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1组</w:t>
            </w:r>
          </w:p>
        </w:tc>
      </w:tr>
      <w:tr w14:paraId="396FE7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2162D8F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2E1F8DB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312D3A7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3AE659E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6DC2892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7</w:t>
            </w:r>
          </w:p>
        </w:tc>
        <w:tc>
          <w:tcPr>
            <w:tcW w:w="741" w:type="dxa"/>
            <w:vMerge w:val="continue"/>
            <w:vAlign w:val="top"/>
          </w:tcPr>
          <w:p w14:paraId="7AAE2A7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0B89969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展位</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搭建和布置</w:t>
            </w:r>
          </w:p>
        </w:tc>
        <w:tc>
          <w:tcPr>
            <w:tcW w:w="5091" w:type="dxa"/>
            <w:vAlign w:val="center"/>
          </w:tcPr>
          <w:p w14:paraId="4274BDF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展位美观布置与搭建展位：3*3m</w:t>
            </w:r>
          </w:p>
          <w:p w14:paraId="312573D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门头：3m*0.65m</w:t>
            </w:r>
          </w:p>
          <w:p w14:paraId="77793C7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货架：1.8*1.5*0.7m</w:t>
            </w:r>
          </w:p>
          <w:p w14:paraId="48242D8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桌子：1.2*0.5*0.75m</w:t>
            </w:r>
          </w:p>
          <w:p w14:paraId="2674DBA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梯台：1.2*0.75*0.75m</w:t>
            </w:r>
          </w:p>
          <w:p w14:paraId="6C95631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圆桌1个，椅子2把</w:t>
            </w:r>
          </w:p>
          <w:p w14:paraId="07DDEDB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展位下方采用防火阻燃地毯包围，起到防潮防火安全作用。</w:t>
            </w:r>
          </w:p>
        </w:tc>
        <w:tc>
          <w:tcPr>
            <w:tcW w:w="1107" w:type="dxa"/>
            <w:vAlign w:val="center"/>
          </w:tcPr>
          <w:p w14:paraId="6770575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40个</w:t>
            </w:r>
          </w:p>
        </w:tc>
      </w:tr>
      <w:tr w14:paraId="639267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56432A8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8</w:t>
            </w:r>
          </w:p>
        </w:tc>
        <w:tc>
          <w:tcPr>
            <w:tcW w:w="741" w:type="dxa"/>
            <w:vMerge w:val="continue"/>
            <w:vAlign w:val="top"/>
          </w:tcPr>
          <w:p w14:paraId="541A3D4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4853D01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吊</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 xml:space="preserve"> </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旗</w:t>
            </w:r>
          </w:p>
        </w:tc>
        <w:tc>
          <w:tcPr>
            <w:tcW w:w="5091" w:type="dxa"/>
            <w:vAlign w:val="center"/>
          </w:tcPr>
          <w:p w14:paraId="1447A22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吊旗尺寸：2*0.5m</w:t>
            </w:r>
          </w:p>
        </w:tc>
        <w:tc>
          <w:tcPr>
            <w:tcW w:w="1107" w:type="dxa"/>
            <w:vAlign w:val="center"/>
          </w:tcPr>
          <w:p w14:paraId="275B34D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12面</w:t>
            </w:r>
          </w:p>
        </w:tc>
      </w:tr>
      <w:tr w14:paraId="33DFB6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79" w:hRule="atLeast"/>
          <w:jc w:val="center"/>
        </w:trPr>
        <w:tc>
          <w:tcPr>
            <w:tcW w:w="796" w:type="dxa"/>
            <w:vAlign w:val="top"/>
          </w:tcPr>
          <w:p w14:paraId="3154DCC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9</w:t>
            </w:r>
          </w:p>
        </w:tc>
        <w:tc>
          <w:tcPr>
            <w:tcW w:w="741" w:type="dxa"/>
            <w:vMerge w:val="continue"/>
            <w:vAlign w:val="top"/>
          </w:tcPr>
          <w:p w14:paraId="41EFE97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72ACF47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道 旗</w:t>
            </w:r>
          </w:p>
        </w:tc>
        <w:tc>
          <w:tcPr>
            <w:tcW w:w="5091" w:type="dxa"/>
            <w:vAlign w:val="center"/>
          </w:tcPr>
          <w:p w14:paraId="12F99FE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沿路两边宣传布置</w:t>
            </w:r>
          </w:p>
        </w:tc>
        <w:tc>
          <w:tcPr>
            <w:tcW w:w="1107" w:type="dxa"/>
            <w:vAlign w:val="center"/>
          </w:tcPr>
          <w:p w14:paraId="2ACB798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30</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副</w:t>
            </w:r>
          </w:p>
        </w:tc>
      </w:tr>
      <w:tr w14:paraId="45DDF9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784E89D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10</w:t>
            </w:r>
          </w:p>
        </w:tc>
        <w:tc>
          <w:tcPr>
            <w:tcW w:w="741" w:type="dxa"/>
            <w:vMerge w:val="continue"/>
            <w:vAlign w:val="top"/>
          </w:tcPr>
          <w:p w14:paraId="74950DB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2C00F1C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注水旗</w:t>
            </w:r>
          </w:p>
        </w:tc>
        <w:tc>
          <w:tcPr>
            <w:tcW w:w="5091" w:type="dxa"/>
            <w:vAlign w:val="center"/>
          </w:tcPr>
          <w:p w14:paraId="46CA563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围绕式摆放5m高注水</w:t>
            </w:r>
          </w:p>
          <w:p w14:paraId="32D7348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旗，共20面注水旗</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w:t>
            </w:r>
          </w:p>
        </w:tc>
        <w:tc>
          <w:tcPr>
            <w:tcW w:w="1107" w:type="dxa"/>
            <w:vAlign w:val="center"/>
          </w:tcPr>
          <w:p w14:paraId="49BD771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20面</w:t>
            </w:r>
          </w:p>
        </w:tc>
      </w:tr>
      <w:tr w14:paraId="549F9E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74327BE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11</w:t>
            </w:r>
          </w:p>
        </w:tc>
        <w:tc>
          <w:tcPr>
            <w:tcW w:w="741" w:type="dxa"/>
            <w:vMerge w:val="continue"/>
            <w:vAlign w:val="top"/>
          </w:tcPr>
          <w:p w14:paraId="3ECFD15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4883A94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环 保 保 洁</w:t>
            </w:r>
          </w:p>
        </w:tc>
        <w:tc>
          <w:tcPr>
            <w:tcW w:w="5091" w:type="dxa"/>
            <w:vAlign w:val="center"/>
          </w:tcPr>
          <w:p w14:paraId="76D6E57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每个展位配备一个小的干、湿垃圾桶，并贴上垃圾分类的标识</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并配备垃圾袋</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并配备保洁人员清洁每日产出垃圾。</w:t>
            </w:r>
          </w:p>
        </w:tc>
        <w:tc>
          <w:tcPr>
            <w:tcW w:w="1107" w:type="dxa"/>
            <w:vAlign w:val="center"/>
          </w:tcPr>
          <w:p w14:paraId="156E409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1项</w:t>
            </w:r>
          </w:p>
        </w:tc>
      </w:tr>
      <w:tr w14:paraId="22181F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538" w:hRule="atLeast"/>
          <w:jc w:val="center"/>
        </w:trPr>
        <w:tc>
          <w:tcPr>
            <w:tcW w:w="796" w:type="dxa"/>
            <w:vAlign w:val="top"/>
          </w:tcPr>
          <w:p w14:paraId="010523E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both"/>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12</w:t>
            </w:r>
          </w:p>
        </w:tc>
        <w:tc>
          <w:tcPr>
            <w:tcW w:w="741" w:type="dxa"/>
            <w:vMerge w:val="continue"/>
            <w:vAlign w:val="top"/>
          </w:tcPr>
          <w:p w14:paraId="017BDE5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2FDF746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标 识 牌 + 告 知 牌</w:t>
            </w:r>
          </w:p>
        </w:tc>
        <w:tc>
          <w:tcPr>
            <w:tcW w:w="5091" w:type="dxa"/>
            <w:vAlign w:val="center"/>
          </w:tcPr>
          <w:p w14:paraId="4F58968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出入口标志、洗手间等。</w:t>
            </w:r>
          </w:p>
        </w:tc>
        <w:tc>
          <w:tcPr>
            <w:tcW w:w="1107" w:type="dxa"/>
            <w:vAlign w:val="center"/>
          </w:tcPr>
          <w:p w14:paraId="558D891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1组</w:t>
            </w:r>
          </w:p>
        </w:tc>
      </w:tr>
      <w:tr w14:paraId="4296EB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534D0EC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13</w:t>
            </w:r>
          </w:p>
        </w:tc>
        <w:tc>
          <w:tcPr>
            <w:tcW w:w="741" w:type="dxa"/>
            <w:vMerge w:val="continue"/>
            <w:vAlign w:val="top"/>
          </w:tcPr>
          <w:p w14:paraId="5CD7398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6747DAB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工 作 证</w:t>
            </w:r>
          </w:p>
        </w:tc>
        <w:tc>
          <w:tcPr>
            <w:tcW w:w="5091" w:type="dxa"/>
            <w:vAlign w:val="center"/>
          </w:tcPr>
          <w:p w14:paraId="3890909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工作证挂绳（8.5x12cm）每家展商2张</w:t>
            </w:r>
          </w:p>
        </w:tc>
        <w:tc>
          <w:tcPr>
            <w:tcW w:w="1107" w:type="dxa"/>
            <w:vAlign w:val="center"/>
          </w:tcPr>
          <w:p w14:paraId="1DA92D6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40个</w:t>
            </w:r>
          </w:p>
        </w:tc>
      </w:tr>
      <w:tr w14:paraId="7F0FAE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36C4113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14</w:t>
            </w:r>
          </w:p>
        </w:tc>
        <w:tc>
          <w:tcPr>
            <w:tcW w:w="741" w:type="dxa"/>
            <w:vMerge w:val="continue"/>
            <w:vAlign w:val="top"/>
          </w:tcPr>
          <w:p w14:paraId="1E273FC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4B9151A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参展证</w:t>
            </w:r>
          </w:p>
        </w:tc>
        <w:tc>
          <w:tcPr>
            <w:tcW w:w="5091" w:type="dxa"/>
            <w:vAlign w:val="center"/>
          </w:tcPr>
          <w:p w14:paraId="6FEEB67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参展证</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挂绳</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8.5x12</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 xml:space="preserve"> c m）</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参展人员配备</w:t>
            </w:r>
          </w:p>
        </w:tc>
        <w:tc>
          <w:tcPr>
            <w:tcW w:w="1107" w:type="dxa"/>
            <w:vAlign w:val="center"/>
          </w:tcPr>
          <w:p w14:paraId="3BC70F9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100个</w:t>
            </w:r>
          </w:p>
        </w:tc>
      </w:tr>
      <w:tr w14:paraId="18CA07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6308C51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15</w:t>
            </w:r>
          </w:p>
        </w:tc>
        <w:tc>
          <w:tcPr>
            <w:tcW w:w="741" w:type="dxa"/>
            <w:vMerge w:val="continue"/>
            <w:vAlign w:val="top"/>
          </w:tcPr>
          <w:p w14:paraId="3A3CC27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0E400F8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手 提 袋</w:t>
            </w:r>
          </w:p>
        </w:tc>
        <w:tc>
          <w:tcPr>
            <w:tcW w:w="5091" w:type="dxa"/>
            <w:vAlign w:val="center"/>
          </w:tcPr>
          <w:p w14:paraId="1786D99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定制帆布</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手提袋 （ 3 3 *3 8 c m）</w:t>
            </w:r>
          </w:p>
        </w:tc>
        <w:tc>
          <w:tcPr>
            <w:tcW w:w="1107" w:type="dxa"/>
            <w:vAlign w:val="center"/>
          </w:tcPr>
          <w:p w14:paraId="0287DBC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500个</w:t>
            </w:r>
          </w:p>
        </w:tc>
      </w:tr>
      <w:tr w14:paraId="293489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17449DF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2F10B96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16</w:t>
            </w:r>
          </w:p>
        </w:tc>
        <w:tc>
          <w:tcPr>
            <w:tcW w:w="741" w:type="dxa"/>
            <w:vMerge w:val="continue"/>
            <w:vAlign w:val="top"/>
          </w:tcPr>
          <w:p w14:paraId="460BF39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0DEC408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灭火器</w:t>
            </w:r>
          </w:p>
        </w:tc>
        <w:tc>
          <w:tcPr>
            <w:tcW w:w="5091" w:type="dxa"/>
            <w:vAlign w:val="center"/>
          </w:tcPr>
          <w:p w14:paraId="3A3077C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每排摊位两侧各放置2个灭火器(水基型灭火器 +二氧化碳灭火器为主)，舞台处放置4个灭火器，展位区域铺阻燃地毯。</w:t>
            </w:r>
          </w:p>
        </w:tc>
        <w:tc>
          <w:tcPr>
            <w:tcW w:w="1107" w:type="dxa"/>
            <w:vAlign w:val="center"/>
          </w:tcPr>
          <w:p w14:paraId="6C4F74B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28个</w:t>
            </w:r>
          </w:p>
        </w:tc>
      </w:tr>
      <w:tr w14:paraId="2BEAFA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499" w:hRule="atLeast"/>
          <w:jc w:val="center"/>
        </w:trPr>
        <w:tc>
          <w:tcPr>
            <w:tcW w:w="796" w:type="dxa"/>
            <w:vAlign w:val="top"/>
          </w:tcPr>
          <w:p w14:paraId="541E645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17</w:t>
            </w:r>
          </w:p>
        </w:tc>
        <w:tc>
          <w:tcPr>
            <w:tcW w:w="741" w:type="dxa"/>
            <w:vMerge w:val="continue"/>
            <w:vAlign w:val="top"/>
          </w:tcPr>
          <w:p w14:paraId="0C5E517A">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20D3493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铁马租赁</w:t>
            </w:r>
          </w:p>
        </w:tc>
        <w:tc>
          <w:tcPr>
            <w:tcW w:w="5091" w:type="dxa"/>
            <w:vAlign w:val="center"/>
          </w:tcPr>
          <w:p w14:paraId="3F38FAC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舞台及入口出口围挡</w:t>
            </w:r>
          </w:p>
        </w:tc>
        <w:tc>
          <w:tcPr>
            <w:tcW w:w="1107" w:type="dxa"/>
            <w:vAlign w:val="center"/>
          </w:tcPr>
          <w:p w14:paraId="5300FBB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100个</w:t>
            </w:r>
          </w:p>
        </w:tc>
      </w:tr>
      <w:tr w14:paraId="33B326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5C0CE67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18</w:t>
            </w:r>
          </w:p>
        </w:tc>
        <w:tc>
          <w:tcPr>
            <w:tcW w:w="741" w:type="dxa"/>
            <w:vMerge w:val="continue"/>
            <w:vAlign w:val="top"/>
          </w:tcPr>
          <w:p w14:paraId="78442A3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4F8E9CD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安全保障服务设施</w:t>
            </w:r>
          </w:p>
        </w:tc>
        <w:tc>
          <w:tcPr>
            <w:tcW w:w="5091" w:type="dxa"/>
            <w:vAlign w:val="center"/>
          </w:tcPr>
          <w:p w14:paraId="05FC08B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展区两侧各放置一套安保防护装备， 每个帐篷区域为8个监控，舞台区域1个监控 。</w:t>
            </w:r>
          </w:p>
        </w:tc>
        <w:tc>
          <w:tcPr>
            <w:tcW w:w="1107" w:type="dxa"/>
            <w:vAlign w:val="center"/>
          </w:tcPr>
          <w:p w14:paraId="13AD436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9个</w:t>
            </w:r>
          </w:p>
        </w:tc>
      </w:tr>
      <w:tr w14:paraId="1217BD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7746AB2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19</w:t>
            </w:r>
          </w:p>
        </w:tc>
        <w:tc>
          <w:tcPr>
            <w:tcW w:w="741" w:type="dxa"/>
            <w:vMerge w:val="continue"/>
            <w:vAlign w:val="top"/>
          </w:tcPr>
          <w:p w14:paraId="1294C8E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23C8B53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媒体宣传报道</w:t>
            </w:r>
          </w:p>
        </w:tc>
        <w:tc>
          <w:tcPr>
            <w:tcW w:w="5091" w:type="dxa"/>
            <w:vAlign w:val="center"/>
          </w:tcPr>
          <w:p w14:paraId="4F5D04E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各大公众号及媒体宣传照片直播等</w:t>
            </w:r>
          </w:p>
        </w:tc>
        <w:tc>
          <w:tcPr>
            <w:tcW w:w="1107" w:type="dxa"/>
            <w:vAlign w:val="center"/>
          </w:tcPr>
          <w:p w14:paraId="77C875A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1次</w:t>
            </w:r>
          </w:p>
        </w:tc>
      </w:tr>
      <w:tr w14:paraId="003AB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08B3C9B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20</w:t>
            </w:r>
          </w:p>
        </w:tc>
        <w:tc>
          <w:tcPr>
            <w:tcW w:w="741" w:type="dxa"/>
            <w:vMerge w:val="restart"/>
            <w:vAlign w:val="top"/>
          </w:tcPr>
          <w:p w14:paraId="35D2464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7FD9D84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服</w:t>
            </w:r>
          </w:p>
          <w:p w14:paraId="3EEB7D9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务</w:t>
            </w:r>
          </w:p>
          <w:p w14:paraId="1C31728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人</w:t>
            </w:r>
          </w:p>
          <w:p w14:paraId="4C4B489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员</w:t>
            </w:r>
          </w:p>
          <w:p w14:paraId="0D45138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及</w:t>
            </w:r>
          </w:p>
          <w:p w14:paraId="019FAAF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其</w:t>
            </w:r>
          </w:p>
          <w:p w14:paraId="7C40ED5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他</w:t>
            </w:r>
          </w:p>
          <w:p w14:paraId="7B5DDF8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6EDD421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活动总指挥</w:t>
            </w:r>
          </w:p>
        </w:tc>
        <w:tc>
          <w:tcPr>
            <w:tcW w:w="5091" w:type="dxa"/>
            <w:vAlign w:val="center"/>
          </w:tcPr>
          <w:p w14:paraId="1F44B87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用于活动整场指挥和控制调动</w:t>
            </w:r>
          </w:p>
        </w:tc>
        <w:tc>
          <w:tcPr>
            <w:tcW w:w="1107" w:type="dxa"/>
            <w:vAlign w:val="center"/>
          </w:tcPr>
          <w:p w14:paraId="328B1EC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1人</w:t>
            </w:r>
          </w:p>
        </w:tc>
      </w:tr>
      <w:tr w14:paraId="64F8EF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7D2963F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21</w:t>
            </w:r>
          </w:p>
        </w:tc>
        <w:tc>
          <w:tcPr>
            <w:tcW w:w="741" w:type="dxa"/>
            <w:vMerge w:val="continue"/>
            <w:vAlign w:val="top"/>
          </w:tcPr>
          <w:p w14:paraId="7A41D0D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5A89997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技术人员</w:t>
            </w:r>
          </w:p>
        </w:tc>
        <w:tc>
          <w:tcPr>
            <w:tcW w:w="5091" w:type="dxa"/>
            <w:vAlign w:val="center"/>
          </w:tcPr>
          <w:p w14:paraId="3DBB7DF5">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视频控技术人员、大屏控技术人员、音控技术人员、开幕式主持人（含彩排）</w:t>
            </w:r>
          </w:p>
        </w:tc>
        <w:tc>
          <w:tcPr>
            <w:tcW w:w="1107" w:type="dxa"/>
            <w:vAlign w:val="center"/>
          </w:tcPr>
          <w:p w14:paraId="6CF87552">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4人</w:t>
            </w:r>
          </w:p>
        </w:tc>
      </w:tr>
      <w:tr w14:paraId="410C7E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2068E6BE">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22</w:t>
            </w:r>
          </w:p>
        </w:tc>
        <w:tc>
          <w:tcPr>
            <w:tcW w:w="741" w:type="dxa"/>
            <w:vMerge w:val="continue"/>
            <w:vAlign w:val="top"/>
          </w:tcPr>
          <w:p w14:paraId="54E06524">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0439AA0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礼  仪</w:t>
            </w:r>
          </w:p>
        </w:tc>
        <w:tc>
          <w:tcPr>
            <w:tcW w:w="5091" w:type="dxa"/>
            <w:vAlign w:val="center"/>
          </w:tcPr>
          <w:p w14:paraId="7FF1BD23">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开幕式引导嘉宾（配备服装）</w:t>
            </w:r>
          </w:p>
        </w:tc>
        <w:tc>
          <w:tcPr>
            <w:tcW w:w="1107" w:type="dxa"/>
            <w:vAlign w:val="center"/>
          </w:tcPr>
          <w:p w14:paraId="2944DEB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2人</w:t>
            </w:r>
          </w:p>
        </w:tc>
      </w:tr>
      <w:tr w14:paraId="1F1DE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08C1246C">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23</w:t>
            </w:r>
          </w:p>
        </w:tc>
        <w:tc>
          <w:tcPr>
            <w:tcW w:w="741" w:type="dxa"/>
            <w:vMerge w:val="continue"/>
            <w:vAlign w:val="top"/>
          </w:tcPr>
          <w:p w14:paraId="3DF96D3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4A7A85F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舞蹈人员</w:t>
            </w:r>
          </w:p>
        </w:tc>
        <w:tc>
          <w:tcPr>
            <w:tcW w:w="5091" w:type="dxa"/>
            <w:vAlign w:val="center"/>
          </w:tcPr>
          <w:p w14:paraId="098C1AC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开场节目表演人员（含彩排）</w:t>
            </w:r>
          </w:p>
        </w:tc>
        <w:tc>
          <w:tcPr>
            <w:tcW w:w="1107" w:type="dxa"/>
            <w:vAlign w:val="center"/>
          </w:tcPr>
          <w:p w14:paraId="38DA3031">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6人</w:t>
            </w:r>
          </w:p>
        </w:tc>
      </w:tr>
      <w:tr w14:paraId="3C492B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67D2984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44091B7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p w14:paraId="7D009F3F">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24</w:t>
            </w:r>
          </w:p>
        </w:tc>
        <w:tc>
          <w:tcPr>
            <w:tcW w:w="741" w:type="dxa"/>
            <w:vMerge w:val="continue"/>
            <w:vAlign w:val="top"/>
          </w:tcPr>
          <w:p w14:paraId="16969229">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75D45417">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安保人员</w:t>
            </w:r>
          </w:p>
        </w:tc>
        <w:tc>
          <w:tcPr>
            <w:tcW w:w="5091" w:type="dxa"/>
            <w:vAlign w:val="center"/>
          </w:tcPr>
          <w:p w14:paraId="1EC9968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两个帐篷入口及出口处各1名安保人员</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舞台处2名安保人员</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w:t>
            </w:r>
          </w:p>
          <w:p w14:paraId="7F047FFB">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巡视安保人员2名</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，展会每天</w:t>
            </w:r>
            <w:r>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共8名安保人员</w:t>
            </w: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（4天），进场布置提前3天，每天共5名保安（4天）。服务须达到52人次</w:t>
            </w:r>
          </w:p>
        </w:tc>
        <w:tc>
          <w:tcPr>
            <w:tcW w:w="1107" w:type="dxa"/>
            <w:vAlign w:val="center"/>
          </w:tcPr>
          <w:p w14:paraId="52E07E7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8人</w:t>
            </w:r>
          </w:p>
        </w:tc>
      </w:tr>
      <w:tr w14:paraId="04F059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32" w:type="dxa"/>
            <w:left w:w="64" w:type="dxa"/>
            <w:bottom w:w="32" w:type="dxa"/>
            <w:right w:w="64" w:type="dxa"/>
          </w:tblCellMar>
        </w:tblPrEx>
        <w:trPr>
          <w:trHeight w:val="0" w:hRule="atLeast"/>
          <w:jc w:val="center"/>
        </w:trPr>
        <w:tc>
          <w:tcPr>
            <w:tcW w:w="796" w:type="dxa"/>
            <w:vAlign w:val="top"/>
          </w:tcPr>
          <w:p w14:paraId="6C921E8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25</w:t>
            </w:r>
          </w:p>
        </w:tc>
        <w:tc>
          <w:tcPr>
            <w:tcW w:w="741" w:type="dxa"/>
            <w:vMerge w:val="continue"/>
            <w:vAlign w:val="top"/>
          </w:tcPr>
          <w:p w14:paraId="7374B746">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p>
        </w:tc>
        <w:tc>
          <w:tcPr>
            <w:tcW w:w="2371" w:type="dxa"/>
            <w:vAlign w:val="center"/>
          </w:tcPr>
          <w:p w14:paraId="18C6314D">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后续服务</w:t>
            </w:r>
          </w:p>
        </w:tc>
        <w:tc>
          <w:tcPr>
            <w:tcW w:w="5091" w:type="dxa"/>
            <w:vAlign w:val="center"/>
          </w:tcPr>
          <w:p w14:paraId="0332F7A0">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包括本次展会涉及的会后恢复、保洁、场地清理等相关内容。</w:t>
            </w:r>
          </w:p>
        </w:tc>
        <w:tc>
          <w:tcPr>
            <w:tcW w:w="1107" w:type="dxa"/>
            <w:vAlign w:val="center"/>
          </w:tcPr>
          <w:p w14:paraId="40AB9EC8">
            <w:pPr>
              <w:keepNext w:val="0"/>
              <w:keepLines w:val="0"/>
              <w:pageBreakBefore w:val="0"/>
              <w:widowControl w:val="0"/>
              <w:numPr>
                <w:ilvl w:val="0"/>
                <w:numId w:val="0"/>
              </w:numPr>
              <w:kinsoku/>
              <w:wordWrap/>
              <w:overflowPunct/>
              <w:topLinePunct w:val="0"/>
              <w:autoSpaceDE/>
              <w:autoSpaceDN/>
              <w:bidi w:val="0"/>
              <w:adjustRightInd/>
              <w:snapToGrid w:val="0"/>
              <w:spacing w:line="360" w:lineRule="exact"/>
              <w:jc w:val="center"/>
              <w:textAlignment w:val="auto"/>
              <w:rPr>
                <w:rFonts w:hint="default" w:ascii="微软雅黑" w:hAnsi="微软雅黑 Light" w:eastAsia="微软雅黑" w:cs="微软雅黑 Light"/>
                <w:b w:val="0"/>
                <w:bCs w:val="0"/>
                <w:i w:val="0"/>
                <w:iCs w:val="0"/>
                <w:caps w:val="0"/>
                <w:color w:val="auto"/>
                <w:spacing w:val="0"/>
                <w:sz w:val="22"/>
                <w:szCs w:val="22"/>
                <w:highlight w:val="none"/>
                <w:shd w:val="clear" w:fill="FFFFFF"/>
                <w:lang w:val="en-US" w:eastAsia="zh-CN"/>
              </w:rPr>
            </w:pPr>
            <w:r>
              <w:rPr>
                <w:rFonts w:hint="eastAsia" w:ascii="微软雅黑" w:hAnsi="微软雅黑 Light" w:eastAsia="微软雅黑" w:cs="微软雅黑 Light"/>
                <w:b w:val="0"/>
                <w:bCs w:val="0"/>
                <w:i w:val="0"/>
                <w:iCs w:val="0"/>
                <w:caps w:val="0"/>
                <w:color w:val="auto"/>
                <w:spacing w:val="0"/>
                <w:sz w:val="22"/>
                <w:szCs w:val="22"/>
                <w:highlight w:val="none"/>
                <w:shd w:val="clear" w:fill="FFFFFF"/>
                <w:lang w:val="en-US" w:eastAsia="zh-CN"/>
              </w:rPr>
              <w:t>1项</w:t>
            </w:r>
          </w:p>
        </w:tc>
      </w:tr>
    </w:tbl>
    <w:p w14:paraId="0B7CCB50">
      <w:pPr>
        <w:keepNext w:val="0"/>
        <w:keepLines w:val="0"/>
        <w:pageBreakBefore w:val="0"/>
        <w:numPr>
          <w:ilvl w:val="0"/>
          <w:numId w:val="0"/>
        </w:numPr>
        <w:kinsoku/>
        <w:wordWrap/>
        <w:overflowPunct/>
        <w:topLinePunct w:val="0"/>
        <w:autoSpaceDE/>
        <w:autoSpaceDN/>
        <w:bidi w:val="0"/>
        <w:adjustRightInd/>
        <w:snapToGrid/>
        <w:spacing w:line="500" w:lineRule="exact"/>
        <w:ind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6.采购内容：（1）推介会会现场设计、布置搭建、拆除，主要包括开幕式舞台、40个展销摊位搭建等；二是现场氛围布置营造、现场所需的宣传用LED及配套音响设备等；（2）相关服务人员，主持人、舞蹈人员、安保人员等；</w:t>
      </w:r>
    </w:p>
    <w:p w14:paraId="4F1F754A">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7.服务期：自合同签订至展会工作结束；（注：展会时间2025年10月24日至27日，共4天）。</w:t>
      </w:r>
    </w:p>
    <w:p w14:paraId="7E128110">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8.服务质量要求：执行质量须满足国家、地方、行业规范要求，满足甲方的功能需求及技术要求，在合同规定的时间节点内完成相关服务工作，确保会议顺利进行，一次性验收合格。</w:t>
      </w:r>
    </w:p>
    <w:p w14:paraId="3BD84DEA">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default" w:ascii="微软雅黑" w:hAnsi="微软雅黑" w:eastAsia="微软雅黑" w:cs="微软雅黑"/>
          <w:b w:val="0"/>
          <w:bCs w:val="0"/>
          <w:i w:val="0"/>
          <w:iCs w:val="0"/>
          <w:caps w:val="0"/>
          <w:color w:val="auto"/>
          <w:spacing w:val="0"/>
          <w:sz w:val="24"/>
          <w:szCs w:val="24"/>
          <w:highlight w:val="none"/>
          <w:shd w:val="clear" w:fill="FFFFFF"/>
          <w:lang w:val="en-US" w:eastAsia="zh-CN"/>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9.服务地点：采购人指定地点</w:t>
      </w:r>
    </w:p>
    <w:p w14:paraId="64F6896B">
      <w:pPr>
        <w:keepNext w:val="0"/>
        <w:keepLines w:val="0"/>
        <w:pageBreakBefore w:val="0"/>
        <w:numPr>
          <w:ilvl w:val="0"/>
          <w:numId w:val="0"/>
        </w:numPr>
        <w:kinsoku/>
        <w:wordWrap/>
        <w:overflowPunct/>
        <w:topLinePunct w:val="0"/>
        <w:autoSpaceDE/>
        <w:autoSpaceDN/>
        <w:bidi w:val="0"/>
        <w:adjustRightInd/>
        <w:snapToGrid/>
        <w:spacing w:line="500" w:lineRule="exact"/>
        <w:ind w:left="0" w:leftChars="0" w:firstLine="480" w:firstLineChars="200"/>
        <w:textAlignment w:val="auto"/>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r>
        <w:rPr>
          <w:rFonts w:hint="eastAsia" w:ascii="微软雅黑" w:hAnsi="微软雅黑" w:eastAsia="微软雅黑" w:cs="微软雅黑"/>
          <w:b w:val="0"/>
          <w:bCs w:val="0"/>
          <w:i w:val="0"/>
          <w:iCs w:val="0"/>
          <w:caps w:val="0"/>
          <w:color w:val="auto"/>
          <w:spacing w:val="0"/>
          <w:sz w:val="24"/>
          <w:szCs w:val="24"/>
          <w:highlight w:val="none"/>
          <w:shd w:val="clear" w:fill="FFFFFF"/>
          <w:lang w:val="en-US" w:eastAsia="zh-CN"/>
        </w:rPr>
        <w:t>10.本项目不接受联合体投标。</w:t>
      </w:r>
      <w:bookmarkEnd w:id="284"/>
      <w:bookmarkEnd w:id="285"/>
      <w:bookmarkEnd w:id="286"/>
      <w:bookmarkEnd w:id="287"/>
      <w:bookmarkEnd w:id="288"/>
      <w:bookmarkEnd w:id="289"/>
      <w:bookmarkEnd w:id="290"/>
      <w:bookmarkEnd w:id="291"/>
      <w:bookmarkEnd w:id="292"/>
      <w:bookmarkStart w:id="293" w:name="_Toc152042575"/>
      <w:bookmarkStart w:id="294" w:name="_Toc246996354"/>
      <w:bookmarkStart w:id="295" w:name="_Toc246997097"/>
      <w:bookmarkStart w:id="296" w:name="_Toc296602600"/>
      <w:bookmarkStart w:id="297" w:name="_Toc152045786"/>
      <w:bookmarkStart w:id="298" w:name="_Toc23469"/>
      <w:bookmarkStart w:id="299" w:name="_Toc144974855"/>
      <w:bookmarkStart w:id="300" w:name="_Toc247085872"/>
      <w:bookmarkStart w:id="301" w:name="_Toc179632806"/>
    </w:p>
    <w:p w14:paraId="6374AA58">
      <w:pPr>
        <w:pStyle w:val="2"/>
        <w:pageBreakBefore w:val="0"/>
        <w:widowControl w:val="0"/>
        <w:numPr>
          <w:ilvl w:val="0"/>
          <w:numId w:val="0"/>
        </w:numPr>
        <w:kinsoku/>
        <w:wordWrap/>
        <w:overflowPunct/>
        <w:topLinePunct w:val="0"/>
        <w:autoSpaceDE/>
        <w:autoSpaceDN/>
        <w:bidi w:val="0"/>
        <w:spacing w:before="0" w:after="0" w:line="360" w:lineRule="auto"/>
        <w:jc w:val="center"/>
        <w:textAlignment w:val="auto"/>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pPr>
      <w:bookmarkStart w:id="302" w:name="_Toc1327"/>
      <w:r>
        <w:rPr>
          <w:rFonts w:hint="eastAsia" w:ascii="微软雅黑" w:hAnsi="微软雅黑" w:eastAsia="微软雅黑" w:cs="微软雅黑"/>
          <w:b w:val="0"/>
          <w:bCs w:val="0"/>
          <w:i w:val="0"/>
          <w:iCs w:val="0"/>
          <w:caps w:val="0"/>
          <w:color w:val="auto"/>
          <w:spacing w:val="0"/>
          <w:kern w:val="2"/>
          <w:sz w:val="36"/>
          <w:szCs w:val="36"/>
          <w:highlight w:val="none"/>
          <w:shd w:val="clear" w:fill="FFFFFF"/>
          <w:lang w:val="en-US" w:eastAsia="zh-CN" w:bidi="ar-SA"/>
        </w:rPr>
        <w:t>第六章  竞争性磋商响应文件格式</w:t>
      </w:r>
      <w:bookmarkEnd w:id="293"/>
      <w:bookmarkEnd w:id="294"/>
      <w:bookmarkEnd w:id="295"/>
      <w:bookmarkEnd w:id="296"/>
      <w:bookmarkEnd w:id="297"/>
      <w:bookmarkEnd w:id="298"/>
      <w:bookmarkEnd w:id="299"/>
      <w:bookmarkEnd w:id="300"/>
      <w:bookmarkEnd w:id="301"/>
      <w:bookmarkEnd w:id="302"/>
    </w:p>
    <w:p w14:paraId="1B445F06">
      <w:pPr>
        <w:spacing w:before="120" w:beforeLines="50" w:line="360" w:lineRule="auto"/>
        <w:ind w:left="-94" w:leftChars="-85" w:hanging="84" w:hangingChars="40"/>
        <w:jc w:val="center"/>
        <w:rPr>
          <w:rFonts w:hint="default" w:ascii="微软雅黑" w:hAnsi="微软雅黑" w:eastAsia="微软雅黑" w:cs="微软雅黑"/>
          <w:b w:val="0"/>
          <w:bCs w:val="0"/>
          <w:color w:val="auto"/>
          <w:sz w:val="21"/>
          <w:szCs w:val="21"/>
          <w:highlight w:val="none"/>
          <w:u w:val="single"/>
          <w:lang w:val="en-US" w:eastAsia="zh-CN"/>
        </w:rPr>
      </w:pPr>
    </w:p>
    <w:p w14:paraId="0C68F7C9">
      <w:pPr>
        <w:spacing w:before="120" w:beforeLines="50" w:line="360" w:lineRule="auto"/>
        <w:ind w:left="-94" w:leftChars="-85" w:hanging="84" w:hangingChars="40"/>
        <w:jc w:val="center"/>
        <w:rPr>
          <w:rFonts w:hint="eastAsia" w:ascii="微软雅黑" w:hAnsi="微软雅黑" w:eastAsia="微软雅黑" w:cs="微软雅黑"/>
          <w:b w:val="0"/>
          <w:bCs w:val="0"/>
          <w:color w:val="auto"/>
          <w:sz w:val="44"/>
          <w:szCs w:val="44"/>
          <w:highlight w:val="none"/>
        </w:rPr>
      </w:pPr>
      <w:r>
        <w:rPr>
          <w:rFonts w:hint="eastAsia" w:ascii="微软雅黑" w:hAnsi="微软雅黑" w:eastAsia="微软雅黑" w:cs="微软雅黑"/>
          <w:b w:val="0"/>
          <w:bCs w:val="0"/>
          <w:color w:val="auto"/>
          <w:sz w:val="21"/>
          <w:szCs w:val="21"/>
          <w:highlight w:val="none"/>
          <w:u w:val="single"/>
        </w:rPr>
        <w:t xml:space="preserve">                                    </w:t>
      </w:r>
      <w:r>
        <w:rPr>
          <w:rFonts w:hint="eastAsia" w:ascii="微软雅黑" w:hAnsi="微软雅黑" w:eastAsia="微软雅黑" w:cs="微软雅黑"/>
          <w:b w:val="0"/>
          <w:bCs w:val="0"/>
          <w:color w:val="auto"/>
          <w:sz w:val="44"/>
          <w:szCs w:val="44"/>
          <w:highlight w:val="none"/>
          <w:lang w:eastAsia="zh-CN"/>
        </w:rPr>
        <w:t>（</w:t>
      </w:r>
      <w:r>
        <w:rPr>
          <w:rFonts w:hint="eastAsia" w:ascii="微软雅黑" w:hAnsi="微软雅黑" w:eastAsia="微软雅黑" w:cs="微软雅黑"/>
          <w:b w:val="0"/>
          <w:bCs w:val="0"/>
          <w:color w:val="auto"/>
          <w:sz w:val="44"/>
          <w:szCs w:val="44"/>
          <w:highlight w:val="none"/>
          <w:lang w:val="en-US" w:eastAsia="zh-CN"/>
        </w:rPr>
        <w:t>项目名称）</w:t>
      </w:r>
    </w:p>
    <w:p w14:paraId="7E5C8062">
      <w:pPr>
        <w:spacing w:before="120" w:beforeLines="50" w:line="360" w:lineRule="auto"/>
        <w:jc w:val="center"/>
        <w:rPr>
          <w:rFonts w:hint="eastAsia" w:ascii="微软雅黑" w:hAnsi="微软雅黑" w:eastAsia="微软雅黑" w:cs="微软雅黑"/>
          <w:b w:val="0"/>
          <w:bCs w:val="0"/>
          <w:color w:val="auto"/>
          <w:sz w:val="44"/>
          <w:szCs w:val="44"/>
          <w:highlight w:val="none"/>
        </w:rPr>
      </w:pPr>
    </w:p>
    <w:p w14:paraId="5395C336">
      <w:pPr>
        <w:rPr>
          <w:rFonts w:hint="eastAsia" w:ascii="微软雅黑" w:hAnsi="微软雅黑" w:eastAsia="微软雅黑" w:cs="微软雅黑"/>
          <w:b w:val="0"/>
          <w:bCs w:val="0"/>
          <w:color w:val="auto"/>
          <w:sz w:val="20"/>
          <w:szCs w:val="20"/>
          <w:highlight w:val="none"/>
        </w:rPr>
      </w:pPr>
    </w:p>
    <w:p w14:paraId="2D763680">
      <w:pPr>
        <w:spacing w:before="120" w:beforeLines="50" w:line="360" w:lineRule="auto"/>
        <w:jc w:val="center"/>
        <w:rPr>
          <w:rFonts w:hint="eastAsia" w:ascii="微软雅黑" w:hAnsi="微软雅黑" w:eastAsia="微软雅黑" w:cs="微软雅黑"/>
          <w:b w:val="0"/>
          <w:bCs w:val="0"/>
          <w:color w:val="auto"/>
          <w:sz w:val="56"/>
          <w:szCs w:val="56"/>
          <w:highlight w:val="none"/>
        </w:rPr>
      </w:pPr>
      <w:r>
        <w:rPr>
          <w:rFonts w:hint="eastAsia" w:ascii="微软雅黑" w:hAnsi="微软雅黑" w:eastAsia="微软雅黑" w:cs="微软雅黑"/>
          <w:b w:val="0"/>
          <w:bCs w:val="0"/>
          <w:color w:val="auto"/>
          <w:sz w:val="56"/>
          <w:szCs w:val="56"/>
          <w:highlight w:val="none"/>
          <w:lang w:eastAsia="zh-CN"/>
        </w:rPr>
        <w:t>响</w:t>
      </w:r>
      <w:r>
        <w:rPr>
          <w:rFonts w:hint="eastAsia" w:ascii="微软雅黑" w:hAnsi="微软雅黑" w:eastAsia="微软雅黑" w:cs="微软雅黑"/>
          <w:b w:val="0"/>
          <w:bCs w:val="0"/>
          <w:color w:val="auto"/>
          <w:sz w:val="56"/>
          <w:szCs w:val="56"/>
          <w:highlight w:val="none"/>
          <w:lang w:val="en-US" w:eastAsia="zh-CN"/>
        </w:rPr>
        <w:t xml:space="preserve"> </w:t>
      </w:r>
      <w:r>
        <w:rPr>
          <w:rFonts w:hint="eastAsia" w:ascii="微软雅黑" w:hAnsi="微软雅黑" w:eastAsia="微软雅黑" w:cs="微软雅黑"/>
          <w:b w:val="0"/>
          <w:bCs w:val="0"/>
          <w:color w:val="auto"/>
          <w:sz w:val="56"/>
          <w:szCs w:val="56"/>
          <w:highlight w:val="none"/>
          <w:lang w:eastAsia="zh-CN"/>
        </w:rPr>
        <w:t>应</w:t>
      </w:r>
      <w:r>
        <w:rPr>
          <w:rFonts w:hint="eastAsia" w:ascii="微软雅黑" w:hAnsi="微软雅黑" w:eastAsia="微软雅黑" w:cs="微软雅黑"/>
          <w:b w:val="0"/>
          <w:bCs w:val="0"/>
          <w:color w:val="auto"/>
          <w:sz w:val="56"/>
          <w:szCs w:val="56"/>
          <w:highlight w:val="none"/>
          <w:lang w:val="en-US" w:eastAsia="zh-CN"/>
        </w:rPr>
        <w:t xml:space="preserve"> </w:t>
      </w:r>
      <w:r>
        <w:rPr>
          <w:rFonts w:hint="eastAsia" w:ascii="微软雅黑" w:hAnsi="微软雅黑" w:eastAsia="微软雅黑" w:cs="微软雅黑"/>
          <w:b w:val="0"/>
          <w:bCs w:val="0"/>
          <w:color w:val="auto"/>
          <w:sz w:val="56"/>
          <w:szCs w:val="56"/>
          <w:highlight w:val="none"/>
        </w:rPr>
        <w:t>文</w:t>
      </w:r>
      <w:r>
        <w:rPr>
          <w:rFonts w:hint="eastAsia" w:ascii="微软雅黑" w:hAnsi="微软雅黑" w:eastAsia="微软雅黑" w:cs="微软雅黑"/>
          <w:b w:val="0"/>
          <w:bCs w:val="0"/>
          <w:color w:val="auto"/>
          <w:sz w:val="56"/>
          <w:szCs w:val="56"/>
          <w:highlight w:val="none"/>
          <w:lang w:val="en-US" w:eastAsia="zh-CN"/>
        </w:rPr>
        <w:t xml:space="preserve"> </w:t>
      </w:r>
      <w:r>
        <w:rPr>
          <w:rFonts w:hint="eastAsia" w:ascii="微软雅黑" w:hAnsi="微软雅黑" w:eastAsia="微软雅黑" w:cs="微软雅黑"/>
          <w:b w:val="0"/>
          <w:bCs w:val="0"/>
          <w:color w:val="auto"/>
          <w:sz w:val="56"/>
          <w:szCs w:val="56"/>
          <w:highlight w:val="none"/>
        </w:rPr>
        <w:t>件</w:t>
      </w:r>
    </w:p>
    <w:p w14:paraId="5AAE8476">
      <w:pPr>
        <w:ind w:firstLine="2560" w:firstLineChars="800"/>
        <w:jc w:val="both"/>
        <w:rPr>
          <w:rFonts w:hint="eastAsia" w:ascii="微软雅黑" w:hAnsi="微软雅黑" w:eastAsia="微软雅黑" w:cs="微软雅黑"/>
          <w:b w:val="0"/>
          <w:bCs w:val="0"/>
          <w:color w:val="auto"/>
          <w:sz w:val="32"/>
          <w:szCs w:val="32"/>
          <w:highlight w:val="none"/>
          <w:lang w:val="en-US" w:eastAsia="zh-CN"/>
        </w:rPr>
      </w:pPr>
    </w:p>
    <w:p w14:paraId="1C819EE2">
      <w:pPr>
        <w:rPr>
          <w:rFonts w:hint="eastAsia" w:ascii="微软雅黑" w:hAnsi="微软雅黑" w:eastAsia="微软雅黑" w:cs="微软雅黑"/>
          <w:b w:val="0"/>
          <w:bCs w:val="0"/>
          <w:color w:val="auto"/>
          <w:sz w:val="32"/>
          <w:szCs w:val="32"/>
          <w:highlight w:val="none"/>
        </w:rPr>
      </w:pPr>
    </w:p>
    <w:p w14:paraId="5BCAD855">
      <w:pPr>
        <w:rPr>
          <w:rFonts w:hint="eastAsia" w:ascii="微软雅黑" w:hAnsi="微软雅黑" w:eastAsia="微软雅黑" w:cs="微软雅黑"/>
          <w:b w:val="0"/>
          <w:bCs w:val="0"/>
          <w:color w:val="auto"/>
          <w:sz w:val="32"/>
          <w:szCs w:val="32"/>
          <w:highlight w:val="none"/>
        </w:rPr>
      </w:pPr>
    </w:p>
    <w:p w14:paraId="1E64847F">
      <w:pPr>
        <w:pStyle w:val="3"/>
        <w:outlineLvl w:val="9"/>
        <w:rPr>
          <w:rFonts w:hint="eastAsia" w:ascii="微软雅黑" w:hAnsi="微软雅黑" w:eastAsia="微软雅黑" w:cs="微软雅黑"/>
          <w:b w:val="0"/>
          <w:bCs w:val="0"/>
          <w:color w:val="auto"/>
          <w:sz w:val="28"/>
          <w:szCs w:val="28"/>
          <w:highlight w:val="none"/>
        </w:rPr>
      </w:pPr>
    </w:p>
    <w:p w14:paraId="50CEF977">
      <w:pPr>
        <w:rPr>
          <w:rFonts w:hint="eastAsia" w:ascii="微软雅黑" w:hAnsi="微软雅黑" w:eastAsia="微软雅黑" w:cs="微软雅黑"/>
          <w:b w:val="0"/>
          <w:bCs w:val="0"/>
          <w:color w:val="auto"/>
          <w:sz w:val="28"/>
          <w:szCs w:val="28"/>
          <w:highlight w:val="none"/>
        </w:rPr>
      </w:pPr>
    </w:p>
    <w:p w14:paraId="71900D36">
      <w:pPr>
        <w:pStyle w:val="16"/>
        <w:rPr>
          <w:rFonts w:hint="eastAsia"/>
          <w:color w:val="auto"/>
          <w:highlight w:val="none"/>
        </w:rPr>
      </w:pPr>
    </w:p>
    <w:p w14:paraId="7B0F7449">
      <w:pPr>
        <w:spacing w:line="360" w:lineRule="auto"/>
        <w:jc w:val="left"/>
        <w:rPr>
          <w:rFonts w:hint="eastAsia" w:ascii="微软雅黑" w:hAnsi="微软雅黑" w:eastAsia="微软雅黑" w:cs="微软雅黑"/>
          <w:b w:val="0"/>
          <w:bCs w:val="0"/>
          <w:color w:val="auto"/>
          <w:sz w:val="32"/>
          <w:szCs w:val="32"/>
          <w:highlight w:val="none"/>
        </w:rPr>
      </w:pPr>
      <w:r>
        <w:rPr>
          <w:rFonts w:hint="eastAsia" w:ascii="微软雅黑" w:hAnsi="微软雅黑" w:eastAsia="微软雅黑" w:cs="微软雅黑"/>
          <w:b w:val="0"/>
          <w:bCs w:val="0"/>
          <w:color w:val="auto"/>
          <w:sz w:val="32"/>
          <w:szCs w:val="32"/>
          <w:highlight w:val="none"/>
          <w:lang w:eastAsia="zh-CN"/>
        </w:rPr>
        <w:t>磋商申请</w:t>
      </w:r>
      <w:r>
        <w:rPr>
          <w:rFonts w:hint="eastAsia" w:ascii="微软雅黑" w:hAnsi="微软雅黑" w:eastAsia="微软雅黑" w:cs="微软雅黑"/>
          <w:b w:val="0"/>
          <w:bCs w:val="0"/>
          <w:color w:val="auto"/>
          <w:sz w:val="32"/>
          <w:szCs w:val="32"/>
          <w:highlight w:val="none"/>
        </w:rPr>
        <w:t>人：</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single"/>
          <w:lang w:val="en-US" w:eastAsia="zh-CN"/>
        </w:rPr>
        <w:t xml:space="preserve">    </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none"/>
        </w:rPr>
        <w:t>（</w:t>
      </w:r>
      <w:r>
        <w:rPr>
          <w:rFonts w:hint="eastAsia" w:ascii="微软雅黑" w:hAnsi="微软雅黑" w:eastAsia="微软雅黑" w:cs="微软雅黑"/>
          <w:b w:val="0"/>
          <w:bCs w:val="0"/>
          <w:color w:val="auto"/>
          <w:sz w:val="32"/>
          <w:szCs w:val="32"/>
          <w:highlight w:val="none"/>
          <w:u w:val="none"/>
          <w:lang w:val="en-US" w:eastAsia="zh-CN"/>
        </w:rPr>
        <w:t>电子签章</w:t>
      </w:r>
      <w:r>
        <w:rPr>
          <w:rFonts w:hint="eastAsia" w:ascii="微软雅黑" w:hAnsi="微软雅黑" w:eastAsia="微软雅黑" w:cs="微软雅黑"/>
          <w:b w:val="0"/>
          <w:bCs w:val="0"/>
          <w:color w:val="auto"/>
          <w:sz w:val="32"/>
          <w:szCs w:val="32"/>
          <w:highlight w:val="none"/>
          <w:u w:val="none"/>
        </w:rPr>
        <w:t>）</w:t>
      </w:r>
    </w:p>
    <w:p w14:paraId="24AC9873">
      <w:pPr>
        <w:spacing w:line="360" w:lineRule="auto"/>
        <w:jc w:val="left"/>
        <w:rPr>
          <w:rFonts w:hint="eastAsia" w:ascii="微软雅黑" w:hAnsi="微软雅黑" w:eastAsia="微软雅黑" w:cs="微软雅黑"/>
          <w:b w:val="0"/>
          <w:bCs w:val="0"/>
          <w:color w:val="auto"/>
          <w:sz w:val="32"/>
          <w:szCs w:val="32"/>
          <w:highlight w:val="none"/>
          <w:u w:val="single"/>
        </w:rPr>
      </w:pPr>
      <w:r>
        <w:rPr>
          <w:rFonts w:hint="eastAsia" w:ascii="微软雅黑" w:hAnsi="微软雅黑" w:eastAsia="微软雅黑" w:cs="微软雅黑"/>
          <w:b w:val="0"/>
          <w:bCs w:val="0"/>
          <w:color w:val="auto"/>
          <w:sz w:val="32"/>
          <w:szCs w:val="32"/>
          <w:highlight w:val="none"/>
        </w:rPr>
        <w:t>法定代表人或其委托代理人：</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single"/>
          <w:lang w:val="en-US" w:eastAsia="zh-CN"/>
        </w:rPr>
        <w:t xml:space="preserve">  </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none"/>
        </w:rPr>
        <w:t>（</w:t>
      </w:r>
      <w:r>
        <w:rPr>
          <w:rFonts w:hint="eastAsia" w:ascii="微软雅黑" w:hAnsi="微软雅黑" w:eastAsia="微软雅黑" w:cs="微软雅黑"/>
          <w:b w:val="0"/>
          <w:bCs w:val="0"/>
          <w:color w:val="auto"/>
          <w:sz w:val="32"/>
          <w:szCs w:val="32"/>
          <w:highlight w:val="none"/>
          <w:u w:val="none"/>
          <w:lang w:val="en-US" w:eastAsia="zh-CN"/>
        </w:rPr>
        <w:t>电子签章</w:t>
      </w:r>
      <w:r>
        <w:rPr>
          <w:rFonts w:hint="eastAsia" w:ascii="微软雅黑" w:hAnsi="微软雅黑" w:eastAsia="微软雅黑" w:cs="微软雅黑"/>
          <w:b w:val="0"/>
          <w:bCs w:val="0"/>
          <w:color w:val="auto"/>
          <w:sz w:val="32"/>
          <w:szCs w:val="32"/>
          <w:highlight w:val="none"/>
          <w:u w:val="none"/>
        </w:rPr>
        <w:t>）</w:t>
      </w:r>
    </w:p>
    <w:p w14:paraId="2060B0B6">
      <w:pPr>
        <w:spacing w:line="360" w:lineRule="auto"/>
        <w:rPr>
          <w:rFonts w:hint="eastAsia" w:ascii="微软雅黑" w:hAnsi="微软雅黑" w:eastAsia="微软雅黑" w:cs="微软雅黑"/>
          <w:b w:val="0"/>
          <w:bCs w:val="0"/>
          <w:color w:val="auto"/>
          <w:sz w:val="32"/>
          <w:szCs w:val="32"/>
          <w:highlight w:val="none"/>
        </w:rPr>
      </w:pPr>
      <w:r>
        <w:rPr>
          <w:rFonts w:hint="eastAsia" w:ascii="微软雅黑" w:hAnsi="微软雅黑" w:eastAsia="微软雅黑" w:cs="微软雅黑"/>
          <w:b w:val="0"/>
          <w:bCs w:val="0"/>
          <w:color w:val="auto"/>
          <w:sz w:val="32"/>
          <w:szCs w:val="32"/>
          <w:highlight w:val="none"/>
        </w:rPr>
        <w:t>日    期：</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rPr>
        <w:t>年</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rPr>
        <w:t>月</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rPr>
        <w:t>日</w:t>
      </w:r>
      <w:bookmarkStart w:id="303" w:name="_Toc243465233"/>
      <w:bookmarkStart w:id="304" w:name="_Toc247957899"/>
    </w:p>
    <w:p w14:paraId="300A9437">
      <w:pPr>
        <w:spacing w:line="360" w:lineRule="auto"/>
        <w:jc w:val="center"/>
        <w:outlineLvl w:val="9"/>
        <w:rPr>
          <w:rFonts w:hint="eastAsia" w:ascii="微软雅黑" w:hAnsi="微软雅黑" w:eastAsia="微软雅黑" w:cs="微软雅黑"/>
          <w:b w:val="0"/>
          <w:bCs w:val="0"/>
          <w:color w:val="auto"/>
          <w:sz w:val="36"/>
          <w:szCs w:val="36"/>
          <w:highlight w:val="none"/>
        </w:rPr>
        <w:sectPr>
          <w:footerReference r:id="rId10" w:type="first"/>
          <w:footerReference r:id="rId9" w:type="default"/>
          <w:pgSz w:w="11907" w:h="16840"/>
          <w:pgMar w:top="1077" w:right="850" w:bottom="1077" w:left="850" w:header="624" w:footer="624" w:gutter="0"/>
          <w:pgNumType w:fmt="decimal"/>
          <w:cols w:space="425" w:num="1"/>
          <w:titlePg/>
          <w:docGrid w:linePitch="312" w:charSpace="0"/>
        </w:sectPr>
      </w:pPr>
    </w:p>
    <w:p w14:paraId="2E58519E">
      <w:pPr>
        <w:spacing w:line="360" w:lineRule="auto"/>
        <w:jc w:val="center"/>
        <w:rPr>
          <w:rFonts w:hint="eastAsia" w:ascii="微软雅黑" w:hAnsi="微软雅黑" w:eastAsia="微软雅黑" w:cs="微软雅黑"/>
          <w:b w:val="0"/>
          <w:bCs w:val="0"/>
          <w:color w:val="auto"/>
          <w:sz w:val="36"/>
          <w:szCs w:val="36"/>
          <w:highlight w:val="none"/>
        </w:rPr>
      </w:pPr>
      <w:r>
        <w:rPr>
          <w:rFonts w:hint="eastAsia" w:ascii="微软雅黑" w:hAnsi="微软雅黑" w:eastAsia="微软雅黑" w:cs="微软雅黑"/>
          <w:b w:val="0"/>
          <w:bCs w:val="0"/>
          <w:color w:val="auto"/>
          <w:sz w:val="36"/>
          <w:szCs w:val="36"/>
          <w:highlight w:val="none"/>
        </w:rPr>
        <w:t>目  录</w:t>
      </w:r>
    </w:p>
    <w:p w14:paraId="2D689920">
      <w:pPr>
        <w:numPr>
          <w:ilvl w:val="0"/>
          <w:numId w:val="3"/>
        </w:numPr>
        <w:spacing w:line="360" w:lineRule="auto"/>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商务部分</w:t>
      </w:r>
    </w:p>
    <w:p w14:paraId="1F2BFBCB">
      <w:pPr>
        <w:numPr>
          <w:ilvl w:val="0"/>
          <w:numId w:val="3"/>
        </w:numPr>
        <w:spacing w:line="360" w:lineRule="auto"/>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资格审查部分</w:t>
      </w:r>
    </w:p>
    <w:p w14:paraId="5E503838">
      <w:pPr>
        <w:numPr>
          <w:ilvl w:val="0"/>
          <w:numId w:val="3"/>
        </w:numPr>
        <w:spacing w:line="360" w:lineRule="auto"/>
        <w:rPr>
          <w:rFonts w:hint="eastAsia" w:ascii="微软雅黑" w:hAnsi="微软雅黑" w:eastAsia="微软雅黑" w:cs="微软雅黑"/>
          <w:b w:val="0"/>
          <w:bCs w:val="0"/>
          <w:color w:val="auto"/>
          <w:sz w:val="24"/>
          <w:szCs w:val="24"/>
          <w:highlight w:val="none"/>
          <w:lang w:val="en-US" w:eastAsia="zh-CN"/>
        </w:rPr>
      </w:pPr>
      <w:r>
        <w:rPr>
          <w:rFonts w:hint="eastAsia" w:ascii="微软雅黑" w:hAnsi="微软雅黑" w:eastAsia="微软雅黑" w:cs="微软雅黑"/>
          <w:b w:val="0"/>
          <w:bCs w:val="0"/>
          <w:color w:val="auto"/>
          <w:sz w:val="24"/>
          <w:szCs w:val="24"/>
          <w:highlight w:val="none"/>
          <w:lang w:val="en-US" w:eastAsia="zh-CN"/>
        </w:rPr>
        <w:t>技术部分</w:t>
      </w:r>
    </w:p>
    <w:p w14:paraId="0EF12392">
      <w:pPr>
        <w:tabs>
          <w:tab w:val="left" w:pos="720"/>
        </w:tabs>
        <w:spacing w:line="440" w:lineRule="exact"/>
        <w:ind w:firstLine="864" w:firstLineChars="360"/>
        <w:rPr>
          <w:rFonts w:hint="eastAsia" w:ascii="微软雅黑" w:hAnsi="微软雅黑" w:eastAsia="微软雅黑" w:cs="微软雅黑"/>
          <w:b w:val="0"/>
          <w:bCs w:val="0"/>
          <w:color w:val="auto"/>
          <w:sz w:val="24"/>
          <w:szCs w:val="24"/>
          <w:highlight w:val="none"/>
        </w:rPr>
      </w:pPr>
    </w:p>
    <w:p w14:paraId="3F4D4F53">
      <w:pPr>
        <w:spacing w:line="360" w:lineRule="auto"/>
        <w:rPr>
          <w:rFonts w:hint="eastAsia" w:ascii="微软雅黑" w:hAnsi="微软雅黑" w:eastAsia="微软雅黑" w:cs="微软雅黑"/>
          <w:b w:val="0"/>
          <w:bCs w:val="0"/>
          <w:color w:val="auto"/>
          <w:sz w:val="24"/>
          <w:szCs w:val="24"/>
          <w:highlight w:val="none"/>
        </w:rPr>
      </w:pPr>
    </w:p>
    <w:p w14:paraId="6C1EA57C">
      <w:pPr>
        <w:pStyle w:val="3"/>
        <w:outlineLvl w:val="9"/>
        <w:rPr>
          <w:rFonts w:hint="eastAsia" w:ascii="微软雅黑" w:hAnsi="微软雅黑" w:eastAsia="微软雅黑" w:cs="微软雅黑"/>
          <w:b w:val="0"/>
          <w:bCs w:val="0"/>
          <w:color w:val="auto"/>
          <w:sz w:val="24"/>
          <w:szCs w:val="24"/>
          <w:highlight w:val="none"/>
        </w:rPr>
      </w:pPr>
    </w:p>
    <w:p w14:paraId="55AAF354">
      <w:pPr>
        <w:rPr>
          <w:rFonts w:hint="eastAsia" w:ascii="微软雅黑" w:hAnsi="微软雅黑" w:eastAsia="微软雅黑" w:cs="微软雅黑"/>
          <w:b w:val="0"/>
          <w:bCs w:val="0"/>
          <w:color w:val="auto"/>
          <w:sz w:val="24"/>
          <w:szCs w:val="24"/>
          <w:highlight w:val="none"/>
        </w:rPr>
      </w:pPr>
    </w:p>
    <w:p w14:paraId="7839CBA0">
      <w:pPr>
        <w:pStyle w:val="3"/>
        <w:outlineLvl w:val="9"/>
        <w:rPr>
          <w:rFonts w:hint="eastAsia" w:ascii="微软雅黑" w:hAnsi="微软雅黑" w:eastAsia="微软雅黑" w:cs="微软雅黑"/>
          <w:b w:val="0"/>
          <w:bCs w:val="0"/>
          <w:color w:val="auto"/>
          <w:sz w:val="24"/>
          <w:szCs w:val="24"/>
          <w:highlight w:val="none"/>
        </w:rPr>
      </w:pPr>
    </w:p>
    <w:p w14:paraId="65702288">
      <w:pPr>
        <w:rPr>
          <w:rFonts w:hint="eastAsia" w:ascii="微软雅黑" w:hAnsi="微软雅黑" w:eastAsia="微软雅黑" w:cs="微软雅黑"/>
          <w:b w:val="0"/>
          <w:bCs w:val="0"/>
          <w:color w:val="auto"/>
          <w:sz w:val="24"/>
          <w:szCs w:val="24"/>
          <w:highlight w:val="none"/>
        </w:rPr>
      </w:pPr>
    </w:p>
    <w:p w14:paraId="026FF36B">
      <w:pPr>
        <w:pStyle w:val="3"/>
        <w:outlineLvl w:val="9"/>
        <w:rPr>
          <w:rFonts w:hint="eastAsia" w:ascii="微软雅黑" w:hAnsi="微软雅黑" w:eastAsia="微软雅黑" w:cs="微软雅黑"/>
          <w:b w:val="0"/>
          <w:bCs w:val="0"/>
          <w:color w:val="auto"/>
          <w:sz w:val="24"/>
          <w:szCs w:val="24"/>
          <w:highlight w:val="none"/>
        </w:rPr>
      </w:pPr>
    </w:p>
    <w:p w14:paraId="2B9D66D3">
      <w:pPr>
        <w:rPr>
          <w:rFonts w:hint="eastAsia" w:ascii="微软雅黑" w:hAnsi="微软雅黑" w:eastAsia="微软雅黑" w:cs="微软雅黑"/>
          <w:b w:val="0"/>
          <w:bCs w:val="0"/>
          <w:color w:val="auto"/>
          <w:sz w:val="24"/>
          <w:szCs w:val="24"/>
          <w:highlight w:val="none"/>
        </w:rPr>
      </w:pPr>
    </w:p>
    <w:p w14:paraId="10C0D1DF">
      <w:pPr>
        <w:pStyle w:val="3"/>
        <w:outlineLvl w:val="9"/>
        <w:rPr>
          <w:rFonts w:hint="eastAsia" w:ascii="微软雅黑" w:hAnsi="微软雅黑" w:eastAsia="微软雅黑" w:cs="微软雅黑"/>
          <w:b w:val="0"/>
          <w:bCs w:val="0"/>
          <w:color w:val="auto"/>
          <w:sz w:val="32"/>
          <w:szCs w:val="32"/>
          <w:highlight w:val="none"/>
        </w:rPr>
      </w:pPr>
    </w:p>
    <w:p w14:paraId="1CC6D261">
      <w:pPr>
        <w:spacing w:line="360" w:lineRule="auto"/>
        <w:rPr>
          <w:rFonts w:hint="eastAsia" w:ascii="微软雅黑" w:hAnsi="微软雅黑" w:eastAsia="微软雅黑" w:cs="微软雅黑"/>
          <w:b w:val="0"/>
          <w:bCs w:val="0"/>
          <w:color w:val="auto"/>
          <w:sz w:val="24"/>
          <w:szCs w:val="24"/>
          <w:highlight w:val="none"/>
        </w:rPr>
      </w:pPr>
    </w:p>
    <w:p w14:paraId="5EB3CE35">
      <w:pPr>
        <w:spacing w:line="360" w:lineRule="auto"/>
        <w:rPr>
          <w:rFonts w:hint="eastAsia" w:ascii="微软雅黑" w:hAnsi="微软雅黑" w:eastAsia="微软雅黑" w:cs="微软雅黑"/>
          <w:b w:val="0"/>
          <w:bCs w:val="0"/>
          <w:color w:val="auto"/>
          <w:sz w:val="24"/>
          <w:szCs w:val="24"/>
          <w:highlight w:val="none"/>
        </w:rPr>
      </w:pPr>
    </w:p>
    <w:p w14:paraId="1A0DA291">
      <w:pPr>
        <w:spacing w:line="360" w:lineRule="auto"/>
        <w:rPr>
          <w:rFonts w:hint="eastAsia" w:ascii="微软雅黑" w:hAnsi="微软雅黑" w:eastAsia="微软雅黑" w:cs="微软雅黑"/>
          <w:b w:val="0"/>
          <w:bCs w:val="0"/>
          <w:color w:val="auto"/>
          <w:sz w:val="24"/>
          <w:szCs w:val="24"/>
          <w:highlight w:val="none"/>
        </w:rPr>
      </w:pPr>
    </w:p>
    <w:p w14:paraId="0B131629">
      <w:pPr>
        <w:spacing w:line="360" w:lineRule="auto"/>
        <w:rPr>
          <w:rFonts w:hint="eastAsia" w:ascii="微软雅黑" w:hAnsi="微软雅黑" w:eastAsia="微软雅黑" w:cs="微软雅黑"/>
          <w:b w:val="0"/>
          <w:bCs w:val="0"/>
          <w:color w:val="auto"/>
          <w:sz w:val="24"/>
          <w:szCs w:val="24"/>
          <w:highlight w:val="none"/>
        </w:rPr>
      </w:pPr>
    </w:p>
    <w:p w14:paraId="603678A5">
      <w:pPr>
        <w:spacing w:line="360" w:lineRule="auto"/>
        <w:rPr>
          <w:rFonts w:hint="eastAsia" w:ascii="微软雅黑" w:hAnsi="微软雅黑" w:eastAsia="微软雅黑" w:cs="微软雅黑"/>
          <w:b w:val="0"/>
          <w:bCs w:val="0"/>
          <w:color w:val="auto"/>
          <w:sz w:val="24"/>
          <w:szCs w:val="24"/>
          <w:highlight w:val="none"/>
        </w:rPr>
      </w:pPr>
    </w:p>
    <w:p w14:paraId="145A7EC6">
      <w:pPr>
        <w:spacing w:line="360" w:lineRule="auto"/>
        <w:rPr>
          <w:rFonts w:hint="eastAsia" w:ascii="微软雅黑" w:hAnsi="微软雅黑" w:eastAsia="微软雅黑" w:cs="微软雅黑"/>
          <w:b w:val="0"/>
          <w:bCs w:val="0"/>
          <w:color w:val="auto"/>
          <w:sz w:val="24"/>
          <w:szCs w:val="24"/>
          <w:highlight w:val="none"/>
        </w:rPr>
      </w:pPr>
    </w:p>
    <w:bookmarkEnd w:id="303"/>
    <w:bookmarkEnd w:id="304"/>
    <w:p w14:paraId="21E8F71D">
      <w:pPr>
        <w:pStyle w:val="3"/>
        <w:adjustRightInd w:val="0"/>
        <w:snapToGrid w:val="0"/>
        <w:spacing w:before="0" w:after="0" w:line="360" w:lineRule="auto"/>
        <w:jc w:val="center"/>
        <w:rPr>
          <w:rFonts w:hint="eastAsia" w:ascii="宋体" w:hAnsi="宋体" w:eastAsia="宋体" w:cs="宋体"/>
          <w:color w:val="auto"/>
          <w:sz w:val="44"/>
          <w:szCs w:val="44"/>
          <w:highlight w:val="none"/>
          <w:lang w:val="en-US" w:eastAsia="zh-CN"/>
        </w:rPr>
      </w:pPr>
      <w:bookmarkStart w:id="305" w:name="_Toc3840"/>
      <w:bookmarkStart w:id="306" w:name="_Toc25328"/>
      <w:bookmarkStart w:id="307" w:name="_Toc13935"/>
      <w:r>
        <w:rPr>
          <w:rFonts w:hint="eastAsia" w:ascii="宋体" w:hAnsi="宋体" w:eastAsia="宋体" w:cs="宋体"/>
          <w:color w:val="auto"/>
          <w:sz w:val="44"/>
          <w:szCs w:val="44"/>
          <w:highlight w:val="none"/>
          <w:lang w:val="en-US" w:eastAsia="zh-CN"/>
        </w:rPr>
        <w:t>商务部分</w:t>
      </w:r>
      <w:bookmarkEnd w:id="305"/>
    </w:p>
    <w:p w14:paraId="38788481">
      <w:pPr>
        <w:wordWrap w:val="0"/>
        <w:spacing w:line="400" w:lineRule="atLeast"/>
        <w:jc w:val="center"/>
        <w:rPr>
          <w:rFonts w:hint="eastAsia" w:ascii="宋体" w:hAnsi="宋体" w:eastAsia="宋体" w:cs="宋体"/>
          <w:b/>
          <w:bCs/>
          <w:color w:val="auto"/>
          <w:sz w:val="40"/>
          <w:szCs w:val="21"/>
          <w:highlight w:val="none"/>
        </w:rPr>
      </w:pPr>
      <w:bookmarkStart w:id="308" w:name="_Toc17526"/>
      <w:bookmarkStart w:id="309" w:name="_Toc8883"/>
      <w:r>
        <w:rPr>
          <w:rFonts w:hint="eastAsia" w:ascii="宋体" w:hAnsi="宋体" w:eastAsia="宋体" w:cs="宋体"/>
          <w:b/>
          <w:bCs/>
          <w:color w:val="auto"/>
          <w:sz w:val="40"/>
          <w:szCs w:val="21"/>
          <w:highlight w:val="none"/>
        </w:rPr>
        <w:t>竞争性磋商</w:t>
      </w:r>
      <w:r>
        <w:rPr>
          <w:rFonts w:hint="eastAsia" w:ascii="宋体" w:hAnsi="宋体" w:eastAsia="宋体" w:cs="宋体"/>
          <w:b/>
          <w:bCs/>
          <w:color w:val="auto"/>
          <w:sz w:val="40"/>
          <w:szCs w:val="21"/>
          <w:highlight w:val="none"/>
          <w:lang w:eastAsia="zh-CN"/>
        </w:rPr>
        <w:t>首轮</w:t>
      </w:r>
      <w:r>
        <w:rPr>
          <w:rFonts w:hint="eastAsia" w:ascii="宋体" w:hAnsi="宋体" w:eastAsia="宋体" w:cs="宋体"/>
          <w:b/>
          <w:bCs/>
          <w:color w:val="auto"/>
          <w:sz w:val="40"/>
          <w:szCs w:val="21"/>
          <w:highlight w:val="none"/>
        </w:rPr>
        <w:t>报价一览表</w:t>
      </w:r>
    </w:p>
    <w:p w14:paraId="56AD35F3">
      <w:pPr>
        <w:wordWrap w:val="0"/>
        <w:spacing w:line="240" w:lineRule="auto"/>
        <w:jc w:val="left"/>
        <w:rPr>
          <w:rFonts w:hint="eastAsia" w:ascii="宋体" w:hAnsi="宋体" w:eastAsia="宋体" w:cs="宋体"/>
          <w:b/>
          <w:bCs/>
          <w:color w:val="auto"/>
          <w:sz w:val="28"/>
          <w:szCs w:val="16"/>
          <w:highlight w:val="none"/>
        </w:rPr>
      </w:pPr>
    </w:p>
    <w:p w14:paraId="687BAE4F">
      <w:pPr>
        <w:wordWrap w:val="0"/>
        <w:spacing w:line="240" w:lineRule="auto"/>
        <w:jc w:val="left"/>
        <w:rPr>
          <w:rFonts w:hint="eastAsia" w:ascii="宋体" w:hAnsi="宋体" w:eastAsia="宋体" w:cs="宋体"/>
          <w:b/>
          <w:bCs/>
          <w:color w:val="auto"/>
          <w:sz w:val="28"/>
          <w:szCs w:val="16"/>
          <w:highlight w:val="none"/>
        </w:rPr>
      </w:pPr>
      <w:r>
        <w:rPr>
          <w:rFonts w:hint="eastAsia" w:ascii="宋体" w:hAnsi="宋体" w:eastAsia="宋体" w:cs="宋体"/>
          <w:b/>
          <w:bCs/>
          <w:color w:val="auto"/>
          <w:sz w:val="28"/>
          <w:szCs w:val="16"/>
          <w:highlight w:val="none"/>
        </w:rPr>
        <w:t xml:space="preserve">项目名称： </w:t>
      </w:r>
      <w:r>
        <w:rPr>
          <w:rFonts w:hint="eastAsia" w:ascii="宋体" w:hAnsi="宋体" w:eastAsia="宋体" w:cs="宋体"/>
          <w:b/>
          <w:bCs/>
          <w:color w:val="auto"/>
          <w:sz w:val="28"/>
          <w:szCs w:val="16"/>
          <w:highlight w:val="none"/>
          <w:lang w:val="en-US" w:eastAsia="zh-CN"/>
        </w:rPr>
        <w:t>2025年上海松江区对口协作昭通特色农产品推介会服务</w:t>
      </w:r>
      <w:r>
        <w:rPr>
          <w:rFonts w:hint="eastAsia" w:ascii="宋体" w:hAnsi="宋体" w:eastAsia="宋体" w:cs="宋体"/>
          <w:b/>
          <w:bCs/>
          <w:color w:val="auto"/>
          <w:sz w:val="28"/>
          <w:szCs w:val="16"/>
          <w:highlight w:val="none"/>
        </w:rPr>
        <w:t xml:space="preserve"> </w:t>
      </w:r>
    </w:p>
    <w:p w14:paraId="62BB4B4B">
      <w:pPr>
        <w:wordWrap w:val="0"/>
        <w:spacing w:line="400" w:lineRule="atLeast"/>
        <w:jc w:val="both"/>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           </w:t>
      </w:r>
      <w:r>
        <w:rPr>
          <w:rFonts w:hint="eastAsia" w:ascii="宋体" w:hAnsi="宋体" w:eastAsia="宋体" w:cs="宋体"/>
          <w:b/>
          <w:bCs/>
          <w:color w:val="auto"/>
          <w:sz w:val="24"/>
          <w:highlight w:val="none"/>
          <w:lang w:val="en-US" w:eastAsia="zh-CN"/>
        </w:rPr>
        <w:t xml:space="preserve">                 </w:t>
      </w:r>
    </w:p>
    <w:tbl>
      <w:tblPr>
        <w:tblStyle w:val="45"/>
        <w:tblW w:w="969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4"/>
        <w:gridCol w:w="2315"/>
        <w:gridCol w:w="6378"/>
      </w:tblGrid>
      <w:tr w14:paraId="25EF75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88" w:hRule="atLeast"/>
        </w:trPr>
        <w:tc>
          <w:tcPr>
            <w:tcW w:w="1004" w:type="dxa"/>
            <w:vAlign w:val="center"/>
          </w:tcPr>
          <w:p w14:paraId="41681DEB">
            <w:pPr>
              <w:adjustRightInd w:val="0"/>
              <w:snapToGrid w:val="0"/>
              <w:spacing w:line="4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1</w:t>
            </w:r>
          </w:p>
        </w:tc>
        <w:tc>
          <w:tcPr>
            <w:tcW w:w="2315" w:type="dxa"/>
            <w:vAlign w:val="center"/>
          </w:tcPr>
          <w:p w14:paraId="043B919D">
            <w:pPr>
              <w:adjustRightInd w:val="0"/>
              <w:snapToGrid w:val="0"/>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磋商报价</w:t>
            </w:r>
          </w:p>
        </w:tc>
        <w:tc>
          <w:tcPr>
            <w:tcW w:w="6378" w:type="dxa"/>
            <w:vAlign w:val="center"/>
          </w:tcPr>
          <w:p w14:paraId="743469F8">
            <w:pPr>
              <w:adjustRightInd w:val="0"/>
              <w:snapToGrid w:val="0"/>
              <w:spacing w:line="460" w:lineRule="exact"/>
              <w:jc w:val="both"/>
              <w:rPr>
                <w:rFonts w:hint="default" w:ascii="宋体" w:hAnsi="宋体" w:cs="宋体"/>
                <w:b/>
                <w:bCs/>
                <w:color w:val="000000"/>
                <w:sz w:val="24"/>
                <w:szCs w:val="24"/>
                <w:highlight w:val="none"/>
                <w:lang w:val="en-US" w:eastAsia="zh-CN"/>
              </w:rPr>
            </w:pPr>
            <w:r>
              <w:rPr>
                <w:rFonts w:hint="default" w:ascii="宋体" w:hAnsi="宋体" w:cs="宋体"/>
                <w:b/>
                <w:bCs/>
                <w:color w:val="000000"/>
                <w:sz w:val="24"/>
                <w:szCs w:val="24"/>
                <w:highlight w:val="none"/>
                <w:lang w:val="en-US" w:eastAsia="zh-CN"/>
              </w:rPr>
              <w:t xml:space="preserve">小写：¥ </w:t>
            </w:r>
            <w:r>
              <w:rPr>
                <w:rFonts w:hint="default" w:ascii="宋体" w:hAnsi="宋体" w:cs="宋体"/>
                <w:b/>
                <w:bCs/>
                <w:color w:val="000000"/>
                <w:sz w:val="24"/>
                <w:szCs w:val="24"/>
                <w:highlight w:val="none"/>
                <w:u w:val="single"/>
                <w:lang w:val="en-US" w:eastAsia="zh-CN"/>
              </w:rPr>
              <w:t xml:space="preserve">       </w:t>
            </w:r>
            <w:r>
              <w:rPr>
                <w:rFonts w:hint="default" w:ascii="宋体" w:hAnsi="宋体" w:cs="宋体"/>
                <w:b/>
                <w:bCs/>
                <w:color w:val="000000"/>
                <w:sz w:val="24"/>
                <w:szCs w:val="24"/>
                <w:highlight w:val="none"/>
                <w:lang w:val="en-US" w:eastAsia="zh-CN"/>
              </w:rPr>
              <w:t xml:space="preserve"> 元</w:t>
            </w:r>
          </w:p>
          <w:p w14:paraId="3D18EE3A">
            <w:pPr>
              <w:adjustRightInd w:val="0"/>
              <w:snapToGrid w:val="0"/>
              <w:spacing w:line="460" w:lineRule="exact"/>
              <w:jc w:val="both"/>
              <w:rPr>
                <w:rFonts w:hint="eastAsia" w:ascii="宋体" w:hAnsi="宋体" w:eastAsia="宋体" w:cs="宋体"/>
                <w:b/>
                <w:bCs/>
                <w:color w:val="auto"/>
                <w:sz w:val="24"/>
                <w:szCs w:val="24"/>
                <w:highlight w:val="none"/>
              </w:rPr>
            </w:pPr>
            <w:r>
              <w:rPr>
                <w:rFonts w:hint="default" w:ascii="宋体" w:hAnsi="宋体" w:cs="宋体"/>
                <w:b/>
                <w:bCs/>
                <w:color w:val="000000"/>
                <w:sz w:val="24"/>
                <w:szCs w:val="24"/>
                <w:highlight w:val="none"/>
                <w:lang w:val="en-US" w:eastAsia="zh-CN"/>
              </w:rPr>
              <w:t>大写人民币：</w:t>
            </w:r>
            <w:r>
              <w:rPr>
                <w:rFonts w:hint="default" w:ascii="宋体" w:hAnsi="宋体" w:cs="宋体"/>
                <w:b/>
                <w:bCs/>
                <w:color w:val="000000"/>
                <w:sz w:val="24"/>
                <w:szCs w:val="24"/>
                <w:highlight w:val="none"/>
                <w:u w:val="single"/>
                <w:lang w:val="en-US" w:eastAsia="zh-CN"/>
              </w:rPr>
              <w:t xml:space="preserve">                </w:t>
            </w:r>
            <w:r>
              <w:rPr>
                <w:rFonts w:hint="default" w:ascii="宋体" w:hAnsi="宋体" w:cs="宋体"/>
                <w:b/>
                <w:bCs/>
                <w:color w:val="000000"/>
                <w:sz w:val="24"/>
                <w:szCs w:val="24"/>
                <w:highlight w:val="none"/>
                <w:lang w:val="en-US" w:eastAsia="zh-CN"/>
              </w:rPr>
              <w:t xml:space="preserve">  </w:t>
            </w:r>
          </w:p>
        </w:tc>
      </w:tr>
      <w:tr w14:paraId="25B96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61" w:hRule="atLeast"/>
        </w:trPr>
        <w:tc>
          <w:tcPr>
            <w:tcW w:w="1004" w:type="dxa"/>
            <w:vAlign w:val="center"/>
          </w:tcPr>
          <w:p w14:paraId="2433765A">
            <w:pPr>
              <w:adjustRightInd w:val="0"/>
              <w:snapToGrid w:val="0"/>
              <w:spacing w:line="4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2</w:t>
            </w:r>
          </w:p>
        </w:tc>
        <w:tc>
          <w:tcPr>
            <w:tcW w:w="2315" w:type="dxa"/>
            <w:vAlign w:val="center"/>
          </w:tcPr>
          <w:p w14:paraId="72C01FFC">
            <w:pPr>
              <w:adjustRightInd w:val="0"/>
              <w:snapToGrid w:val="0"/>
              <w:spacing w:line="460" w:lineRule="exact"/>
              <w:jc w:val="center"/>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服务期</w:t>
            </w:r>
          </w:p>
        </w:tc>
        <w:tc>
          <w:tcPr>
            <w:tcW w:w="6378" w:type="dxa"/>
            <w:vAlign w:val="center"/>
          </w:tcPr>
          <w:p w14:paraId="4C1472A6">
            <w:pPr>
              <w:spacing w:line="460" w:lineRule="exact"/>
              <w:jc w:val="center"/>
              <w:rPr>
                <w:rFonts w:hint="eastAsia" w:ascii="宋体" w:hAnsi="宋体" w:eastAsia="宋体" w:cs="宋体"/>
                <w:b/>
                <w:bCs/>
                <w:color w:val="auto"/>
                <w:sz w:val="24"/>
                <w:szCs w:val="24"/>
                <w:highlight w:val="none"/>
              </w:rPr>
            </w:pPr>
          </w:p>
        </w:tc>
      </w:tr>
      <w:tr w14:paraId="72BAAA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393" w:hRule="atLeast"/>
        </w:trPr>
        <w:tc>
          <w:tcPr>
            <w:tcW w:w="1004" w:type="dxa"/>
            <w:vAlign w:val="center"/>
          </w:tcPr>
          <w:p w14:paraId="042F7656">
            <w:pPr>
              <w:adjustRightInd w:val="0"/>
              <w:snapToGrid w:val="0"/>
              <w:spacing w:line="4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3</w:t>
            </w:r>
          </w:p>
        </w:tc>
        <w:tc>
          <w:tcPr>
            <w:tcW w:w="2315" w:type="dxa"/>
            <w:vAlign w:val="center"/>
          </w:tcPr>
          <w:p w14:paraId="2A1951EA">
            <w:pPr>
              <w:adjustRightInd w:val="0"/>
              <w:snapToGrid w:val="0"/>
              <w:spacing w:line="460" w:lineRule="exact"/>
              <w:jc w:val="center"/>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服务</w:t>
            </w:r>
            <w:r>
              <w:rPr>
                <w:rFonts w:hint="eastAsia" w:ascii="宋体" w:hAnsi="宋体" w:eastAsia="宋体" w:cs="宋体"/>
                <w:b/>
                <w:bCs/>
                <w:color w:val="auto"/>
                <w:sz w:val="24"/>
                <w:szCs w:val="24"/>
                <w:highlight w:val="none"/>
              </w:rPr>
              <w:t>质量</w:t>
            </w:r>
            <w:r>
              <w:rPr>
                <w:rFonts w:hint="eastAsia" w:ascii="宋体" w:hAnsi="宋体" w:cs="宋体"/>
                <w:b/>
                <w:bCs/>
                <w:color w:val="auto"/>
                <w:sz w:val="24"/>
                <w:szCs w:val="24"/>
                <w:highlight w:val="none"/>
                <w:lang w:val="en-US" w:eastAsia="zh-CN"/>
              </w:rPr>
              <w:t>要求</w:t>
            </w:r>
          </w:p>
        </w:tc>
        <w:tc>
          <w:tcPr>
            <w:tcW w:w="6378" w:type="dxa"/>
            <w:vAlign w:val="center"/>
          </w:tcPr>
          <w:p w14:paraId="4642C52F">
            <w:pPr>
              <w:spacing w:line="460" w:lineRule="exact"/>
              <w:jc w:val="left"/>
              <w:rPr>
                <w:rFonts w:hint="eastAsia" w:ascii="宋体" w:hAnsi="宋体" w:eastAsia="宋体" w:cs="宋体"/>
                <w:b/>
                <w:bCs/>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执行质量须满足国家、地方、行业规范要求，满足甲方的功能需求及技术要求，在合同规定的时间节点内完成相关服务工作，确保会议顺利进行，一次性验收合格。</w:t>
            </w:r>
          </w:p>
        </w:tc>
      </w:tr>
      <w:tr w14:paraId="79B99B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58" w:hRule="atLeast"/>
        </w:trPr>
        <w:tc>
          <w:tcPr>
            <w:tcW w:w="1004" w:type="dxa"/>
            <w:vAlign w:val="center"/>
          </w:tcPr>
          <w:p w14:paraId="11768515">
            <w:pPr>
              <w:adjustRightInd w:val="0"/>
              <w:snapToGrid w:val="0"/>
              <w:spacing w:line="46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4</w:t>
            </w:r>
          </w:p>
        </w:tc>
        <w:tc>
          <w:tcPr>
            <w:tcW w:w="2315" w:type="dxa"/>
            <w:vAlign w:val="center"/>
          </w:tcPr>
          <w:p w14:paraId="1970D202">
            <w:pPr>
              <w:adjustRightInd w:val="0"/>
              <w:snapToGrid w:val="0"/>
              <w:spacing w:line="46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拟派</w:t>
            </w:r>
            <w:r>
              <w:rPr>
                <w:rFonts w:hint="eastAsia" w:ascii="宋体" w:hAnsi="宋体" w:cs="宋体"/>
                <w:b/>
                <w:bCs/>
                <w:color w:val="auto"/>
                <w:sz w:val="24"/>
                <w:szCs w:val="24"/>
                <w:highlight w:val="none"/>
                <w:lang w:val="en-US" w:eastAsia="zh-CN"/>
              </w:rPr>
              <w:t>项目</w:t>
            </w:r>
            <w:r>
              <w:rPr>
                <w:rFonts w:hint="eastAsia" w:ascii="宋体" w:hAnsi="宋体" w:eastAsia="宋体" w:cs="宋体"/>
                <w:b/>
                <w:bCs/>
                <w:color w:val="auto"/>
                <w:sz w:val="24"/>
                <w:szCs w:val="24"/>
                <w:highlight w:val="none"/>
              </w:rPr>
              <w:t>负责人</w:t>
            </w:r>
          </w:p>
        </w:tc>
        <w:tc>
          <w:tcPr>
            <w:tcW w:w="6378" w:type="dxa"/>
            <w:vAlign w:val="center"/>
          </w:tcPr>
          <w:p w14:paraId="6D2BCA10">
            <w:pPr>
              <w:spacing w:line="460" w:lineRule="exact"/>
              <w:jc w:val="both"/>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姓名：</w:t>
            </w:r>
          </w:p>
        </w:tc>
      </w:tr>
    </w:tbl>
    <w:p w14:paraId="27457F50">
      <w:pPr>
        <w:spacing w:line="360" w:lineRule="exact"/>
        <w:ind w:right="-309" w:rightChars="-147"/>
        <w:rPr>
          <w:rFonts w:hint="eastAsia" w:ascii="宋体" w:hAnsi="宋体" w:eastAsia="宋体" w:cs="宋体"/>
          <w:b/>
          <w:bCs/>
          <w:color w:val="auto"/>
          <w:szCs w:val="21"/>
          <w:highlight w:val="none"/>
        </w:rPr>
      </w:pPr>
    </w:p>
    <w:p w14:paraId="69BE656D">
      <w:pPr>
        <w:spacing w:line="360" w:lineRule="exact"/>
        <w:ind w:right="-309" w:rightChars="-147"/>
        <w:rPr>
          <w:rFonts w:hint="eastAsia" w:ascii="宋体" w:hAnsi="宋体" w:eastAsia="宋体" w:cs="宋体"/>
          <w:b/>
          <w:bCs/>
          <w:color w:val="auto"/>
          <w:szCs w:val="21"/>
          <w:highlight w:val="none"/>
        </w:rPr>
      </w:pPr>
    </w:p>
    <w:p w14:paraId="085D6362">
      <w:pPr>
        <w:spacing w:line="360" w:lineRule="exact"/>
        <w:ind w:right="-309" w:rightChars="-147"/>
        <w:rPr>
          <w:rFonts w:hint="eastAsia" w:ascii="宋体" w:hAnsi="宋体" w:eastAsia="宋体" w:cs="宋体"/>
          <w:b/>
          <w:bCs/>
          <w:color w:val="auto"/>
          <w:szCs w:val="21"/>
          <w:highlight w:val="none"/>
        </w:rPr>
      </w:pPr>
    </w:p>
    <w:p w14:paraId="07FD9D36">
      <w:pPr>
        <w:spacing w:line="360" w:lineRule="exact"/>
        <w:ind w:right="-309" w:rightChars="-147"/>
        <w:rPr>
          <w:rFonts w:hint="eastAsia" w:ascii="宋体" w:hAnsi="宋体" w:eastAsia="宋体" w:cs="宋体"/>
          <w:b/>
          <w:bCs/>
          <w:color w:val="auto"/>
          <w:szCs w:val="21"/>
          <w:highlight w:val="none"/>
        </w:rPr>
      </w:pPr>
    </w:p>
    <w:p w14:paraId="599273B3">
      <w:pPr>
        <w:spacing w:line="360" w:lineRule="auto"/>
        <w:jc w:val="left"/>
        <w:rPr>
          <w:rFonts w:hint="eastAsia" w:ascii="微软雅黑" w:hAnsi="微软雅黑" w:eastAsia="微软雅黑" w:cs="微软雅黑"/>
          <w:b w:val="0"/>
          <w:bCs w:val="0"/>
          <w:color w:val="auto"/>
          <w:sz w:val="32"/>
          <w:szCs w:val="32"/>
          <w:highlight w:val="none"/>
        </w:rPr>
      </w:pPr>
      <w:r>
        <w:rPr>
          <w:rFonts w:hint="eastAsia" w:ascii="微软雅黑" w:hAnsi="微软雅黑" w:eastAsia="微软雅黑" w:cs="微软雅黑"/>
          <w:b w:val="0"/>
          <w:bCs w:val="0"/>
          <w:color w:val="auto"/>
          <w:sz w:val="32"/>
          <w:szCs w:val="32"/>
          <w:highlight w:val="none"/>
          <w:lang w:eastAsia="zh-CN"/>
        </w:rPr>
        <w:t>磋商申请</w:t>
      </w:r>
      <w:r>
        <w:rPr>
          <w:rFonts w:hint="eastAsia" w:ascii="微软雅黑" w:hAnsi="微软雅黑" w:eastAsia="微软雅黑" w:cs="微软雅黑"/>
          <w:b w:val="0"/>
          <w:bCs w:val="0"/>
          <w:color w:val="auto"/>
          <w:sz w:val="32"/>
          <w:szCs w:val="32"/>
          <w:highlight w:val="none"/>
        </w:rPr>
        <w:t>人：</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single"/>
          <w:lang w:val="en-US" w:eastAsia="zh-CN"/>
        </w:rPr>
        <w:t xml:space="preserve">    </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none"/>
        </w:rPr>
        <w:t>（</w:t>
      </w:r>
      <w:r>
        <w:rPr>
          <w:rFonts w:hint="eastAsia" w:ascii="微软雅黑" w:hAnsi="微软雅黑" w:eastAsia="微软雅黑" w:cs="微软雅黑"/>
          <w:b w:val="0"/>
          <w:bCs w:val="0"/>
          <w:color w:val="auto"/>
          <w:sz w:val="32"/>
          <w:szCs w:val="32"/>
          <w:highlight w:val="none"/>
          <w:u w:val="none"/>
          <w:lang w:val="en-US" w:eastAsia="zh-CN"/>
        </w:rPr>
        <w:t>电子签章</w:t>
      </w:r>
      <w:r>
        <w:rPr>
          <w:rFonts w:hint="eastAsia" w:ascii="微软雅黑" w:hAnsi="微软雅黑" w:eastAsia="微软雅黑" w:cs="微软雅黑"/>
          <w:b w:val="0"/>
          <w:bCs w:val="0"/>
          <w:color w:val="auto"/>
          <w:sz w:val="32"/>
          <w:szCs w:val="32"/>
          <w:highlight w:val="none"/>
          <w:u w:val="none"/>
        </w:rPr>
        <w:t>）</w:t>
      </w:r>
    </w:p>
    <w:p w14:paraId="7376CED9">
      <w:pPr>
        <w:spacing w:line="360" w:lineRule="auto"/>
        <w:jc w:val="left"/>
        <w:rPr>
          <w:rFonts w:hint="eastAsia" w:ascii="微软雅黑" w:hAnsi="微软雅黑" w:eastAsia="微软雅黑" w:cs="微软雅黑"/>
          <w:b w:val="0"/>
          <w:bCs w:val="0"/>
          <w:color w:val="auto"/>
          <w:sz w:val="32"/>
          <w:szCs w:val="32"/>
          <w:highlight w:val="none"/>
          <w:u w:val="single"/>
        </w:rPr>
      </w:pPr>
      <w:r>
        <w:rPr>
          <w:rFonts w:hint="eastAsia" w:ascii="微软雅黑" w:hAnsi="微软雅黑" w:eastAsia="微软雅黑" w:cs="微软雅黑"/>
          <w:b w:val="0"/>
          <w:bCs w:val="0"/>
          <w:color w:val="auto"/>
          <w:sz w:val="32"/>
          <w:szCs w:val="32"/>
          <w:highlight w:val="none"/>
        </w:rPr>
        <w:t>法定代表人或其委托代理人：</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single"/>
          <w:lang w:val="en-US" w:eastAsia="zh-CN"/>
        </w:rPr>
        <w:t xml:space="preserve">  </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u w:val="none"/>
        </w:rPr>
        <w:t>（</w:t>
      </w:r>
      <w:r>
        <w:rPr>
          <w:rFonts w:hint="eastAsia" w:ascii="微软雅黑" w:hAnsi="微软雅黑" w:eastAsia="微软雅黑" w:cs="微软雅黑"/>
          <w:b w:val="0"/>
          <w:bCs w:val="0"/>
          <w:color w:val="auto"/>
          <w:sz w:val="32"/>
          <w:szCs w:val="32"/>
          <w:highlight w:val="none"/>
          <w:u w:val="none"/>
          <w:lang w:val="en-US" w:eastAsia="zh-CN"/>
        </w:rPr>
        <w:t>电子签章</w:t>
      </w:r>
      <w:r>
        <w:rPr>
          <w:rFonts w:hint="eastAsia" w:ascii="微软雅黑" w:hAnsi="微软雅黑" w:eastAsia="微软雅黑" w:cs="微软雅黑"/>
          <w:b w:val="0"/>
          <w:bCs w:val="0"/>
          <w:color w:val="auto"/>
          <w:sz w:val="32"/>
          <w:szCs w:val="32"/>
          <w:highlight w:val="none"/>
          <w:u w:val="none"/>
        </w:rPr>
        <w:t>）</w:t>
      </w:r>
    </w:p>
    <w:p w14:paraId="254D19E7">
      <w:pPr>
        <w:spacing w:line="360" w:lineRule="auto"/>
        <w:rPr>
          <w:rFonts w:hint="eastAsia" w:ascii="微软雅黑" w:hAnsi="微软雅黑" w:eastAsia="微软雅黑" w:cs="微软雅黑"/>
          <w:b w:val="0"/>
          <w:bCs w:val="0"/>
          <w:color w:val="auto"/>
          <w:sz w:val="32"/>
          <w:szCs w:val="32"/>
          <w:highlight w:val="none"/>
        </w:rPr>
      </w:pPr>
      <w:r>
        <w:rPr>
          <w:rFonts w:hint="eastAsia" w:ascii="微软雅黑" w:hAnsi="微软雅黑" w:eastAsia="微软雅黑" w:cs="微软雅黑"/>
          <w:b w:val="0"/>
          <w:bCs w:val="0"/>
          <w:color w:val="auto"/>
          <w:sz w:val="32"/>
          <w:szCs w:val="32"/>
          <w:highlight w:val="none"/>
        </w:rPr>
        <w:t>日    期：</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rPr>
        <w:t>年</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rPr>
        <w:t>月</w:t>
      </w:r>
      <w:r>
        <w:rPr>
          <w:rFonts w:hint="eastAsia" w:ascii="微软雅黑" w:hAnsi="微软雅黑" w:eastAsia="微软雅黑" w:cs="微软雅黑"/>
          <w:b w:val="0"/>
          <w:bCs w:val="0"/>
          <w:color w:val="auto"/>
          <w:sz w:val="32"/>
          <w:szCs w:val="32"/>
          <w:highlight w:val="none"/>
          <w:u w:val="single"/>
        </w:rPr>
        <w:t xml:space="preserve">    </w:t>
      </w:r>
      <w:r>
        <w:rPr>
          <w:rFonts w:hint="eastAsia" w:ascii="微软雅黑" w:hAnsi="微软雅黑" w:eastAsia="微软雅黑" w:cs="微软雅黑"/>
          <w:b w:val="0"/>
          <w:bCs w:val="0"/>
          <w:color w:val="auto"/>
          <w:sz w:val="32"/>
          <w:szCs w:val="32"/>
          <w:highlight w:val="none"/>
        </w:rPr>
        <w:t>日</w:t>
      </w:r>
    </w:p>
    <w:p w14:paraId="76FDCF24">
      <w:pPr>
        <w:spacing w:line="360" w:lineRule="auto"/>
        <w:jc w:val="center"/>
        <w:outlineLvl w:val="9"/>
        <w:rPr>
          <w:rFonts w:hint="eastAsia" w:ascii="微软雅黑" w:hAnsi="微软雅黑" w:eastAsia="微软雅黑" w:cs="微软雅黑"/>
          <w:b w:val="0"/>
          <w:bCs w:val="0"/>
          <w:color w:val="auto"/>
          <w:sz w:val="36"/>
          <w:szCs w:val="36"/>
          <w:highlight w:val="none"/>
        </w:rPr>
        <w:sectPr>
          <w:footerReference r:id="rId12" w:type="first"/>
          <w:footerReference r:id="rId11" w:type="default"/>
          <w:pgSz w:w="11907" w:h="16840"/>
          <w:pgMar w:top="1077" w:right="1020" w:bottom="1077" w:left="1020" w:header="624" w:footer="624" w:gutter="0"/>
          <w:pgNumType w:fmt="decimal"/>
          <w:cols w:space="425" w:num="1"/>
          <w:titlePg/>
          <w:docGrid w:linePitch="312" w:charSpace="0"/>
        </w:sectPr>
      </w:pPr>
    </w:p>
    <w:p w14:paraId="7B47E085">
      <w:pPr>
        <w:pStyle w:val="3"/>
        <w:spacing w:before="240" w:beforeLines="100"/>
        <w:jc w:val="center"/>
        <w:rPr>
          <w:rFonts w:hint="eastAsia" w:ascii="宋体" w:hAnsi="宋体" w:eastAsia="宋体" w:cs="宋体"/>
          <w:color w:val="auto"/>
          <w:sz w:val="36"/>
          <w:highlight w:val="none"/>
          <w:lang w:val="en-US" w:eastAsia="zh-CN"/>
        </w:rPr>
      </w:pPr>
      <w:bookmarkStart w:id="310" w:name="_Toc21841"/>
      <w:r>
        <w:rPr>
          <w:rFonts w:hint="eastAsia" w:ascii="宋体" w:hAnsi="宋体" w:eastAsia="宋体" w:cs="宋体"/>
          <w:color w:val="auto"/>
          <w:sz w:val="36"/>
          <w:highlight w:val="none"/>
          <w:lang w:val="en-US" w:eastAsia="zh-CN"/>
        </w:rPr>
        <w:t>磋商函附录</w:t>
      </w:r>
      <w:bookmarkEnd w:id="310"/>
    </w:p>
    <w:p w14:paraId="17F7E1C9">
      <w:pPr>
        <w:spacing w:line="460" w:lineRule="exact"/>
        <w:ind w:firstLine="510"/>
        <w:rPr>
          <w:rFonts w:hint="eastAsia"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rPr>
        <w:t>致：</w:t>
      </w:r>
      <w:r>
        <w:rPr>
          <w:rFonts w:hint="eastAsia" w:ascii="宋体" w:hAnsi="宋体" w:eastAsia="宋体" w:cs="宋体"/>
          <w:b/>
          <w:color w:val="auto"/>
          <w:sz w:val="24"/>
          <w:szCs w:val="24"/>
          <w:highlight w:val="none"/>
          <w:u w:val="single"/>
          <w:lang w:val="en-US" w:eastAsia="zh-CN"/>
        </w:rPr>
        <w:t xml:space="preserve">                 </w:t>
      </w:r>
      <w:r>
        <w:rPr>
          <w:rFonts w:hint="eastAsia" w:ascii="宋体" w:hAnsi="宋体" w:eastAsia="宋体" w:cs="宋体"/>
          <w:b/>
          <w:color w:val="auto"/>
          <w:sz w:val="24"/>
          <w:szCs w:val="24"/>
          <w:highlight w:val="none"/>
          <w:lang w:val="en-US" w:eastAsia="zh-CN"/>
        </w:rPr>
        <w:t>（采购人）</w:t>
      </w:r>
    </w:p>
    <w:p w14:paraId="129D10CC">
      <w:pPr>
        <w:spacing w:line="460" w:lineRule="exact"/>
        <w:ind w:firstLine="820" w:firstLineChars="34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根据贵方代理的</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的招标文件。我单位</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(公司)决定参加投标，经法定代表人(或法定代表人正式授权的委托代理人)_________提交投标文件。</w:t>
      </w:r>
    </w:p>
    <w:p w14:paraId="71F46D4F">
      <w:pPr>
        <w:spacing w:line="460" w:lineRule="exact"/>
        <w:ind w:left="51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一、投标文件标包含以下内容：</w:t>
      </w:r>
    </w:p>
    <w:p w14:paraId="0BF41A6E">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（1）投标文件</w:t>
      </w:r>
    </w:p>
    <w:p w14:paraId="05B56E27">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（2）投标人认为需要提供的其他资料</w:t>
      </w:r>
    </w:p>
    <w:p w14:paraId="533DF84E">
      <w:pPr>
        <w:spacing w:line="460" w:lineRule="exact"/>
        <w:ind w:firstLine="480" w:firstLineChars="200"/>
        <w:outlineLvl w:val="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二、我单位(或公司)同意以下事项：</w:t>
      </w:r>
    </w:p>
    <w:p w14:paraId="4ACB9550">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1.本次投标</w:t>
      </w:r>
      <w:r>
        <w:rPr>
          <w:rFonts w:hint="eastAsia" w:ascii="宋体" w:hAnsi="宋体" w:cs="宋体"/>
          <w:color w:val="auto"/>
          <w:sz w:val="24"/>
          <w:szCs w:val="24"/>
          <w:highlight w:val="none"/>
          <w:lang w:val="en-US" w:eastAsia="zh-CN"/>
        </w:rPr>
        <w:t>首轮磋商</w:t>
      </w:r>
      <w:r>
        <w:rPr>
          <w:rFonts w:hint="eastAsia" w:ascii="宋体" w:hAnsi="宋体" w:eastAsia="宋体" w:cs="宋体"/>
          <w:color w:val="auto"/>
          <w:sz w:val="24"/>
          <w:szCs w:val="24"/>
          <w:highlight w:val="none"/>
        </w:rPr>
        <w:t>总报价为人民币：______________(元)；</w:t>
      </w:r>
    </w:p>
    <w:p w14:paraId="034642D1">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2.遵守招标文件的各项条款及一切有关规定；</w:t>
      </w:r>
    </w:p>
    <w:p w14:paraId="760CAA03">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3.向贵方提供所有与投标有关的真实有效的数据、情况和技术资料；</w:t>
      </w:r>
    </w:p>
    <w:p w14:paraId="131B851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4.如我方投标被接受，我方将按招标文件的规定履行合同责任和义务，保证在合同生效后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日内完成交货(或完工)；</w:t>
      </w:r>
    </w:p>
    <w:p w14:paraId="0EE0096C">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5.如我方投标被接受，我方同意按</w:t>
      </w:r>
      <w:r>
        <w:rPr>
          <w:rFonts w:hint="eastAsia" w:ascii="宋体" w:hAnsi="宋体" w:cs="宋体"/>
          <w:color w:val="auto"/>
          <w:sz w:val="24"/>
          <w:szCs w:val="24"/>
          <w:highlight w:val="none"/>
          <w:lang w:eastAsia="zh-CN"/>
        </w:rPr>
        <w:t>合同约定的</w:t>
      </w:r>
      <w:r>
        <w:rPr>
          <w:rFonts w:hint="eastAsia" w:ascii="宋体" w:hAnsi="宋体" w:eastAsia="宋体" w:cs="宋体"/>
          <w:color w:val="auto"/>
          <w:sz w:val="24"/>
          <w:szCs w:val="24"/>
          <w:highlight w:val="none"/>
        </w:rPr>
        <w:t>方式结算货款：</w:t>
      </w:r>
    </w:p>
    <w:p w14:paraId="68469AAD">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6.本投标书自贵方收到之日生效，有效期至开标后90日历天内，在此期间本投标书之规定对我方具有约束力；</w:t>
      </w:r>
    </w:p>
    <w:p w14:paraId="6C1269B2">
      <w:pPr>
        <w:spacing w:line="460" w:lineRule="exact"/>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7.如果我方投标被接受，则至合同履行完成和质量保证期满为止，本投标书保持有效。</w:t>
      </w:r>
    </w:p>
    <w:p w14:paraId="199F2F70">
      <w:pPr>
        <w:spacing w:line="360" w:lineRule="auto"/>
        <w:jc w:val="left"/>
        <w:rPr>
          <w:rFonts w:hint="eastAsia" w:ascii="微软雅黑" w:hAnsi="微软雅黑" w:eastAsia="微软雅黑" w:cs="微软雅黑"/>
          <w:b w:val="0"/>
          <w:bCs w:val="0"/>
          <w:color w:val="auto"/>
          <w:sz w:val="24"/>
          <w:szCs w:val="24"/>
          <w:highlight w:val="none"/>
          <w:lang w:eastAsia="zh-CN"/>
        </w:rPr>
      </w:pPr>
      <w:bookmarkStart w:id="311" w:name="_Toc174601745"/>
    </w:p>
    <w:p w14:paraId="7B9DEAB7">
      <w:pPr>
        <w:spacing w:line="360" w:lineRule="auto"/>
        <w:jc w:val="left"/>
        <w:rPr>
          <w:rFonts w:hint="eastAsia" w:ascii="微软雅黑" w:hAnsi="微软雅黑" w:eastAsia="微软雅黑" w:cs="微软雅黑"/>
          <w:b w:val="0"/>
          <w:bCs w:val="0"/>
          <w:color w:val="auto"/>
          <w:sz w:val="24"/>
          <w:szCs w:val="24"/>
          <w:highlight w:val="none"/>
          <w:lang w:eastAsia="zh-CN"/>
        </w:rPr>
      </w:pPr>
    </w:p>
    <w:p w14:paraId="3073222A">
      <w:pPr>
        <w:spacing w:line="360" w:lineRule="auto"/>
        <w:jc w:val="left"/>
        <w:rPr>
          <w:rFonts w:hint="eastAsia" w:ascii="微软雅黑" w:hAnsi="微软雅黑" w:eastAsia="微软雅黑" w:cs="微软雅黑"/>
          <w:b w:val="0"/>
          <w:bCs w:val="0"/>
          <w:color w:val="auto"/>
          <w:sz w:val="24"/>
          <w:szCs w:val="24"/>
          <w:highlight w:val="none"/>
          <w:lang w:eastAsia="zh-CN"/>
        </w:rPr>
      </w:pPr>
    </w:p>
    <w:p w14:paraId="4313152D">
      <w:pPr>
        <w:spacing w:line="360" w:lineRule="auto"/>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w:t>
      </w:r>
      <w:r>
        <w:rPr>
          <w:rFonts w:hint="eastAsia" w:ascii="微软雅黑" w:hAnsi="微软雅黑" w:eastAsia="微软雅黑" w:cs="微软雅黑"/>
          <w:b w:val="0"/>
          <w:bCs w:val="0"/>
          <w:color w:val="auto"/>
          <w:sz w:val="24"/>
          <w:szCs w:val="24"/>
          <w:highlight w:val="none"/>
        </w:rPr>
        <w:t>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4F2A3C64">
      <w:pPr>
        <w:spacing w:line="360" w:lineRule="auto"/>
        <w:jc w:val="left"/>
        <w:rPr>
          <w:rFonts w:hint="eastAsia" w:ascii="微软雅黑" w:hAnsi="微软雅黑" w:eastAsia="微软雅黑" w:cs="微软雅黑"/>
          <w:b w:val="0"/>
          <w:bCs w:val="0"/>
          <w:color w:val="auto"/>
          <w:sz w:val="24"/>
          <w:szCs w:val="24"/>
          <w:highlight w:val="none"/>
          <w:u w:val="single"/>
        </w:rPr>
      </w:pPr>
      <w:r>
        <w:rPr>
          <w:rFonts w:hint="eastAsia" w:ascii="微软雅黑" w:hAnsi="微软雅黑" w:eastAsia="微软雅黑" w:cs="微软雅黑"/>
          <w:b w:val="0"/>
          <w:bCs w:val="0"/>
          <w:color w:val="auto"/>
          <w:sz w:val="24"/>
          <w:szCs w:val="24"/>
          <w:highlight w:val="none"/>
        </w:rPr>
        <w:t>法定代表人或其委托代理人：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518B1A88">
      <w:pPr>
        <w:spacing w:line="360" w:lineRule="auto"/>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日    期：</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年</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月</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日</w:t>
      </w:r>
    </w:p>
    <w:p w14:paraId="4DF34CEA">
      <w:pPr>
        <w:spacing w:line="360" w:lineRule="auto"/>
        <w:jc w:val="center"/>
        <w:outlineLvl w:val="9"/>
        <w:rPr>
          <w:rFonts w:hint="eastAsia" w:ascii="微软雅黑" w:hAnsi="微软雅黑" w:eastAsia="微软雅黑" w:cs="微软雅黑"/>
          <w:b w:val="0"/>
          <w:bCs w:val="0"/>
          <w:color w:val="auto"/>
          <w:sz w:val="28"/>
          <w:szCs w:val="28"/>
          <w:highlight w:val="none"/>
        </w:rPr>
        <w:sectPr>
          <w:footerReference r:id="rId14" w:type="first"/>
          <w:footerReference r:id="rId13" w:type="default"/>
          <w:pgSz w:w="11907" w:h="16840"/>
          <w:pgMar w:top="1077" w:right="1020" w:bottom="1077" w:left="1020" w:header="624" w:footer="624" w:gutter="0"/>
          <w:pgNumType w:fmt="decimal"/>
          <w:cols w:space="425" w:num="1"/>
          <w:titlePg/>
          <w:docGrid w:linePitch="312" w:charSpace="0"/>
        </w:sectPr>
      </w:pPr>
    </w:p>
    <w:bookmarkEnd w:id="308"/>
    <w:bookmarkEnd w:id="309"/>
    <w:bookmarkEnd w:id="311"/>
    <w:p w14:paraId="3F642E56">
      <w:pPr>
        <w:jc w:val="center"/>
        <w:rPr>
          <w:rFonts w:hint="eastAsia" w:ascii="宋体" w:hAnsi="宋体" w:eastAsia="宋体" w:cs="宋体"/>
          <w:b/>
          <w:bCs/>
          <w:color w:val="auto"/>
          <w:sz w:val="36"/>
          <w:szCs w:val="36"/>
          <w:highlight w:val="none"/>
        </w:rPr>
      </w:pPr>
      <w:bookmarkStart w:id="312" w:name="_Toc21853"/>
      <w:r>
        <w:rPr>
          <w:rFonts w:hint="eastAsia" w:ascii="宋体" w:hAnsi="宋体" w:cs="宋体"/>
          <w:b/>
          <w:bCs/>
          <w:color w:val="auto"/>
          <w:sz w:val="36"/>
          <w:szCs w:val="36"/>
          <w:highlight w:val="none"/>
          <w:lang w:val="en-US" w:eastAsia="zh-CN"/>
        </w:rPr>
        <w:t>采购内容</w:t>
      </w:r>
      <w:r>
        <w:rPr>
          <w:rFonts w:hint="eastAsia" w:ascii="宋体" w:hAnsi="宋体" w:eastAsia="宋体" w:cs="宋体"/>
          <w:b/>
          <w:bCs/>
          <w:color w:val="auto"/>
          <w:sz w:val="36"/>
          <w:szCs w:val="36"/>
          <w:highlight w:val="none"/>
          <w:lang w:val="en-US" w:eastAsia="zh-CN"/>
        </w:rPr>
        <w:t>响应</w:t>
      </w:r>
      <w:r>
        <w:rPr>
          <w:rFonts w:hint="eastAsia" w:ascii="宋体" w:hAnsi="宋体" w:eastAsia="宋体" w:cs="宋体"/>
          <w:b/>
          <w:bCs/>
          <w:color w:val="auto"/>
          <w:sz w:val="36"/>
          <w:szCs w:val="36"/>
          <w:highlight w:val="none"/>
        </w:rPr>
        <w:t>表</w:t>
      </w:r>
    </w:p>
    <w:p w14:paraId="5AE6CFEE">
      <w:pPr>
        <w:jc w:val="center"/>
        <w:rPr>
          <w:rFonts w:hint="eastAsia" w:ascii="宋体" w:hAnsi="宋体" w:eastAsia="宋体" w:cs="宋体"/>
          <w:color w:val="auto"/>
          <w:sz w:val="32"/>
          <w:szCs w:val="32"/>
          <w:highlight w:val="none"/>
        </w:rPr>
      </w:pPr>
    </w:p>
    <w:tbl>
      <w:tblPr>
        <w:tblStyle w:val="45"/>
        <w:tblW w:w="8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1477"/>
        <w:gridCol w:w="1606"/>
        <w:gridCol w:w="3312"/>
        <w:gridCol w:w="1593"/>
      </w:tblGrid>
      <w:tr w14:paraId="6452ED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4" w:hRule="atLeast"/>
          <w:jc w:val="center"/>
        </w:trPr>
        <w:tc>
          <w:tcPr>
            <w:tcW w:w="910" w:type="dxa"/>
            <w:vAlign w:val="center"/>
          </w:tcPr>
          <w:p w14:paraId="699E4428">
            <w:pPr>
              <w:pStyle w:val="22"/>
              <w:jc w:val="center"/>
              <w:rPr>
                <w:rFonts w:hint="eastAsia" w:ascii="宋体" w:hAnsi="宋体" w:eastAsia="宋体" w:cs="宋体"/>
                <w:b w:val="0"/>
                <w:bCs/>
                <w:color w:val="auto"/>
                <w:highlight w:val="none"/>
              </w:rPr>
            </w:pPr>
            <w:r>
              <w:rPr>
                <w:rFonts w:hint="eastAsia" w:ascii="宋体" w:hAnsi="宋体" w:eastAsia="宋体" w:cs="宋体"/>
                <w:b w:val="0"/>
                <w:bCs/>
                <w:color w:val="auto"/>
                <w:highlight w:val="none"/>
              </w:rPr>
              <w:t>序号</w:t>
            </w:r>
          </w:p>
        </w:tc>
        <w:tc>
          <w:tcPr>
            <w:tcW w:w="1477" w:type="dxa"/>
            <w:vAlign w:val="center"/>
          </w:tcPr>
          <w:p w14:paraId="1765F439">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宋体" w:hAnsi="宋体" w:eastAsia="宋体" w:cs="宋体"/>
                <w:b w:val="0"/>
                <w:bCs/>
                <w:color w:val="auto"/>
                <w:highlight w:val="none"/>
                <w:lang w:eastAsia="zh-CN"/>
              </w:rPr>
            </w:pPr>
            <w:r>
              <w:rPr>
                <w:rFonts w:hint="eastAsia" w:ascii="宋体" w:hAnsi="宋体" w:eastAsia="宋体" w:cs="宋体"/>
                <w:b w:val="0"/>
                <w:bCs/>
                <w:color w:val="000000" w:themeColor="text1"/>
                <w:sz w:val="21"/>
                <w:szCs w:val="21"/>
                <w:highlight w:val="none"/>
                <w:lang w:val="en-US" w:eastAsia="zh-CN"/>
                <w14:textFill>
                  <w14:solidFill>
                    <w14:schemeClr w14:val="tx1"/>
                  </w14:solidFill>
                </w14:textFill>
              </w:rPr>
              <w:t>名称</w:t>
            </w:r>
          </w:p>
        </w:tc>
        <w:tc>
          <w:tcPr>
            <w:tcW w:w="1606" w:type="dxa"/>
            <w:vAlign w:val="center"/>
          </w:tcPr>
          <w:p w14:paraId="2536B657">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cs="宋体"/>
                <w:b w:val="0"/>
                <w:bCs/>
                <w:color w:val="000000" w:themeColor="text1"/>
                <w:sz w:val="21"/>
                <w:szCs w:val="21"/>
                <w:highlight w:val="none"/>
                <w:lang w:val="en-US" w:eastAsia="zh-CN"/>
                <w14:textFill>
                  <w14:solidFill>
                    <w14:schemeClr w14:val="tx1"/>
                  </w14:solidFill>
                </w14:textFill>
              </w:rPr>
            </w:pPr>
            <w:r>
              <w:rPr>
                <w:rFonts w:hint="default" w:ascii="宋体" w:hAnsi="宋体" w:cs="宋体"/>
                <w:b w:val="0"/>
                <w:bCs/>
                <w:color w:val="000000" w:themeColor="text1"/>
                <w:sz w:val="21"/>
                <w:szCs w:val="21"/>
                <w:highlight w:val="none"/>
                <w:lang w:val="en-US" w:eastAsia="zh-CN"/>
                <w14:textFill>
                  <w14:solidFill>
                    <w14:schemeClr w14:val="tx1"/>
                  </w14:solidFill>
                </w14:textFill>
              </w:rPr>
              <w:t>采购要求</w:t>
            </w:r>
            <w:r>
              <w:rPr>
                <w:rFonts w:hint="eastAsia" w:ascii="宋体" w:hAnsi="宋体" w:cs="宋体"/>
                <w:b w:val="0"/>
                <w:bCs/>
                <w:color w:val="000000" w:themeColor="text1"/>
                <w:sz w:val="21"/>
                <w:szCs w:val="21"/>
                <w:highlight w:val="none"/>
                <w:lang w:val="en-US" w:eastAsia="zh-CN"/>
                <w14:textFill>
                  <w14:solidFill>
                    <w14:schemeClr w14:val="tx1"/>
                  </w14:solidFill>
                </w14:textFill>
              </w:rPr>
              <w:t>的服务明细</w:t>
            </w:r>
          </w:p>
        </w:tc>
        <w:tc>
          <w:tcPr>
            <w:tcW w:w="3312" w:type="dxa"/>
            <w:vAlign w:val="center"/>
          </w:tcPr>
          <w:p w14:paraId="684E9872">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default" w:ascii="宋体" w:hAnsi="宋体" w:eastAsia="宋体" w:cs="宋体"/>
                <w:b w:val="0"/>
                <w:bCs/>
                <w:color w:val="auto"/>
                <w:highlight w:val="none"/>
                <w:lang w:val="en-US" w:eastAsia="zh-CN"/>
              </w:rPr>
            </w:pPr>
            <w:r>
              <w:rPr>
                <w:rFonts w:hint="eastAsia" w:ascii="宋体" w:hAnsi="宋体" w:cs="宋体"/>
                <w:b w:val="0"/>
                <w:bCs/>
                <w:color w:val="000000" w:themeColor="text1"/>
                <w:sz w:val="21"/>
                <w:szCs w:val="21"/>
                <w:highlight w:val="none"/>
                <w:lang w:val="en-US" w:eastAsia="zh-CN"/>
                <w14:textFill>
                  <w14:solidFill>
                    <w14:schemeClr w14:val="tx1"/>
                  </w14:solidFill>
                </w14:textFill>
              </w:rPr>
              <w:t>拟提供的服务内容明细</w:t>
            </w:r>
          </w:p>
        </w:tc>
        <w:tc>
          <w:tcPr>
            <w:tcW w:w="1593" w:type="dxa"/>
            <w:vAlign w:val="center"/>
          </w:tcPr>
          <w:p w14:paraId="4F7F49C3">
            <w:pPr>
              <w:pStyle w:val="22"/>
              <w:jc w:val="center"/>
              <w:rPr>
                <w:rFonts w:hint="default" w:ascii="宋体" w:hAnsi="宋体" w:eastAsia="宋体" w:cs="宋体"/>
                <w:b w:val="0"/>
                <w:bCs/>
                <w:color w:val="auto"/>
                <w:highlight w:val="none"/>
                <w:lang w:val="en-US" w:eastAsia="zh-CN"/>
              </w:rPr>
            </w:pPr>
            <w:r>
              <w:rPr>
                <w:rFonts w:hint="eastAsia" w:ascii="宋体" w:hAnsi="宋体" w:eastAsia="宋体" w:cs="宋体"/>
                <w:b w:val="0"/>
                <w:bCs/>
                <w:color w:val="auto"/>
                <w:highlight w:val="none"/>
                <w:lang w:val="en-US" w:eastAsia="zh-CN"/>
              </w:rPr>
              <w:t>备注</w:t>
            </w:r>
          </w:p>
        </w:tc>
      </w:tr>
      <w:tr w14:paraId="5FBE90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3" w:hRule="atLeast"/>
          <w:jc w:val="center"/>
        </w:trPr>
        <w:tc>
          <w:tcPr>
            <w:tcW w:w="910" w:type="dxa"/>
            <w:vAlign w:val="center"/>
          </w:tcPr>
          <w:p w14:paraId="7C1ACA35">
            <w:pPr>
              <w:pStyle w:val="22"/>
              <w:jc w:val="center"/>
              <w:rPr>
                <w:rFonts w:hint="eastAsia" w:ascii="宋体" w:hAnsi="宋体" w:eastAsia="宋体" w:cs="宋体"/>
                <w:color w:val="auto"/>
                <w:highlight w:val="none"/>
              </w:rPr>
            </w:pPr>
          </w:p>
        </w:tc>
        <w:tc>
          <w:tcPr>
            <w:tcW w:w="1477" w:type="dxa"/>
            <w:vAlign w:val="center"/>
          </w:tcPr>
          <w:p w14:paraId="21DF9599">
            <w:pPr>
              <w:pStyle w:val="22"/>
              <w:jc w:val="center"/>
              <w:rPr>
                <w:rFonts w:hint="eastAsia" w:ascii="宋体" w:hAnsi="宋体" w:eastAsia="宋体" w:cs="宋体"/>
                <w:b/>
                <w:bCs/>
                <w:color w:val="auto"/>
                <w:highlight w:val="none"/>
                <w:lang w:eastAsia="zh-CN"/>
              </w:rPr>
            </w:pPr>
          </w:p>
        </w:tc>
        <w:tc>
          <w:tcPr>
            <w:tcW w:w="1606" w:type="dxa"/>
            <w:vAlign w:val="center"/>
          </w:tcPr>
          <w:p w14:paraId="1722A395">
            <w:pPr>
              <w:pStyle w:val="22"/>
              <w:jc w:val="center"/>
              <w:rPr>
                <w:rFonts w:hint="eastAsia" w:ascii="宋体" w:hAnsi="宋体" w:eastAsia="宋体" w:cs="宋体"/>
                <w:b/>
                <w:bCs/>
                <w:color w:val="auto"/>
                <w:highlight w:val="none"/>
                <w:lang w:eastAsia="zh-CN"/>
              </w:rPr>
            </w:pPr>
          </w:p>
        </w:tc>
        <w:tc>
          <w:tcPr>
            <w:tcW w:w="3312" w:type="dxa"/>
            <w:vAlign w:val="center"/>
          </w:tcPr>
          <w:p w14:paraId="6576AF40">
            <w:pPr>
              <w:pStyle w:val="22"/>
              <w:spacing w:line="360" w:lineRule="auto"/>
              <w:rPr>
                <w:rFonts w:hint="eastAsia" w:ascii="宋体" w:hAnsi="宋体" w:eastAsia="宋体" w:cs="宋体"/>
                <w:bCs/>
                <w:color w:val="auto"/>
                <w:highlight w:val="none"/>
              </w:rPr>
            </w:pPr>
          </w:p>
        </w:tc>
        <w:tc>
          <w:tcPr>
            <w:tcW w:w="1593" w:type="dxa"/>
            <w:vAlign w:val="center"/>
          </w:tcPr>
          <w:p w14:paraId="1B1344D1">
            <w:pPr>
              <w:pStyle w:val="22"/>
              <w:jc w:val="center"/>
              <w:rPr>
                <w:rFonts w:hint="eastAsia" w:ascii="宋体" w:hAnsi="宋体" w:eastAsia="宋体" w:cs="宋体"/>
                <w:color w:val="auto"/>
                <w:highlight w:val="none"/>
              </w:rPr>
            </w:pPr>
          </w:p>
        </w:tc>
      </w:tr>
      <w:tr w14:paraId="4EB05F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10" w:type="dxa"/>
            <w:vAlign w:val="center"/>
          </w:tcPr>
          <w:p w14:paraId="3F3FD835">
            <w:pPr>
              <w:pStyle w:val="22"/>
              <w:jc w:val="center"/>
              <w:rPr>
                <w:rFonts w:hint="eastAsia" w:ascii="宋体" w:hAnsi="宋体" w:eastAsia="宋体" w:cs="宋体"/>
                <w:color w:val="auto"/>
                <w:highlight w:val="none"/>
              </w:rPr>
            </w:pPr>
          </w:p>
        </w:tc>
        <w:tc>
          <w:tcPr>
            <w:tcW w:w="1477" w:type="dxa"/>
            <w:vAlign w:val="center"/>
          </w:tcPr>
          <w:p w14:paraId="5C4E5359">
            <w:pPr>
              <w:pStyle w:val="22"/>
              <w:jc w:val="center"/>
              <w:rPr>
                <w:rFonts w:hint="eastAsia" w:ascii="宋体" w:hAnsi="宋体" w:eastAsia="宋体" w:cs="宋体"/>
                <w:b/>
                <w:bCs/>
                <w:color w:val="auto"/>
                <w:highlight w:val="none"/>
                <w:lang w:val="en-US" w:eastAsia="zh-CN"/>
              </w:rPr>
            </w:pPr>
          </w:p>
        </w:tc>
        <w:tc>
          <w:tcPr>
            <w:tcW w:w="1606" w:type="dxa"/>
            <w:vAlign w:val="center"/>
          </w:tcPr>
          <w:p w14:paraId="68256737">
            <w:pPr>
              <w:pStyle w:val="22"/>
              <w:jc w:val="center"/>
              <w:rPr>
                <w:rFonts w:hint="eastAsia" w:ascii="宋体" w:hAnsi="宋体" w:eastAsia="宋体" w:cs="宋体"/>
                <w:b/>
                <w:bCs/>
                <w:color w:val="auto"/>
                <w:highlight w:val="none"/>
                <w:lang w:val="en-US" w:eastAsia="zh-CN"/>
              </w:rPr>
            </w:pPr>
          </w:p>
        </w:tc>
        <w:tc>
          <w:tcPr>
            <w:tcW w:w="3312" w:type="dxa"/>
            <w:vAlign w:val="center"/>
          </w:tcPr>
          <w:p w14:paraId="21C6292A">
            <w:pPr>
              <w:pStyle w:val="22"/>
              <w:spacing w:line="360" w:lineRule="auto"/>
              <w:rPr>
                <w:rFonts w:hint="eastAsia" w:ascii="宋体" w:hAnsi="宋体" w:eastAsia="宋体" w:cs="宋体"/>
                <w:bCs/>
                <w:color w:val="auto"/>
                <w:highlight w:val="none"/>
              </w:rPr>
            </w:pPr>
          </w:p>
        </w:tc>
        <w:tc>
          <w:tcPr>
            <w:tcW w:w="1593" w:type="dxa"/>
            <w:vAlign w:val="center"/>
          </w:tcPr>
          <w:p w14:paraId="4563238F">
            <w:pPr>
              <w:pStyle w:val="22"/>
              <w:jc w:val="center"/>
              <w:rPr>
                <w:rFonts w:hint="eastAsia" w:ascii="宋体" w:hAnsi="宋体" w:eastAsia="宋体" w:cs="宋体"/>
                <w:color w:val="auto"/>
                <w:highlight w:val="none"/>
              </w:rPr>
            </w:pPr>
          </w:p>
        </w:tc>
      </w:tr>
      <w:tr w14:paraId="16B043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7" w:hRule="atLeast"/>
          <w:jc w:val="center"/>
        </w:trPr>
        <w:tc>
          <w:tcPr>
            <w:tcW w:w="910" w:type="dxa"/>
            <w:vAlign w:val="center"/>
          </w:tcPr>
          <w:p w14:paraId="60FD3A47">
            <w:pPr>
              <w:pStyle w:val="22"/>
              <w:jc w:val="center"/>
              <w:rPr>
                <w:rFonts w:hint="eastAsia" w:ascii="宋体" w:hAnsi="宋体" w:eastAsia="宋体" w:cs="宋体"/>
                <w:color w:val="auto"/>
                <w:highlight w:val="none"/>
              </w:rPr>
            </w:pPr>
          </w:p>
        </w:tc>
        <w:tc>
          <w:tcPr>
            <w:tcW w:w="1477" w:type="dxa"/>
            <w:vAlign w:val="center"/>
          </w:tcPr>
          <w:p w14:paraId="66A4182C">
            <w:pPr>
              <w:pStyle w:val="22"/>
              <w:jc w:val="center"/>
              <w:rPr>
                <w:rFonts w:hint="eastAsia" w:ascii="宋体" w:hAnsi="宋体" w:eastAsia="宋体" w:cs="宋体"/>
                <w:b/>
                <w:bCs/>
                <w:color w:val="auto"/>
                <w:highlight w:val="none"/>
                <w:lang w:val="en-US" w:eastAsia="zh-CN"/>
              </w:rPr>
            </w:pPr>
          </w:p>
        </w:tc>
        <w:tc>
          <w:tcPr>
            <w:tcW w:w="1606" w:type="dxa"/>
            <w:vAlign w:val="center"/>
          </w:tcPr>
          <w:p w14:paraId="65A4ABEE">
            <w:pPr>
              <w:pStyle w:val="22"/>
              <w:jc w:val="center"/>
              <w:rPr>
                <w:rFonts w:hint="eastAsia" w:ascii="宋体" w:hAnsi="宋体" w:eastAsia="宋体" w:cs="宋体"/>
                <w:b/>
                <w:bCs/>
                <w:color w:val="auto"/>
                <w:highlight w:val="none"/>
                <w:lang w:val="en-US" w:eastAsia="zh-CN"/>
              </w:rPr>
            </w:pPr>
          </w:p>
        </w:tc>
        <w:tc>
          <w:tcPr>
            <w:tcW w:w="3312" w:type="dxa"/>
            <w:vAlign w:val="center"/>
          </w:tcPr>
          <w:p w14:paraId="4676EE33">
            <w:pPr>
              <w:pStyle w:val="22"/>
              <w:spacing w:line="360" w:lineRule="auto"/>
              <w:rPr>
                <w:rFonts w:hint="eastAsia" w:ascii="宋体" w:hAnsi="宋体" w:eastAsia="宋体" w:cs="宋体"/>
                <w:color w:val="auto"/>
                <w:highlight w:val="none"/>
              </w:rPr>
            </w:pPr>
          </w:p>
        </w:tc>
        <w:tc>
          <w:tcPr>
            <w:tcW w:w="1593" w:type="dxa"/>
            <w:vAlign w:val="center"/>
          </w:tcPr>
          <w:p w14:paraId="66B49513">
            <w:pPr>
              <w:pStyle w:val="22"/>
              <w:jc w:val="center"/>
              <w:rPr>
                <w:rFonts w:hint="eastAsia" w:ascii="宋体" w:hAnsi="宋体" w:eastAsia="宋体" w:cs="宋体"/>
                <w:color w:val="auto"/>
                <w:highlight w:val="none"/>
              </w:rPr>
            </w:pPr>
          </w:p>
        </w:tc>
      </w:tr>
      <w:tr w14:paraId="61F6A9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10" w:type="dxa"/>
            <w:vAlign w:val="center"/>
          </w:tcPr>
          <w:p w14:paraId="3679321E">
            <w:pPr>
              <w:pStyle w:val="22"/>
              <w:jc w:val="center"/>
              <w:rPr>
                <w:rFonts w:hint="eastAsia" w:ascii="宋体" w:hAnsi="宋体" w:eastAsia="宋体" w:cs="宋体"/>
                <w:color w:val="auto"/>
                <w:highlight w:val="none"/>
              </w:rPr>
            </w:pPr>
          </w:p>
        </w:tc>
        <w:tc>
          <w:tcPr>
            <w:tcW w:w="1477" w:type="dxa"/>
            <w:vAlign w:val="center"/>
          </w:tcPr>
          <w:p w14:paraId="2F0ADA7C">
            <w:pPr>
              <w:pStyle w:val="22"/>
              <w:jc w:val="center"/>
              <w:rPr>
                <w:rFonts w:hint="eastAsia" w:ascii="宋体" w:hAnsi="宋体" w:eastAsia="宋体" w:cs="宋体"/>
                <w:b/>
                <w:bCs/>
                <w:color w:val="auto"/>
                <w:highlight w:val="none"/>
              </w:rPr>
            </w:pPr>
          </w:p>
        </w:tc>
        <w:tc>
          <w:tcPr>
            <w:tcW w:w="1606" w:type="dxa"/>
            <w:vAlign w:val="center"/>
          </w:tcPr>
          <w:p w14:paraId="2A866F49">
            <w:pPr>
              <w:pStyle w:val="22"/>
              <w:jc w:val="center"/>
              <w:rPr>
                <w:rFonts w:hint="eastAsia" w:ascii="宋体" w:hAnsi="宋体" w:eastAsia="宋体" w:cs="宋体"/>
                <w:b/>
                <w:bCs/>
                <w:color w:val="auto"/>
                <w:highlight w:val="none"/>
              </w:rPr>
            </w:pPr>
          </w:p>
        </w:tc>
        <w:tc>
          <w:tcPr>
            <w:tcW w:w="3312" w:type="dxa"/>
            <w:vAlign w:val="center"/>
          </w:tcPr>
          <w:p w14:paraId="64FE19FB">
            <w:pPr>
              <w:pStyle w:val="22"/>
              <w:spacing w:line="360" w:lineRule="auto"/>
              <w:rPr>
                <w:rFonts w:hint="eastAsia" w:ascii="宋体" w:hAnsi="宋体" w:eastAsia="宋体" w:cs="宋体"/>
                <w:color w:val="auto"/>
                <w:highlight w:val="none"/>
              </w:rPr>
            </w:pPr>
          </w:p>
        </w:tc>
        <w:tc>
          <w:tcPr>
            <w:tcW w:w="1593" w:type="dxa"/>
            <w:vAlign w:val="center"/>
          </w:tcPr>
          <w:p w14:paraId="17928CFA">
            <w:pPr>
              <w:pStyle w:val="22"/>
              <w:jc w:val="center"/>
              <w:rPr>
                <w:rFonts w:hint="eastAsia" w:ascii="宋体" w:hAnsi="宋体" w:eastAsia="宋体" w:cs="宋体"/>
                <w:color w:val="auto"/>
                <w:highlight w:val="none"/>
              </w:rPr>
            </w:pPr>
          </w:p>
        </w:tc>
      </w:tr>
    </w:tbl>
    <w:p w14:paraId="3AF0D832">
      <w:pPr>
        <w:pStyle w:val="22"/>
        <w:spacing w:line="360" w:lineRule="auto"/>
        <w:ind w:firstLine="480" w:firstLineChars="200"/>
        <w:rPr>
          <w:rFonts w:hint="eastAsia" w:ascii="宋体" w:hAnsi="宋体" w:eastAsia="宋体" w:cs="宋体"/>
          <w:color w:val="auto"/>
          <w:sz w:val="24"/>
          <w:szCs w:val="24"/>
          <w:highlight w:val="none"/>
        </w:rPr>
      </w:pPr>
    </w:p>
    <w:p w14:paraId="7455C78C">
      <w:pPr>
        <w:pStyle w:val="22"/>
        <w:spacing w:line="360" w:lineRule="auto"/>
        <w:ind w:firstLine="480" w:firstLineChars="200"/>
        <w:rPr>
          <w:rFonts w:hint="eastAsia" w:ascii="微软雅黑 Light" w:hAnsi="微软雅黑 Light" w:eastAsia="微软雅黑 Light" w:cs="微软雅黑 Light"/>
          <w:color w:val="auto"/>
          <w:sz w:val="24"/>
          <w:szCs w:val="24"/>
          <w:highlight w:val="none"/>
          <w:lang w:val="en-US" w:eastAsia="zh-CN"/>
        </w:rPr>
      </w:pPr>
      <w:r>
        <w:rPr>
          <w:rFonts w:hint="eastAsia" w:ascii="微软雅黑 Light" w:hAnsi="微软雅黑 Light" w:eastAsia="微软雅黑 Light" w:cs="微软雅黑 Light"/>
          <w:color w:val="auto"/>
          <w:sz w:val="24"/>
          <w:szCs w:val="24"/>
          <w:highlight w:val="none"/>
          <w:lang w:val="en-US" w:eastAsia="zh-CN"/>
        </w:rPr>
        <w:t>注：1.此表由投标人根据采购需求明细表进行填写，此表可以自行增加；</w:t>
      </w:r>
    </w:p>
    <w:p w14:paraId="2C4A2F24">
      <w:pPr>
        <w:pStyle w:val="22"/>
        <w:spacing w:line="600" w:lineRule="exact"/>
        <w:rPr>
          <w:rFonts w:hint="eastAsia" w:ascii="宋体" w:hAnsi="宋体" w:eastAsia="宋体" w:cs="宋体"/>
          <w:b/>
          <w:color w:val="auto"/>
          <w:highlight w:val="none"/>
        </w:rPr>
      </w:pPr>
      <w:r>
        <w:rPr>
          <w:rFonts w:hint="eastAsia" w:ascii="微软雅黑 Light" w:hAnsi="微软雅黑 Light" w:eastAsia="微软雅黑 Light" w:cs="微软雅黑 Light"/>
          <w:color w:val="auto"/>
          <w:sz w:val="24"/>
          <w:szCs w:val="24"/>
          <w:highlight w:val="none"/>
          <w:lang w:val="en-US" w:eastAsia="zh-CN"/>
        </w:rPr>
        <w:t xml:space="preserve">   </w:t>
      </w:r>
    </w:p>
    <w:p w14:paraId="07B9FC85">
      <w:pPr>
        <w:spacing w:line="500" w:lineRule="exact"/>
        <w:ind w:firstLine="420" w:firstLineChars="200"/>
        <w:rPr>
          <w:rFonts w:hint="eastAsia" w:ascii="宋体" w:hAnsi="宋体" w:eastAsia="宋体" w:cs="宋体"/>
          <w:color w:val="auto"/>
          <w:szCs w:val="21"/>
          <w:highlight w:val="none"/>
        </w:rPr>
      </w:pPr>
    </w:p>
    <w:p w14:paraId="18A7B0BF">
      <w:pPr>
        <w:spacing w:line="360" w:lineRule="auto"/>
        <w:jc w:val="left"/>
        <w:rPr>
          <w:rFonts w:hint="eastAsia" w:ascii="微软雅黑" w:hAnsi="微软雅黑" w:eastAsia="微软雅黑" w:cs="微软雅黑"/>
          <w:b w:val="0"/>
          <w:bCs w:val="0"/>
          <w:color w:val="auto"/>
          <w:sz w:val="24"/>
          <w:szCs w:val="24"/>
          <w:highlight w:val="none"/>
          <w:lang w:eastAsia="zh-CN"/>
        </w:rPr>
      </w:pPr>
    </w:p>
    <w:p w14:paraId="20CEDB9D">
      <w:pPr>
        <w:spacing w:line="360" w:lineRule="auto"/>
        <w:jc w:val="left"/>
        <w:rPr>
          <w:rFonts w:hint="eastAsia" w:ascii="微软雅黑" w:hAnsi="微软雅黑" w:eastAsia="微软雅黑" w:cs="微软雅黑"/>
          <w:b w:val="0"/>
          <w:bCs w:val="0"/>
          <w:color w:val="auto"/>
          <w:sz w:val="24"/>
          <w:szCs w:val="24"/>
          <w:highlight w:val="none"/>
          <w:lang w:eastAsia="zh-CN"/>
        </w:rPr>
      </w:pPr>
    </w:p>
    <w:p w14:paraId="7DC210A3">
      <w:pPr>
        <w:spacing w:line="360" w:lineRule="auto"/>
        <w:jc w:val="left"/>
        <w:rPr>
          <w:rFonts w:hint="eastAsia" w:ascii="微软雅黑" w:hAnsi="微软雅黑" w:eastAsia="微软雅黑" w:cs="微软雅黑"/>
          <w:b w:val="0"/>
          <w:bCs w:val="0"/>
          <w:color w:val="auto"/>
          <w:sz w:val="24"/>
          <w:szCs w:val="24"/>
          <w:highlight w:val="none"/>
          <w:lang w:eastAsia="zh-CN"/>
        </w:rPr>
      </w:pPr>
    </w:p>
    <w:p w14:paraId="413E1B5E">
      <w:pPr>
        <w:spacing w:line="360" w:lineRule="auto"/>
        <w:jc w:val="left"/>
        <w:rPr>
          <w:rFonts w:hint="eastAsia" w:ascii="微软雅黑" w:hAnsi="微软雅黑" w:eastAsia="微软雅黑" w:cs="微软雅黑"/>
          <w:b w:val="0"/>
          <w:bCs w:val="0"/>
          <w:color w:val="auto"/>
          <w:sz w:val="24"/>
          <w:szCs w:val="24"/>
          <w:highlight w:val="none"/>
          <w:lang w:eastAsia="zh-CN"/>
        </w:rPr>
      </w:pPr>
    </w:p>
    <w:p w14:paraId="46086470">
      <w:pPr>
        <w:spacing w:line="360" w:lineRule="auto"/>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w:t>
      </w:r>
      <w:r>
        <w:rPr>
          <w:rFonts w:hint="eastAsia" w:ascii="微软雅黑" w:hAnsi="微软雅黑" w:eastAsia="微软雅黑" w:cs="微软雅黑"/>
          <w:b w:val="0"/>
          <w:bCs w:val="0"/>
          <w:color w:val="auto"/>
          <w:sz w:val="24"/>
          <w:szCs w:val="24"/>
          <w:highlight w:val="none"/>
        </w:rPr>
        <w:t>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38EE0DAF">
      <w:pPr>
        <w:spacing w:line="360" w:lineRule="auto"/>
        <w:jc w:val="left"/>
        <w:rPr>
          <w:rFonts w:hint="eastAsia" w:ascii="微软雅黑" w:hAnsi="微软雅黑" w:eastAsia="微软雅黑" w:cs="微软雅黑"/>
          <w:b w:val="0"/>
          <w:bCs w:val="0"/>
          <w:color w:val="auto"/>
          <w:sz w:val="24"/>
          <w:szCs w:val="24"/>
          <w:highlight w:val="none"/>
          <w:u w:val="single"/>
        </w:rPr>
      </w:pPr>
      <w:r>
        <w:rPr>
          <w:rFonts w:hint="eastAsia" w:ascii="微软雅黑" w:hAnsi="微软雅黑" w:eastAsia="微软雅黑" w:cs="微软雅黑"/>
          <w:b w:val="0"/>
          <w:bCs w:val="0"/>
          <w:color w:val="auto"/>
          <w:sz w:val="24"/>
          <w:szCs w:val="24"/>
          <w:highlight w:val="none"/>
        </w:rPr>
        <w:t>法定代表人或其委托代理人：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6479483E">
      <w:pPr>
        <w:rPr>
          <w:rFonts w:hint="eastAsia" w:ascii="宋体" w:hAnsi="宋体" w:eastAsia="宋体" w:cs="宋体"/>
          <w:b/>
          <w:bCs/>
          <w:color w:val="auto"/>
          <w:kern w:val="0"/>
          <w:sz w:val="24"/>
          <w:szCs w:val="24"/>
          <w:highlight w:val="none"/>
        </w:rPr>
      </w:pPr>
      <w:r>
        <w:rPr>
          <w:rFonts w:hint="eastAsia" w:ascii="微软雅黑" w:hAnsi="微软雅黑" w:eastAsia="微软雅黑" w:cs="微软雅黑"/>
          <w:b w:val="0"/>
          <w:bCs w:val="0"/>
          <w:color w:val="auto"/>
          <w:sz w:val="24"/>
          <w:szCs w:val="24"/>
          <w:highlight w:val="none"/>
        </w:rPr>
        <w:t>日    期：</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年</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月</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日</w:t>
      </w:r>
      <w:r>
        <w:rPr>
          <w:rFonts w:hint="eastAsia" w:ascii="宋体" w:hAnsi="宋体" w:eastAsia="宋体" w:cs="宋体"/>
          <w:color w:val="auto"/>
          <w:sz w:val="28"/>
          <w:szCs w:val="28"/>
          <w:highlight w:val="none"/>
        </w:rPr>
        <w:br w:type="page"/>
      </w:r>
    </w:p>
    <w:p w14:paraId="2A226418">
      <w:pPr>
        <w:pStyle w:val="3"/>
        <w:adjustRightInd w:val="0"/>
        <w:snapToGrid w:val="0"/>
        <w:spacing w:before="0" w:after="0" w:line="360" w:lineRule="auto"/>
        <w:jc w:val="center"/>
        <w:outlineLvl w:val="2"/>
        <w:rPr>
          <w:rFonts w:hint="eastAsia" w:ascii="宋体" w:hAnsi="宋体" w:eastAsia="宋体" w:cs="宋体"/>
          <w:color w:val="auto"/>
          <w:sz w:val="32"/>
          <w:szCs w:val="32"/>
          <w:highlight w:val="none"/>
        </w:rPr>
        <w:sectPr>
          <w:footerReference r:id="rId15" w:type="default"/>
          <w:pgSz w:w="11906" w:h="16838"/>
          <w:pgMar w:top="1077" w:right="1020" w:bottom="1077" w:left="1247" w:header="851" w:footer="992" w:gutter="0"/>
          <w:cols w:space="708" w:num="1"/>
          <w:docGrid w:linePitch="312" w:charSpace="0"/>
        </w:sectPr>
      </w:pPr>
    </w:p>
    <w:p w14:paraId="73A6A826">
      <w:pPr>
        <w:pStyle w:val="3"/>
        <w:adjustRightInd w:val="0"/>
        <w:snapToGrid w:val="0"/>
        <w:spacing w:before="0" w:after="0" w:line="360" w:lineRule="auto"/>
        <w:jc w:val="center"/>
        <w:outlineLvl w:val="2"/>
        <w:rPr>
          <w:rFonts w:hint="eastAsia" w:ascii="微软雅黑 Light" w:hAnsi="微软雅黑 Light" w:eastAsia="微软雅黑 Light" w:cs="微软雅黑 Light"/>
          <w:color w:val="auto"/>
          <w:sz w:val="32"/>
          <w:szCs w:val="32"/>
          <w:highlight w:val="none"/>
          <w:lang w:val="en-US" w:eastAsia="zh-CN"/>
        </w:rPr>
      </w:pPr>
      <w:r>
        <w:rPr>
          <w:rFonts w:hint="eastAsia" w:ascii="微软雅黑 Light" w:hAnsi="微软雅黑 Light" w:eastAsia="微软雅黑 Light" w:cs="微软雅黑 Light"/>
          <w:color w:val="auto"/>
          <w:sz w:val="32"/>
          <w:szCs w:val="32"/>
          <w:highlight w:val="none"/>
          <w:lang w:val="en-US" w:eastAsia="zh-CN"/>
        </w:rPr>
        <w:t>拟提供的服务内容报价表</w:t>
      </w:r>
    </w:p>
    <w:tbl>
      <w:tblPr>
        <w:tblStyle w:val="46"/>
        <w:tblW w:w="503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9"/>
        <w:gridCol w:w="1242"/>
        <w:gridCol w:w="1350"/>
        <w:gridCol w:w="2685"/>
        <w:gridCol w:w="1470"/>
        <w:gridCol w:w="1305"/>
        <w:gridCol w:w="1305"/>
      </w:tblGrid>
      <w:tr w14:paraId="5A40D7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37347118">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序号</w:t>
            </w:r>
          </w:p>
        </w:tc>
        <w:tc>
          <w:tcPr>
            <w:tcW w:w="612" w:type="pct"/>
          </w:tcPr>
          <w:p w14:paraId="3D8F55DF">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类别</w:t>
            </w:r>
          </w:p>
        </w:tc>
        <w:tc>
          <w:tcPr>
            <w:tcW w:w="665" w:type="pct"/>
          </w:tcPr>
          <w:p w14:paraId="69EBB064">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名称</w:t>
            </w:r>
          </w:p>
        </w:tc>
        <w:tc>
          <w:tcPr>
            <w:tcW w:w="1323" w:type="pct"/>
          </w:tcPr>
          <w:p w14:paraId="36BA071B">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采购具体要求</w:t>
            </w:r>
          </w:p>
        </w:tc>
        <w:tc>
          <w:tcPr>
            <w:tcW w:w="724" w:type="pct"/>
          </w:tcPr>
          <w:p w14:paraId="6D6121A6">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数量</w:t>
            </w:r>
          </w:p>
        </w:tc>
        <w:tc>
          <w:tcPr>
            <w:tcW w:w="643" w:type="pct"/>
          </w:tcPr>
          <w:p w14:paraId="0C5CED97">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单价（元）</w:t>
            </w:r>
          </w:p>
        </w:tc>
        <w:tc>
          <w:tcPr>
            <w:tcW w:w="643" w:type="pct"/>
          </w:tcPr>
          <w:p w14:paraId="358004FD">
            <w:pPr>
              <w:keepNext w:val="0"/>
              <w:keepLines w:val="0"/>
              <w:pageBreakBefore w:val="0"/>
              <w:widowControl w:val="0"/>
              <w:kinsoku/>
              <w:wordWrap/>
              <w:overflowPunct/>
              <w:topLinePunct w:val="0"/>
              <w:autoSpaceDE/>
              <w:autoSpaceDN/>
              <w:bidi w:val="0"/>
              <w:adjustRightInd/>
              <w:snapToGrid/>
              <w:jc w:val="center"/>
              <w:textAlignment w:val="auto"/>
              <w:rPr>
                <w:rFonts w:hint="default"/>
                <w:sz w:val="28"/>
                <w:szCs w:val="28"/>
                <w:highlight w:val="none"/>
                <w:vertAlign w:val="baseline"/>
                <w:lang w:val="en-US" w:eastAsia="zh-CN"/>
              </w:rPr>
            </w:pPr>
            <w:r>
              <w:rPr>
                <w:rFonts w:hint="eastAsia"/>
                <w:sz w:val="28"/>
                <w:szCs w:val="28"/>
                <w:highlight w:val="none"/>
                <w:vertAlign w:val="baseline"/>
                <w:lang w:val="en-US" w:eastAsia="zh-CN"/>
              </w:rPr>
              <w:t>合计金额（元）</w:t>
            </w:r>
          </w:p>
        </w:tc>
      </w:tr>
      <w:tr w14:paraId="695B27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1B73EE0F">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5C960FAE">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24A401F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2453E674">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2186AAA4">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22C30389">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047BB4EF">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7F4BB7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604DA00A">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029D8F5E">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1FE9B8F0">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42A53DA3">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5D76CF6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648BE42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6CD43DF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12CD5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1F7D4BD7">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32DCE86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4179F3E8">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6BB4A50B">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3F312B32">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12482AF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39E5F09C">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5C0062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296FC9B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3EF2E86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1B11EBE3">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27D8FCA2">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3CC1266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38DAD40A">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797FC24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5D1800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44F2DD1F">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695E4E18">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500EAE1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71B0277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55B6A4D9">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6D758D6C">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78444814">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55DC3C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5637FBC8">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6CCFB10B">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088FECFC">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49E81AE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0C1CC9C9">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412E52E3">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34FAF4BB">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7DFF5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5CECA7B1">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2769B900">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28E59093">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5D111C41">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7AE69D6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2B41D26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572C14C7">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170411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049D997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49EDF780">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5684EA37">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45E64081">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2202E66F">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11C8F75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66664DB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646E22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3B9896E8">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3DA636CE">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7F0FACB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69267B44">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6293A5B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355D52AB">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7DC1C370">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7ED467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03B60CD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390B7D29">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4F1F2785">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49C36266">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6E798D77">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0B85A181">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14BF9993">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68733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388" w:type="pct"/>
          </w:tcPr>
          <w:p w14:paraId="05280D7B">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12" w:type="pct"/>
          </w:tcPr>
          <w:p w14:paraId="49A2B32D">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65" w:type="pct"/>
          </w:tcPr>
          <w:p w14:paraId="636CF46A">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1323" w:type="pct"/>
          </w:tcPr>
          <w:p w14:paraId="1975207C">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724" w:type="pct"/>
          </w:tcPr>
          <w:p w14:paraId="01347032">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63F8405E">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c>
          <w:tcPr>
            <w:tcW w:w="643" w:type="pct"/>
          </w:tcPr>
          <w:p w14:paraId="46C2B0A0">
            <w:pPr>
              <w:keepNext w:val="0"/>
              <w:keepLines w:val="0"/>
              <w:pageBreakBefore w:val="0"/>
              <w:widowControl w:val="0"/>
              <w:kinsoku/>
              <w:wordWrap/>
              <w:overflowPunct/>
              <w:topLinePunct w:val="0"/>
              <w:autoSpaceDE/>
              <w:autoSpaceDN/>
              <w:bidi w:val="0"/>
              <w:adjustRightInd/>
              <w:snapToGrid/>
              <w:jc w:val="center"/>
              <w:textAlignment w:val="auto"/>
              <w:rPr>
                <w:rFonts w:hint="eastAsia"/>
                <w:highlight w:val="none"/>
                <w:vertAlign w:val="baseline"/>
                <w:lang w:val="en-US" w:eastAsia="zh-CN"/>
              </w:rPr>
            </w:pPr>
          </w:p>
        </w:tc>
      </w:tr>
      <w:tr w14:paraId="2BF889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7" w:hRule="atLeast"/>
        </w:trPr>
        <w:tc>
          <w:tcPr>
            <w:tcW w:w="5000" w:type="pct"/>
            <w:gridSpan w:val="7"/>
          </w:tcPr>
          <w:p w14:paraId="35B37CB8">
            <w:pPr>
              <w:keepNext w:val="0"/>
              <w:keepLines w:val="0"/>
              <w:pageBreakBefore w:val="0"/>
              <w:widowControl w:val="0"/>
              <w:kinsoku/>
              <w:wordWrap/>
              <w:overflowPunct/>
              <w:topLinePunct w:val="0"/>
              <w:autoSpaceDE/>
              <w:autoSpaceDN/>
              <w:bidi w:val="0"/>
              <w:adjustRightInd/>
              <w:snapToGrid/>
              <w:jc w:val="both"/>
              <w:textAlignment w:val="auto"/>
              <w:rPr>
                <w:rFonts w:hint="default"/>
                <w:highlight w:val="none"/>
                <w:vertAlign w:val="baseline"/>
                <w:lang w:val="en-US" w:eastAsia="zh-CN"/>
              </w:rPr>
            </w:pPr>
            <w:r>
              <w:rPr>
                <w:rFonts w:hint="eastAsia" w:ascii="微软雅黑 Light" w:hAnsi="微软雅黑 Light" w:eastAsia="微软雅黑 Light" w:cs="微软雅黑 Light"/>
                <w:color w:val="auto"/>
                <w:sz w:val="32"/>
                <w:szCs w:val="32"/>
                <w:highlight w:val="none"/>
                <w:lang w:val="en-US" w:eastAsia="zh-CN"/>
              </w:rPr>
              <w:t>拟提供的服务内容首轮磋商总报价为（元）：小写：      大写：</w:t>
            </w:r>
          </w:p>
        </w:tc>
      </w:tr>
    </w:tbl>
    <w:p w14:paraId="3160FAB2">
      <w:pPr>
        <w:rPr>
          <w:highlight w:val="none"/>
        </w:rPr>
      </w:pPr>
    </w:p>
    <w:p w14:paraId="71941D0C">
      <w:pPr>
        <w:rPr>
          <w:rFonts w:hint="eastAsia" w:ascii="微软雅黑 Light" w:hAnsi="微软雅黑 Light" w:eastAsia="微软雅黑 Light" w:cs="微软雅黑 Light"/>
          <w:b w:val="0"/>
          <w:bCs w:val="0"/>
          <w:i w:val="0"/>
          <w:iCs w:val="0"/>
          <w:color w:val="000000"/>
          <w:kern w:val="0"/>
          <w:sz w:val="28"/>
          <w:szCs w:val="28"/>
          <w:highlight w:val="none"/>
          <w:u w:val="none"/>
          <w:lang w:val="en-US" w:eastAsia="zh-CN" w:bidi="ar"/>
        </w:rPr>
      </w:pPr>
      <w:r>
        <w:rPr>
          <w:rFonts w:hint="eastAsia" w:ascii="微软雅黑 Light" w:hAnsi="微软雅黑 Light" w:eastAsia="微软雅黑 Light" w:cs="微软雅黑 Light"/>
          <w:b w:val="0"/>
          <w:bCs w:val="0"/>
          <w:i w:val="0"/>
          <w:iCs w:val="0"/>
          <w:color w:val="000000"/>
          <w:kern w:val="0"/>
          <w:sz w:val="28"/>
          <w:szCs w:val="28"/>
          <w:highlight w:val="none"/>
          <w:u w:val="none"/>
          <w:lang w:val="en-US" w:eastAsia="zh-CN" w:bidi="ar"/>
        </w:rPr>
        <w:t>注：1.拟提供的服务内容报价表中的总报价须和竞争性磋商首轮报价一览表一致；</w:t>
      </w:r>
    </w:p>
    <w:p w14:paraId="68E1950D">
      <w:pPr>
        <w:ind w:firstLine="560" w:firstLineChars="200"/>
        <w:rPr>
          <w:rFonts w:hint="eastAsia" w:ascii="微软雅黑 Light" w:hAnsi="微软雅黑 Light" w:eastAsia="微软雅黑 Light" w:cs="微软雅黑 Light"/>
          <w:b w:val="0"/>
          <w:bCs w:val="0"/>
          <w:i w:val="0"/>
          <w:iCs w:val="0"/>
          <w:color w:val="000000"/>
          <w:kern w:val="0"/>
          <w:sz w:val="28"/>
          <w:szCs w:val="28"/>
          <w:highlight w:val="none"/>
          <w:u w:val="none"/>
          <w:lang w:val="en-US" w:eastAsia="zh-CN" w:bidi="ar"/>
        </w:rPr>
      </w:pPr>
      <w:r>
        <w:rPr>
          <w:rFonts w:hint="eastAsia" w:ascii="微软雅黑 Light" w:hAnsi="微软雅黑 Light" w:eastAsia="微软雅黑 Light" w:cs="微软雅黑 Light"/>
          <w:b w:val="0"/>
          <w:bCs w:val="0"/>
          <w:i w:val="0"/>
          <w:iCs w:val="0"/>
          <w:color w:val="000000"/>
          <w:kern w:val="0"/>
          <w:sz w:val="28"/>
          <w:szCs w:val="28"/>
          <w:highlight w:val="none"/>
          <w:u w:val="none"/>
          <w:lang w:val="en-US" w:eastAsia="zh-CN" w:bidi="ar"/>
        </w:rPr>
        <w:t>2.本次采购的所有产品报价为包干价：包含不限于产品设备、安装、运输、调试、税费、人员成本、运行维护成本、后续完善等相关费用。</w:t>
      </w:r>
    </w:p>
    <w:p w14:paraId="6A349DDF">
      <w:pPr>
        <w:ind w:firstLine="560"/>
        <w:rPr>
          <w:rFonts w:hint="eastAsia" w:ascii="微软雅黑 Light" w:hAnsi="微软雅黑 Light" w:eastAsia="微软雅黑 Light" w:cs="微软雅黑 Light"/>
          <w:b w:val="0"/>
          <w:bCs w:val="0"/>
          <w:i w:val="0"/>
          <w:iCs w:val="0"/>
          <w:color w:val="000000"/>
          <w:kern w:val="0"/>
          <w:sz w:val="28"/>
          <w:szCs w:val="28"/>
          <w:highlight w:val="none"/>
          <w:u w:val="none"/>
          <w:lang w:val="en-US" w:eastAsia="zh-CN" w:bidi="ar"/>
        </w:rPr>
      </w:pPr>
      <w:r>
        <w:rPr>
          <w:rFonts w:hint="eastAsia" w:ascii="微软雅黑 Light" w:hAnsi="微软雅黑 Light" w:eastAsia="微软雅黑 Light" w:cs="微软雅黑 Light"/>
          <w:b w:val="0"/>
          <w:bCs w:val="0"/>
          <w:i w:val="0"/>
          <w:iCs w:val="0"/>
          <w:color w:val="000000"/>
          <w:kern w:val="0"/>
          <w:sz w:val="28"/>
          <w:szCs w:val="28"/>
          <w:highlight w:val="none"/>
          <w:u w:val="none"/>
          <w:lang w:val="en-US" w:eastAsia="zh-CN" w:bidi="ar"/>
        </w:rPr>
        <w:t>3.此表可以根据产品内容自行增加表格；</w:t>
      </w:r>
    </w:p>
    <w:p w14:paraId="0D417A15">
      <w:pPr>
        <w:pStyle w:val="3"/>
        <w:adjustRightInd w:val="0"/>
        <w:snapToGrid w:val="0"/>
        <w:spacing w:before="0" w:after="0" w:line="360" w:lineRule="auto"/>
        <w:jc w:val="both"/>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lang w:val="en-US" w:eastAsia="zh-CN"/>
        </w:rPr>
        <w:t xml:space="preserve">   </w:t>
      </w:r>
    </w:p>
    <w:p w14:paraId="652E0BAC">
      <w:pPr>
        <w:spacing w:line="360" w:lineRule="auto"/>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w:t>
      </w:r>
      <w:r>
        <w:rPr>
          <w:rFonts w:hint="eastAsia" w:ascii="微软雅黑" w:hAnsi="微软雅黑" w:eastAsia="微软雅黑" w:cs="微软雅黑"/>
          <w:b w:val="0"/>
          <w:bCs w:val="0"/>
          <w:color w:val="auto"/>
          <w:sz w:val="24"/>
          <w:szCs w:val="24"/>
          <w:highlight w:val="none"/>
        </w:rPr>
        <w:t>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724E3597">
      <w:pPr>
        <w:spacing w:line="360" w:lineRule="auto"/>
        <w:jc w:val="left"/>
        <w:rPr>
          <w:rFonts w:hint="eastAsia" w:ascii="微软雅黑" w:hAnsi="微软雅黑" w:eastAsia="微软雅黑" w:cs="微软雅黑"/>
          <w:b w:val="0"/>
          <w:bCs w:val="0"/>
          <w:color w:val="auto"/>
          <w:sz w:val="24"/>
          <w:szCs w:val="24"/>
          <w:highlight w:val="none"/>
          <w:u w:val="single"/>
        </w:rPr>
      </w:pPr>
      <w:r>
        <w:rPr>
          <w:rFonts w:hint="eastAsia" w:ascii="微软雅黑" w:hAnsi="微软雅黑" w:eastAsia="微软雅黑" w:cs="微软雅黑"/>
          <w:b w:val="0"/>
          <w:bCs w:val="0"/>
          <w:color w:val="auto"/>
          <w:sz w:val="24"/>
          <w:szCs w:val="24"/>
          <w:highlight w:val="none"/>
        </w:rPr>
        <w:t>法定代表人或其委托代理人：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5791FD35">
      <w:pPr>
        <w:rPr>
          <w:rFonts w:hint="eastAsia" w:ascii="宋体" w:hAnsi="宋体" w:eastAsia="宋体" w:cs="宋体"/>
          <w:color w:val="auto"/>
          <w:sz w:val="32"/>
          <w:szCs w:val="32"/>
          <w:highlight w:val="none"/>
        </w:rPr>
      </w:pPr>
      <w:r>
        <w:rPr>
          <w:rFonts w:hint="eastAsia" w:ascii="微软雅黑" w:hAnsi="微软雅黑" w:eastAsia="微软雅黑" w:cs="微软雅黑"/>
          <w:b w:val="0"/>
          <w:bCs w:val="0"/>
          <w:color w:val="auto"/>
          <w:sz w:val="24"/>
          <w:szCs w:val="24"/>
          <w:highlight w:val="none"/>
        </w:rPr>
        <w:t>日    期：</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年</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月</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日</w:t>
      </w:r>
    </w:p>
    <w:p w14:paraId="1D60F49D">
      <w:pPr>
        <w:pStyle w:val="3"/>
        <w:adjustRightInd w:val="0"/>
        <w:snapToGrid w:val="0"/>
        <w:spacing w:before="0" w:after="0" w:line="360" w:lineRule="auto"/>
        <w:jc w:val="center"/>
        <w:outlineLvl w:val="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中小企业声明函</w:t>
      </w:r>
      <w:bookmarkEnd w:id="312"/>
    </w:p>
    <w:p w14:paraId="5981B34E">
      <w:pPr>
        <w:pStyle w:val="16"/>
        <w:adjustRightInd w:val="0"/>
        <w:snapToGrid w:val="0"/>
        <w:spacing w:after="0" w:line="360" w:lineRule="auto"/>
        <w:ind w:firstLine="64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本公司（联合体）郑重声明，根据</w:t>
      </w:r>
      <w:r>
        <w:rPr>
          <w:rFonts w:hint="eastAsia" w:ascii="宋体" w:hAnsi="宋体" w:eastAsia="宋体" w:cs="宋体"/>
          <w:color w:val="auto"/>
          <w:kern w:val="2"/>
          <w:sz w:val="24"/>
          <w:szCs w:val="24"/>
          <w:highlight w:val="none"/>
        </w:rPr>
        <w:t>《政府采购促进中小企业发展管理办法》（财库〔2020〕46号</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sz w:val="24"/>
          <w:szCs w:val="24"/>
          <w:highlight w:val="none"/>
        </w:rPr>
        <w:t>的规定，本公司（联合体）参加</w:t>
      </w:r>
      <w:r>
        <w:rPr>
          <w:rFonts w:hint="eastAsia" w:ascii="宋体" w:hAnsi="宋体" w:eastAsia="宋体" w:cs="宋体"/>
          <w:color w:val="auto"/>
          <w:sz w:val="24"/>
          <w:szCs w:val="24"/>
          <w:highlight w:val="none"/>
          <w:u w:val="single"/>
        </w:rPr>
        <w:t>（单位名称）</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（项目名称）</w:t>
      </w:r>
      <w:r>
        <w:rPr>
          <w:rFonts w:hint="eastAsia" w:ascii="宋体" w:hAnsi="宋体" w:eastAsia="宋体" w:cs="宋体"/>
          <w:color w:val="auto"/>
          <w:sz w:val="24"/>
          <w:szCs w:val="24"/>
          <w:highlight w:val="none"/>
        </w:rPr>
        <w:t>采购活动，提供的货物全部由符合政策要求的中小企业制造。相关企业（含联合体中的中小企业、签订分包意向协议的中小企业） 的具体情况如下：</w:t>
      </w:r>
    </w:p>
    <w:p w14:paraId="1F7BBF12">
      <w:pPr>
        <w:pStyle w:val="144"/>
        <w:numPr>
          <w:ilvl w:val="0"/>
          <w:numId w:val="4"/>
        </w:numPr>
        <w:tabs>
          <w:tab w:val="left" w:pos="1183"/>
          <w:tab w:val="left" w:pos="1484"/>
          <w:tab w:val="left" w:pos="4662"/>
          <w:tab w:val="left" w:pos="4830"/>
          <w:tab w:val="left" w:pos="6903"/>
        </w:tabs>
        <w:adjustRightInd w:val="0"/>
        <w:snapToGrid w:val="0"/>
        <w:spacing w:after="0" w:line="360" w:lineRule="auto"/>
        <w:ind w:left="0" w:firstLine="6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名称） ，属于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（采购文件中明确的所属行业）行业</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3845D13B">
      <w:pPr>
        <w:pStyle w:val="144"/>
        <w:numPr>
          <w:ilvl w:val="0"/>
          <w:numId w:val="4"/>
        </w:numPr>
        <w:tabs>
          <w:tab w:val="left" w:pos="1183"/>
          <w:tab w:val="left" w:pos="1484"/>
          <w:tab w:val="left" w:pos="4662"/>
          <w:tab w:val="left" w:pos="4830"/>
          <w:tab w:val="left" w:pos="6903"/>
        </w:tabs>
        <w:adjustRightInd w:val="0"/>
        <w:snapToGrid w:val="0"/>
        <w:spacing w:after="0" w:line="360" w:lineRule="auto"/>
        <w:ind w:left="0" w:firstLine="65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w:t>
      </w:r>
      <w:r>
        <w:rPr>
          <w:rFonts w:hint="eastAsia" w:ascii="宋体" w:hAnsi="宋体" w:eastAsia="宋体" w:cs="宋体"/>
          <w:color w:val="auto"/>
          <w:sz w:val="24"/>
          <w:szCs w:val="24"/>
          <w:highlight w:val="none"/>
        </w:rPr>
        <w:t>标的名称） ，属于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（采购文件中明确的所属行业）行业</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制造商为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（企业名称）</w:t>
      </w:r>
      <w:r>
        <w:rPr>
          <w:rFonts w:hint="eastAsia" w:ascii="宋体" w:hAnsi="宋体" w:eastAsia="宋体" w:cs="宋体"/>
          <w:color w:val="auto"/>
          <w:sz w:val="24"/>
          <w:szCs w:val="24"/>
          <w:highlight w:val="none"/>
        </w:rPr>
        <w:t>，从业人员</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人，营业收入为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万元，资产总额为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rPr>
        <w:tab/>
      </w:r>
      <w:r>
        <w:rPr>
          <w:rFonts w:hint="eastAsia" w:ascii="宋体" w:hAnsi="宋体" w:eastAsia="宋体" w:cs="宋体"/>
          <w:color w:val="auto"/>
          <w:sz w:val="24"/>
          <w:szCs w:val="24"/>
          <w:highlight w:val="none"/>
        </w:rPr>
        <w:t>万元，属于</w:t>
      </w:r>
      <w:r>
        <w:rPr>
          <w:rFonts w:hint="eastAsia" w:ascii="宋体" w:hAnsi="宋体" w:eastAsia="宋体" w:cs="宋体"/>
          <w:color w:val="auto"/>
          <w:sz w:val="24"/>
          <w:szCs w:val="24"/>
          <w:highlight w:val="none"/>
          <w:u w:val="single"/>
        </w:rPr>
        <w:t>（中型企业、小型企业、微型企业）</w:t>
      </w:r>
      <w:r>
        <w:rPr>
          <w:rFonts w:hint="eastAsia" w:ascii="宋体" w:hAnsi="宋体" w:eastAsia="宋体" w:cs="宋体"/>
          <w:color w:val="auto"/>
          <w:sz w:val="24"/>
          <w:szCs w:val="24"/>
          <w:highlight w:val="none"/>
        </w:rPr>
        <w:t>；</w:t>
      </w:r>
    </w:p>
    <w:p w14:paraId="1E19FD25">
      <w:pPr>
        <w:pStyle w:val="16"/>
        <w:tabs>
          <w:tab w:val="left" w:pos="4830"/>
        </w:tabs>
        <w:adjustRightInd w:val="0"/>
        <w:snapToGrid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p w14:paraId="3771CAEA">
      <w:pPr>
        <w:pStyle w:val="16"/>
        <w:tabs>
          <w:tab w:val="left" w:pos="4830"/>
        </w:tabs>
        <w:adjustRightInd w:val="0"/>
        <w:snapToGrid w:val="0"/>
        <w:spacing w:after="0" w:line="360" w:lineRule="auto"/>
        <w:ind w:firstLine="645"/>
        <w:jc w:val="both"/>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以上企业，不属于大企业的分支机构，不存在控股股东为大企业的情形，也不存在与大企业的负责人为同一人的情形。</w:t>
      </w:r>
    </w:p>
    <w:p w14:paraId="07ABD1AF">
      <w:pPr>
        <w:pStyle w:val="16"/>
        <w:tabs>
          <w:tab w:val="left" w:pos="4830"/>
        </w:tabs>
        <w:adjustRightInd w:val="0"/>
        <w:snapToGrid w:val="0"/>
        <w:spacing w:after="0" w:line="360" w:lineRule="auto"/>
        <w:ind w:firstLine="645"/>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本企业对上述声明内容的真实性负责。如有虚假，将依法承担相应责任。</w:t>
      </w:r>
    </w:p>
    <w:p w14:paraId="5EB515CF">
      <w:pPr>
        <w:pStyle w:val="16"/>
        <w:tabs>
          <w:tab w:val="left" w:pos="4830"/>
        </w:tabs>
        <w:adjustRightInd w:val="0"/>
        <w:snapToGrid w:val="0"/>
        <w:spacing w:after="0" w:line="360" w:lineRule="auto"/>
        <w:ind w:firstLine="4569" w:firstLineChars="1904"/>
        <w:rPr>
          <w:rFonts w:hint="eastAsia" w:ascii="宋体" w:hAnsi="宋体" w:eastAsia="宋体" w:cs="宋体"/>
          <w:color w:val="auto"/>
          <w:sz w:val="24"/>
          <w:szCs w:val="24"/>
          <w:highlight w:val="none"/>
        </w:rPr>
      </w:pPr>
    </w:p>
    <w:p w14:paraId="39590639">
      <w:pPr>
        <w:pStyle w:val="16"/>
        <w:tabs>
          <w:tab w:val="left" w:pos="4830"/>
        </w:tabs>
        <w:adjustRightInd w:val="0"/>
        <w:snapToGrid w:val="0"/>
        <w:spacing w:after="0" w:line="360" w:lineRule="auto"/>
        <w:ind w:firstLine="4569" w:firstLineChars="1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企业名称（电子签章）：</w:t>
      </w:r>
    </w:p>
    <w:p w14:paraId="32BEB369">
      <w:pPr>
        <w:pStyle w:val="16"/>
        <w:tabs>
          <w:tab w:val="left" w:pos="4830"/>
        </w:tabs>
        <w:adjustRightInd w:val="0"/>
        <w:snapToGrid w:val="0"/>
        <w:spacing w:after="0" w:line="360" w:lineRule="auto"/>
        <w:ind w:firstLine="4569" w:firstLineChars="1904"/>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p>
    <w:p w14:paraId="5BE23981">
      <w:pPr>
        <w:adjustRightInd w:val="0"/>
        <w:snapToGrid w:val="0"/>
        <w:spacing w:after="0" w:line="360" w:lineRule="auto"/>
        <w:rPr>
          <w:rFonts w:hint="eastAsia" w:ascii="宋体" w:hAnsi="宋体" w:eastAsia="宋体" w:cs="宋体"/>
          <w:color w:val="auto"/>
          <w:sz w:val="24"/>
          <w:szCs w:val="24"/>
          <w:highlight w:val="none"/>
        </w:rPr>
      </w:pPr>
    </w:p>
    <w:p w14:paraId="7E44E25F">
      <w:pPr>
        <w:pStyle w:val="37"/>
        <w:adjustRightInd w:val="0"/>
        <w:snapToGrid w:val="0"/>
        <w:spacing w:after="0" w:line="360" w:lineRule="auto"/>
        <w:ind w:left="0" w:leftChars="0"/>
        <w:rPr>
          <w:rFonts w:hint="eastAsia" w:ascii="宋体" w:hAnsi="宋体" w:eastAsia="宋体" w:cs="宋体"/>
          <w:color w:val="auto"/>
          <w:sz w:val="24"/>
          <w:szCs w:val="24"/>
          <w:highlight w:val="none"/>
        </w:rPr>
      </w:pPr>
    </w:p>
    <w:p w14:paraId="2DDEFE78">
      <w:pPr>
        <w:adjustRightInd w:val="0"/>
        <w:snapToGrid w:val="0"/>
        <w:spacing w:after="0" w:line="360" w:lineRule="auto"/>
        <w:jc w:val="left"/>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val="en-US" w:eastAsia="zh-CN"/>
        </w:rPr>
        <w:t>注：1.</w:t>
      </w:r>
      <w:r>
        <w:rPr>
          <w:rFonts w:hint="eastAsia" w:ascii="宋体" w:hAnsi="宋体" w:eastAsia="宋体" w:cs="宋体"/>
          <w:b/>
          <w:bCs/>
          <w:color w:val="auto"/>
          <w:sz w:val="24"/>
          <w:szCs w:val="24"/>
          <w:highlight w:val="none"/>
        </w:rPr>
        <w:t>从业人员、营业收入、资产总额填报上一年度数据，无上一年度数据的新成立企业可不填报。</w:t>
      </w:r>
      <w:bookmarkStart w:id="313" w:name="_Toc8371"/>
      <w:bookmarkStart w:id="314" w:name="_Toc229583239"/>
      <w:bookmarkStart w:id="315" w:name="_Toc197938954"/>
    </w:p>
    <w:p w14:paraId="71C10F9F">
      <w:pPr>
        <w:pStyle w:val="18"/>
        <w:spacing w:after="0"/>
        <w:ind w:left="0" w:leftChars="0" w:firstLine="482" w:firstLineChars="200"/>
        <w:rPr>
          <w:rFonts w:hint="default"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2.如果不属于中小微企业的可以不用填写此表。</w:t>
      </w:r>
    </w:p>
    <w:bookmarkEnd w:id="313"/>
    <w:bookmarkEnd w:id="314"/>
    <w:bookmarkEnd w:id="315"/>
    <w:p w14:paraId="613FF34E">
      <w:pPr>
        <w:wordWrap w:val="0"/>
        <w:spacing w:after="0" w:line="240" w:lineRule="auto"/>
        <w:jc w:val="both"/>
        <w:rPr>
          <w:rFonts w:hint="eastAsia" w:ascii="宋体" w:hAnsi="宋体" w:eastAsia="宋体" w:cs="宋体"/>
          <w:color w:val="auto"/>
          <w:sz w:val="2"/>
          <w:szCs w:val="2"/>
          <w:highlight w:val="none"/>
          <w:lang w:val="en-US" w:eastAsia="zh-CN"/>
        </w:rPr>
      </w:pPr>
    </w:p>
    <w:p w14:paraId="41DFF3C7">
      <w:pPr>
        <w:wordWrap w:val="0"/>
        <w:spacing w:after="0" w:line="240" w:lineRule="auto"/>
        <w:jc w:val="center"/>
        <w:rPr>
          <w:rFonts w:hint="eastAsia" w:ascii="宋体" w:hAnsi="宋体" w:eastAsia="宋体" w:cs="宋体"/>
          <w:color w:val="auto"/>
          <w:sz w:val="44"/>
          <w:szCs w:val="28"/>
          <w:highlight w:val="none"/>
          <w:lang w:val="en-US" w:eastAsia="zh-CN"/>
        </w:rPr>
      </w:pPr>
    </w:p>
    <w:p w14:paraId="5D0B3747">
      <w:pPr>
        <w:wordWrap w:val="0"/>
        <w:spacing w:after="0" w:line="240" w:lineRule="auto"/>
        <w:jc w:val="center"/>
        <w:rPr>
          <w:rFonts w:hint="eastAsia" w:ascii="宋体" w:hAnsi="宋体" w:eastAsia="宋体" w:cs="宋体"/>
          <w:color w:val="auto"/>
          <w:sz w:val="44"/>
          <w:szCs w:val="28"/>
          <w:highlight w:val="none"/>
          <w:lang w:val="en-US" w:eastAsia="zh-CN"/>
        </w:rPr>
      </w:pPr>
    </w:p>
    <w:p w14:paraId="5B035389">
      <w:pPr>
        <w:wordWrap w:val="0"/>
        <w:spacing w:after="0" w:line="240" w:lineRule="auto"/>
        <w:jc w:val="center"/>
        <w:rPr>
          <w:rFonts w:hint="eastAsia" w:ascii="宋体" w:hAnsi="宋体" w:eastAsia="宋体" w:cs="宋体"/>
          <w:color w:val="auto"/>
          <w:sz w:val="44"/>
          <w:szCs w:val="28"/>
          <w:highlight w:val="none"/>
          <w:lang w:val="en-US" w:eastAsia="zh-CN"/>
        </w:rPr>
      </w:pPr>
    </w:p>
    <w:p w14:paraId="28E2322C">
      <w:pPr>
        <w:wordWrap w:val="0"/>
        <w:spacing w:after="0" w:line="240" w:lineRule="auto"/>
        <w:jc w:val="center"/>
        <w:rPr>
          <w:rFonts w:hint="eastAsia" w:ascii="宋体" w:hAnsi="宋体" w:eastAsia="宋体" w:cs="宋体"/>
          <w:color w:val="auto"/>
          <w:sz w:val="44"/>
          <w:szCs w:val="28"/>
          <w:highlight w:val="none"/>
          <w:lang w:val="en-US" w:eastAsia="zh-CN"/>
        </w:rPr>
      </w:pPr>
    </w:p>
    <w:p w14:paraId="2360F41B">
      <w:pPr>
        <w:wordWrap w:val="0"/>
        <w:spacing w:after="0" w:line="240" w:lineRule="auto"/>
        <w:jc w:val="center"/>
        <w:rPr>
          <w:rFonts w:hint="eastAsia" w:ascii="宋体" w:hAnsi="宋体" w:eastAsia="宋体" w:cs="宋体"/>
          <w:color w:val="auto"/>
          <w:sz w:val="44"/>
          <w:szCs w:val="28"/>
          <w:highlight w:val="none"/>
          <w:lang w:val="en-US" w:eastAsia="zh-CN"/>
        </w:rPr>
      </w:pPr>
    </w:p>
    <w:p w14:paraId="707CBDA0">
      <w:pPr>
        <w:wordWrap w:val="0"/>
        <w:spacing w:after="0" w:line="240" w:lineRule="auto"/>
        <w:jc w:val="center"/>
        <w:rPr>
          <w:rFonts w:hint="eastAsia" w:ascii="宋体" w:hAnsi="宋体" w:eastAsia="宋体" w:cs="宋体"/>
          <w:color w:val="auto"/>
          <w:sz w:val="44"/>
          <w:szCs w:val="28"/>
          <w:highlight w:val="none"/>
          <w:lang w:val="en-US" w:eastAsia="zh-CN"/>
        </w:rPr>
      </w:pPr>
    </w:p>
    <w:p w14:paraId="744E5DA5">
      <w:pPr>
        <w:wordWrap w:val="0"/>
        <w:spacing w:after="0" w:line="240" w:lineRule="auto"/>
        <w:jc w:val="center"/>
        <w:rPr>
          <w:rFonts w:hint="eastAsia" w:ascii="宋体" w:hAnsi="宋体" w:eastAsia="宋体" w:cs="宋体"/>
          <w:color w:val="auto"/>
          <w:sz w:val="48"/>
          <w:szCs w:val="32"/>
          <w:highlight w:val="none"/>
          <w:lang w:val="en-US" w:eastAsia="zh-CN"/>
        </w:rPr>
      </w:pPr>
      <w:r>
        <w:rPr>
          <w:rFonts w:hint="eastAsia" w:ascii="宋体" w:hAnsi="宋体" w:eastAsia="宋体" w:cs="宋体"/>
          <w:color w:val="auto"/>
          <w:sz w:val="48"/>
          <w:szCs w:val="32"/>
          <w:highlight w:val="none"/>
          <w:lang w:val="en-US" w:eastAsia="zh-CN"/>
        </w:rPr>
        <w:t>资格审查部分</w:t>
      </w:r>
    </w:p>
    <w:p w14:paraId="1E2FB8B5">
      <w:pPr>
        <w:wordWrap w:val="0"/>
        <w:spacing w:after="0" w:line="240" w:lineRule="auto"/>
        <w:jc w:val="center"/>
        <w:outlineLvl w:val="1"/>
        <w:rPr>
          <w:rFonts w:hint="eastAsia" w:ascii="宋体" w:hAnsi="宋体" w:eastAsia="宋体" w:cs="宋体"/>
          <w:b/>
          <w:bCs w:val="0"/>
          <w:color w:val="auto"/>
          <w:kern w:val="2"/>
          <w:sz w:val="32"/>
          <w:szCs w:val="32"/>
          <w:highlight w:val="none"/>
          <w:lang w:val="en-US" w:eastAsia="zh-CN" w:bidi="ar-SA"/>
        </w:rPr>
      </w:pPr>
      <w:r>
        <w:rPr>
          <w:rFonts w:hint="eastAsia" w:ascii="宋体" w:hAnsi="宋体" w:eastAsia="宋体" w:cs="宋体"/>
          <w:b/>
          <w:bCs w:val="0"/>
          <w:color w:val="auto"/>
          <w:kern w:val="2"/>
          <w:sz w:val="32"/>
          <w:szCs w:val="32"/>
          <w:highlight w:val="none"/>
          <w:lang w:val="en-US" w:eastAsia="zh-CN" w:bidi="ar-SA"/>
        </w:rPr>
        <w:t>一、投标人基本情况表</w:t>
      </w:r>
      <w:bookmarkEnd w:id="306"/>
      <w:bookmarkEnd w:id="307"/>
    </w:p>
    <w:p w14:paraId="0429999D">
      <w:pPr>
        <w:adjustRightInd w:val="0"/>
        <w:snapToGrid w:val="0"/>
        <w:spacing w:line="360" w:lineRule="auto"/>
        <w:rPr>
          <w:rFonts w:hint="eastAsia" w:ascii="宋体" w:hAnsi="宋体" w:eastAsia="宋体" w:cs="宋体"/>
          <w:b/>
          <w:bCs/>
          <w:color w:val="auto"/>
          <w:sz w:val="24"/>
          <w:szCs w:val="24"/>
          <w:highlight w:val="none"/>
          <w:vertAlign w:val="baseline"/>
        </w:rPr>
      </w:pPr>
      <w:r>
        <w:rPr>
          <w:rFonts w:hint="eastAsia" w:ascii="宋体" w:hAnsi="宋体" w:eastAsia="宋体" w:cs="宋体"/>
          <w:color w:val="auto"/>
          <w:sz w:val="24"/>
          <w:szCs w:val="24"/>
          <w:highlight w:val="none"/>
        </w:rPr>
        <w:t>项目名称：</w:t>
      </w:r>
    </w:p>
    <w:tbl>
      <w:tblPr>
        <w:tblStyle w:val="46"/>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47"/>
        <w:gridCol w:w="1516"/>
        <w:gridCol w:w="1506"/>
        <w:gridCol w:w="2052"/>
        <w:gridCol w:w="3162"/>
      </w:tblGrid>
      <w:tr w14:paraId="786DEA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847" w:type="dxa"/>
            <w:noWrap w:val="0"/>
            <w:vAlign w:val="top"/>
          </w:tcPr>
          <w:p w14:paraId="5181B47A">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16AC07BF">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16" w:name="_Toc78"/>
            <w:r>
              <w:rPr>
                <w:rFonts w:hint="eastAsia" w:ascii="宋体" w:hAnsi="宋体" w:eastAsia="宋体" w:cs="宋体"/>
                <w:b w:val="0"/>
                <w:bCs/>
                <w:color w:val="auto"/>
                <w:sz w:val="24"/>
                <w:szCs w:val="24"/>
                <w:highlight w:val="none"/>
                <w:vertAlign w:val="baseline"/>
                <w:lang w:val="en-US" w:eastAsia="zh-CN"/>
              </w:rPr>
              <w:t>单位名称</w:t>
            </w:r>
            <w:bookmarkEnd w:id="316"/>
          </w:p>
        </w:tc>
        <w:tc>
          <w:tcPr>
            <w:tcW w:w="8236" w:type="dxa"/>
            <w:gridSpan w:val="4"/>
            <w:noWrap w:val="0"/>
            <w:vAlign w:val="top"/>
          </w:tcPr>
          <w:p w14:paraId="47676E8C">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2F6F7346">
            <w:pPr>
              <w:spacing w:line="360" w:lineRule="auto"/>
              <w:jc w:val="center"/>
              <w:outlineLvl w:val="9"/>
              <w:rPr>
                <w:rFonts w:hint="eastAsia" w:ascii="宋体" w:hAnsi="宋体" w:eastAsia="宋体" w:cs="宋体"/>
                <w:b w:val="0"/>
                <w:bCs/>
                <w:color w:val="auto"/>
                <w:sz w:val="24"/>
                <w:szCs w:val="24"/>
                <w:highlight w:val="none"/>
                <w:vertAlign w:val="baseline"/>
              </w:rPr>
            </w:pPr>
          </w:p>
        </w:tc>
      </w:tr>
      <w:tr w14:paraId="2FDBF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trPr>
        <w:tc>
          <w:tcPr>
            <w:tcW w:w="1847" w:type="dxa"/>
            <w:noWrap w:val="0"/>
            <w:vAlign w:val="top"/>
          </w:tcPr>
          <w:p w14:paraId="6E60EE90">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69891F7F">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17" w:name="_Toc14122"/>
            <w:r>
              <w:rPr>
                <w:rFonts w:hint="eastAsia" w:ascii="宋体" w:hAnsi="宋体" w:eastAsia="宋体" w:cs="宋体"/>
                <w:b w:val="0"/>
                <w:bCs/>
                <w:color w:val="auto"/>
                <w:sz w:val="24"/>
                <w:szCs w:val="24"/>
                <w:highlight w:val="none"/>
                <w:vertAlign w:val="baseline"/>
                <w:lang w:val="en-US" w:eastAsia="zh-CN"/>
              </w:rPr>
              <w:t>法定代表人</w:t>
            </w:r>
            <w:bookmarkEnd w:id="317"/>
          </w:p>
        </w:tc>
        <w:tc>
          <w:tcPr>
            <w:tcW w:w="3022" w:type="dxa"/>
            <w:gridSpan w:val="2"/>
            <w:noWrap w:val="0"/>
            <w:vAlign w:val="top"/>
          </w:tcPr>
          <w:p w14:paraId="7E439939">
            <w:pPr>
              <w:spacing w:line="360" w:lineRule="auto"/>
              <w:jc w:val="center"/>
              <w:outlineLvl w:val="9"/>
              <w:rPr>
                <w:rFonts w:hint="eastAsia" w:ascii="宋体" w:hAnsi="宋体" w:eastAsia="宋体" w:cs="宋体"/>
                <w:b w:val="0"/>
                <w:bCs/>
                <w:color w:val="auto"/>
                <w:sz w:val="24"/>
                <w:szCs w:val="24"/>
                <w:highlight w:val="none"/>
                <w:vertAlign w:val="baseline"/>
              </w:rPr>
            </w:pPr>
          </w:p>
        </w:tc>
        <w:tc>
          <w:tcPr>
            <w:tcW w:w="2052" w:type="dxa"/>
            <w:noWrap w:val="0"/>
            <w:vAlign w:val="top"/>
          </w:tcPr>
          <w:p w14:paraId="53AD7D04">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665FBA7A">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18" w:name="_Toc15213"/>
            <w:r>
              <w:rPr>
                <w:rFonts w:hint="eastAsia" w:ascii="宋体" w:hAnsi="宋体" w:eastAsia="宋体" w:cs="宋体"/>
                <w:b w:val="0"/>
                <w:bCs/>
                <w:color w:val="auto"/>
                <w:sz w:val="24"/>
                <w:szCs w:val="24"/>
                <w:highlight w:val="none"/>
                <w:vertAlign w:val="baseline"/>
                <w:lang w:val="en-US" w:eastAsia="zh-CN"/>
              </w:rPr>
              <w:t>注册资本（万元）</w:t>
            </w:r>
            <w:bookmarkEnd w:id="318"/>
          </w:p>
        </w:tc>
        <w:tc>
          <w:tcPr>
            <w:tcW w:w="3162" w:type="dxa"/>
            <w:noWrap w:val="0"/>
            <w:vAlign w:val="top"/>
          </w:tcPr>
          <w:p w14:paraId="463A218E">
            <w:pPr>
              <w:spacing w:line="360" w:lineRule="auto"/>
              <w:jc w:val="center"/>
              <w:outlineLvl w:val="9"/>
              <w:rPr>
                <w:rFonts w:hint="eastAsia" w:ascii="宋体" w:hAnsi="宋体" w:eastAsia="宋体" w:cs="宋体"/>
                <w:b w:val="0"/>
                <w:bCs/>
                <w:color w:val="auto"/>
                <w:sz w:val="24"/>
                <w:szCs w:val="24"/>
                <w:highlight w:val="none"/>
                <w:vertAlign w:val="baseline"/>
              </w:rPr>
            </w:pPr>
          </w:p>
        </w:tc>
      </w:tr>
      <w:tr w14:paraId="2686BD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8" w:hRule="atLeast"/>
        </w:trPr>
        <w:tc>
          <w:tcPr>
            <w:tcW w:w="1847" w:type="dxa"/>
            <w:noWrap w:val="0"/>
            <w:vAlign w:val="top"/>
          </w:tcPr>
          <w:p w14:paraId="6AC0A4B1">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4E0A4D6D">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19" w:name="_Toc3039"/>
            <w:r>
              <w:rPr>
                <w:rFonts w:hint="eastAsia" w:ascii="宋体" w:hAnsi="宋体" w:eastAsia="宋体" w:cs="宋体"/>
                <w:b w:val="0"/>
                <w:bCs/>
                <w:color w:val="auto"/>
                <w:sz w:val="24"/>
                <w:szCs w:val="24"/>
                <w:highlight w:val="none"/>
                <w:vertAlign w:val="baseline"/>
                <w:lang w:val="en-US" w:eastAsia="zh-CN"/>
              </w:rPr>
              <w:t>注册地址</w:t>
            </w:r>
            <w:bookmarkEnd w:id="319"/>
          </w:p>
        </w:tc>
        <w:tc>
          <w:tcPr>
            <w:tcW w:w="3022" w:type="dxa"/>
            <w:gridSpan w:val="2"/>
            <w:noWrap w:val="0"/>
            <w:vAlign w:val="top"/>
          </w:tcPr>
          <w:p w14:paraId="63092BD0">
            <w:pPr>
              <w:spacing w:line="360" w:lineRule="auto"/>
              <w:jc w:val="center"/>
              <w:outlineLvl w:val="9"/>
              <w:rPr>
                <w:rFonts w:hint="eastAsia" w:ascii="宋体" w:hAnsi="宋体" w:eastAsia="宋体" w:cs="宋体"/>
                <w:b w:val="0"/>
                <w:bCs/>
                <w:color w:val="auto"/>
                <w:sz w:val="24"/>
                <w:szCs w:val="24"/>
                <w:highlight w:val="none"/>
                <w:vertAlign w:val="baseline"/>
              </w:rPr>
            </w:pPr>
          </w:p>
        </w:tc>
        <w:tc>
          <w:tcPr>
            <w:tcW w:w="2052" w:type="dxa"/>
            <w:noWrap w:val="0"/>
            <w:vAlign w:val="top"/>
          </w:tcPr>
          <w:p w14:paraId="6DE6E4D3">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204E6216">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20" w:name="_Toc25998"/>
            <w:r>
              <w:rPr>
                <w:rFonts w:hint="eastAsia" w:ascii="宋体" w:hAnsi="宋体" w:eastAsia="宋体" w:cs="宋体"/>
                <w:b w:val="0"/>
                <w:bCs/>
                <w:color w:val="auto"/>
                <w:sz w:val="24"/>
                <w:szCs w:val="24"/>
                <w:highlight w:val="none"/>
                <w:vertAlign w:val="baseline"/>
                <w:lang w:val="en-US" w:eastAsia="zh-CN"/>
              </w:rPr>
              <w:t>邮编</w:t>
            </w:r>
            <w:bookmarkEnd w:id="320"/>
          </w:p>
        </w:tc>
        <w:tc>
          <w:tcPr>
            <w:tcW w:w="3162" w:type="dxa"/>
            <w:noWrap w:val="0"/>
            <w:vAlign w:val="top"/>
          </w:tcPr>
          <w:p w14:paraId="1D5AFC73">
            <w:pPr>
              <w:spacing w:line="360" w:lineRule="auto"/>
              <w:jc w:val="center"/>
              <w:outlineLvl w:val="9"/>
              <w:rPr>
                <w:rFonts w:hint="eastAsia" w:ascii="宋体" w:hAnsi="宋体" w:eastAsia="宋体" w:cs="宋体"/>
                <w:b w:val="0"/>
                <w:bCs/>
                <w:color w:val="auto"/>
                <w:sz w:val="24"/>
                <w:szCs w:val="24"/>
                <w:highlight w:val="none"/>
                <w:vertAlign w:val="baseline"/>
              </w:rPr>
            </w:pPr>
          </w:p>
        </w:tc>
      </w:tr>
      <w:tr w14:paraId="24DDC4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847" w:type="dxa"/>
            <w:noWrap w:val="0"/>
            <w:vAlign w:val="top"/>
          </w:tcPr>
          <w:p w14:paraId="29B04DFF">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1310D85A">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21" w:name="_Toc17466"/>
            <w:r>
              <w:rPr>
                <w:rFonts w:hint="eastAsia" w:ascii="宋体" w:hAnsi="宋体" w:eastAsia="宋体" w:cs="宋体"/>
                <w:b w:val="0"/>
                <w:bCs/>
                <w:color w:val="auto"/>
                <w:sz w:val="24"/>
                <w:szCs w:val="24"/>
                <w:highlight w:val="none"/>
                <w:vertAlign w:val="baseline"/>
                <w:lang w:val="en-US" w:eastAsia="zh-CN"/>
              </w:rPr>
              <w:t>注册时间</w:t>
            </w:r>
            <w:bookmarkEnd w:id="321"/>
          </w:p>
        </w:tc>
        <w:tc>
          <w:tcPr>
            <w:tcW w:w="3022" w:type="dxa"/>
            <w:gridSpan w:val="2"/>
            <w:noWrap w:val="0"/>
            <w:vAlign w:val="top"/>
          </w:tcPr>
          <w:p w14:paraId="618354E7">
            <w:pPr>
              <w:spacing w:line="360" w:lineRule="auto"/>
              <w:jc w:val="center"/>
              <w:outlineLvl w:val="9"/>
              <w:rPr>
                <w:rFonts w:hint="eastAsia" w:ascii="宋体" w:hAnsi="宋体" w:eastAsia="宋体" w:cs="宋体"/>
                <w:b w:val="0"/>
                <w:bCs/>
                <w:color w:val="auto"/>
                <w:sz w:val="24"/>
                <w:szCs w:val="24"/>
                <w:highlight w:val="none"/>
                <w:vertAlign w:val="baseline"/>
              </w:rPr>
            </w:pPr>
          </w:p>
        </w:tc>
        <w:tc>
          <w:tcPr>
            <w:tcW w:w="2052" w:type="dxa"/>
            <w:noWrap w:val="0"/>
            <w:vAlign w:val="top"/>
          </w:tcPr>
          <w:p w14:paraId="519EA817">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22" w:name="_Toc3938"/>
          </w:p>
          <w:p w14:paraId="36DB311E">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r>
              <w:rPr>
                <w:rFonts w:hint="eastAsia" w:ascii="宋体" w:hAnsi="宋体" w:eastAsia="宋体" w:cs="宋体"/>
                <w:b w:val="0"/>
                <w:bCs/>
                <w:color w:val="auto"/>
                <w:sz w:val="24"/>
                <w:szCs w:val="24"/>
                <w:highlight w:val="none"/>
                <w:vertAlign w:val="baseline"/>
                <w:lang w:val="en-US" w:eastAsia="zh-CN"/>
              </w:rPr>
              <w:t>公司员工总数</w:t>
            </w:r>
            <w:bookmarkEnd w:id="322"/>
          </w:p>
        </w:tc>
        <w:tc>
          <w:tcPr>
            <w:tcW w:w="3162" w:type="dxa"/>
            <w:noWrap w:val="0"/>
            <w:vAlign w:val="top"/>
          </w:tcPr>
          <w:p w14:paraId="21716D87">
            <w:pPr>
              <w:spacing w:line="360" w:lineRule="auto"/>
              <w:jc w:val="center"/>
              <w:outlineLvl w:val="9"/>
              <w:rPr>
                <w:rFonts w:hint="eastAsia" w:ascii="宋体" w:hAnsi="宋体" w:eastAsia="宋体" w:cs="宋体"/>
                <w:b w:val="0"/>
                <w:bCs/>
                <w:color w:val="auto"/>
                <w:sz w:val="24"/>
                <w:szCs w:val="24"/>
                <w:highlight w:val="none"/>
                <w:vertAlign w:val="baseline"/>
              </w:rPr>
            </w:pPr>
          </w:p>
        </w:tc>
      </w:tr>
      <w:tr w14:paraId="7E5A45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trPr>
        <w:tc>
          <w:tcPr>
            <w:tcW w:w="3363" w:type="dxa"/>
            <w:gridSpan w:val="2"/>
            <w:noWrap w:val="0"/>
            <w:vAlign w:val="top"/>
          </w:tcPr>
          <w:p w14:paraId="734DA481">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5F1AA3E8">
            <w:pPr>
              <w:spacing w:line="360" w:lineRule="auto"/>
              <w:jc w:val="both"/>
              <w:outlineLvl w:val="1"/>
              <w:rPr>
                <w:rFonts w:hint="eastAsia" w:ascii="宋体" w:hAnsi="宋体" w:eastAsia="宋体" w:cs="宋体"/>
                <w:b w:val="0"/>
                <w:bCs/>
                <w:color w:val="auto"/>
                <w:sz w:val="24"/>
                <w:szCs w:val="24"/>
                <w:highlight w:val="none"/>
                <w:vertAlign w:val="baseline"/>
              </w:rPr>
            </w:pPr>
            <w:bookmarkStart w:id="323" w:name="_Toc16382"/>
            <w:r>
              <w:rPr>
                <w:rFonts w:hint="eastAsia" w:ascii="宋体" w:hAnsi="宋体" w:eastAsia="宋体" w:cs="宋体"/>
                <w:b w:val="0"/>
                <w:bCs/>
                <w:color w:val="auto"/>
                <w:sz w:val="24"/>
                <w:szCs w:val="24"/>
                <w:highlight w:val="none"/>
                <w:vertAlign w:val="baseline"/>
                <w:lang w:val="en-US" w:eastAsia="zh-CN"/>
              </w:rPr>
              <w:t>营业执照统一信用代码</w:t>
            </w:r>
            <w:bookmarkEnd w:id="323"/>
          </w:p>
        </w:tc>
        <w:tc>
          <w:tcPr>
            <w:tcW w:w="6720" w:type="dxa"/>
            <w:gridSpan w:val="3"/>
            <w:noWrap w:val="0"/>
            <w:vAlign w:val="top"/>
          </w:tcPr>
          <w:p w14:paraId="7BC51137">
            <w:pPr>
              <w:spacing w:line="360" w:lineRule="auto"/>
              <w:jc w:val="center"/>
              <w:outlineLvl w:val="9"/>
              <w:rPr>
                <w:rFonts w:hint="eastAsia" w:ascii="宋体" w:hAnsi="宋体" w:eastAsia="宋体" w:cs="宋体"/>
                <w:b w:val="0"/>
                <w:bCs/>
                <w:color w:val="auto"/>
                <w:sz w:val="24"/>
                <w:szCs w:val="24"/>
                <w:highlight w:val="none"/>
                <w:vertAlign w:val="baseline"/>
              </w:rPr>
            </w:pPr>
          </w:p>
        </w:tc>
      </w:tr>
      <w:tr w14:paraId="425F86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1847" w:type="dxa"/>
            <w:noWrap w:val="0"/>
            <w:vAlign w:val="top"/>
          </w:tcPr>
          <w:p w14:paraId="1CE638CA">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726A4CD2">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24" w:name="_Toc21450"/>
            <w:r>
              <w:rPr>
                <w:rFonts w:hint="eastAsia" w:ascii="宋体" w:hAnsi="宋体" w:eastAsia="宋体" w:cs="宋体"/>
                <w:b w:val="0"/>
                <w:bCs/>
                <w:color w:val="auto"/>
                <w:sz w:val="24"/>
                <w:szCs w:val="24"/>
                <w:highlight w:val="none"/>
                <w:vertAlign w:val="baseline"/>
                <w:lang w:val="en-US" w:eastAsia="zh-CN"/>
              </w:rPr>
              <w:t>开户银行名称</w:t>
            </w:r>
            <w:bookmarkEnd w:id="324"/>
          </w:p>
        </w:tc>
        <w:tc>
          <w:tcPr>
            <w:tcW w:w="3022" w:type="dxa"/>
            <w:gridSpan w:val="2"/>
            <w:noWrap w:val="0"/>
            <w:vAlign w:val="top"/>
          </w:tcPr>
          <w:p w14:paraId="3F247BBE">
            <w:pPr>
              <w:spacing w:line="360" w:lineRule="auto"/>
              <w:jc w:val="center"/>
              <w:outlineLvl w:val="9"/>
              <w:rPr>
                <w:rFonts w:hint="eastAsia" w:ascii="宋体" w:hAnsi="宋体" w:eastAsia="宋体" w:cs="宋体"/>
                <w:b w:val="0"/>
                <w:bCs/>
                <w:color w:val="auto"/>
                <w:sz w:val="24"/>
                <w:szCs w:val="24"/>
                <w:highlight w:val="none"/>
                <w:vertAlign w:val="baseline"/>
              </w:rPr>
            </w:pPr>
          </w:p>
        </w:tc>
        <w:tc>
          <w:tcPr>
            <w:tcW w:w="2052" w:type="dxa"/>
            <w:noWrap w:val="0"/>
            <w:vAlign w:val="top"/>
          </w:tcPr>
          <w:p w14:paraId="014D0EDA">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30C3D62F">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25" w:name="_Toc16670"/>
            <w:r>
              <w:rPr>
                <w:rFonts w:hint="eastAsia" w:ascii="宋体" w:hAnsi="宋体" w:eastAsia="宋体" w:cs="宋体"/>
                <w:b w:val="0"/>
                <w:bCs/>
                <w:color w:val="auto"/>
                <w:sz w:val="24"/>
                <w:szCs w:val="24"/>
                <w:highlight w:val="none"/>
                <w:vertAlign w:val="baseline"/>
                <w:lang w:val="en-US" w:eastAsia="zh-CN"/>
              </w:rPr>
              <w:t>账号</w:t>
            </w:r>
            <w:bookmarkEnd w:id="325"/>
          </w:p>
        </w:tc>
        <w:tc>
          <w:tcPr>
            <w:tcW w:w="3162" w:type="dxa"/>
            <w:noWrap w:val="0"/>
            <w:vAlign w:val="top"/>
          </w:tcPr>
          <w:p w14:paraId="4032FE54">
            <w:pPr>
              <w:spacing w:line="360" w:lineRule="auto"/>
              <w:jc w:val="center"/>
              <w:outlineLvl w:val="9"/>
              <w:rPr>
                <w:rFonts w:hint="eastAsia" w:ascii="宋体" w:hAnsi="宋体" w:eastAsia="宋体" w:cs="宋体"/>
                <w:b w:val="0"/>
                <w:bCs/>
                <w:color w:val="auto"/>
                <w:sz w:val="24"/>
                <w:szCs w:val="24"/>
                <w:highlight w:val="none"/>
                <w:vertAlign w:val="baseline"/>
              </w:rPr>
            </w:pPr>
          </w:p>
        </w:tc>
      </w:tr>
      <w:tr w14:paraId="111BDE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924" w:hRule="atLeast"/>
        </w:trPr>
        <w:tc>
          <w:tcPr>
            <w:tcW w:w="1847" w:type="dxa"/>
            <w:noWrap w:val="0"/>
            <w:vAlign w:val="top"/>
          </w:tcPr>
          <w:p w14:paraId="7EC9120F">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23DE2092">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5D384766">
            <w:pPr>
              <w:spacing w:line="360" w:lineRule="auto"/>
              <w:jc w:val="center"/>
              <w:outlineLvl w:val="9"/>
              <w:rPr>
                <w:rFonts w:hint="eastAsia" w:ascii="宋体" w:hAnsi="宋体" w:eastAsia="宋体" w:cs="宋体"/>
                <w:b w:val="0"/>
                <w:bCs/>
                <w:color w:val="auto"/>
                <w:sz w:val="24"/>
                <w:szCs w:val="24"/>
                <w:highlight w:val="none"/>
                <w:vertAlign w:val="baseline"/>
                <w:lang w:val="en-US" w:eastAsia="zh-CN"/>
              </w:rPr>
            </w:pPr>
          </w:p>
          <w:p w14:paraId="03AC9B26">
            <w:pPr>
              <w:spacing w:line="360" w:lineRule="auto"/>
              <w:jc w:val="center"/>
              <w:outlineLvl w:val="1"/>
              <w:rPr>
                <w:rFonts w:hint="eastAsia" w:ascii="宋体" w:hAnsi="宋体" w:eastAsia="宋体" w:cs="宋体"/>
                <w:b w:val="0"/>
                <w:bCs/>
                <w:color w:val="auto"/>
                <w:sz w:val="24"/>
                <w:szCs w:val="24"/>
                <w:highlight w:val="none"/>
                <w:vertAlign w:val="baseline"/>
                <w:lang w:val="en-US" w:eastAsia="zh-CN"/>
              </w:rPr>
            </w:pPr>
            <w:bookmarkStart w:id="326" w:name="_Toc1577"/>
            <w:r>
              <w:rPr>
                <w:rFonts w:hint="eastAsia" w:ascii="宋体" w:hAnsi="宋体" w:eastAsia="宋体" w:cs="宋体"/>
                <w:b w:val="0"/>
                <w:bCs/>
                <w:color w:val="auto"/>
                <w:sz w:val="24"/>
                <w:szCs w:val="24"/>
                <w:highlight w:val="none"/>
                <w:vertAlign w:val="baseline"/>
                <w:lang w:val="en-US" w:eastAsia="zh-CN"/>
              </w:rPr>
              <w:t>主要经营范围</w:t>
            </w:r>
            <w:bookmarkEnd w:id="326"/>
          </w:p>
        </w:tc>
        <w:tc>
          <w:tcPr>
            <w:tcW w:w="8236" w:type="dxa"/>
            <w:gridSpan w:val="4"/>
            <w:noWrap w:val="0"/>
            <w:vAlign w:val="top"/>
          </w:tcPr>
          <w:p w14:paraId="39CD4893">
            <w:pPr>
              <w:spacing w:line="360" w:lineRule="auto"/>
              <w:jc w:val="center"/>
              <w:outlineLvl w:val="9"/>
              <w:rPr>
                <w:rFonts w:hint="eastAsia" w:ascii="宋体" w:hAnsi="宋体" w:eastAsia="宋体" w:cs="宋体"/>
                <w:b w:val="0"/>
                <w:bCs/>
                <w:color w:val="auto"/>
                <w:sz w:val="24"/>
                <w:szCs w:val="24"/>
                <w:highlight w:val="none"/>
                <w:vertAlign w:val="baseline"/>
              </w:rPr>
            </w:pPr>
          </w:p>
        </w:tc>
      </w:tr>
    </w:tbl>
    <w:p w14:paraId="458F9CF5">
      <w:pPr>
        <w:adjustRightInd w:val="0"/>
        <w:snapToGrid w:val="0"/>
        <w:spacing w:line="360" w:lineRule="auto"/>
        <w:rPr>
          <w:rFonts w:hint="eastAsia" w:ascii="宋体" w:hAnsi="宋体" w:eastAsia="宋体" w:cs="宋体"/>
          <w:b/>
          <w:bCs/>
          <w:color w:val="auto"/>
          <w:sz w:val="24"/>
          <w:szCs w:val="24"/>
          <w:highlight w:val="none"/>
        </w:rPr>
      </w:pPr>
    </w:p>
    <w:p w14:paraId="485F118B">
      <w:pPr>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注：投标人详细填写此表中的内容，</w:t>
      </w:r>
      <w:r>
        <w:rPr>
          <w:rFonts w:hint="eastAsia" w:ascii="宋体" w:hAnsi="宋体" w:eastAsia="宋体" w:cs="宋体"/>
          <w:color w:val="auto"/>
          <w:sz w:val="24"/>
          <w:szCs w:val="24"/>
          <w:highlight w:val="none"/>
          <w:lang w:val="en-US" w:eastAsia="zh-CN"/>
        </w:rPr>
        <w:t>表后须附营业执照、开户许可证等相关证明材料</w:t>
      </w:r>
      <w:r>
        <w:rPr>
          <w:rFonts w:hint="eastAsia" w:ascii="宋体" w:hAnsi="宋体" w:cs="宋体"/>
          <w:color w:val="auto"/>
          <w:sz w:val="24"/>
          <w:szCs w:val="24"/>
          <w:highlight w:val="none"/>
          <w:lang w:val="en-US" w:eastAsia="zh-CN"/>
        </w:rPr>
        <w:t>扫描件</w:t>
      </w:r>
      <w:r>
        <w:rPr>
          <w:rFonts w:hint="eastAsia" w:ascii="宋体" w:hAnsi="宋体" w:eastAsia="宋体" w:cs="宋体"/>
          <w:color w:val="auto"/>
          <w:sz w:val="24"/>
          <w:szCs w:val="24"/>
          <w:highlight w:val="none"/>
        </w:rPr>
        <w:t>。</w:t>
      </w:r>
    </w:p>
    <w:p w14:paraId="51312BE0">
      <w:pPr>
        <w:spacing w:line="360" w:lineRule="auto"/>
        <w:jc w:val="left"/>
        <w:rPr>
          <w:rFonts w:hint="eastAsia" w:ascii="微软雅黑" w:hAnsi="微软雅黑" w:eastAsia="微软雅黑" w:cs="微软雅黑"/>
          <w:b w:val="0"/>
          <w:bCs w:val="0"/>
          <w:color w:val="auto"/>
          <w:sz w:val="24"/>
          <w:szCs w:val="24"/>
          <w:highlight w:val="none"/>
          <w:lang w:eastAsia="zh-CN"/>
        </w:rPr>
      </w:pPr>
    </w:p>
    <w:p w14:paraId="4FCC6D03">
      <w:pPr>
        <w:spacing w:line="360" w:lineRule="auto"/>
        <w:jc w:val="left"/>
        <w:rPr>
          <w:rFonts w:hint="eastAsia" w:ascii="微软雅黑" w:hAnsi="微软雅黑" w:eastAsia="微软雅黑" w:cs="微软雅黑"/>
          <w:b w:val="0"/>
          <w:bCs w:val="0"/>
          <w:color w:val="auto"/>
          <w:sz w:val="24"/>
          <w:szCs w:val="24"/>
          <w:highlight w:val="none"/>
          <w:lang w:eastAsia="zh-CN"/>
        </w:rPr>
      </w:pPr>
    </w:p>
    <w:p w14:paraId="75BFE9B7">
      <w:pPr>
        <w:spacing w:line="360" w:lineRule="auto"/>
        <w:jc w:val="left"/>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lang w:eastAsia="zh-CN"/>
        </w:rPr>
        <w:t>磋商申请</w:t>
      </w:r>
      <w:r>
        <w:rPr>
          <w:rFonts w:hint="eastAsia" w:ascii="微软雅黑" w:hAnsi="微软雅黑" w:eastAsia="微软雅黑" w:cs="微软雅黑"/>
          <w:b w:val="0"/>
          <w:bCs w:val="0"/>
          <w:color w:val="auto"/>
          <w:sz w:val="24"/>
          <w:szCs w:val="24"/>
          <w:highlight w:val="none"/>
        </w:rPr>
        <w:t>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4C630865">
      <w:pPr>
        <w:spacing w:line="360" w:lineRule="auto"/>
        <w:jc w:val="left"/>
        <w:rPr>
          <w:rFonts w:hint="eastAsia" w:ascii="微软雅黑" w:hAnsi="微软雅黑" w:eastAsia="微软雅黑" w:cs="微软雅黑"/>
          <w:b w:val="0"/>
          <w:bCs w:val="0"/>
          <w:color w:val="auto"/>
          <w:sz w:val="24"/>
          <w:szCs w:val="24"/>
          <w:highlight w:val="none"/>
          <w:u w:val="single"/>
        </w:rPr>
      </w:pPr>
      <w:r>
        <w:rPr>
          <w:rFonts w:hint="eastAsia" w:ascii="微软雅黑" w:hAnsi="微软雅黑" w:eastAsia="微软雅黑" w:cs="微软雅黑"/>
          <w:b w:val="0"/>
          <w:bCs w:val="0"/>
          <w:color w:val="auto"/>
          <w:sz w:val="24"/>
          <w:szCs w:val="24"/>
          <w:highlight w:val="none"/>
        </w:rPr>
        <w:t>法定代表人或其委托代理人：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693ACE01">
      <w:pPr>
        <w:spacing w:line="360" w:lineRule="auto"/>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日    期：</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年</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月</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日</w:t>
      </w:r>
    </w:p>
    <w:p w14:paraId="3F3AB057">
      <w:pPr>
        <w:spacing w:line="360" w:lineRule="auto"/>
        <w:jc w:val="center"/>
        <w:outlineLvl w:val="9"/>
        <w:rPr>
          <w:rFonts w:hint="eastAsia" w:ascii="微软雅黑" w:hAnsi="微软雅黑" w:eastAsia="微软雅黑" w:cs="微软雅黑"/>
          <w:b w:val="0"/>
          <w:bCs w:val="0"/>
          <w:color w:val="auto"/>
          <w:sz w:val="28"/>
          <w:szCs w:val="28"/>
          <w:highlight w:val="none"/>
        </w:rPr>
        <w:sectPr>
          <w:footerReference r:id="rId17" w:type="first"/>
          <w:footerReference r:id="rId16" w:type="default"/>
          <w:pgSz w:w="11907" w:h="16840"/>
          <w:pgMar w:top="1077" w:right="1020" w:bottom="1077" w:left="1020" w:header="624" w:footer="624" w:gutter="0"/>
          <w:pgNumType w:fmt="decimal"/>
          <w:cols w:space="425" w:num="1"/>
          <w:titlePg/>
          <w:docGrid w:linePitch="312" w:charSpace="0"/>
        </w:sectPr>
      </w:pPr>
    </w:p>
    <w:p w14:paraId="19CA4E5C">
      <w:pPr>
        <w:pStyle w:val="3"/>
        <w:adjustRightInd w:val="0"/>
        <w:snapToGrid w:val="0"/>
        <w:spacing w:before="0" w:after="0" w:line="360" w:lineRule="auto"/>
        <w:jc w:val="center"/>
        <w:outlineLvl w:val="1"/>
        <w:rPr>
          <w:rFonts w:hint="eastAsia" w:ascii="宋体" w:hAnsi="宋体" w:eastAsia="宋体" w:cs="宋体"/>
          <w:bCs w:val="0"/>
          <w:color w:val="auto"/>
          <w:sz w:val="32"/>
          <w:szCs w:val="32"/>
          <w:highlight w:val="none"/>
        </w:rPr>
      </w:pPr>
      <w:bookmarkStart w:id="327" w:name="_Toc14946"/>
      <w:r>
        <w:rPr>
          <w:rFonts w:hint="eastAsia" w:ascii="宋体" w:hAnsi="宋体" w:eastAsia="宋体" w:cs="宋体"/>
          <w:b/>
          <w:bCs w:val="0"/>
          <w:color w:val="auto"/>
          <w:kern w:val="2"/>
          <w:sz w:val="32"/>
          <w:szCs w:val="32"/>
          <w:highlight w:val="none"/>
          <w:lang w:val="en-US" w:eastAsia="zh-CN" w:bidi="ar-SA"/>
        </w:rPr>
        <w:t>二、</w:t>
      </w:r>
      <w:r>
        <w:rPr>
          <w:rFonts w:hint="eastAsia" w:ascii="宋体" w:hAnsi="宋体" w:eastAsia="宋体" w:cs="宋体"/>
          <w:bCs w:val="0"/>
          <w:color w:val="auto"/>
          <w:sz w:val="32"/>
          <w:szCs w:val="32"/>
          <w:highlight w:val="none"/>
        </w:rPr>
        <w:t>法定代表人</w:t>
      </w:r>
      <w:r>
        <w:rPr>
          <w:rFonts w:hint="eastAsia" w:ascii="宋体" w:hAnsi="宋体" w:eastAsia="宋体" w:cs="宋体"/>
          <w:bCs w:val="0"/>
          <w:color w:val="auto"/>
          <w:sz w:val="32"/>
          <w:szCs w:val="32"/>
          <w:highlight w:val="none"/>
          <w:lang w:eastAsia="zh-CN"/>
        </w:rPr>
        <w:t>（</w:t>
      </w:r>
      <w:r>
        <w:rPr>
          <w:rFonts w:hint="eastAsia" w:ascii="宋体" w:hAnsi="宋体" w:eastAsia="宋体" w:cs="宋体"/>
          <w:bCs w:val="0"/>
          <w:color w:val="auto"/>
          <w:sz w:val="32"/>
          <w:szCs w:val="32"/>
          <w:highlight w:val="none"/>
          <w:lang w:val="en-US" w:eastAsia="zh-CN"/>
        </w:rPr>
        <w:t>或</w:t>
      </w:r>
      <w:r>
        <w:rPr>
          <w:rFonts w:hint="eastAsia" w:ascii="宋体" w:hAnsi="宋体" w:eastAsia="宋体" w:cs="宋体"/>
          <w:bCs w:val="0"/>
          <w:color w:val="auto"/>
          <w:sz w:val="32"/>
          <w:szCs w:val="32"/>
          <w:highlight w:val="none"/>
        </w:rPr>
        <w:t>负责人</w:t>
      </w:r>
      <w:r>
        <w:rPr>
          <w:rFonts w:hint="eastAsia" w:ascii="宋体" w:hAnsi="宋体" w:eastAsia="宋体" w:cs="宋体"/>
          <w:bCs w:val="0"/>
          <w:color w:val="auto"/>
          <w:sz w:val="32"/>
          <w:szCs w:val="32"/>
          <w:highlight w:val="none"/>
          <w:lang w:eastAsia="zh-CN"/>
        </w:rPr>
        <w:t>）</w:t>
      </w:r>
      <w:r>
        <w:rPr>
          <w:rFonts w:hint="eastAsia" w:ascii="宋体" w:hAnsi="宋体" w:eastAsia="宋体" w:cs="宋体"/>
          <w:bCs w:val="0"/>
          <w:color w:val="auto"/>
          <w:sz w:val="32"/>
          <w:szCs w:val="32"/>
          <w:highlight w:val="none"/>
        </w:rPr>
        <w:t>身份证明书</w:t>
      </w:r>
      <w:bookmarkEnd w:id="327"/>
    </w:p>
    <w:p w14:paraId="0CE5F0C9">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w:t>
      </w:r>
      <w:r>
        <w:rPr>
          <w:rFonts w:hint="eastAsia" w:ascii="宋体" w:hAnsi="宋体" w:eastAsia="宋体" w:cs="宋体"/>
          <w:color w:val="auto"/>
          <w:kern w:val="0"/>
          <w:sz w:val="24"/>
          <w:szCs w:val="24"/>
          <w:highlight w:val="none"/>
          <w:u w:val="single"/>
        </w:rPr>
        <w:t xml:space="preserve">                                                     </w:t>
      </w:r>
    </w:p>
    <w:p w14:paraId="626FC215">
      <w:pPr>
        <w:widowControl/>
        <w:adjustRightInd w:val="0"/>
        <w:snapToGrid w:val="0"/>
        <w:spacing w:line="360" w:lineRule="auto"/>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单位性质：</w:t>
      </w:r>
      <w:r>
        <w:rPr>
          <w:rFonts w:hint="eastAsia" w:ascii="宋体" w:hAnsi="宋体" w:eastAsia="宋体" w:cs="宋体"/>
          <w:color w:val="auto"/>
          <w:kern w:val="0"/>
          <w:sz w:val="24"/>
          <w:szCs w:val="24"/>
          <w:highlight w:val="none"/>
          <w:u w:val="single"/>
        </w:rPr>
        <w:t xml:space="preserve">                                                       </w:t>
      </w:r>
    </w:p>
    <w:p w14:paraId="70ACDF13">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地    址：</w:t>
      </w:r>
      <w:r>
        <w:rPr>
          <w:rFonts w:hint="eastAsia" w:ascii="宋体" w:hAnsi="宋体" w:eastAsia="宋体" w:cs="宋体"/>
          <w:color w:val="auto"/>
          <w:kern w:val="0"/>
          <w:sz w:val="24"/>
          <w:szCs w:val="24"/>
          <w:highlight w:val="none"/>
          <w:u w:val="single"/>
        </w:rPr>
        <w:t xml:space="preserve">                                                       </w:t>
      </w:r>
    </w:p>
    <w:p w14:paraId="658A975A">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成立时间：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59BE16D9">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经营期限：</w:t>
      </w:r>
      <w:r>
        <w:rPr>
          <w:rFonts w:hint="eastAsia" w:ascii="宋体" w:hAnsi="宋体" w:eastAsia="宋体" w:cs="宋体"/>
          <w:color w:val="auto"/>
          <w:kern w:val="0"/>
          <w:sz w:val="24"/>
          <w:szCs w:val="24"/>
          <w:highlight w:val="none"/>
          <w:u w:val="single"/>
        </w:rPr>
        <w:t xml:space="preserve">                                                       </w:t>
      </w:r>
    </w:p>
    <w:p w14:paraId="0C2E9563">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姓    名：</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性    别：</w:t>
      </w:r>
      <w:r>
        <w:rPr>
          <w:rFonts w:hint="eastAsia" w:ascii="宋体" w:hAnsi="宋体" w:eastAsia="宋体" w:cs="宋体"/>
          <w:color w:val="auto"/>
          <w:kern w:val="0"/>
          <w:sz w:val="24"/>
          <w:szCs w:val="24"/>
          <w:highlight w:val="none"/>
          <w:u w:val="single"/>
        </w:rPr>
        <w:t xml:space="preserve">               </w:t>
      </w:r>
    </w:p>
    <w:p w14:paraId="6343677E">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年    龄：</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职    务：</w:t>
      </w:r>
      <w:r>
        <w:rPr>
          <w:rFonts w:hint="eastAsia" w:ascii="宋体" w:hAnsi="宋体" w:eastAsia="宋体" w:cs="宋体"/>
          <w:color w:val="auto"/>
          <w:kern w:val="0"/>
          <w:sz w:val="24"/>
          <w:szCs w:val="24"/>
          <w:highlight w:val="none"/>
          <w:u w:val="single"/>
        </w:rPr>
        <w:t xml:space="preserve">               </w:t>
      </w:r>
    </w:p>
    <w:p w14:paraId="08EF75A9">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（投标人名称）的法定代表人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76A46AC">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特此证明。</w:t>
      </w:r>
    </w:p>
    <w:p w14:paraId="32A98EED">
      <w:pPr>
        <w:pStyle w:val="16"/>
        <w:rPr>
          <w:rFonts w:hint="eastAsia" w:ascii="宋体" w:hAnsi="宋体" w:eastAsia="宋体" w:cs="宋体"/>
          <w:color w:val="auto"/>
          <w:highlight w:val="none"/>
        </w:rPr>
      </w:pPr>
    </w:p>
    <w:p w14:paraId="129AA645">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附法定代表人</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lang w:val="en-US" w:eastAsia="zh-CN"/>
        </w:rPr>
        <w:t>或</w:t>
      </w:r>
      <w:r>
        <w:rPr>
          <w:rFonts w:hint="eastAsia" w:ascii="宋体" w:hAnsi="宋体" w:eastAsia="宋体" w:cs="宋体"/>
          <w:b/>
          <w:color w:val="auto"/>
          <w:sz w:val="24"/>
          <w:szCs w:val="24"/>
          <w:highlight w:val="none"/>
        </w:rPr>
        <w:t>负责人</w:t>
      </w:r>
      <w:r>
        <w:rPr>
          <w:rFonts w:hint="eastAsia" w:ascii="宋体" w:hAnsi="宋体" w:eastAsia="宋体" w:cs="宋体"/>
          <w:b/>
          <w:color w:val="auto"/>
          <w:sz w:val="24"/>
          <w:szCs w:val="24"/>
          <w:highlight w:val="none"/>
          <w:lang w:eastAsia="zh-CN"/>
        </w:rPr>
        <w:t>）</w:t>
      </w:r>
      <w:r>
        <w:rPr>
          <w:rFonts w:hint="eastAsia" w:ascii="宋体" w:hAnsi="宋体" w:eastAsia="宋体" w:cs="宋体"/>
          <w:b/>
          <w:color w:val="auto"/>
          <w:sz w:val="24"/>
          <w:szCs w:val="24"/>
          <w:highlight w:val="none"/>
        </w:rPr>
        <w:t>身份证正、反面扫描件</w:t>
      </w:r>
    </w:p>
    <w:p w14:paraId="2029AB5E">
      <w:pPr>
        <w:spacing w:line="360" w:lineRule="auto"/>
        <w:ind w:firstLine="610"/>
        <w:rPr>
          <w:rFonts w:hint="eastAsia" w:ascii="宋体" w:hAnsi="宋体" w:eastAsia="宋体" w:cs="宋体"/>
          <w:color w:val="auto"/>
          <w:sz w:val="24"/>
          <w:szCs w:val="24"/>
          <w:highlight w:val="none"/>
        </w:rPr>
      </w:pPr>
    </w:p>
    <w:tbl>
      <w:tblPr>
        <w:tblStyle w:val="45"/>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4"/>
        <w:gridCol w:w="555"/>
        <w:gridCol w:w="4591"/>
      </w:tblGrid>
      <w:tr w14:paraId="7C825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67" w:hRule="atLeast"/>
          <w:jc w:val="center"/>
        </w:trPr>
        <w:tc>
          <w:tcPr>
            <w:tcW w:w="4594" w:type="dxa"/>
            <w:tcBorders>
              <w:right w:val="single" w:color="auto" w:sz="4" w:space="0"/>
            </w:tcBorders>
            <w:vAlign w:val="center"/>
          </w:tcPr>
          <w:p w14:paraId="54C8627D">
            <w:pPr>
              <w:spacing w:line="360" w:lineRule="auto"/>
              <w:jc w:val="center"/>
              <w:rPr>
                <w:rFonts w:hint="eastAsia" w:ascii="宋体" w:hAnsi="宋体" w:eastAsia="宋体" w:cs="宋体"/>
                <w:color w:val="auto"/>
                <w:sz w:val="24"/>
                <w:szCs w:val="24"/>
                <w:highlight w:val="none"/>
              </w:rPr>
            </w:pPr>
          </w:p>
        </w:tc>
        <w:tc>
          <w:tcPr>
            <w:tcW w:w="555" w:type="dxa"/>
            <w:tcBorders>
              <w:top w:val="nil"/>
              <w:left w:val="single" w:color="auto" w:sz="4" w:space="0"/>
              <w:bottom w:val="nil"/>
              <w:right w:val="single" w:color="auto" w:sz="4" w:space="0"/>
            </w:tcBorders>
            <w:vAlign w:val="center"/>
          </w:tcPr>
          <w:p w14:paraId="7A8546DA">
            <w:pPr>
              <w:spacing w:line="360" w:lineRule="auto"/>
              <w:jc w:val="center"/>
              <w:rPr>
                <w:rFonts w:hint="eastAsia" w:ascii="宋体" w:hAnsi="宋体" w:eastAsia="宋体" w:cs="宋体"/>
                <w:color w:val="auto"/>
                <w:sz w:val="24"/>
                <w:szCs w:val="24"/>
                <w:highlight w:val="none"/>
              </w:rPr>
            </w:pPr>
          </w:p>
        </w:tc>
        <w:tc>
          <w:tcPr>
            <w:tcW w:w="4591" w:type="dxa"/>
            <w:tcBorders>
              <w:left w:val="single" w:color="auto" w:sz="4" w:space="0"/>
            </w:tcBorders>
            <w:vAlign w:val="center"/>
          </w:tcPr>
          <w:p w14:paraId="03EB142F">
            <w:pPr>
              <w:spacing w:line="360" w:lineRule="auto"/>
              <w:jc w:val="center"/>
              <w:rPr>
                <w:rFonts w:hint="eastAsia" w:ascii="宋体" w:hAnsi="宋体" w:eastAsia="宋体" w:cs="宋体"/>
                <w:color w:val="auto"/>
                <w:sz w:val="24"/>
                <w:szCs w:val="24"/>
                <w:highlight w:val="none"/>
              </w:rPr>
            </w:pPr>
          </w:p>
        </w:tc>
      </w:tr>
    </w:tbl>
    <w:p w14:paraId="4679806F">
      <w:pPr>
        <w:widowControl/>
        <w:adjustRightInd w:val="0"/>
        <w:snapToGrid w:val="0"/>
        <w:spacing w:line="360" w:lineRule="auto"/>
        <w:jc w:val="left"/>
        <w:rPr>
          <w:rFonts w:hint="eastAsia" w:ascii="宋体" w:hAnsi="宋体" w:eastAsia="宋体" w:cs="宋体"/>
          <w:color w:val="auto"/>
          <w:kern w:val="0"/>
          <w:sz w:val="24"/>
          <w:szCs w:val="24"/>
          <w:highlight w:val="none"/>
        </w:rPr>
      </w:pPr>
    </w:p>
    <w:p w14:paraId="0F76DAF0">
      <w:pPr>
        <w:widowControl/>
        <w:adjustRightInd w:val="0"/>
        <w:snapToGrid w:val="0"/>
        <w:spacing w:line="360" w:lineRule="auto"/>
        <w:jc w:val="left"/>
        <w:rPr>
          <w:rFonts w:hint="eastAsia" w:ascii="宋体" w:hAnsi="宋体" w:eastAsia="宋体" w:cs="宋体"/>
          <w:color w:val="auto"/>
          <w:kern w:val="0"/>
          <w:sz w:val="24"/>
          <w:szCs w:val="24"/>
          <w:highlight w:val="none"/>
        </w:rPr>
      </w:pPr>
    </w:p>
    <w:p w14:paraId="1519A298">
      <w:pPr>
        <w:widowControl/>
        <w:adjustRightInd w:val="0"/>
        <w:snapToGrid w:val="0"/>
        <w:spacing w:line="360" w:lineRule="auto"/>
        <w:jc w:val="left"/>
        <w:rPr>
          <w:rFonts w:hint="eastAsia" w:ascii="宋体" w:hAnsi="宋体" w:eastAsia="宋体" w:cs="宋体"/>
          <w:color w:val="auto"/>
          <w:kern w:val="0"/>
          <w:sz w:val="24"/>
          <w:szCs w:val="24"/>
          <w:highlight w:val="none"/>
        </w:rPr>
      </w:pPr>
    </w:p>
    <w:p w14:paraId="08E659F7">
      <w:pPr>
        <w:widowControl/>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sz w:val="24"/>
          <w:szCs w:val="24"/>
          <w:highlight w:val="none"/>
        </w:rPr>
        <w:t>（电子签章）</w:t>
      </w:r>
    </w:p>
    <w:p w14:paraId="77925167">
      <w:pPr>
        <w:pStyle w:val="33"/>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    期：</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56339D39">
      <w:pPr>
        <w:widowControl/>
        <w:wordWrap w:val="0"/>
        <w:adjustRightInd w:val="0"/>
        <w:snapToGrid w:val="0"/>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p>
    <w:p w14:paraId="639E0548">
      <w:pPr>
        <w:widowControl/>
        <w:wordWrap w:val="0"/>
        <w:adjustRightInd w:val="0"/>
        <w:snapToGrid w:val="0"/>
        <w:spacing w:line="360" w:lineRule="auto"/>
        <w:rPr>
          <w:rFonts w:hint="eastAsia" w:ascii="宋体" w:hAnsi="宋体" w:eastAsia="宋体" w:cs="宋体"/>
          <w:color w:val="auto"/>
          <w:kern w:val="0"/>
          <w:sz w:val="24"/>
          <w:szCs w:val="24"/>
          <w:highlight w:val="none"/>
        </w:rPr>
      </w:pPr>
    </w:p>
    <w:p w14:paraId="6607D818">
      <w:pPr>
        <w:widowControl/>
        <w:wordWrap w:val="0"/>
        <w:adjustRightInd w:val="0"/>
        <w:snapToGrid w:val="0"/>
        <w:spacing w:line="360" w:lineRule="auto"/>
        <w:rPr>
          <w:rFonts w:hint="eastAsia" w:ascii="宋体" w:hAnsi="宋体" w:eastAsia="宋体" w:cs="宋体"/>
          <w:color w:val="auto"/>
          <w:kern w:val="0"/>
          <w:sz w:val="24"/>
          <w:szCs w:val="24"/>
          <w:highlight w:val="none"/>
        </w:rPr>
      </w:pPr>
    </w:p>
    <w:p w14:paraId="0E19A296">
      <w:pPr>
        <w:widowControl/>
        <w:wordWrap w:val="0"/>
        <w:adjustRightInd w:val="0"/>
        <w:snapToGrid w:val="0"/>
        <w:spacing w:line="360" w:lineRule="auto"/>
        <w:rPr>
          <w:rFonts w:hint="eastAsia" w:ascii="宋体" w:hAnsi="宋体" w:eastAsia="宋体" w:cs="宋体"/>
          <w:color w:val="auto"/>
          <w:kern w:val="0"/>
          <w:sz w:val="24"/>
          <w:szCs w:val="24"/>
          <w:highlight w:val="none"/>
        </w:rPr>
      </w:pPr>
    </w:p>
    <w:p w14:paraId="2A483D6E">
      <w:pPr>
        <w:widowControl/>
        <w:wordWrap w:val="0"/>
        <w:adjustRightInd w:val="0"/>
        <w:snapToGrid w:val="0"/>
        <w:spacing w:line="360" w:lineRule="auto"/>
        <w:rPr>
          <w:rFonts w:hint="eastAsia" w:ascii="宋体" w:hAnsi="宋体" w:eastAsia="宋体" w:cs="宋体"/>
          <w:color w:val="auto"/>
          <w:kern w:val="0"/>
          <w:sz w:val="24"/>
          <w:szCs w:val="24"/>
          <w:highlight w:val="none"/>
        </w:rPr>
      </w:pPr>
    </w:p>
    <w:p w14:paraId="07CF949C">
      <w:pPr>
        <w:widowControl/>
        <w:wordWrap w:val="0"/>
        <w:adjustRightInd w:val="0"/>
        <w:snapToGrid w:val="0"/>
        <w:spacing w:line="360" w:lineRule="auto"/>
        <w:rPr>
          <w:rFonts w:hint="eastAsia" w:ascii="宋体" w:hAnsi="宋体" w:eastAsia="宋体" w:cs="宋体"/>
          <w:color w:val="auto"/>
          <w:kern w:val="0"/>
          <w:sz w:val="24"/>
          <w:szCs w:val="24"/>
          <w:highlight w:val="none"/>
        </w:rPr>
      </w:pPr>
    </w:p>
    <w:p w14:paraId="3474C3C9">
      <w:pPr>
        <w:widowControl/>
        <w:wordWrap w:val="0"/>
        <w:adjustRightInd w:val="0"/>
        <w:snapToGrid w:val="0"/>
        <w:spacing w:line="360" w:lineRule="auto"/>
        <w:rPr>
          <w:rFonts w:hint="eastAsia" w:ascii="宋体" w:hAnsi="宋体" w:eastAsia="宋体" w:cs="宋体"/>
          <w:color w:val="auto"/>
          <w:kern w:val="0"/>
          <w:sz w:val="24"/>
          <w:szCs w:val="24"/>
          <w:highlight w:val="none"/>
        </w:rPr>
      </w:pPr>
    </w:p>
    <w:p w14:paraId="38DB6F1B">
      <w:pPr>
        <w:pStyle w:val="3"/>
        <w:adjustRightInd w:val="0"/>
        <w:snapToGrid w:val="0"/>
        <w:spacing w:before="0" w:after="0" w:line="360" w:lineRule="auto"/>
        <w:jc w:val="center"/>
        <w:outlineLvl w:val="1"/>
        <w:rPr>
          <w:rFonts w:hint="eastAsia" w:ascii="宋体" w:hAnsi="宋体" w:eastAsia="宋体" w:cs="宋体"/>
          <w:bCs w:val="0"/>
          <w:color w:val="auto"/>
          <w:sz w:val="32"/>
          <w:szCs w:val="32"/>
          <w:highlight w:val="none"/>
        </w:rPr>
      </w:pPr>
      <w:bookmarkStart w:id="328" w:name="_Toc21596"/>
      <w:bookmarkStart w:id="329" w:name="_Toc494377184"/>
      <w:bookmarkStart w:id="330" w:name="_Toc2515"/>
      <w:bookmarkStart w:id="331" w:name="_Toc3956"/>
      <w:r>
        <w:rPr>
          <w:rFonts w:hint="eastAsia" w:ascii="宋体" w:hAnsi="宋体" w:eastAsia="宋体" w:cs="宋体"/>
          <w:bCs w:val="0"/>
          <w:color w:val="auto"/>
          <w:sz w:val="32"/>
          <w:szCs w:val="32"/>
          <w:highlight w:val="none"/>
          <w:lang w:val="en-US" w:eastAsia="zh-CN"/>
        </w:rPr>
        <w:t>三、</w:t>
      </w:r>
      <w:r>
        <w:rPr>
          <w:rFonts w:hint="eastAsia" w:ascii="宋体" w:hAnsi="宋体" w:eastAsia="宋体" w:cs="宋体"/>
          <w:bCs w:val="0"/>
          <w:color w:val="auto"/>
          <w:sz w:val="32"/>
          <w:szCs w:val="32"/>
          <w:highlight w:val="none"/>
        </w:rPr>
        <w:t>授权委托书</w:t>
      </w:r>
      <w:bookmarkEnd w:id="328"/>
      <w:bookmarkEnd w:id="329"/>
      <w:bookmarkEnd w:id="330"/>
      <w:bookmarkEnd w:id="331"/>
    </w:p>
    <w:p w14:paraId="3E8D2F5B">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（姓名）系</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（投标人名称）的法定代表人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，现委托 </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（姓名）为我方代理人。代理人根据授权，以我方名义签署、澄清、说明、补正、递交、撤回、修改</w:t>
      </w:r>
      <w:r>
        <w:rPr>
          <w:rFonts w:hint="eastAsia" w:ascii="宋体" w:hAnsi="宋体" w:eastAsia="宋体" w:cs="宋体"/>
          <w:color w:val="auto"/>
          <w:kern w:val="0"/>
          <w:sz w:val="24"/>
          <w:szCs w:val="24"/>
          <w:highlight w:val="none"/>
          <w:u w:val="single"/>
        </w:rPr>
        <w:t xml:space="preserve">                     （项目名称）              </w:t>
      </w:r>
      <w:r>
        <w:rPr>
          <w:rFonts w:hint="eastAsia" w:ascii="宋体" w:hAnsi="宋体" w:eastAsia="宋体" w:cs="宋体"/>
          <w:color w:val="auto"/>
          <w:kern w:val="0"/>
          <w:sz w:val="24"/>
          <w:szCs w:val="24"/>
          <w:highlight w:val="none"/>
        </w:rPr>
        <w:t>投标文件，其法律后果由我方承担。</w:t>
      </w:r>
    </w:p>
    <w:p w14:paraId="5BD3DCE2">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u w:val="none"/>
          <w:lang w:val="en-US" w:eastAsia="zh-CN"/>
        </w:rPr>
      </w:pPr>
      <w:r>
        <w:rPr>
          <w:rFonts w:hint="eastAsia" w:ascii="宋体" w:hAnsi="宋体" w:eastAsia="宋体" w:cs="宋体"/>
          <w:color w:val="auto"/>
          <w:kern w:val="0"/>
          <w:sz w:val="24"/>
          <w:szCs w:val="24"/>
          <w:highlight w:val="none"/>
        </w:rPr>
        <w:t>委托期限：</w:t>
      </w:r>
      <w:r>
        <w:rPr>
          <w:rFonts w:hint="eastAsia" w:ascii="宋体" w:hAnsi="宋体" w:eastAsia="宋体" w:cs="宋体"/>
          <w:color w:val="auto"/>
          <w:kern w:val="0"/>
          <w:sz w:val="24"/>
          <w:szCs w:val="24"/>
          <w:highlight w:val="none"/>
          <w:u w:val="single"/>
        </w:rPr>
        <w:t xml:space="preserve">           </w:t>
      </w:r>
      <w:r>
        <w:rPr>
          <w:rFonts w:hint="eastAsia" w:ascii="宋体" w:hAnsi="宋体" w:cs="宋体"/>
          <w:color w:val="auto"/>
          <w:kern w:val="0"/>
          <w:sz w:val="24"/>
          <w:szCs w:val="24"/>
          <w:highlight w:val="none"/>
          <w:u w:val="none"/>
          <w:lang w:val="en-US" w:eastAsia="zh-CN"/>
        </w:rPr>
        <w:t>日历天；</w:t>
      </w:r>
    </w:p>
    <w:p w14:paraId="389F15A7">
      <w:pPr>
        <w:keepNext w:val="0"/>
        <w:keepLines w:val="0"/>
        <w:pageBreakBefore w:val="0"/>
        <w:widowControl w:val="0"/>
        <w:kinsoku/>
        <w:wordWrap/>
        <w:overflowPunct/>
        <w:topLinePunct w:val="0"/>
        <w:autoSpaceDE/>
        <w:autoSpaceDN/>
        <w:bidi w:val="0"/>
        <w:adjustRightInd/>
        <w:snapToGrid/>
        <w:spacing w:line="360" w:lineRule="auto"/>
        <w:textAlignment w:val="auto"/>
        <w:outlineLvl w:val="9"/>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附委托代理人身份证扫描件</w:t>
      </w:r>
    </w:p>
    <w:tbl>
      <w:tblPr>
        <w:tblStyle w:val="45"/>
        <w:tblW w:w="97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594"/>
        <w:gridCol w:w="555"/>
        <w:gridCol w:w="4591"/>
      </w:tblGrid>
      <w:tr w14:paraId="08258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12" w:hRule="atLeast"/>
          <w:jc w:val="center"/>
        </w:trPr>
        <w:tc>
          <w:tcPr>
            <w:tcW w:w="4594" w:type="dxa"/>
            <w:tcBorders>
              <w:right w:val="single" w:color="auto" w:sz="4" w:space="0"/>
            </w:tcBorders>
            <w:vAlign w:val="center"/>
          </w:tcPr>
          <w:p w14:paraId="3C092A78">
            <w:pPr>
              <w:spacing w:line="360" w:lineRule="auto"/>
              <w:jc w:val="center"/>
              <w:rPr>
                <w:rFonts w:hint="eastAsia" w:ascii="宋体" w:hAnsi="宋体" w:eastAsia="宋体" w:cs="宋体"/>
                <w:color w:val="auto"/>
                <w:sz w:val="24"/>
                <w:szCs w:val="24"/>
                <w:highlight w:val="none"/>
              </w:rPr>
            </w:pPr>
          </w:p>
        </w:tc>
        <w:tc>
          <w:tcPr>
            <w:tcW w:w="555" w:type="dxa"/>
            <w:tcBorders>
              <w:top w:val="nil"/>
              <w:left w:val="single" w:color="auto" w:sz="4" w:space="0"/>
              <w:bottom w:val="nil"/>
              <w:right w:val="single" w:color="auto" w:sz="4" w:space="0"/>
            </w:tcBorders>
            <w:vAlign w:val="center"/>
          </w:tcPr>
          <w:p w14:paraId="505C5FAE">
            <w:pPr>
              <w:spacing w:line="360" w:lineRule="auto"/>
              <w:jc w:val="center"/>
              <w:rPr>
                <w:rFonts w:hint="eastAsia" w:ascii="宋体" w:hAnsi="宋体" w:eastAsia="宋体" w:cs="宋体"/>
                <w:color w:val="auto"/>
                <w:sz w:val="24"/>
                <w:szCs w:val="24"/>
                <w:highlight w:val="none"/>
              </w:rPr>
            </w:pPr>
          </w:p>
        </w:tc>
        <w:tc>
          <w:tcPr>
            <w:tcW w:w="4591" w:type="dxa"/>
            <w:tcBorders>
              <w:left w:val="single" w:color="auto" w:sz="4" w:space="0"/>
            </w:tcBorders>
            <w:vAlign w:val="center"/>
          </w:tcPr>
          <w:p w14:paraId="7D1FC0A8">
            <w:pPr>
              <w:spacing w:line="360" w:lineRule="auto"/>
              <w:jc w:val="center"/>
              <w:rPr>
                <w:rFonts w:hint="eastAsia" w:ascii="宋体" w:hAnsi="宋体" w:eastAsia="宋体" w:cs="宋体"/>
                <w:color w:val="auto"/>
                <w:sz w:val="24"/>
                <w:szCs w:val="24"/>
                <w:highlight w:val="none"/>
              </w:rPr>
            </w:pPr>
          </w:p>
        </w:tc>
      </w:tr>
    </w:tbl>
    <w:p w14:paraId="5E047CB8">
      <w:pPr>
        <w:widowControl/>
        <w:wordWrap w:val="0"/>
        <w:adjustRightInd w:val="0"/>
        <w:snapToGrid w:val="0"/>
        <w:spacing w:line="360" w:lineRule="auto"/>
        <w:jc w:val="left"/>
        <w:rPr>
          <w:rFonts w:hint="eastAsia" w:ascii="宋体" w:hAnsi="宋体" w:eastAsia="宋体" w:cs="宋体"/>
          <w:color w:val="auto"/>
          <w:kern w:val="0"/>
          <w:sz w:val="24"/>
          <w:szCs w:val="24"/>
          <w:highlight w:val="none"/>
        </w:rPr>
      </w:pPr>
    </w:p>
    <w:p w14:paraId="4A9EF137">
      <w:pPr>
        <w:widowControl/>
        <w:wordWrap w:val="0"/>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磋商申请人</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（电子签章）</w:t>
      </w:r>
    </w:p>
    <w:p w14:paraId="3F9271CD">
      <w:pPr>
        <w:widowControl/>
        <w:wordWrap w:val="0"/>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（电子签章）</w:t>
      </w:r>
    </w:p>
    <w:p w14:paraId="2D4D2CC1">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u w:val="single"/>
        </w:rPr>
        <w:t xml:space="preserve">                          </w:t>
      </w:r>
    </w:p>
    <w:p w14:paraId="2477E55D">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授权委托代理人：</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（签字）</w:t>
      </w:r>
    </w:p>
    <w:p w14:paraId="301474C7">
      <w:pPr>
        <w:widowControl/>
        <w:tabs>
          <w:tab w:val="left" w:pos="8460"/>
        </w:tabs>
        <w:wordWrap w:val="0"/>
        <w:adjustRightInd w:val="0"/>
        <w:snapToGrid w:val="0"/>
        <w:spacing w:line="360" w:lineRule="auto"/>
        <w:jc w:val="left"/>
        <w:rPr>
          <w:rFonts w:hint="eastAsia" w:ascii="宋体" w:hAnsi="宋体" w:eastAsia="宋体" w:cs="宋体"/>
          <w:color w:val="auto"/>
          <w:kern w:val="0"/>
          <w:sz w:val="24"/>
          <w:szCs w:val="24"/>
          <w:highlight w:val="none"/>
          <w:u w:val="single"/>
        </w:rPr>
      </w:pP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u w:val="single"/>
        </w:rPr>
        <w:t xml:space="preserve">                          </w:t>
      </w:r>
    </w:p>
    <w:p w14:paraId="1A35DA30">
      <w:pPr>
        <w:pStyle w:val="16"/>
        <w:rPr>
          <w:rFonts w:hint="eastAsia" w:ascii="宋体" w:hAnsi="宋体" w:eastAsia="宋体" w:cs="宋体"/>
          <w:color w:val="auto"/>
          <w:highlight w:val="none"/>
          <w:u w:val="single"/>
        </w:rPr>
      </w:pPr>
      <w:r>
        <w:rPr>
          <w:rFonts w:hint="eastAsia" w:ascii="宋体" w:hAnsi="宋体" w:eastAsia="宋体" w:cs="宋体"/>
          <w:color w:val="auto"/>
          <w:sz w:val="24"/>
          <w:szCs w:val="24"/>
          <w:highlight w:val="none"/>
        </w:rPr>
        <w:t>授权委托代理人联系电话：</w:t>
      </w:r>
      <w:r>
        <w:rPr>
          <w:rFonts w:hint="eastAsia" w:ascii="宋体" w:hAnsi="宋体" w:eastAsia="宋体" w:cs="宋体"/>
          <w:color w:val="auto"/>
          <w:sz w:val="24"/>
          <w:szCs w:val="24"/>
          <w:highlight w:val="none"/>
          <w:u w:val="single"/>
        </w:rPr>
        <w:t xml:space="preserve">              </w:t>
      </w:r>
    </w:p>
    <w:p w14:paraId="5EDC0DC1">
      <w:pPr>
        <w:keepNext/>
        <w:keepLines/>
        <w:widowControl/>
        <w:spacing w:line="360" w:lineRule="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授权委托日期：    年    月    日</w:t>
      </w:r>
    </w:p>
    <w:p w14:paraId="4CF25D08">
      <w:pPr>
        <w:widowControl/>
        <w:adjustRightInd w:val="0"/>
        <w:snapToGrid w:val="0"/>
        <w:spacing w:after="0" w:line="360" w:lineRule="auto"/>
        <w:rPr>
          <w:rFonts w:hint="eastAsia" w:ascii="宋体" w:hAnsi="宋体" w:eastAsia="宋体" w:cs="宋体"/>
          <w:bCs/>
          <w:color w:val="auto"/>
          <w:kern w:val="0"/>
          <w:sz w:val="24"/>
          <w:szCs w:val="24"/>
          <w:highlight w:val="none"/>
        </w:rPr>
      </w:pPr>
      <w:r>
        <w:rPr>
          <w:rFonts w:hint="eastAsia" w:ascii="宋体" w:hAnsi="宋体" w:eastAsia="宋体" w:cs="宋体"/>
          <w:b/>
          <w:color w:val="auto"/>
          <w:kern w:val="0"/>
          <w:sz w:val="24"/>
          <w:szCs w:val="24"/>
          <w:highlight w:val="none"/>
        </w:rPr>
        <w:t>注：</w:t>
      </w:r>
      <w:r>
        <w:rPr>
          <w:rFonts w:hint="eastAsia" w:ascii="宋体" w:hAnsi="宋体" w:eastAsia="宋体" w:cs="宋体"/>
          <w:bCs/>
          <w:color w:val="auto"/>
          <w:kern w:val="0"/>
          <w:sz w:val="24"/>
          <w:szCs w:val="24"/>
          <w:highlight w:val="none"/>
        </w:rPr>
        <w:t>如投标人由法定代表人</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lang w:val="en-US" w:eastAsia="zh-CN"/>
        </w:rPr>
        <w:t>或</w:t>
      </w:r>
      <w:r>
        <w:rPr>
          <w:rFonts w:hint="eastAsia" w:ascii="宋体" w:hAnsi="宋体" w:eastAsia="宋体" w:cs="宋体"/>
          <w:bCs/>
          <w:color w:val="auto"/>
          <w:kern w:val="0"/>
          <w:sz w:val="24"/>
          <w:szCs w:val="24"/>
          <w:highlight w:val="none"/>
        </w:rPr>
        <w:t>负责人</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亲自签署</w:t>
      </w:r>
      <w:r>
        <w:rPr>
          <w:rFonts w:hint="eastAsia" w:ascii="宋体" w:hAnsi="宋体" w:eastAsia="宋体" w:cs="宋体"/>
          <w:bCs/>
          <w:color w:val="auto"/>
          <w:kern w:val="0"/>
          <w:sz w:val="24"/>
          <w:szCs w:val="24"/>
          <w:highlight w:val="none"/>
          <w:lang w:eastAsia="zh-CN"/>
        </w:rPr>
        <w:t>投标文件</w:t>
      </w:r>
      <w:r>
        <w:rPr>
          <w:rFonts w:hint="eastAsia" w:ascii="宋体" w:hAnsi="宋体" w:eastAsia="宋体" w:cs="宋体"/>
          <w:bCs/>
          <w:color w:val="auto"/>
          <w:kern w:val="0"/>
          <w:sz w:val="24"/>
          <w:szCs w:val="24"/>
          <w:highlight w:val="none"/>
        </w:rPr>
        <w:t>并参与相关活动，则不需要</w:t>
      </w:r>
      <w:r>
        <w:rPr>
          <w:rFonts w:hint="eastAsia" w:ascii="宋体" w:hAnsi="宋体" w:eastAsia="宋体" w:cs="宋体"/>
          <w:bCs/>
          <w:color w:val="auto"/>
          <w:kern w:val="0"/>
          <w:sz w:val="24"/>
          <w:szCs w:val="24"/>
          <w:highlight w:val="none"/>
          <w:lang w:val="en-US" w:eastAsia="zh-CN"/>
        </w:rPr>
        <w:t>提供</w:t>
      </w:r>
      <w:r>
        <w:rPr>
          <w:rFonts w:hint="eastAsia" w:ascii="宋体" w:hAnsi="宋体" w:eastAsia="宋体" w:cs="宋体"/>
          <w:bCs/>
          <w:color w:val="auto"/>
          <w:kern w:val="0"/>
          <w:sz w:val="24"/>
          <w:szCs w:val="24"/>
          <w:highlight w:val="none"/>
        </w:rPr>
        <w:t>授权</w:t>
      </w:r>
      <w:r>
        <w:rPr>
          <w:rFonts w:hint="eastAsia" w:ascii="宋体" w:hAnsi="宋体" w:eastAsia="宋体" w:cs="宋体"/>
          <w:bCs/>
          <w:color w:val="auto"/>
          <w:kern w:val="0"/>
          <w:sz w:val="24"/>
          <w:szCs w:val="24"/>
          <w:highlight w:val="none"/>
          <w:lang w:val="en-US" w:eastAsia="zh-CN"/>
        </w:rPr>
        <w:t>委托书</w:t>
      </w:r>
      <w:r>
        <w:rPr>
          <w:rFonts w:hint="eastAsia" w:ascii="宋体" w:hAnsi="宋体" w:eastAsia="宋体" w:cs="宋体"/>
          <w:bCs/>
          <w:color w:val="auto"/>
          <w:kern w:val="0"/>
          <w:sz w:val="24"/>
          <w:szCs w:val="24"/>
          <w:highlight w:val="none"/>
        </w:rPr>
        <w:t>。</w:t>
      </w:r>
    </w:p>
    <w:p w14:paraId="46575660">
      <w:pPr>
        <w:keepNext w:val="0"/>
        <w:keepLines w:val="0"/>
        <w:pageBreakBefore w:val="0"/>
        <w:widowControl/>
        <w:kinsoku/>
        <w:wordWrap/>
        <w:overflowPunct/>
        <w:topLinePunct w:val="0"/>
        <w:autoSpaceDE/>
        <w:autoSpaceDN/>
        <w:bidi w:val="0"/>
        <w:adjustRightInd w:val="0"/>
        <w:snapToGrid w:val="0"/>
        <w:spacing w:after="0" w:line="360" w:lineRule="auto"/>
        <w:ind w:firstLine="408" w:firstLineChars="170"/>
        <w:textAlignment w:val="auto"/>
        <w:outlineLvl w:val="9"/>
        <w:rPr>
          <w:rFonts w:hint="eastAsia" w:ascii="宋体" w:hAnsi="宋体" w:eastAsia="宋体" w:cs="宋体"/>
          <w:bCs/>
          <w:color w:val="auto"/>
          <w:kern w:val="0"/>
          <w:sz w:val="24"/>
          <w:szCs w:val="24"/>
          <w:highlight w:val="none"/>
        </w:rPr>
      </w:pPr>
    </w:p>
    <w:p w14:paraId="0202A904">
      <w:pPr>
        <w:pStyle w:val="3"/>
        <w:adjustRightInd w:val="0"/>
        <w:snapToGrid w:val="0"/>
        <w:spacing w:before="0" w:after="0" w:line="360" w:lineRule="auto"/>
        <w:jc w:val="center"/>
        <w:outlineLvl w:val="9"/>
        <w:rPr>
          <w:rFonts w:hint="eastAsia" w:ascii="宋体" w:hAnsi="宋体" w:eastAsia="宋体" w:cs="宋体"/>
          <w:color w:val="auto"/>
          <w:sz w:val="24"/>
          <w:szCs w:val="24"/>
          <w:highlight w:val="none"/>
        </w:rPr>
        <w:sectPr>
          <w:pgSz w:w="11906" w:h="16838"/>
          <w:pgMar w:top="1077" w:right="1077" w:bottom="1077" w:left="1077" w:header="851" w:footer="992" w:gutter="0"/>
          <w:cols w:space="708" w:num="1"/>
          <w:docGrid w:linePitch="312" w:charSpace="0"/>
        </w:sectPr>
      </w:pPr>
      <w:bookmarkStart w:id="332" w:name="_Toc23344"/>
      <w:bookmarkStart w:id="333" w:name="_Toc6419"/>
      <w:bookmarkStart w:id="334" w:name="_Toc494377185"/>
    </w:p>
    <w:p w14:paraId="16C327D9">
      <w:pPr>
        <w:pStyle w:val="3"/>
        <w:adjustRightInd w:val="0"/>
        <w:snapToGrid w:val="0"/>
        <w:spacing w:before="0" w:after="0" w:line="360" w:lineRule="auto"/>
        <w:jc w:val="center"/>
        <w:outlineLvl w:val="1"/>
        <w:rPr>
          <w:rFonts w:hint="eastAsia" w:ascii="宋体" w:hAnsi="宋体" w:eastAsia="宋体" w:cs="宋体"/>
          <w:color w:val="auto"/>
          <w:sz w:val="32"/>
          <w:szCs w:val="32"/>
          <w:highlight w:val="none"/>
        </w:rPr>
      </w:pPr>
      <w:bookmarkStart w:id="335" w:name="_Toc24682"/>
      <w:r>
        <w:rPr>
          <w:rFonts w:hint="eastAsia" w:ascii="宋体" w:hAnsi="宋体" w:eastAsia="宋体" w:cs="宋体"/>
          <w:color w:val="auto"/>
          <w:sz w:val="32"/>
          <w:szCs w:val="32"/>
          <w:highlight w:val="none"/>
          <w:lang w:val="en-US" w:eastAsia="zh-CN"/>
        </w:rPr>
        <w:t>四、</w:t>
      </w:r>
      <w:r>
        <w:rPr>
          <w:rFonts w:hint="eastAsia" w:ascii="宋体" w:hAnsi="宋体" w:eastAsia="宋体" w:cs="宋体"/>
          <w:color w:val="auto"/>
          <w:sz w:val="32"/>
          <w:szCs w:val="32"/>
          <w:highlight w:val="none"/>
        </w:rPr>
        <w:t>廉政承诺书</w:t>
      </w:r>
      <w:bookmarkEnd w:id="332"/>
      <w:bookmarkEnd w:id="335"/>
    </w:p>
    <w:p w14:paraId="4E51ACBA">
      <w:pPr>
        <w:adjustRightInd w:val="0"/>
        <w:snapToGrid w:val="0"/>
        <w:spacing w:after="0"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本企业参与本项目的投标人，现作如下承诺：</w:t>
      </w:r>
    </w:p>
    <w:p w14:paraId="02BA86B8">
      <w:pPr>
        <w:keepNext w:val="0"/>
        <w:keepLines w:val="0"/>
        <w:pageBreakBefore w:val="0"/>
        <w:widowControl w:val="0"/>
        <w:kinsoku/>
        <w:wordWrap/>
        <w:overflowPunct/>
        <w:topLinePunct w:val="0"/>
        <w:autoSpaceDE/>
        <w:autoSpaceDN/>
        <w:bidi w:val="0"/>
        <w:adjustRightInd w:val="0"/>
        <w:snapToGrid w:val="0"/>
        <w:spacing w:after="0" w:line="360" w:lineRule="auto"/>
        <w:ind w:firstLine="720" w:firstLineChars="3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1、所提供的一切材料都是真实、有效、合法的。</w:t>
      </w:r>
    </w:p>
    <w:p w14:paraId="5C9DA400">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2、不与其他投标人串通投标，不损害采购人或其他投标人的合法权益。</w:t>
      </w:r>
    </w:p>
    <w:p w14:paraId="2B57443C">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3、不转让、出租、出借资质证书、人员岗位证书或以其他方式允许他人以本企业名义投标。</w:t>
      </w:r>
    </w:p>
    <w:p w14:paraId="74190ADB">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4、不与采购人或招标代理机构串通投标，损害国家利益、社会公共利益或者他人的合法权益。</w:t>
      </w:r>
    </w:p>
    <w:p w14:paraId="51F73811">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5、不向采购人、评标委员会成员、监督人员行贿。</w:t>
      </w:r>
    </w:p>
    <w:p w14:paraId="64A9F503">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6、不扰乱招标投标活动正常秩序。</w:t>
      </w:r>
    </w:p>
    <w:p w14:paraId="2AF2F16F">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7、不进行虚假恶意投诉。</w:t>
      </w:r>
    </w:p>
    <w:p w14:paraId="28783A33">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8、因违反</w:t>
      </w:r>
      <w:r>
        <w:rPr>
          <w:rFonts w:hint="eastAsia" w:ascii="宋体" w:hAnsi="宋体" w:eastAsia="宋体" w:cs="宋体"/>
          <w:color w:val="auto"/>
          <w:sz w:val="24"/>
          <w:szCs w:val="24"/>
          <w:highlight w:val="none"/>
          <w:lang w:eastAsia="zh-CN"/>
        </w:rPr>
        <w:t>法律法规</w:t>
      </w:r>
      <w:r>
        <w:rPr>
          <w:rFonts w:hint="eastAsia" w:ascii="宋体" w:hAnsi="宋体" w:eastAsia="宋体" w:cs="宋体"/>
          <w:color w:val="auto"/>
          <w:sz w:val="24"/>
          <w:szCs w:val="24"/>
          <w:highlight w:val="none"/>
        </w:rPr>
        <w:t>、规章被查处的，不干预案件查处。</w:t>
      </w:r>
    </w:p>
    <w:p w14:paraId="2D65F28E">
      <w:pPr>
        <w:adjustRightInd w:val="0"/>
        <w:snapToGrid w:val="0"/>
        <w:spacing w:after="0" w:line="360" w:lineRule="auto"/>
        <w:ind w:firstLine="720" w:firstLineChars="3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如出现上述行为，本投标人自愿承担相关责任，接受招标投标监督管理部门、纪检监察部门或司法机关调查处理。给采购人造成损失的，依法承担赔偿责任。</w:t>
      </w:r>
    </w:p>
    <w:p w14:paraId="0196154F">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55FF4380">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582E2ACD">
      <w:pPr>
        <w:adjustRightInd w:val="0"/>
        <w:snapToGrid w:val="0"/>
        <w:spacing w:line="360" w:lineRule="auto"/>
        <w:ind w:firstLine="480" w:firstLineChars="200"/>
        <w:rPr>
          <w:rFonts w:hint="eastAsia" w:ascii="宋体" w:hAnsi="宋体" w:eastAsia="宋体" w:cs="宋体"/>
          <w:color w:val="auto"/>
          <w:sz w:val="24"/>
          <w:szCs w:val="24"/>
          <w:highlight w:val="none"/>
        </w:rPr>
      </w:pPr>
    </w:p>
    <w:p w14:paraId="0EC9CE51">
      <w:pPr>
        <w:spacing w:line="360" w:lineRule="auto"/>
        <w:jc w:val="left"/>
        <w:rPr>
          <w:rFonts w:hint="eastAsia" w:ascii="微软雅黑" w:hAnsi="微软雅黑" w:eastAsia="微软雅黑" w:cs="微软雅黑"/>
          <w:b w:val="0"/>
          <w:bCs w:val="0"/>
          <w:color w:val="auto"/>
          <w:sz w:val="24"/>
          <w:szCs w:val="24"/>
          <w:highlight w:val="none"/>
        </w:rPr>
      </w:pPr>
      <w:bookmarkStart w:id="336" w:name="_Toc31029"/>
      <w:r>
        <w:rPr>
          <w:rFonts w:hint="eastAsia" w:ascii="微软雅黑" w:hAnsi="微软雅黑" w:eastAsia="微软雅黑" w:cs="微软雅黑"/>
          <w:b w:val="0"/>
          <w:bCs w:val="0"/>
          <w:color w:val="auto"/>
          <w:sz w:val="24"/>
          <w:szCs w:val="24"/>
          <w:highlight w:val="none"/>
          <w:lang w:eastAsia="zh-CN"/>
        </w:rPr>
        <w:t>磋商申请</w:t>
      </w:r>
      <w:r>
        <w:rPr>
          <w:rFonts w:hint="eastAsia" w:ascii="微软雅黑" w:hAnsi="微软雅黑" w:eastAsia="微软雅黑" w:cs="微软雅黑"/>
          <w:b w:val="0"/>
          <w:bCs w:val="0"/>
          <w:color w:val="auto"/>
          <w:sz w:val="24"/>
          <w:szCs w:val="24"/>
          <w:highlight w:val="none"/>
        </w:rPr>
        <w:t>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18501C19">
      <w:pPr>
        <w:spacing w:line="360" w:lineRule="auto"/>
        <w:jc w:val="left"/>
        <w:rPr>
          <w:rFonts w:hint="eastAsia" w:ascii="微软雅黑" w:hAnsi="微软雅黑" w:eastAsia="微软雅黑" w:cs="微软雅黑"/>
          <w:b w:val="0"/>
          <w:bCs w:val="0"/>
          <w:color w:val="auto"/>
          <w:sz w:val="24"/>
          <w:szCs w:val="24"/>
          <w:highlight w:val="none"/>
          <w:u w:val="single"/>
        </w:rPr>
      </w:pPr>
      <w:r>
        <w:rPr>
          <w:rFonts w:hint="eastAsia" w:ascii="微软雅黑" w:hAnsi="微软雅黑" w:eastAsia="微软雅黑" w:cs="微软雅黑"/>
          <w:b w:val="0"/>
          <w:bCs w:val="0"/>
          <w:color w:val="auto"/>
          <w:sz w:val="24"/>
          <w:szCs w:val="24"/>
          <w:highlight w:val="none"/>
        </w:rPr>
        <w:t>法定代表人或其委托代理人：</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single"/>
          <w:lang w:val="en-US" w:eastAsia="zh-CN"/>
        </w:rPr>
        <w:t xml:space="preserve">  </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u w:val="none"/>
        </w:rPr>
        <w:t>（</w:t>
      </w:r>
      <w:r>
        <w:rPr>
          <w:rFonts w:hint="eastAsia" w:ascii="微软雅黑" w:hAnsi="微软雅黑" w:eastAsia="微软雅黑" w:cs="微软雅黑"/>
          <w:b w:val="0"/>
          <w:bCs w:val="0"/>
          <w:color w:val="auto"/>
          <w:sz w:val="24"/>
          <w:szCs w:val="24"/>
          <w:highlight w:val="none"/>
          <w:u w:val="none"/>
          <w:lang w:val="en-US" w:eastAsia="zh-CN"/>
        </w:rPr>
        <w:t>电子签章</w:t>
      </w:r>
      <w:r>
        <w:rPr>
          <w:rFonts w:hint="eastAsia" w:ascii="微软雅黑" w:hAnsi="微软雅黑" w:eastAsia="微软雅黑" w:cs="微软雅黑"/>
          <w:b w:val="0"/>
          <w:bCs w:val="0"/>
          <w:color w:val="auto"/>
          <w:sz w:val="24"/>
          <w:szCs w:val="24"/>
          <w:highlight w:val="none"/>
          <w:u w:val="none"/>
        </w:rPr>
        <w:t>）</w:t>
      </w:r>
    </w:p>
    <w:p w14:paraId="3A7583CE">
      <w:pPr>
        <w:spacing w:line="360" w:lineRule="auto"/>
        <w:rPr>
          <w:rFonts w:hint="eastAsia" w:ascii="微软雅黑" w:hAnsi="微软雅黑" w:eastAsia="微软雅黑" w:cs="微软雅黑"/>
          <w:b w:val="0"/>
          <w:bCs w:val="0"/>
          <w:color w:val="auto"/>
          <w:sz w:val="24"/>
          <w:szCs w:val="24"/>
          <w:highlight w:val="none"/>
        </w:rPr>
      </w:pPr>
      <w:r>
        <w:rPr>
          <w:rFonts w:hint="eastAsia" w:ascii="微软雅黑" w:hAnsi="微软雅黑" w:eastAsia="微软雅黑" w:cs="微软雅黑"/>
          <w:b w:val="0"/>
          <w:bCs w:val="0"/>
          <w:color w:val="auto"/>
          <w:sz w:val="24"/>
          <w:szCs w:val="24"/>
          <w:highlight w:val="none"/>
        </w:rPr>
        <w:t>日    期：</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年</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月</w:t>
      </w:r>
      <w:r>
        <w:rPr>
          <w:rFonts w:hint="eastAsia" w:ascii="微软雅黑" w:hAnsi="微软雅黑" w:eastAsia="微软雅黑" w:cs="微软雅黑"/>
          <w:b w:val="0"/>
          <w:bCs w:val="0"/>
          <w:color w:val="auto"/>
          <w:sz w:val="24"/>
          <w:szCs w:val="24"/>
          <w:highlight w:val="none"/>
          <w:u w:val="single"/>
        </w:rPr>
        <w:t xml:space="preserve">    </w:t>
      </w:r>
      <w:r>
        <w:rPr>
          <w:rFonts w:hint="eastAsia" w:ascii="微软雅黑" w:hAnsi="微软雅黑" w:eastAsia="微软雅黑" w:cs="微软雅黑"/>
          <w:b w:val="0"/>
          <w:bCs w:val="0"/>
          <w:color w:val="auto"/>
          <w:sz w:val="24"/>
          <w:szCs w:val="24"/>
          <w:highlight w:val="none"/>
        </w:rPr>
        <w:t>日</w:t>
      </w:r>
    </w:p>
    <w:p w14:paraId="0556D7CB">
      <w:pPr>
        <w:spacing w:line="360" w:lineRule="auto"/>
        <w:jc w:val="center"/>
        <w:outlineLvl w:val="9"/>
        <w:rPr>
          <w:rFonts w:hint="eastAsia" w:ascii="微软雅黑" w:hAnsi="微软雅黑" w:eastAsia="微软雅黑" w:cs="微软雅黑"/>
          <w:b w:val="0"/>
          <w:bCs w:val="0"/>
          <w:color w:val="auto"/>
          <w:sz w:val="28"/>
          <w:szCs w:val="28"/>
          <w:highlight w:val="none"/>
        </w:rPr>
        <w:sectPr>
          <w:footerReference r:id="rId19" w:type="first"/>
          <w:footerReference r:id="rId18" w:type="default"/>
          <w:pgSz w:w="11907" w:h="16840"/>
          <w:pgMar w:top="1077" w:right="1020" w:bottom="1077" w:left="1020" w:header="624" w:footer="624" w:gutter="0"/>
          <w:pgNumType w:fmt="decimal"/>
          <w:cols w:space="425" w:num="1"/>
          <w:titlePg/>
          <w:docGrid w:linePitch="312" w:charSpace="0"/>
        </w:sectPr>
      </w:pPr>
    </w:p>
    <w:p w14:paraId="3F8FFEAC">
      <w:pPr>
        <w:pStyle w:val="3"/>
        <w:adjustRightInd w:val="0"/>
        <w:snapToGrid w:val="0"/>
        <w:spacing w:before="0" w:after="0" w:line="360" w:lineRule="auto"/>
        <w:jc w:val="center"/>
        <w:outlineLvl w:val="1"/>
        <w:rPr>
          <w:rFonts w:hint="eastAsia" w:ascii="宋体" w:hAnsi="宋体" w:eastAsia="宋体" w:cs="宋体"/>
          <w:color w:val="auto"/>
          <w:sz w:val="32"/>
          <w:szCs w:val="32"/>
          <w:highlight w:val="none"/>
        </w:rPr>
      </w:pPr>
      <w:bookmarkStart w:id="337" w:name="_Toc29820"/>
      <w:r>
        <w:rPr>
          <w:rFonts w:hint="eastAsia" w:ascii="宋体" w:hAnsi="宋体" w:eastAsia="宋体" w:cs="宋体"/>
          <w:color w:val="auto"/>
          <w:sz w:val="32"/>
          <w:szCs w:val="32"/>
          <w:highlight w:val="none"/>
          <w:lang w:val="en-US" w:eastAsia="zh-CN"/>
        </w:rPr>
        <w:t>五、</w:t>
      </w:r>
      <w:r>
        <w:rPr>
          <w:rFonts w:hint="eastAsia" w:ascii="宋体" w:hAnsi="宋体" w:eastAsia="宋体" w:cs="宋体"/>
          <w:color w:val="auto"/>
          <w:sz w:val="32"/>
          <w:szCs w:val="32"/>
          <w:highlight w:val="none"/>
        </w:rPr>
        <w:t>资格证明承诺函</w:t>
      </w:r>
      <w:bookmarkEnd w:id="333"/>
      <w:bookmarkEnd w:id="336"/>
      <w:bookmarkEnd w:id="337"/>
    </w:p>
    <w:p w14:paraId="46A7F1E3">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p>
    <w:p w14:paraId="1F8F26C3">
      <w:pPr>
        <w:widowControl/>
        <w:adjustRightInd w:val="0"/>
        <w:snapToGrid w:val="0"/>
        <w:spacing w:line="360" w:lineRule="auto"/>
        <w:ind w:firstLine="480" w:firstLineChars="20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致：</w:t>
      </w:r>
      <w:r>
        <w:rPr>
          <w:rFonts w:hint="eastAsia" w:ascii="宋体" w:hAnsi="宋体" w:eastAsia="宋体" w:cs="宋体"/>
          <w:color w:val="auto"/>
          <w:kern w:val="0"/>
          <w:sz w:val="24"/>
          <w:szCs w:val="24"/>
          <w:highlight w:val="none"/>
          <w:u w:val="single"/>
        </w:rPr>
        <w:t>（采购人名称）</w:t>
      </w:r>
    </w:p>
    <w:p w14:paraId="582D4450">
      <w:pPr>
        <w:widowControl/>
        <w:adjustRightInd w:val="0"/>
        <w:snapToGri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u w:val="single"/>
        </w:rPr>
        <w:t>（投标人名称）</w:t>
      </w:r>
      <w:r>
        <w:rPr>
          <w:rFonts w:hint="eastAsia" w:ascii="宋体" w:hAnsi="宋体" w:eastAsia="宋体" w:cs="宋体"/>
          <w:color w:val="auto"/>
          <w:kern w:val="0"/>
          <w:sz w:val="24"/>
          <w:szCs w:val="24"/>
          <w:highlight w:val="none"/>
        </w:rPr>
        <w:t>郑重承诺，我方具有良好的商业信誉，具有履行合同</w:t>
      </w:r>
      <w:r>
        <w:rPr>
          <w:rFonts w:hint="eastAsia" w:ascii="宋体" w:hAnsi="宋体" w:eastAsia="宋体" w:cs="宋体"/>
          <w:color w:val="auto"/>
          <w:kern w:val="0"/>
          <w:sz w:val="24"/>
          <w:szCs w:val="24"/>
          <w:highlight w:val="none"/>
          <w:lang w:eastAsia="zh-CN"/>
        </w:rPr>
        <w:t>所必需的</w:t>
      </w:r>
      <w:r>
        <w:rPr>
          <w:rFonts w:hint="eastAsia" w:ascii="宋体" w:hAnsi="宋体" w:eastAsia="宋体" w:cs="宋体"/>
          <w:color w:val="auto"/>
          <w:kern w:val="0"/>
          <w:sz w:val="24"/>
          <w:szCs w:val="24"/>
          <w:highlight w:val="none"/>
        </w:rPr>
        <w:t>设备和专业技术能力，在合同签订前后随时愿意提供相关证明材料；我方还同时声明在</w:t>
      </w:r>
      <w:r>
        <w:rPr>
          <w:rFonts w:hint="eastAsia" w:ascii="宋体" w:hAnsi="宋体" w:eastAsia="宋体" w:cs="宋体"/>
          <w:color w:val="auto"/>
          <w:kern w:val="0"/>
          <w:sz w:val="24"/>
          <w:szCs w:val="24"/>
          <w:highlight w:val="none"/>
          <w:lang w:eastAsia="zh-CN"/>
        </w:rPr>
        <w:t>投标文件</w:t>
      </w:r>
      <w:r>
        <w:rPr>
          <w:rFonts w:hint="eastAsia" w:ascii="宋体" w:hAnsi="宋体" w:eastAsia="宋体" w:cs="宋体"/>
          <w:color w:val="auto"/>
          <w:kern w:val="0"/>
          <w:sz w:val="24"/>
          <w:szCs w:val="24"/>
          <w:highlight w:val="none"/>
        </w:rPr>
        <w:t>递交截止时间前三年内无重大违法活动记录，未被列入“失信被执行人”“</w:t>
      </w:r>
      <w:r>
        <w:rPr>
          <w:rFonts w:hint="eastAsia" w:ascii="宋体" w:hAnsi="宋体" w:eastAsia="宋体" w:cs="宋体"/>
          <w:color w:val="auto"/>
          <w:sz w:val="24"/>
          <w:szCs w:val="24"/>
          <w:highlight w:val="none"/>
          <w:lang w:eastAsia="zh-CN"/>
        </w:rPr>
        <w:t>重大税收违法失信主体</w:t>
      </w:r>
      <w:r>
        <w:rPr>
          <w:rFonts w:hint="eastAsia" w:ascii="宋体" w:hAnsi="宋体" w:eastAsia="宋体" w:cs="宋体"/>
          <w:color w:val="auto"/>
          <w:kern w:val="0"/>
          <w:sz w:val="24"/>
          <w:szCs w:val="24"/>
          <w:highlight w:val="none"/>
        </w:rPr>
        <w:t>”“</w:t>
      </w:r>
      <w:r>
        <w:rPr>
          <w:rFonts w:hint="eastAsia" w:ascii="宋体" w:hAnsi="宋体" w:eastAsia="宋体" w:cs="宋体"/>
          <w:color w:val="auto"/>
          <w:sz w:val="24"/>
          <w:szCs w:val="24"/>
          <w:highlight w:val="none"/>
          <w:lang w:val="zh-CN"/>
        </w:rPr>
        <w:t>政府采购</w:t>
      </w:r>
      <w:r>
        <w:rPr>
          <w:rFonts w:hint="eastAsia" w:ascii="宋体" w:hAnsi="宋体" w:eastAsia="宋体" w:cs="宋体"/>
          <w:color w:val="auto"/>
          <w:sz w:val="24"/>
          <w:szCs w:val="24"/>
          <w:highlight w:val="none"/>
        </w:rPr>
        <w:t>严重违法失信行为</w:t>
      </w:r>
      <w:r>
        <w:rPr>
          <w:rFonts w:hint="eastAsia" w:ascii="宋体" w:hAnsi="宋体" w:eastAsia="宋体" w:cs="宋体"/>
          <w:color w:val="auto"/>
          <w:kern w:val="0"/>
          <w:sz w:val="24"/>
          <w:szCs w:val="24"/>
          <w:highlight w:val="none"/>
        </w:rPr>
        <w:t>”,并承诺近三年内未拖欠农民工工资，符合《政府采购法》规定的投标人资格条件。我方对以上声明负全部法律责任。</w:t>
      </w:r>
    </w:p>
    <w:p w14:paraId="529EBB38">
      <w:pPr>
        <w:widowControl/>
        <w:adjustRightInd w:val="0"/>
        <w:snapToGrid w:val="0"/>
        <w:spacing w:line="360" w:lineRule="auto"/>
        <w:ind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特此声明。</w:t>
      </w:r>
    </w:p>
    <w:p w14:paraId="1B06AD13">
      <w:pPr>
        <w:widowControl/>
        <w:adjustRightInd w:val="0"/>
        <w:snapToGrid w:val="0"/>
        <w:spacing w:line="360" w:lineRule="auto"/>
        <w:ind w:firstLine="360" w:firstLineChars="150"/>
        <w:jc w:val="left"/>
        <w:rPr>
          <w:rFonts w:hint="eastAsia" w:ascii="宋体" w:hAnsi="宋体" w:eastAsia="宋体" w:cs="宋体"/>
          <w:color w:val="auto"/>
          <w:kern w:val="0"/>
          <w:sz w:val="24"/>
          <w:szCs w:val="24"/>
          <w:highlight w:val="none"/>
        </w:rPr>
      </w:pPr>
    </w:p>
    <w:p w14:paraId="41E77447">
      <w:pPr>
        <w:widowControl/>
        <w:adjustRightInd w:val="0"/>
        <w:snapToGrid w:val="0"/>
        <w:spacing w:line="360" w:lineRule="auto"/>
        <w:ind w:firstLine="360" w:firstLineChars="150"/>
        <w:jc w:val="left"/>
        <w:rPr>
          <w:rFonts w:hint="eastAsia" w:ascii="宋体" w:hAnsi="宋体" w:eastAsia="宋体" w:cs="宋体"/>
          <w:color w:val="auto"/>
          <w:kern w:val="0"/>
          <w:sz w:val="24"/>
          <w:szCs w:val="24"/>
          <w:highlight w:val="none"/>
        </w:rPr>
      </w:pPr>
    </w:p>
    <w:p w14:paraId="111422A2">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cs="宋体"/>
          <w:color w:val="auto"/>
          <w:kern w:val="0"/>
          <w:sz w:val="24"/>
          <w:szCs w:val="24"/>
          <w:highlight w:val="none"/>
          <w:lang w:val="en-US" w:eastAsia="zh-CN"/>
        </w:rPr>
        <w:t>磋商申请人</w:t>
      </w:r>
      <w:r>
        <w:rPr>
          <w:rFonts w:hint="eastAsia" w:ascii="宋体" w:hAnsi="宋体" w:eastAsia="宋体" w:cs="宋体"/>
          <w:color w:val="auto"/>
          <w:kern w:val="0"/>
          <w:sz w:val="24"/>
          <w:szCs w:val="24"/>
          <w:highlight w:val="none"/>
        </w:rPr>
        <w:t>名称</w:t>
      </w:r>
      <w:r>
        <w:rPr>
          <w:rFonts w:hint="eastAsia" w:ascii="宋体" w:hAnsi="宋体" w:eastAsia="宋体" w:cs="宋体"/>
          <w:color w:val="auto"/>
          <w:sz w:val="24"/>
          <w:szCs w:val="24"/>
          <w:highlight w:val="none"/>
        </w:rPr>
        <w:t>（电子签章）</w:t>
      </w: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u w:val="single"/>
        </w:rPr>
        <w:t xml:space="preserve">                          </w:t>
      </w:r>
    </w:p>
    <w:p w14:paraId="6DFB37CF">
      <w:pPr>
        <w:pStyle w:val="33"/>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    期：</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7CECF306">
      <w:pPr>
        <w:widowControl/>
        <w:adjustRightInd w:val="0"/>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br w:type="page"/>
      </w:r>
    </w:p>
    <w:p w14:paraId="38674E2B">
      <w:pPr>
        <w:pStyle w:val="3"/>
        <w:adjustRightInd w:val="0"/>
        <w:snapToGrid w:val="0"/>
        <w:spacing w:before="0" w:after="0" w:line="360" w:lineRule="auto"/>
        <w:jc w:val="center"/>
        <w:outlineLvl w:val="1"/>
        <w:rPr>
          <w:rFonts w:hint="eastAsia" w:ascii="宋体" w:hAnsi="宋体" w:eastAsia="宋体" w:cs="宋体"/>
          <w:color w:val="auto"/>
          <w:sz w:val="32"/>
          <w:szCs w:val="32"/>
          <w:highlight w:val="none"/>
        </w:rPr>
      </w:pPr>
      <w:bookmarkStart w:id="338" w:name="_Toc32001"/>
      <w:bookmarkStart w:id="339" w:name="_Toc25638"/>
      <w:bookmarkStart w:id="340" w:name="_Toc32527"/>
      <w:r>
        <w:rPr>
          <w:rFonts w:hint="eastAsia" w:ascii="宋体" w:hAnsi="宋体" w:eastAsia="宋体" w:cs="宋体"/>
          <w:color w:val="auto"/>
          <w:sz w:val="32"/>
          <w:szCs w:val="32"/>
          <w:highlight w:val="none"/>
          <w:lang w:val="en-US" w:eastAsia="zh-CN"/>
        </w:rPr>
        <w:t>六、</w:t>
      </w:r>
      <w:r>
        <w:rPr>
          <w:rFonts w:hint="eastAsia" w:ascii="宋体" w:hAnsi="宋体" w:eastAsia="宋体" w:cs="宋体"/>
          <w:color w:val="auto"/>
          <w:sz w:val="32"/>
          <w:szCs w:val="32"/>
          <w:highlight w:val="none"/>
        </w:rPr>
        <w:t>政府采购</w:t>
      </w:r>
      <w:r>
        <w:rPr>
          <w:rFonts w:hint="eastAsia" w:ascii="宋体" w:hAnsi="宋体" w:eastAsia="宋体" w:cs="宋体"/>
          <w:color w:val="auto"/>
          <w:sz w:val="32"/>
          <w:szCs w:val="32"/>
          <w:highlight w:val="none"/>
          <w:lang w:eastAsia="zh-CN"/>
        </w:rPr>
        <w:t>投标人</w:t>
      </w:r>
      <w:r>
        <w:rPr>
          <w:rFonts w:hint="eastAsia" w:ascii="宋体" w:hAnsi="宋体" w:eastAsia="宋体" w:cs="宋体"/>
          <w:color w:val="auto"/>
          <w:sz w:val="32"/>
          <w:szCs w:val="32"/>
          <w:highlight w:val="none"/>
        </w:rPr>
        <w:t>承诺书</w:t>
      </w:r>
      <w:bookmarkEnd w:id="338"/>
    </w:p>
    <w:p w14:paraId="7D96C8B0">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为切实遵守《政府采购法》、《政府采购法实施条例》等法律法规，进一步规范政府采购行为，提高政府采购资金的使用效益，维护社会公共利益，维护政府采购当事人的合法权益，促进社会信用体系建设和廉洁建设，我单位在此庄严承诺:</w:t>
      </w:r>
    </w:p>
    <w:p w14:paraId="35212B20">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一、禁止向采购人、采购代理机构、评标委员会的组成人员、竞争性谈判小组的组成人员、询价小组的组成人员行贿或者采取其他不正当手段谋取成交或者成交。</w:t>
      </w:r>
    </w:p>
    <w:p w14:paraId="79E04EC5">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禁止单位负责人为同一人或者存在直接控股、管理关系，参加同一合同项下的政府采购活动。除单一来源采购项目外，若为采购项目提供整体设计、规范编制或者项目管理、监理、检测等服务，不再参加该采购项目的其他采购活动。</w:t>
      </w:r>
    </w:p>
    <w:p w14:paraId="21D18E12">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三、质疑、投诉要依法提出，要有明确的请求和必要的证明材料。投诉的事项不得超出已质疑事项的范围。禁止捏造事实、提供虚假材料或者以非法手段取得证明材料进行投诉。</w:t>
      </w:r>
    </w:p>
    <w:p w14:paraId="727ABBD7">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四、禁止在采购活动中提供虚假材料谋取成交、成交；禁止采取不正当手段诋毁、排挤其他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；禁止与采购人、其他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或者采购代理机构恶意串通；禁止向采购人、采购代理机构行贿或者提供其他不正当利益的；禁止在招标采购过程中与采购人进行协商谈判的；禁止拒绝有关部门监督检查或者提供虚假情况的。　</w:t>
      </w:r>
    </w:p>
    <w:p w14:paraId="444338FF">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五、禁止直接或者间接从采购人或者采购代理机构处获得其他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的相关情况并修改其投标文件或者</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；禁止按照采购人或者采购代理机构的授意撤换、修改投标文件或者</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；禁止</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之间协商报价、技术方案等投标文件或者</w:t>
      </w:r>
      <w:r>
        <w:rPr>
          <w:rFonts w:hint="eastAsia" w:ascii="宋体" w:hAnsi="宋体" w:eastAsia="宋体" w:cs="宋体"/>
          <w:color w:val="auto"/>
          <w:sz w:val="24"/>
          <w:szCs w:val="24"/>
          <w:highlight w:val="none"/>
          <w:lang w:eastAsia="zh-CN"/>
        </w:rPr>
        <w:t>投标文件</w:t>
      </w:r>
      <w:r>
        <w:rPr>
          <w:rFonts w:hint="eastAsia" w:ascii="宋体" w:hAnsi="宋体" w:eastAsia="宋体" w:cs="宋体"/>
          <w:color w:val="auto"/>
          <w:sz w:val="24"/>
          <w:szCs w:val="24"/>
          <w:highlight w:val="none"/>
        </w:rPr>
        <w:t>的实质性内容；禁止属于同一集团、协会、商会等组织成员的禁止按照该组织要求协同参加政府采购活动；禁止与其他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事先约定由某一特定</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成交、成交；禁止与其他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商定部分</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放弃参加政府采购活动或者放弃成交、成交；禁止与采购人或者采购代理机构之间、</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相互之间，为谋求特定</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成交、成交或者排斥其他</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的其他串通行为。</w:t>
      </w:r>
    </w:p>
    <w:p w14:paraId="2BD4F870">
      <w:pPr>
        <w:spacing w:after="0"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六、自觉接受财政、监察、审计等有关部门的监督和承担相应的法律责任。</w:t>
      </w:r>
    </w:p>
    <w:p w14:paraId="15B35599">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bCs/>
          <w:color w:val="auto"/>
          <w:kern w:val="0"/>
          <w:sz w:val="24"/>
          <w:szCs w:val="24"/>
          <w:highlight w:val="none"/>
        </w:rPr>
        <w:t>承诺单位：（盖章）            法定代表人</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lang w:val="en-US" w:eastAsia="zh-CN"/>
        </w:rPr>
        <w:t>或</w:t>
      </w:r>
      <w:r>
        <w:rPr>
          <w:rFonts w:hint="eastAsia" w:ascii="宋体" w:hAnsi="宋体" w:eastAsia="宋体" w:cs="宋体"/>
          <w:bCs/>
          <w:color w:val="auto"/>
          <w:kern w:val="0"/>
          <w:sz w:val="24"/>
          <w:szCs w:val="24"/>
          <w:highlight w:val="none"/>
        </w:rPr>
        <w:t>负责人</w:t>
      </w:r>
      <w:r>
        <w:rPr>
          <w:rFonts w:hint="eastAsia" w:ascii="宋体" w:hAnsi="宋体" w:eastAsia="宋体" w:cs="宋体"/>
          <w:bCs/>
          <w:color w:val="auto"/>
          <w:kern w:val="0"/>
          <w:sz w:val="24"/>
          <w:szCs w:val="24"/>
          <w:highlight w:val="none"/>
          <w:lang w:eastAsia="zh-CN"/>
        </w:rPr>
        <w:t>）（</w:t>
      </w:r>
      <w:r>
        <w:rPr>
          <w:rFonts w:hint="eastAsia" w:ascii="宋体" w:hAnsi="宋体" w:eastAsia="宋体" w:cs="宋体"/>
          <w:bCs/>
          <w:color w:val="auto"/>
          <w:kern w:val="0"/>
          <w:sz w:val="24"/>
          <w:szCs w:val="24"/>
          <w:highlight w:val="none"/>
        </w:rPr>
        <w:t>电子签章</w:t>
      </w:r>
      <w:r>
        <w:rPr>
          <w:rFonts w:hint="eastAsia" w:ascii="宋体" w:hAnsi="宋体" w:eastAsia="宋体" w:cs="宋体"/>
          <w:bCs/>
          <w:color w:val="auto"/>
          <w:kern w:val="0"/>
          <w:sz w:val="24"/>
          <w:szCs w:val="24"/>
          <w:highlight w:val="none"/>
          <w:lang w:eastAsia="zh-CN"/>
        </w:rPr>
        <w:t>）</w:t>
      </w:r>
    </w:p>
    <w:p w14:paraId="4A0B61FF">
      <w:pPr>
        <w:widowControl/>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地    址：                     电    话：                 </w:t>
      </w:r>
    </w:p>
    <w:p w14:paraId="09F09FE1">
      <w:pPr>
        <w:pStyle w:val="33"/>
        <w:snapToGrid w:val="0"/>
        <w:spacing w:line="360" w:lineRule="auto"/>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 xml:space="preserve"> </w:t>
      </w:r>
      <w:bookmarkStart w:id="341" w:name="_Toc15841"/>
      <w:bookmarkStart w:id="342" w:name="_Toc19674"/>
      <w:r>
        <w:rPr>
          <w:rFonts w:hint="eastAsia" w:ascii="宋体" w:hAnsi="宋体" w:eastAsia="宋体" w:cs="宋体"/>
          <w:color w:val="auto"/>
          <w:kern w:val="0"/>
          <w:sz w:val="24"/>
          <w:szCs w:val="24"/>
          <w:highlight w:val="none"/>
        </w:rPr>
        <w:t>日    期：</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年</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月</w:t>
      </w:r>
      <w:r>
        <w:rPr>
          <w:rFonts w:hint="eastAsia" w:ascii="宋体" w:hAnsi="宋体" w:eastAsia="宋体" w:cs="宋体"/>
          <w:color w:val="auto"/>
          <w:kern w:val="0"/>
          <w:sz w:val="24"/>
          <w:szCs w:val="24"/>
          <w:highlight w:val="none"/>
          <w:u w:val="single"/>
        </w:rPr>
        <w:t xml:space="preserve">    </w:t>
      </w:r>
      <w:r>
        <w:rPr>
          <w:rFonts w:hint="eastAsia" w:ascii="宋体" w:hAnsi="宋体" w:eastAsia="宋体" w:cs="宋体"/>
          <w:color w:val="auto"/>
          <w:kern w:val="0"/>
          <w:sz w:val="24"/>
          <w:szCs w:val="24"/>
          <w:highlight w:val="none"/>
        </w:rPr>
        <w:t>日</w:t>
      </w:r>
    </w:p>
    <w:p w14:paraId="7109C6FB">
      <w:pPr>
        <w:widowControl/>
        <w:spacing w:line="360" w:lineRule="auto"/>
        <w:ind w:firstLine="6960" w:firstLineChars="2900"/>
        <w:jc w:val="left"/>
        <w:rPr>
          <w:rFonts w:hint="eastAsia" w:ascii="宋体" w:hAnsi="宋体" w:eastAsia="宋体" w:cs="宋体"/>
          <w:color w:val="auto"/>
          <w:kern w:val="0"/>
          <w:sz w:val="24"/>
          <w:szCs w:val="24"/>
          <w:highlight w:val="none"/>
        </w:rPr>
        <w:sectPr>
          <w:pgSz w:w="11906" w:h="16838"/>
          <w:pgMar w:top="1361" w:right="1077" w:bottom="1361" w:left="1134" w:header="851" w:footer="624" w:gutter="0"/>
          <w:cols w:space="720" w:num="1"/>
          <w:docGrid w:linePitch="312" w:charSpace="0"/>
        </w:sectPr>
      </w:pPr>
    </w:p>
    <w:bookmarkEnd w:id="334"/>
    <w:bookmarkEnd w:id="339"/>
    <w:bookmarkEnd w:id="340"/>
    <w:bookmarkEnd w:id="341"/>
    <w:bookmarkEnd w:id="342"/>
    <w:p w14:paraId="126E7D67">
      <w:pPr>
        <w:jc w:val="center"/>
        <w:outlineLvl w:val="1"/>
        <w:rPr>
          <w:rFonts w:hint="eastAsia" w:ascii="宋体" w:hAnsi="宋体" w:eastAsia="宋体" w:cs="宋体"/>
          <w:b/>
          <w:color w:val="auto"/>
          <w:sz w:val="32"/>
          <w:szCs w:val="32"/>
          <w:highlight w:val="none"/>
          <w:lang w:val="en-US" w:eastAsia="zh-CN"/>
        </w:rPr>
      </w:pPr>
      <w:r>
        <w:rPr>
          <w:rFonts w:hint="eastAsia" w:ascii="宋体" w:hAnsi="宋体" w:cs="宋体"/>
          <w:b/>
          <w:color w:val="auto"/>
          <w:sz w:val="32"/>
          <w:szCs w:val="32"/>
          <w:highlight w:val="none"/>
          <w:lang w:val="en-US" w:eastAsia="zh-CN"/>
        </w:rPr>
        <w:t>七、</w:t>
      </w:r>
      <w:r>
        <w:rPr>
          <w:rFonts w:hint="eastAsia" w:ascii="宋体" w:hAnsi="宋体" w:eastAsia="宋体" w:cs="宋体"/>
          <w:b/>
          <w:color w:val="auto"/>
          <w:sz w:val="32"/>
          <w:szCs w:val="32"/>
          <w:highlight w:val="none"/>
        </w:rPr>
        <w:t>财务</w:t>
      </w:r>
      <w:r>
        <w:rPr>
          <w:rFonts w:hint="eastAsia" w:ascii="宋体" w:hAnsi="宋体" w:eastAsia="宋体" w:cs="宋体"/>
          <w:b/>
          <w:color w:val="auto"/>
          <w:sz w:val="32"/>
          <w:szCs w:val="32"/>
          <w:highlight w:val="none"/>
          <w:lang w:val="en-US" w:eastAsia="zh-CN"/>
        </w:rPr>
        <w:t>状况</w:t>
      </w:r>
    </w:p>
    <w:p w14:paraId="6394270C">
      <w:pPr>
        <w:jc w:val="center"/>
        <w:rPr>
          <w:rFonts w:hint="eastAsia" w:ascii="宋体" w:hAnsi="宋体" w:eastAsia="宋体" w:cs="宋体"/>
          <w:b/>
          <w:bCs/>
          <w:color w:val="auto"/>
          <w:sz w:val="24"/>
          <w:szCs w:val="24"/>
          <w:highlight w:val="none"/>
        </w:rPr>
        <w:sectPr>
          <w:pgSz w:w="11906" w:h="16838"/>
          <w:pgMar w:top="1418" w:right="1247" w:bottom="1418" w:left="1247" w:header="851" w:footer="992" w:gutter="0"/>
          <w:cols w:space="708" w:num="1"/>
          <w:docGrid w:linePitch="312" w:charSpace="0"/>
        </w:sectPr>
      </w:pPr>
      <w:r>
        <w:rPr>
          <w:rFonts w:hint="eastAsia" w:ascii="宋体" w:hAnsi="宋体" w:eastAsia="宋体" w:cs="宋体"/>
          <w:color w:val="auto"/>
          <w:sz w:val="24"/>
          <w:szCs w:val="24"/>
          <w:highlight w:val="none"/>
        </w:rPr>
        <w:t>（根</w:t>
      </w:r>
      <w:r>
        <w:rPr>
          <w:rFonts w:hint="eastAsia" w:ascii="宋体" w:hAnsi="宋体" w:eastAsia="宋体" w:cs="宋体"/>
          <w:color w:val="auto"/>
          <w:sz w:val="24"/>
          <w:szCs w:val="24"/>
          <w:highlight w:val="none"/>
          <w:lang w:val="en-US" w:eastAsia="zh-CN"/>
        </w:rPr>
        <w:t>据招标公告要求附财务状况相关证明材料扫描件</w:t>
      </w:r>
      <w:r>
        <w:rPr>
          <w:rFonts w:hint="eastAsia" w:ascii="宋体" w:hAnsi="宋体" w:eastAsia="宋体" w:cs="宋体"/>
          <w:color w:val="auto"/>
          <w:sz w:val="24"/>
          <w:szCs w:val="24"/>
          <w:highlight w:val="none"/>
        </w:rPr>
        <w:t>）</w:t>
      </w:r>
    </w:p>
    <w:p w14:paraId="38A001D3">
      <w:pPr>
        <w:adjustRightInd w:val="0"/>
        <w:snapToGrid w:val="0"/>
        <w:spacing w:line="360" w:lineRule="auto"/>
        <w:jc w:val="center"/>
        <w:outlineLvl w:val="1"/>
        <w:rPr>
          <w:rFonts w:hint="eastAsia" w:ascii="宋体" w:hAnsi="宋体" w:eastAsia="宋体" w:cs="宋体"/>
          <w:b/>
          <w:bCs/>
          <w:color w:val="auto"/>
          <w:sz w:val="32"/>
          <w:szCs w:val="32"/>
          <w:highlight w:val="none"/>
        </w:rPr>
      </w:pPr>
      <w:bookmarkStart w:id="343" w:name="_Toc3315"/>
      <w:r>
        <w:rPr>
          <w:rFonts w:hint="eastAsia" w:ascii="宋体" w:hAnsi="宋体" w:cs="宋体"/>
          <w:b/>
          <w:bCs/>
          <w:color w:val="auto"/>
          <w:sz w:val="32"/>
          <w:szCs w:val="32"/>
          <w:highlight w:val="none"/>
          <w:lang w:val="en-US" w:eastAsia="zh-CN"/>
        </w:rPr>
        <w:t>八、</w:t>
      </w:r>
      <w:r>
        <w:rPr>
          <w:rFonts w:hint="eastAsia" w:ascii="宋体" w:hAnsi="宋体" w:eastAsia="宋体" w:cs="宋体"/>
          <w:b/>
          <w:bCs/>
          <w:color w:val="auto"/>
          <w:sz w:val="32"/>
          <w:szCs w:val="32"/>
          <w:highlight w:val="none"/>
        </w:rPr>
        <w:t>依法缴纳税收和社会保障资金的良好记录</w:t>
      </w:r>
      <w:bookmarkEnd w:id="343"/>
    </w:p>
    <w:p w14:paraId="49F49DC9">
      <w:pPr>
        <w:pStyle w:val="16"/>
        <w:spacing w:line="360" w:lineRule="auto"/>
        <w:jc w:val="center"/>
        <w:rPr>
          <w:rFonts w:hint="eastAsia" w:ascii="宋体" w:hAnsi="宋体" w:eastAsia="宋体" w:cs="宋体"/>
          <w:color w:val="auto"/>
          <w:highlight w:val="none"/>
          <w:lang w:eastAsia="zh-CN"/>
        </w:rPr>
        <w:sectPr>
          <w:pgSz w:w="11906" w:h="16838"/>
          <w:pgMar w:top="1418" w:right="1247" w:bottom="1418" w:left="1247" w:header="851" w:footer="992" w:gutter="0"/>
          <w:cols w:space="708" w:num="1"/>
          <w:docGrid w:linePitch="312" w:charSpace="0"/>
        </w:sect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提供企业</w:t>
      </w:r>
      <w:r>
        <w:rPr>
          <w:rFonts w:hint="eastAsia" w:ascii="宋体" w:hAnsi="宋体" w:cs="宋体"/>
          <w:color w:val="auto"/>
          <w:sz w:val="24"/>
          <w:szCs w:val="24"/>
          <w:highlight w:val="none"/>
          <w:lang w:val="en-US" w:eastAsia="zh-CN"/>
        </w:rPr>
        <w:t>近期在国家税务系统缴纳的</w:t>
      </w:r>
      <w:r>
        <w:rPr>
          <w:rFonts w:hint="eastAsia" w:ascii="宋体" w:hAnsi="宋体" w:eastAsia="宋体" w:cs="宋体"/>
          <w:color w:val="auto"/>
          <w:sz w:val="24"/>
          <w:szCs w:val="24"/>
          <w:highlight w:val="none"/>
          <w:lang w:val="en-US" w:eastAsia="zh-CN"/>
        </w:rPr>
        <w:t>完税证明、</w:t>
      </w:r>
      <w:r>
        <w:rPr>
          <w:rFonts w:hint="eastAsia" w:ascii="宋体" w:hAnsi="宋体" w:cs="宋体"/>
          <w:color w:val="auto"/>
          <w:sz w:val="24"/>
          <w:szCs w:val="24"/>
          <w:highlight w:val="none"/>
          <w:lang w:val="en-US" w:eastAsia="zh-CN"/>
        </w:rPr>
        <w:t>企业</w:t>
      </w:r>
      <w:r>
        <w:rPr>
          <w:rFonts w:hint="eastAsia" w:ascii="宋体" w:hAnsi="宋体" w:eastAsia="宋体" w:cs="宋体"/>
          <w:color w:val="auto"/>
          <w:sz w:val="24"/>
          <w:szCs w:val="24"/>
          <w:highlight w:val="none"/>
          <w:lang w:val="en-US" w:eastAsia="zh-CN"/>
        </w:rPr>
        <w:t>社保缴纳证明</w:t>
      </w:r>
      <w:r>
        <w:rPr>
          <w:rFonts w:hint="eastAsia" w:ascii="宋体" w:hAnsi="宋体" w:eastAsia="宋体" w:cs="宋体"/>
          <w:color w:val="auto"/>
          <w:sz w:val="24"/>
          <w:szCs w:val="24"/>
          <w:highlight w:val="none"/>
        </w:rPr>
        <w:t>扫描件</w:t>
      </w:r>
      <w:r>
        <w:rPr>
          <w:rFonts w:hint="eastAsia" w:ascii="宋体" w:hAnsi="宋体" w:cs="宋体"/>
          <w:color w:val="auto"/>
          <w:sz w:val="24"/>
          <w:szCs w:val="24"/>
          <w:highlight w:val="none"/>
          <w:lang w:eastAsia="zh-CN"/>
        </w:rPr>
        <w:t>）</w:t>
      </w:r>
    </w:p>
    <w:p w14:paraId="543DB2AD">
      <w:pPr>
        <w:adjustRightInd w:val="0"/>
        <w:snapToGrid w:val="0"/>
        <w:spacing w:line="360" w:lineRule="auto"/>
        <w:jc w:val="center"/>
        <w:outlineLvl w:val="1"/>
        <w:rPr>
          <w:rFonts w:hint="eastAsia" w:ascii="宋体" w:hAnsi="宋体" w:eastAsia="宋体" w:cs="宋体"/>
          <w:b/>
          <w:bCs/>
          <w:color w:val="auto"/>
          <w:sz w:val="32"/>
          <w:szCs w:val="32"/>
          <w:highlight w:val="none"/>
        </w:rPr>
      </w:pPr>
      <w:bookmarkStart w:id="344" w:name="_Toc14728"/>
      <w:r>
        <w:rPr>
          <w:rFonts w:hint="eastAsia" w:ascii="宋体" w:hAnsi="宋体" w:cs="宋体"/>
          <w:b/>
          <w:bCs/>
          <w:color w:val="auto"/>
          <w:sz w:val="32"/>
          <w:szCs w:val="32"/>
          <w:highlight w:val="none"/>
          <w:lang w:val="en-US" w:eastAsia="zh-CN"/>
        </w:rPr>
        <w:t>九、</w:t>
      </w:r>
      <w:r>
        <w:rPr>
          <w:rFonts w:hint="eastAsia" w:ascii="宋体" w:hAnsi="宋体" w:eastAsia="宋体" w:cs="宋体"/>
          <w:b/>
          <w:bCs/>
          <w:color w:val="auto"/>
          <w:sz w:val="32"/>
          <w:szCs w:val="32"/>
          <w:highlight w:val="none"/>
        </w:rPr>
        <w:t>参加政府采购活动前 3 年内在经营活动中没有重大违法记录的书面声明</w:t>
      </w:r>
      <w:bookmarkEnd w:id="344"/>
    </w:p>
    <w:p w14:paraId="5EE9620A">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jc w:val="center"/>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内容、</w:t>
      </w:r>
      <w:r>
        <w:rPr>
          <w:rFonts w:hint="eastAsia" w:ascii="宋体" w:hAnsi="宋体" w:eastAsia="宋体" w:cs="宋体"/>
          <w:color w:val="auto"/>
          <w:sz w:val="24"/>
          <w:szCs w:val="24"/>
          <w:highlight w:val="none"/>
        </w:rPr>
        <w:t>格式自拟）</w:t>
      </w:r>
    </w:p>
    <w:p w14:paraId="50227C9A">
      <w:pPr>
        <w:adjustRightInd w:val="0"/>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14:paraId="5E24E4C2">
      <w:pPr>
        <w:adjustRightInd w:val="0"/>
        <w:snapToGrid w:val="0"/>
        <w:spacing w:line="360" w:lineRule="auto"/>
        <w:jc w:val="center"/>
        <w:rPr>
          <w:rFonts w:hint="eastAsia" w:ascii="宋体" w:hAnsi="宋体" w:eastAsia="宋体" w:cs="宋体"/>
          <w:b/>
          <w:bCs/>
          <w:color w:val="auto"/>
          <w:sz w:val="24"/>
          <w:szCs w:val="24"/>
          <w:highlight w:val="none"/>
        </w:rPr>
        <w:sectPr>
          <w:pgSz w:w="11906" w:h="16838"/>
          <w:pgMar w:top="1418" w:right="1247" w:bottom="1418" w:left="1247" w:header="851" w:footer="992" w:gutter="0"/>
          <w:cols w:space="708" w:num="1"/>
          <w:docGrid w:linePitch="312" w:charSpace="0"/>
        </w:sectPr>
      </w:pPr>
    </w:p>
    <w:p w14:paraId="1728EE25">
      <w:pPr>
        <w:adjustRightInd w:val="0"/>
        <w:snapToGrid w:val="0"/>
        <w:spacing w:line="360" w:lineRule="auto"/>
        <w:jc w:val="center"/>
        <w:outlineLvl w:val="1"/>
        <w:rPr>
          <w:rFonts w:hint="eastAsia" w:ascii="宋体" w:hAnsi="宋体" w:eastAsia="宋体" w:cs="宋体"/>
          <w:b/>
          <w:bCs/>
          <w:color w:val="auto"/>
          <w:sz w:val="32"/>
          <w:szCs w:val="32"/>
          <w:highlight w:val="none"/>
        </w:rPr>
      </w:pPr>
      <w:bookmarkStart w:id="345" w:name="_Toc21431"/>
      <w:r>
        <w:rPr>
          <w:rFonts w:hint="eastAsia" w:ascii="宋体" w:hAnsi="宋体" w:cs="宋体"/>
          <w:b/>
          <w:bCs/>
          <w:color w:val="auto"/>
          <w:sz w:val="32"/>
          <w:szCs w:val="32"/>
          <w:highlight w:val="none"/>
          <w:lang w:val="en-US" w:eastAsia="zh-CN"/>
        </w:rPr>
        <w:t>十、</w:t>
      </w:r>
      <w:r>
        <w:rPr>
          <w:rFonts w:hint="eastAsia" w:ascii="宋体" w:hAnsi="宋体" w:eastAsia="宋体" w:cs="宋体"/>
          <w:b/>
          <w:bCs/>
          <w:color w:val="auto"/>
          <w:sz w:val="32"/>
          <w:szCs w:val="32"/>
          <w:highlight w:val="none"/>
        </w:rPr>
        <w:t>信誉要求</w:t>
      </w:r>
      <w:bookmarkEnd w:id="345"/>
    </w:p>
    <w:p w14:paraId="6D984E17">
      <w:pPr>
        <w:pStyle w:val="16"/>
        <w:spacing w:line="360" w:lineRule="auto"/>
        <w:jc w:val="center"/>
        <w:rPr>
          <w:rFonts w:hint="eastAsia" w:ascii="宋体" w:hAnsi="宋体" w:eastAsia="宋体" w:cs="宋体"/>
          <w:b/>
          <w:bCs/>
          <w:color w:val="auto"/>
          <w:sz w:val="24"/>
          <w:szCs w:val="24"/>
          <w:highlight w:val="none"/>
        </w:rPr>
        <w:sectPr>
          <w:pgSz w:w="11906" w:h="16838"/>
          <w:pgMar w:top="1418" w:right="1247" w:bottom="1418" w:left="1247" w:header="851" w:footer="992" w:gutter="0"/>
          <w:cols w:space="708" w:num="1"/>
          <w:docGrid w:linePitch="312" w:charSpace="0"/>
        </w:sectPr>
      </w:pPr>
      <w:bookmarkStart w:id="346" w:name="_Toc6836"/>
      <w:bookmarkStart w:id="347" w:name="_Toc7124"/>
      <w:bookmarkStart w:id="348" w:name="_Toc24758"/>
      <w:bookmarkStart w:id="349" w:name="_Toc11179"/>
      <w:bookmarkStart w:id="350" w:name="_Toc23007"/>
      <w:r>
        <w:rPr>
          <w:rFonts w:hint="eastAsia" w:ascii="宋体" w:hAnsi="宋体" w:eastAsia="宋体" w:cs="宋体"/>
          <w:color w:val="auto"/>
          <w:sz w:val="24"/>
          <w:szCs w:val="24"/>
          <w:highlight w:val="none"/>
        </w:rPr>
        <w:t>（根据投标人须知前附表要求</w:t>
      </w:r>
      <w:r>
        <w:rPr>
          <w:rFonts w:hint="eastAsia" w:ascii="宋体" w:hAnsi="宋体" w:eastAsia="宋体" w:cs="宋体"/>
          <w:color w:val="auto"/>
          <w:sz w:val="24"/>
          <w:szCs w:val="24"/>
          <w:highlight w:val="none"/>
          <w:lang w:val="en-US" w:eastAsia="zh-CN"/>
        </w:rPr>
        <w:t>提供</w:t>
      </w:r>
      <w:r>
        <w:rPr>
          <w:rFonts w:hint="eastAsia" w:ascii="宋体" w:hAnsi="宋体" w:cs="宋体"/>
          <w:color w:val="auto"/>
          <w:sz w:val="24"/>
          <w:szCs w:val="24"/>
          <w:highlight w:val="none"/>
          <w:lang w:val="en-US" w:eastAsia="zh-CN"/>
        </w:rPr>
        <w:t>信用中国网上查询截图的</w:t>
      </w:r>
      <w:r>
        <w:rPr>
          <w:rFonts w:hint="eastAsia" w:ascii="宋体" w:hAnsi="宋体" w:eastAsia="宋体" w:cs="宋体"/>
          <w:color w:val="auto"/>
          <w:sz w:val="24"/>
          <w:szCs w:val="24"/>
          <w:highlight w:val="none"/>
          <w:lang w:val="en-US" w:eastAsia="zh-CN"/>
        </w:rPr>
        <w:t>相关证明材料扫描件</w:t>
      </w:r>
      <w:r>
        <w:rPr>
          <w:rFonts w:hint="eastAsia" w:ascii="宋体" w:hAnsi="宋体" w:eastAsia="宋体" w:cs="宋体"/>
          <w:color w:val="auto"/>
          <w:sz w:val="24"/>
          <w:szCs w:val="24"/>
          <w:highlight w:val="none"/>
        </w:rPr>
        <w:t>）</w:t>
      </w:r>
    </w:p>
    <w:bookmarkEnd w:id="346"/>
    <w:bookmarkEnd w:id="347"/>
    <w:bookmarkEnd w:id="348"/>
    <w:bookmarkEnd w:id="349"/>
    <w:bookmarkEnd w:id="350"/>
    <w:p w14:paraId="4AFED2BE">
      <w:pPr>
        <w:pStyle w:val="3"/>
        <w:spacing w:line="620" w:lineRule="exact"/>
        <w:jc w:val="center"/>
        <w:rPr>
          <w:rFonts w:hint="eastAsia" w:ascii="宋体" w:hAnsi="宋体" w:eastAsia="宋体" w:cs="宋体"/>
          <w:color w:val="auto"/>
          <w:sz w:val="36"/>
          <w:highlight w:val="none"/>
        </w:rPr>
      </w:pPr>
      <w:bookmarkStart w:id="351" w:name="_Toc17876"/>
      <w:r>
        <w:rPr>
          <w:rFonts w:hint="eastAsia" w:ascii="宋体" w:hAnsi="宋体" w:eastAsia="宋体" w:cs="宋体"/>
          <w:color w:val="auto"/>
          <w:sz w:val="36"/>
          <w:highlight w:val="none"/>
          <w:lang w:val="en-US" w:eastAsia="zh-CN"/>
        </w:rPr>
        <w:t>十一、投标人2022年至今完成过的采购业绩一览表</w:t>
      </w:r>
      <w:bookmarkEnd w:id="351"/>
    </w:p>
    <w:p w14:paraId="4A75C675">
      <w:pPr>
        <w:wordWrap w:val="0"/>
        <w:spacing w:after="120" w:afterLines="5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eastAsia="宋体" w:cs="宋体"/>
          <w:color w:val="auto"/>
          <w:sz w:val="24"/>
          <w:szCs w:val="24"/>
          <w:highlight w:val="none"/>
          <w:lang w:val="en-US" w:eastAsia="zh-CN"/>
        </w:rPr>
        <w:t xml:space="preserve"> </w:t>
      </w:r>
    </w:p>
    <w:tbl>
      <w:tblPr>
        <w:tblStyle w:val="45"/>
        <w:tblW w:w="100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76"/>
        <w:gridCol w:w="3606"/>
        <w:gridCol w:w="1670"/>
        <w:gridCol w:w="1244"/>
        <w:gridCol w:w="1275"/>
        <w:gridCol w:w="1275"/>
      </w:tblGrid>
      <w:tr w14:paraId="6A897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76" w:type="dxa"/>
            <w:shd w:val="clear" w:color="auto" w:fill="D7D7D7"/>
            <w:vAlign w:val="center"/>
          </w:tcPr>
          <w:p w14:paraId="02C9CA55">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3606" w:type="dxa"/>
            <w:shd w:val="clear" w:color="auto" w:fill="D7D7D7"/>
            <w:vAlign w:val="center"/>
          </w:tcPr>
          <w:p w14:paraId="46FC5C99">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采购项目</w:t>
            </w:r>
            <w:r>
              <w:rPr>
                <w:rFonts w:hint="eastAsia" w:ascii="宋体" w:hAnsi="宋体" w:eastAsia="宋体" w:cs="宋体"/>
                <w:b/>
                <w:bCs/>
                <w:color w:val="auto"/>
                <w:sz w:val="24"/>
                <w:szCs w:val="24"/>
                <w:highlight w:val="none"/>
              </w:rPr>
              <w:t>名称</w:t>
            </w:r>
          </w:p>
        </w:tc>
        <w:tc>
          <w:tcPr>
            <w:tcW w:w="1670" w:type="dxa"/>
            <w:shd w:val="clear" w:color="auto" w:fill="D7D7D7"/>
            <w:vAlign w:val="center"/>
          </w:tcPr>
          <w:p w14:paraId="11936CF3">
            <w:pPr>
              <w:spacing w:line="4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合同主要内容</w:t>
            </w:r>
          </w:p>
        </w:tc>
        <w:tc>
          <w:tcPr>
            <w:tcW w:w="1244" w:type="dxa"/>
            <w:shd w:val="clear" w:color="auto" w:fill="D7D7D7"/>
            <w:vAlign w:val="center"/>
          </w:tcPr>
          <w:p w14:paraId="4F0596F3">
            <w:pPr>
              <w:spacing w:line="4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合同金额</w:t>
            </w:r>
          </w:p>
        </w:tc>
        <w:tc>
          <w:tcPr>
            <w:tcW w:w="1275" w:type="dxa"/>
            <w:shd w:val="clear" w:color="auto" w:fill="D7D7D7"/>
            <w:vAlign w:val="center"/>
          </w:tcPr>
          <w:p w14:paraId="58D05BA4">
            <w:pPr>
              <w:spacing w:line="4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签订时间</w:t>
            </w:r>
          </w:p>
        </w:tc>
        <w:tc>
          <w:tcPr>
            <w:tcW w:w="1275" w:type="dxa"/>
            <w:shd w:val="clear" w:color="auto" w:fill="D7D7D7"/>
            <w:vAlign w:val="center"/>
          </w:tcPr>
          <w:p w14:paraId="707C647C">
            <w:pPr>
              <w:spacing w:line="400" w:lineRule="exact"/>
              <w:jc w:val="center"/>
              <w:rPr>
                <w:rFonts w:hint="eastAsia"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采购单位名称</w:t>
            </w:r>
          </w:p>
        </w:tc>
      </w:tr>
      <w:tr w14:paraId="7D5201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3" w:hRule="atLeast"/>
          <w:jc w:val="center"/>
        </w:trPr>
        <w:tc>
          <w:tcPr>
            <w:tcW w:w="976" w:type="dxa"/>
            <w:vAlign w:val="center"/>
          </w:tcPr>
          <w:p w14:paraId="696E91F3">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634D03B4">
            <w:pPr>
              <w:spacing w:line="400" w:lineRule="exact"/>
              <w:rPr>
                <w:rFonts w:hint="eastAsia" w:ascii="宋体" w:hAnsi="宋体" w:eastAsia="宋体" w:cs="宋体"/>
                <w:color w:val="auto"/>
                <w:sz w:val="24"/>
                <w:szCs w:val="24"/>
                <w:highlight w:val="none"/>
              </w:rPr>
            </w:pPr>
          </w:p>
        </w:tc>
        <w:tc>
          <w:tcPr>
            <w:tcW w:w="1670" w:type="dxa"/>
            <w:vAlign w:val="top"/>
          </w:tcPr>
          <w:p w14:paraId="315DEC5F">
            <w:pPr>
              <w:spacing w:line="400" w:lineRule="exact"/>
              <w:rPr>
                <w:rFonts w:hint="eastAsia" w:ascii="宋体" w:hAnsi="宋体" w:eastAsia="宋体" w:cs="宋体"/>
                <w:color w:val="auto"/>
                <w:sz w:val="24"/>
                <w:szCs w:val="24"/>
                <w:highlight w:val="none"/>
              </w:rPr>
            </w:pPr>
          </w:p>
        </w:tc>
        <w:tc>
          <w:tcPr>
            <w:tcW w:w="1244" w:type="dxa"/>
            <w:vAlign w:val="top"/>
          </w:tcPr>
          <w:p w14:paraId="4EC138E5">
            <w:pPr>
              <w:spacing w:line="400" w:lineRule="exact"/>
              <w:rPr>
                <w:rFonts w:hint="eastAsia" w:ascii="宋体" w:hAnsi="宋体" w:eastAsia="宋体" w:cs="宋体"/>
                <w:color w:val="auto"/>
                <w:sz w:val="24"/>
                <w:szCs w:val="24"/>
                <w:highlight w:val="none"/>
              </w:rPr>
            </w:pPr>
          </w:p>
        </w:tc>
        <w:tc>
          <w:tcPr>
            <w:tcW w:w="1275" w:type="dxa"/>
            <w:vAlign w:val="top"/>
          </w:tcPr>
          <w:p w14:paraId="15F7D559">
            <w:pPr>
              <w:spacing w:line="400" w:lineRule="exact"/>
              <w:rPr>
                <w:rFonts w:hint="eastAsia" w:ascii="宋体" w:hAnsi="宋体" w:eastAsia="宋体" w:cs="宋体"/>
                <w:color w:val="auto"/>
                <w:sz w:val="24"/>
                <w:szCs w:val="24"/>
                <w:highlight w:val="none"/>
              </w:rPr>
            </w:pPr>
          </w:p>
        </w:tc>
        <w:tc>
          <w:tcPr>
            <w:tcW w:w="1275" w:type="dxa"/>
            <w:vAlign w:val="top"/>
          </w:tcPr>
          <w:p w14:paraId="49F5CC64">
            <w:pPr>
              <w:spacing w:line="400" w:lineRule="exact"/>
              <w:rPr>
                <w:rFonts w:hint="eastAsia" w:ascii="宋体" w:hAnsi="宋体" w:eastAsia="宋体" w:cs="宋体"/>
                <w:color w:val="auto"/>
                <w:sz w:val="24"/>
                <w:szCs w:val="24"/>
                <w:highlight w:val="none"/>
              </w:rPr>
            </w:pPr>
          </w:p>
        </w:tc>
      </w:tr>
      <w:tr w14:paraId="346275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76" w:type="dxa"/>
            <w:vAlign w:val="center"/>
          </w:tcPr>
          <w:p w14:paraId="68A8275E">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4B678AC2">
            <w:pPr>
              <w:spacing w:line="400" w:lineRule="exact"/>
              <w:rPr>
                <w:rFonts w:hint="eastAsia" w:ascii="宋体" w:hAnsi="宋体" w:eastAsia="宋体" w:cs="宋体"/>
                <w:color w:val="auto"/>
                <w:sz w:val="24"/>
                <w:szCs w:val="24"/>
                <w:highlight w:val="none"/>
              </w:rPr>
            </w:pPr>
          </w:p>
        </w:tc>
        <w:tc>
          <w:tcPr>
            <w:tcW w:w="1670" w:type="dxa"/>
            <w:vAlign w:val="top"/>
          </w:tcPr>
          <w:p w14:paraId="046A1292">
            <w:pPr>
              <w:spacing w:line="400" w:lineRule="exact"/>
              <w:rPr>
                <w:rFonts w:hint="eastAsia" w:ascii="宋体" w:hAnsi="宋体" w:eastAsia="宋体" w:cs="宋体"/>
                <w:color w:val="auto"/>
                <w:sz w:val="24"/>
                <w:szCs w:val="24"/>
                <w:highlight w:val="none"/>
              </w:rPr>
            </w:pPr>
          </w:p>
        </w:tc>
        <w:tc>
          <w:tcPr>
            <w:tcW w:w="1244" w:type="dxa"/>
            <w:vAlign w:val="top"/>
          </w:tcPr>
          <w:p w14:paraId="74D2CEB3">
            <w:pPr>
              <w:spacing w:line="400" w:lineRule="exact"/>
              <w:rPr>
                <w:rFonts w:hint="eastAsia" w:ascii="宋体" w:hAnsi="宋体" w:eastAsia="宋体" w:cs="宋体"/>
                <w:color w:val="auto"/>
                <w:sz w:val="24"/>
                <w:szCs w:val="24"/>
                <w:highlight w:val="none"/>
              </w:rPr>
            </w:pPr>
          </w:p>
        </w:tc>
        <w:tc>
          <w:tcPr>
            <w:tcW w:w="1275" w:type="dxa"/>
            <w:vAlign w:val="top"/>
          </w:tcPr>
          <w:p w14:paraId="5D3B0968">
            <w:pPr>
              <w:spacing w:line="400" w:lineRule="exact"/>
              <w:rPr>
                <w:rFonts w:hint="eastAsia" w:ascii="宋体" w:hAnsi="宋体" w:eastAsia="宋体" w:cs="宋体"/>
                <w:color w:val="auto"/>
                <w:sz w:val="24"/>
                <w:szCs w:val="24"/>
                <w:highlight w:val="none"/>
              </w:rPr>
            </w:pPr>
          </w:p>
        </w:tc>
        <w:tc>
          <w:tcPr>
            <w:tcW w:w="1275" w:type="dxa"/>
            <w:vAlign w:val="top"/>
          </w:tcPr>
          <w:p w14:paraId="4ADD7587">
            <w:pPr>
              <w:spacing w:line="400" w:lineRule="exact"/>
              <w:rPr>
                <w:rFonts w:hint="eastAsia" w:ascii="宋体" w:hAnsi="宋体" w:eastAsia="宋体" w:cs="宋体"/>
                <w:color w:val="auto"/>
                <w:sz w:val="24"/>
                <w:szCs w:val="24"/>
                <w:highlight w:val="none"/>
              </w:rPr>
            </w:pPr>
          </w:p>
        </w:tc>
      </w:tr>
      <w:tr w14:paraId="7A5314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76" w:type="dxa"/>
            <w:vAlign w:val="center"/>
          </w:tcPr>
          <w:p w14:paraId="04BD262A">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0D4BEAE3">
            <w:pPr>
              <w:spacing w:line="400" w:lineRule="exact"/>
              <w:rPr>
                <w:rFonts w:hint="eastAsia" w:ascii="宋体" w:hAnsi="宋体" w:eastAsia="宋体" w:cs="宋体"/>
                <w:color w:val="auto"/>
                <w:sz w:val="24"/>
                <w:szCs w:val="24"/>
                <w:highlight w:val="none"/>
              </w:rPr>
            </w:pPr>
          </w:p>
        </w:tc>
        <w:tc>
          <w:tcPr>
            <w:tcW w:w="1670" w:type="dxa"/>
            <w:vAlign w:val="top"/>
          </w:tcPr>
          <w:p w14:paraId="13A5523A">
            <w:pPr>
              <w:spacing w:line="400" w:lineRule="exact"/>
              <w:rPr>
                <w:rFonts w:hint="eastAsia" w:ascii="宋体" w:hAnsi="宋体" w:eastAsia="宋体" w:cs="宋体"/>
                <w:color w:val="auto"/>
                <w:sz w:val="24"/>
                <w:szCs w:val="24"/>
                <w:highlight w:val="none"/>
              </w:rPr>
            </w:pPr>
          </w:p>
        </w:tc>
        <w:tc>
          <w:tcPr>
            <w:tcW w:w="1244" w:type="dxa"/>
            <w:vAlign w:val="top"/>
          </w:tcPr>
          <w:p w14:paraId="5467FAB2">
            <w:pPr>
              <w:spacing w:line="400" w:lineRule="exact"/>
              <w:rPr>
                <w:rFonts w:hint="eastAsia" w:ascii="宋体" w:hAnsi="宋体" w:eastAsia="宋体" w:cs="宋体"/>
                <w:color w:val="auto"/>
                <w:sz w:val="24"/>
                <w:szCs w:val="24"/>
                <w:highlight w:val="none"/>
              </w:rPr>
            </w:pPr>
          </w:p>
        </w:tc>
        <w:tc>
          <w:tcPr>
            <w:tcW w:w="1275" w:type="dxa"/>
            <w:vAlign w:val="top"/>
          </w:tcPr>
          <w:p w14:paraId="2257251A">
            <w:pPr>
              <w:spacing w:line="400" w:lineRule="exact"/>
              <w:rPr>
                <w:rFonts w:hint="eastAsia" w:ascii="宋体" w:hAnsi="宋体" w:eastAsia="宋体" w:cs="宋体"/>
                <w:color w:val="auto"/>
                <w:sz w:val="24"/>
                <w:szCs w:val="24"/>
                <w:highlight w:val="none"/>
              </w:rPr>
            </w:pPr>
          </w:p>
        </w:tc>
        <w:tc>
          <w:tcPr>
            <w:tcW w:w="1275" w:type="dxa"/>
            <w:vAlign w:val="top"/>
          </w:tcPr>
          <w:p w14:paraId="3B084EE6">
            <w:pPr>
              <w:spacing w:line="400" w:lineRule="exact"/>
              <w:rPr>
                <w:rFonts w:hint="eastAsia" w:ascii="宋体" w:hAnsi="宋体" w:eastAsia="宋体" w:cs="宋体"/>
                <w:color w:val="auto"/>
                <w:sz w:val="24"/>
                <w:szCs w:val="24"/>
                <w:highlight w:val="none"/>
              </w:rPr>
            </w:pPr>
          </w:p>
        </w:tc>
      </w:tr>
      <w:tr w14:paraId="3C20F3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76" w:type="dxa"/>
            <w:vAlign w:val="center"/>
          </w:tcPr>
          <w:p w14:paraId="2A8EE554">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68050ADF">
            <w:pPr>
              <w:spacing w:line="400" w:lineRule="exact"/>
              <w:rPr>
                <w:rFonts w:hint="eastAsia" w:ascii="宋体" w:hAnsi="宋体" w:eastAsia="宋体" w:cs="宋体"/>
                <w:color w:val="auto"/>
                <w:sz w:val="24"/>
                <w:szCs w:val="24"/>
                <w:highlight w:val="none"/>
              </w:rPr>
            </w:pPr>
          </w:p>
        </w:tc>
        <w:tc>
          <w:tcPr>
            <w:tcW w:w="1670" w:type="dxa"/>
            <w:vAlign w:val="top"/>
          </w:tcPr>
          <w:p w14:paraId="610B3B92">
            <w:pPr>
              <w:spacing w:line="400" w:lineRule="exact"/>
              <w:rPr>
                <w:rFonts w:hint="eastAsia" w:ascii="宋体" w:hAnsi="宋体" w:eastAsia="宋体" w:cs="宋体"/>
                <w:color w:val="auto"/>
                <w:sz w:val="24"/>
                <w:szCs w:val="24"/>
                <w:highlight w:val="none"/>
              </w:rPr>
            </w:pPr>
          </w:p>
        </w:tc>
        <w:tc>
          <w:tcPr>
            <w:tcW w:w="1244" w:type="dxa"/>
            <w:vAlign w:val="top"/>
          </w:tcPr>
          <w:p w14:paraId="744E3A15">
            <w:pPr>
              <w:spacing w:line="400" w:lineRule="exact"/>
              <w:rPr>
                <w:rFonts w:hint="eastAsia" w:ascii="宋体" w:hAnsi="宋体" w:eastAsia="宋体" w:cs="宋体"/>
                <w:color w:val="auto"/>
                <w:sz w:val="24"/>
                <w:szCs w:val="24"/>
                <w:highlight w:val="none"/>
              </w:rPr>
            </w:pPr>
          </w:p>
        </w:tc>
        <w:tc>
          <w:tcPr>
            <w:tcW w:w="1275" w:type="dxa"/>
            <w:vAlign w:val="top"/>
          </w:tcPr>
          <w:p w14:paraId="682A8CF8">
            <w:pPr>
              <w:spacing w:line="400" w:lineRule="exact"/>
              <w:rPr>
                <w:rFonts w:hint="eastAsia" w:ascii="宋体" w:hAnsi="宋体" w:eastAsia="宋体" w:cs="宋体"/>
                <w:color w:val="auto"/>
                <w:sz w:val="24"/>
                <w:szCs w:val="24"/>
                <w:highlight w:val="none"/>
              </w:rPr>
            </w:pPr>
          </w:p>
        </w:tc>
        <w:tc>
          <w:tcPr>
            <w:tcW w:w="1275" w:type="dxa"/>
            <w:vAlign w:val="top"/>
          </w:tcPr>
          <w:p w14:paraId="099EE649">
            <w:pPr>
              <w:spacing w:line="400" w:lineRule="exact"/>
              <w:rPr>
                <w:rFonts w:hint="eastAsia" w:ascii="宋体" w:hAnsi="宋体" w:eastAsia="宋体" w:cs="宋体"/>
                <w:color w:val="auto"/>
                <w:sz w:val="24"/>
                <w:szCs w:val="24"/>
                <w:highlight w:val="none"/>
              </w:rPr>
            </w:pPr>
          </w:p>
        </w:tc>
      </w:tr>
      <w:tr w14:paraId="19A3BC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6" w:hRule="atLeast"/>
          <w:jc w:val="center"/>
        </w:trPr>
        <w:tc>
          <w:tcPr>
            <w:tcW w:w="976" w:type="dxa"/>
            <w:vAlign w:val="center"/>
          </w:tcPr>
          <w:p w14:paraId="08EB4BAE">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3EC17399">
            <w:pPr>
              <w:spacing w:line="400" w:lineRule="exact"/>
              <w:rPr>
                <w:rFonts w:hint="eastAsia" w:ascii="宋体" w:hAnsi="宋体" w:eastAsia="宋体" w:cs="宋体"/>
                <w:color w:val="auto"/>
                <w:sz w:val="24"/>
                <w:szCs w:val="24"/>
                <w:highlight w:val="none"/>
              </w:rPr>
            </w:pPr>
          </w:p>
        </w:tc>
        <w:tc>
          <w:tcPr>
            <w:tcW w:w="1670" w:type="dxa"/>
            <w:vAlign w:val="top"/>
          </w:tcPr>
          <w:p w14:paraId="271CFDFA">
            <w:pPr>
              <w:spacing w:line="400" w:lineRule="exact"/>
              <w:rPr>
                <w:rFonts w:hint="eastAsia" w:ascii="宋体" w:hAnsi="宋体" w:eastAsia="宋体" w:cs="宋体"/>
                <w:color w:val="auto"/>
                <w:sz w:val="24"/>
                <w:szCs w:val="24"/>
                <w:highlight w:val="none"/>
              </w:rPr>
            </w:pPr>
          </w:p>
        </w:tc>
        <w:tc>
          <w:tcPr>
            <w:tcW w:w="1244" w:type="dxa"/>
            <w:vAlign w:val="top"/>
          </w:tcPr>
          <w:p w14:paraId="655C7302">
            <w:pPr>
              <w:spacing w:line="400" w:lineRule="exact"/>
              <w:rPr>
                <w:rFonts w:hint="eastAsia" w:ascii="宋体" w:hAnsi="宋体" w:eastAsia="宋体" w:cs="宋体"/>
                <w:color w:val="auto"/>
                <w:sz w:val="24"/>
                <w:szCs w:val="24"/>
                <w:highlight w:val="none"/>
              </w:rPr>
            </w:pPr>
          </w:p>
        </w:tc>
        <w:tc>
          <w:tcPr>
            <w:tcW w:w="1275" w:type="dxa"/>
            <w:vAlign w:val="top"/>
          </w:tcPr>
          <w:p w14:paraId="1CC3F802">
            <w:pPr>
              <w:spacing w:line="400" w:lineRule="exact"/>
              <w:rPr>
                <w:rFonts w:hint="eastAsia" w:ascii="宋体" w:hAnsi="宋体" w:eastAsia="宋体" w:cs="宋体"/>
                <w:color w:val="auto"/>
                <w:sz w:val="24"/>
                <w:szCs w:val="24"/>
                <w:highlight w:val="none"/>
              </w:rPr>
            </w:pPr>
          </w:p>
        </w:tc>
        <w:tc>
          <w:tcPr>
            <w:tcW w:w="1275" w:type="dxa"/>
            <w:vAlign w:val="top"/>
          </w:tcPr>
          <w:p w14:paraId="3ED730B3">
            <w:pPr>
              <w:spacing w:line="400" w:lineRule="exact"/>
              <w:rPr>
                <w:rFonts w:hint="eastAsia" w:ascii="宋体" w:hAnsi="宋体" w:eastAsia="宋体" w:cs="宋体"/>
                <w:color w:val="auto"/>
                <w:sz w:val="24"/>
                <w:szCs w:val="24"/>
                <w:highlight w:val="none"/>
              </w:rPr>
            </w:pPr>
          </w:p>
        </w:tc>
      </w:tr>
      <w:tr w14:paraId="45D24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76" w:type="dxa"/>
            <w:vAlign w:val="center"/>
          </w:tcPr>
          <w:p w14:paraId="6CDCDE36">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51689620">
            <w:pPr>
              <w:spacing w:line="400" w:lineRule="exact"/>
              <w:rPr>
                <w:rFonts w:hint="eastAsia" w:ascii="宋体" w:hAnsi="宋体" w:eastAsia="宋体" w:cs="宋体"/>
                <w:color w:val="auto"/>
                <w:sz w:val="24"/>
                <w:szCs w:val="24"/>
                <w:highlight w:val="none"/>
              </w:rPr>
            </w:pPr>
          </w:p>
        </w:tc>
        <w:tc>
          <w:tcPr>
            <w:tcW w:w="1670" w:type="dxa"/>
            <w:vAlign w:val="top"/>
          </w:tcPr>
          <w:p w14:paraId="38F6A711">
            <w:pPr>
              <w:spacing w:line="400" w:lineRule="exact"/>
              <w:rPr>
                <w:rFonts w:hint="eastAsia" w:ascii="宋体" w:hAnsi="宋体" w:eastAsia="宋体" w:cs="宋体"/>
                <w:color w:val="auto"/>
                <w:sz w:val="24"/>
                <w:szCs w:val="24"/>
                <w:highlight w:val="none"/>
              </w:rPr>
            </w:pPr>
          </w:p>
        </w:tc>
        <w:tc>
          <w:tcPr>
            <w:tcW w:w="1244" w:type="dxa"/>
            <w:vAlign w:val="top"/>
          </w:tcPr>
          <w:p w14:paraId="7A0D0988">
            <w:pPr>
              <w:spacing w:line="400" w:lineRule="exact"/>
              <w:rPr>
                <w:rFonts w:hint="eastAsia" w:ascii="宋体" w:hAnsi="宋体" w:eastAsia="宋体" w:cs="宋体"/>
                <w:color w:val="auto"/>
                <w:sz w:val="24"/>
                <w:szCs w:val="24"/>
                <w:highlight w:val="none"/>
              </w:rPr>
            </w:pPr>
          </w:p>
        </w:tc>
        <w:tc>
          <w:tcPr>
            <w:tcW w:w="1275" w:type="dxa"/>
            <w:vAlign w:val="top"/>
          </w:tcPr>
          <w:p w14:paraId="7341E735">
            <w:pPr>
              <w:spacing w:line="400" w:lineRule="exact"/>
              <w:rPr>
                <w:rFonts w:hint="eastAsia" w:ascii="宋体" w:hAnsi="宋体" w:eastAsia="宋体" w:cs="宋体"/>
                <w:color w:val="auto"/>
                <w:sz w:val="24"/>
                <w:szCs w:val="24"/>
                <w:highlight w:val="none"/>
              </w:rPr>
            </w:pPr>
          </w:p>
        </w:tc>
        <w:tc>
          <w:tcPr>
            <w:tcW w:w="1275" w:type="dxa"/>
            <w:vAlign w:val="top"/>
          </w:tcPr>
          <w:p w14:paraId="7A75E75C">
            <w:pPr>
              <w:spacing w:line="400" w:lineRule="exact"/>
              <w:rPr>
                <w:rFonts w:hint="eastAsia" w:ascii="宋体" w:hAnsi="宋体" w:eastAsia="宋体" w:cs="宋体"/>
                <w:color w:val="auto"/>
                <w:sz w:val="24"/>
                <w:szCs w:val="24"/>
                <w:highlight w:val="none"/>
              </w:rPr>
            </w:pPr>
          </w:p>
        </w:tc>
      </w:tr>
      <w:tr w14:paraId="50BDBB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76" w:type="dxa"/>
            <w:vAlign w:val="center"/>
          </w:tcPr>
          <w:p w14:paraId="2BEAE757">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62CD77B7">
            <w:pPr>
              <w:spacing w:line="400" w:lineRule="exact"/>
              <w:rPr>
                <w:rFonts w:hint="eastAsia" w:ascii="宋体" w:hAnsi="宋体" w:eastAsia="宋体" w:cs="宋体"/>
                <w:color w:val="auto"/>
                <w:sz w:val="24"/>
                <w:szCs w:val="24"/>
                <w:highlight w:val="none"/>
              </w:rPr>
            </w:pPr>
          </w:p>
        </w:tc>
        <w:tc>
          <w:tcPr>
            <w:tcW w:w="1670" w:type="dxa"/>
            <w:vAlign w:val="top"/>
          </w:tcPr>
          <w:p w14:paraId="56F20C1E">
            <w:pPr>
              <w:spacing w:line="400" w:lineRule="exact"/>
              <w:rPr>
                <w:rFonts w:hint="eastAsia" w:ascii="宋体" w:hAnsi="宋体" w:eastAsia="宋体" w:cs="宋体"/>
                <w:color w:val="auto"/>
                <w:sz w:val="24"/>
                <w:szCs w:val="24"/>
                <w:highlight w:val="none"/>
              </w:rPr>
            </w:pPr>
          </w:p>
        </w:tc>
        <w:tc>
          <w:tcPr>
            <w:tcW w:w="1244" w:type="dxa"/>
            <w:vAlign w:val="top"/>
          </w:tcPr>
          <w:p w14:paraId="54D6BD9B">
            <w:pPr>
              <w:spacing w:line="400" w:lineRule="exact"/>
              <w:rPr>
                <w:rFonts w:hint="eastAsia" w:ascii="宋体" w:hAnsi="宋体" w:eastAsia="宋体" w:cs="宋体"/>
                <w:color w:val="auto"/>
                <w:sz w:val="24"/>
                <w:szCs w:val="24"/>
                <w:highlight w:val="none"/>
              </w:rPr>
            </w:pPr>
          </w:p>
        </w:tc>
        <w:tc>
          <w:tcPr>
            <w:tcW w:w="1275" w:type="dxa"/>
            <w:vAlign w:val="top"/>
          </w:tcPr>
          <w:p w14:paraId="489B5826">
            <w:pPr>
              <w:spacing w:line="400" w:lineRule="exact"/>
              <w:rPr>
                <w:rFonts w:hint="eastAsia" w:ascii="宋体" w:hAnsi="宋体" w:eastAsia="宋体" w:cs="宋体"/>
                <w:color w:val="auto"/>
                <w:sz w:val="24"/>
                <w:szCs w:val="24"/>
                <w:highlight w:val="none"/>
              </w:rPr>
            </w:pPr>
          </w:p>
        </w:tc>
        <w:tc>
          <w:tcPr>
            <w:tcW w:w="1275" w:type="dxa"/>
            <w:vAlign w:val="top"/>
          </w:tcPr>
          <w:p w14:paraId="0BD8384B">
            <w:pPr>
              <w:spacing w:line="400" w:lineRule="exact"/>
              <w:rPr>
                <w:rFonts w:hint="eastAsia" w:ascii="宋体" w:hAnsi="宋体" w:eastAsia="宋体" w:cs="宋体"/>
                <w:color w:val="auto"/>
                <w:sz w:val="24"/>
                <w:szCs w:val="24"/>
                <w:highlight w:val="none"/>
              </w:rPr>
            </w:pPr>
          </w:p>
        </w:tc>
      </w:tr>
      <w:tr w14:paraId="034010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76" w:type="dxa"/>
            <w:vAlign w:val="center"/>
          </w:tcPr>
          <w:p w14:paraId="4D4EEFD0">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66DA34B7">
            <w:pPr>
              <w:spacing w:line="400" w:lineRule="exact"/>
              <w:rPr>
                <w:rFonts w:hint="eastAsia" w:ascii="宋体" w:hAnsi="宋体" w:eastAsia="宋体" w:cs="宋体"/>
                <w:color w:val="auto"/>
                <w:sz w:val="24"/>
                <w:szCs w:val="24"/>
                <w:highlight w:val="none"/>
              </w:rPr>
            </w:pPr>
          </w:p>
        </w:tc>
        <w:tc>
          <w:tcPr>
            <w:tcW w:w="1670" w:type="dxa"/>
            <w:vAlign w:val="top"/>
          </w:tcPr>
          <w:p w14:paraId="063601DC">
            <w:pPr>
              <w:spacing w:line="400" w:lineRule="exact"/>
              <w:rPr>
                <w:rFonts w:hint="eastAsia" w:ascii="宋体" w:hAnsi="宋体" w:eastAsia="宋体" w:cs="宋体"/>
                <w:color w:val="auto"/>
                <w:sz w:val="24"/>
                <w:szCs w:val="24"/>
                <w:highlight w:val="none"/>
              </w:rPr>
            </w:pPr>
          </w:p>
        </w:tc>
        <w:tc>
          <w:tcPr>
            <w:tcW w:w="1244" w:type="dxa"/>
            <w:vAlign w:val="top"/>
          </w:tcPr>
          <w:p w14:paraId="35FAB8C1">
            <w:pPr>
              <w:spacing w:line="400" w:lineRule="exact"/>
              <w:rPr>
                <w:rFonts w:hint="eastAsia" w:ascii="宋体" w:hAnsi="宋体" w:eastAsia="宋体" w:cs="宋体"/>
                <w:color w:val="auto"/>
                <w:sz w:val="24"/>
                <w:szCs w:val="24"/>
                <w:highlight w:val="none"/>
              </w:rPr>
            </w:pPr>
          </w:p>
        </w:tc>
        <w:tc>
          <w:tcPr>
            <w:tcW w:w="1275" w:type="dxa"/>
            <w:vAlign w:val="top"/>
          </w:tcPr>
          <w:p w14:paraId="068C22B1">
            <w:pPr>
              <w:spacing w:line="400" w:lineRule="exact"/>
              <w:rPr>
                <w:rFonts w:hint="eastAsia" w:ascii="宋体" w:hAnsi="宋体" w:eastAsia="宋体" w:cs="宋体"/>
                <w:color w:val="auto"/>
                <w:sz w:val="24"/>
                <w:szCs w:val="24"/>
                <w:highlight w:val="none"/>
              </w:rPr>
            </w:pPr>
          </w:p>
        </w:tc>
        <w:tc>
          <w:tcPr>
            <w:tcW w:w="1275" w:type="dxa"/>
            <w:vAlign w:val="top"/>
          </w:tcPr>
          <w:p w14:paraId="31882CE1">
            <w:pPr>
              <w:spacing w:line="400" w:lineRule="exact"/>
              <w:rPr>
                <w:rFonts w:hint="eastAsia" w:ascii="宋体" w:hAnsi="宋体" w:eastAsia="宋体" w:cs="宋体"/>
                <w:color w:val="auto"/>
                <w:sz w:val="24"/>
                <w:szCs w:val="24"/>
                <w:highlight w:val="none"/>
              </w:rPr>
            </w:pPr>
          </w:p>
        </w:tc>
      </w:tr>
      <w:tr w14:paraId="5D03C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9" w:hRule="atLeast"/>
          <w:jc w:val="center"/>
        </w:trPr>
        <w:tc>
          <w:tcPr>
            <w:tcW w:w="976" w:type="dxa"/>
            <w:vAlign w:val="center"/>
          </w:tcPr>
          <w:p w14:paraId="16ABC83F">
            <w:pPr>
              <w:spacing w:line="400" w:lineRule="exact"/>
              <w:jc w:val="center"/>
              <w:rPr>
                <w:rFonts w:hint="eastAsia" w:ascii="宋体" w:hAnsi="宋体" w:eastAsia="宋体" w:cs="宋体"/>
                <w:color w:val="auto"/>
                <w:sz w:val="24"/>
                <w:szCs w:val="24"/>
                <w:highlight w:val="none"/>
                <w:lang w:val="en-US" w:eastAsia="zh-CN"/>
              </w:rPr>
            </w:pPr>
          </w:p>
        </w:tc>
        <w:tc>
          <w:tcPr>
            <w:tcW w:w="3606" w:type="dxa"/>
            <w:vAlign w:val="top"/>
          </w:tcPr>
          <w:p w14:paraId="7D015928">
            <w:pPr>
              <w:spacing w:line="400" w:lineRule="exact"/>
              <w:rPr>
                <w:rFonts w:hint="eastAsia" w:ascii="宋体" w:hAnsi="宋体" w:eastAsia="宋体" w:cs="宋体"/>
                <w:color w:val="auto"/>
                <w:sz w:val="24"/>
                <w:szCs w:val="24"/>
                <w:highlight w:val="none"/>
              </w:rPr>
            </w:pPr>
          </w:p>
        </w:tc>
        <w:tc>
          <w:tcPr>
            <w:tcW w:w="1670" w:type="dxa"/>
            <w:vAlign w:val="top"/>
          </w:tcPr>
          <w:p w14:paraId="17262660">
            <w:pPr>
              <w:spacing w:line="400" w:lineRule="exact"/>
              <w:rPr>
                <w:rFonts w:hint="eastAsia" w:ascii="宋体" w:hAnsi="宋体" w:eastAsia="宋体" w:cs="宋体"/>
                <w:color w:val="auto"/>
                <w:sz w:val="24"/>
                <w:szCs w:val="24"/>
                <w:highlight w:val="none"/>
              </w:rPr>
            </w:pPr>
          </w:p>
        </w:tc>
        <w:tc>
          <w:tcPr>
            <w:tcW w:w="1244" w:type="dxa"/>
            <w:vAlign w:val="top"/>
          </w:tcPr>
          <w:p w14:paraId="0A9FB74D">
            <w:pPr>
              <w:spacing w:line="400" w:lineRule="exact"/>
              <w:rPr>
                <w:rFonts w:hint="eastAsia" w:ascii="宋体" w:hAnsi="宋体" w:eastAsia="宋体" w:cs="宋体"/>
                <w:color w:val="auto"/>
                <w:sz w:val="24"/>
                <w:szCs w:val="24"/>
                <w:highlight w:val="none"/>
              </w:rPr>
            </w:pPr>
          </w:p>
        </w:tc>
        <w:tc>
          <w:tcPr>
            <w:tcW w:w="1275" w:type="dxa"/>
            <w:vAlign w:val="top"/>
          </w:tcPr>
          <w:p w14:paraId="4B16620A">
            <w:pPr>
              <w:spacing w:line="400" w:lineRule="exact"/>
              <w:rPr>
                <w:rFonts w:hint="eastAsia" w:ascii="宋体" w:hAnsi="宋体" w:eastAsia="宋体" w:cs="宋体"/>
                <w:color w:val="auto"/>
                <w:sz w:val="24"/>
                <w:szCs w:val="24"/>
                <w:highlight w:val="none"/>
              </w:rPr>
            </w:pPr>
          </w:p>
        </w:tc>
        <w:tc>
          <w:tcPr>
            <w:tcW w:w="1275" w:type="dxa"/>
            <w:vAlign w:val="top"/>
          </w:tcPr>
          <w:p w14:paraId="5B73BBF9">
            <w:pPr>
              <w:spacing w:line="400" w:lineRule="exact"/>
              <w:rPr>
                <w:rFonts w:hint="eastAsia" w:ascii="宋体" w:hAnsi="宋体" w:eastAsia="宋体" w:cs="宋体"/>
                <w:color w:val="auto"/>
                <w:sz w:val="24"/>
                <w:szCs w:val="24"/>
                <w:highlight w:val="none"/>
              </w:rPr>
            </w:pPr>
          </w:p>
        </w:tc>
      </w:tr>
    </w:tbl>
    <w:p w14:paraId="1DBC7705">
      <w:pPr>
        <w:pStyle w:val="3"/>
        <w:adjustRightInd w:val="0"/>
        <w:snapToGrid w:val="0"/>
        <w:spacing w:before="0" w:after="0" w:line="360" w:lineRule="auto"/>
        <w:jc w:val="center"/>
        <w:outlineLvl w:val="9"/>
        <w:rPr>
          <w:rFonts w:hint="eastAsia" w:ascii="宋体" w:hAnsi="宋体" w:eastAsia="宋体" w:cs="宋体"/>
          <w:color w:val="auto"/>
          <w:sz w:val="24"/>
          <w:szCs w:val="24"/>
          <w:highlight w:val="none"/>
          <w:lang w:val="en-US" w:eastAsia="zh-CN"/>
        </w:rPr>
      </w:pPr>
    </w:p>
    <w:p w14:paraId="4E3E4B46">
      <w:pPr>
        <w:rPr>
          <w:rFonts w:hint="eastAsia" w:ascii="宋体" w:hAnsi="宋体" w:eastAsia="宋体" w:cs="宋体"/>
          <w:color w:val="auto"/>
          <w:sz w:val="24"/>
          <w:szCs w:val="24"/>
          <w:highlight w:val="none"/>
          <w:lang w:val="en-US" w:eastAsia="zh-CN"/>
        </w:rPr>
      </w:pPr>
    </w:p>
    <w:p w14:paraId="35D91C6D">
      <w:pPr>
        <w:rPr>
          <w:rFonts w:hint="eastAsia" w:ascii="宋体" w:hAnsi="宋体" w:eastAsia="宋体" w:cs="宋体"/>
          <w:color w:val="auto"/>
          <w:sz w:val="24"/>
          <w:szCs w:val="24"/>
          <w:highlight w:val="none"/>
          <w:lang w:val="en-US" w:eastAsia="zh-CN"/>
        </w:rPr>
        <w:sectPr>
          <w:pgSz w:w="11906" w:h="16838"/>
          <w:pgMar w:top="1077" w:right="1247" w:bottom="1077" w:left="1247" w:header="851" w:footer="992" w:gutter="0"/>
          <w:cols w:space="708" w:num="1"/>
          <w:docGrid w:linePitch="312" w:charSpace="0"/>
        </w:sectPr>
      </w:pPr>
      <w:r>
        <w:rPr>
          <w:rFonts w:hint="eastAsia" w:ascii="宋体" w:hAnsi="宋体" w:eastAsia="宋体" w:cs="宋体"/>
          <w:color w:val="auto"/>
          <w:sz w:val="24"/>
          <w:szCs w:val="24"/>
          <w:highlight w:val="none"/>
          <w:lang w:val="en-US" w:eastAsia="zh-CN"/>
        </w:rPr>
        <w:t>注：此表后附采购合同扫描件；</w:t>
      </w:r>
    </w:p>
    <w:p w14:paraId="174733C7">
      <w:pPr>
        <w:pStyle w:val="3"/>
        <w:spacing w:line="620" w:lineRule="exact"/>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lang w:val="en-US" w:eastAsia="zh-CN"/>
        </w:rPr>
        <w:t>十二、拟投入本次项目的管理人员配备一览表</w:t>
      </w:r>
    </w:p>
    <w:p w14:paraId="3E1E15FD">
      <w:pPr>
        <w:wordWrap w:val="0"/>
        <w:spacing w:after="120" w:afterLines="50" w:line="50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r>
        <w:rPr>
          <w:rFonts w:hint="eastAsia" w:ascii="宋体" w:hAnsi="宋体" w:eastAsia="宋体" w:cs="宋体"/>
          <w:color w:val="auto"/>
          <w:sz w:val="24"/>
          <w:szCs w:val="24"/>
          <w:highlight w:val="none"/>
          <w:lang w:val="en-US" w:eastAsia="zh-CN"/>
        </w:rPr>
        <w:t xml:space="preserve"> </w:t>
      </w:r>
    </w:p>
    <w:tbl>
      <w:tblPr>
        <w:tblStyle w:val="45"/>
        <w:tblW w:w="943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28"/>
        <w:gridCol w:w="2304"/>
        <w:gridCol w:w="3562"/>
        <w:gridCol w:w="2344"/>
      </w:tblGrid>
      <w:tr w14:paraId="481EA7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2" w:hRule="atLeast"/>
          <w:jc w:val="center"/>
        </w:trPr>
        <w:tc>
          <w:tcPr>
            <w:tcW w:w="1228" w:type="dxa"/>
            <w:shd w:val="clear" w:color="auto" w:fill="D7D7D7"/>
            <w:vAlign w:val="center"/>
          </w:tcPr>
          <w:p w14:paraId="043AC95C">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序号</w:t>
            </w:r>
          </w:p>
        </w:tc>
        <w:tc>
          <w:tcPr>
            <w:tcW w:w="2304" w:type="dxa"/>
            <w:shd w:val="clear" w:color="auto" w:fill="D7D7D7"/>
            <w:vAlign w:val="center"/>
          </w:tcPr>
          <w:p w14:paraId="476329A1">
            <w:pPr>
              <w:spacing w:line="400" w:lineRule="exact"/>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姓名</w:t>
            </w:r>
          </w:p>
        </w:tc>
        <w:tc>
          <w:tcPr>
            <w:tcW w:w="3562" w:type="dxa"/>
            <w:shd w:val="clear" w:color="auto" w:fill="D7D7D7"/>
            <w:vAlign w:val="center"/>
          </w:tcPr>
          <w:p w14:paraId="52AC52CC">
            <w:pPr>
              <w:spacing w:line="400" w:lineRule="exact"/>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身份证号</w:t>
            </w:r>
          </w:p>
        </w:tc>
        <w:tc>
          <w:tcPr>
            <w:tcW w:w="2344" w:type="dxa"/>
            <w:shd w:val="clear" w:color="auto" w:fill="D7D7D7"/>
            <w:vAlign w:val="center"/>
          </w:tcPr>
          <w:p w14:paraId="1219E52D">
            <w:pPr>
              <w:spacing w:line="400" w:lineRule="exact"/>
              <w:jc w:val="center"/>
              <w:rPr>
                <w:rFonts w:hint="default" w:ascii="宋体" w:hAnsi="宋体" w:eastAsia="宋体" w:cs="宋体"/>
                <w:b/>
                <w:bCs/>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拟担任的职务</w:t>
            </w:r>
          </w:p>
        </w:tc>
      </w:tr>
      <w:tr w14:paraId="14AE68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2" w:hRule="atLeast"/>
          <w:jc w:val="center"/>
        </w:trPr>
        <w:tc>
          <w:tcPr>
            <w:tcW w:w="1228" w:type="dxa"/>
            <w:vAlign w:val="center"/>
          </w:tcPr>
          <w:p w14:paraId="0DDF3100">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2D1C8D6D">
            <w:pPr>
              <w:spacing w:line="400" w:lineRule="exact"/>
              <w:rPr>
                <w:rFonts w:hint="eastAsia" w:ascii="宋体" w:hAnsi="宋体" w:eastAsia="宋体" w:cs="宋体"/>
                <w:color w:val="auto"/>
                <w:sz w:val="24"/>
                <w:szCs w:val="24"/>
                <w:highlight w:val="none"/>
              </w:rPr>
            </w:pPr>
          </w:p>
        </w:tc>
        <w:tc>
          <w:tcPr>
            <w:tcW w:w="3562" w:type="dxa"/>
            <w:vAlign w:val="top"/>
          </w:tcPr>
          <w:p w14:paraId="32283F63">
            <w:pPr>
              <w:spacing w:line="400" w:lineRule="exact"/>
              <w:rPr>
                <w:rFonts w:hint="eastAsia" w:ascii="宋体" w:hAnsi="宋体" w:eastAsia="宋体" w:cs="宋体"/>
                <w:color w:val="auto"/>
                <w:sz w:val="24"/>
                <w:szCs w:val="24"/>
                <w:highlight w:val="none"/>
              </w:rPr>
            </w:pPr>
          </w:p>
        </w:tc>
        <w:tc>
          <w:tcPr>
            <w:tcW w:w="2344" w:type="dxa"/>
            <w:vAlign w:val="top"/>
          </w:tcPr>
          <w:p w14:paraId="187BC828">
            <w:pPr>
              <w:spacing w:line="400" w:lineRule="exact"/>
              <w:rPr>
                <w:rFonts w:hint="eastAsia" w:ascii="宋体" w:hAnsi="宋体" w:eastAsia="宋体" w:cs="宋体"/>
                <w:color w:val="auto"/>
                <w:sz w:val="24"/>
                <w:szCs w:val="24"/>
                <w:highlight w:val="none"/>
              </w:rPr>
            </w:pPr>
          </w:p>
        </w:tc>
      </w:tr>
      <w:tr w14:paraId="33B9BD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228" w:type="dxa"/>
            <w:vAlign w:val="center"/>
          </w:tcPr>
          <w:p w14:paraId="6B772B3A">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4654FB27">
            <w:pPr>
              <w:spacing w:line="400" w:lineRule="exact"/>
              <w:rPr>
                <w:rFonts w:hint="eastAsia" w:ascii="宋体" w:hAnsi="宋体" w:eastAsia="宋体" w:cs="宋体"/>
                <w:color w:val="auto"/>
                <w:sz w:val="24"/>
                <w:szCs w:val="24"/>
                <w:highlight w:val="none"/>
              </w:rPr>
            </w:pPr>
          </w:p>
        </w:tc>
        <w:tc>
          <w:tcPr>
            <w:tcW w:w="3562" w:type="dxa"/>
            <w:vAlign w:val="top"/>
          </w:tcPr>
          <w:p w14:paraId="67B377FA">
            <w:pPr>
              <w:spacing w:line="400" w:lineRule="exact"/>
              <w:rPr>
                <w:rFonts w:hint="eastAsia" w:ascii="宋体" w:hAnsi="宋体" w:eastAsia="宋体" w:cs="宋体"/>
                <w:color w:val="auto"/>
                <w:sz w:val="24"/>
                <w:szCs w:val="24"/>
                <w:highlight w:val="none"/>
              </w:rPr>
            </w:pPr>
          </w:p>
        </w:tc>
        <w:tc>
          <w:tcPr>
            <w:tcW w:w="2344" w:type="dxa"/>
            <w:vAlign w:val="top"/>
          </w:tcPr>
          <w:p w14:paraId="2DEA8AE8">
            <w:pPr>
              <w:spacing w:line="400" w:lineRule="exact"/>
              <w:rPr>
                <w:rFonts w:hint="eastAsia" w:ascii="宋体" w:hAnsi="宋体" w:eastAsia="宋体" w:cs="宋体"/>
                <w:color w:val="auto"/>
                <w:sz w:val="24"/>
                <w:szCs w:val="24"/>
                <w:highlight w:val="none"/>
              </w:rPr>
            </w:pPr>
          </w:p>
        </w:tc>
      </w:tr>
      <w:tr w14:paraId="32FDEC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228" w:type="dxa"/>
            <w:vAlign w:val="center"/>
          </w:tcPr>
          <w:p w14:paraId="39132930">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4B2DAF07">
            <w:pPr>
              <w:spacing w:line="400" w:lineRule="exact"/>
              <w:rPr>
                <w:rFonts w:hint="eastAsia" w:ascii="宋体" w:hAnsi="宋体" w:eastAsia="宋体" w:cs="宋体"/>
                <w:color w:val="auto"/>
                <w:sz w:val="24"/>
                <w:szCs w:val="24"/>
                <w:highlight w:val="none"/>
              </w:rPr>
            </w:pPr>
          </w:p>
        </w:tc>
        <w:tc>
          <w:tcPr>
            <w:tcW w:w="3562" w:type="dxa"/>
            <w:vAlign w:val="top"/>
          </w:tcPr>
          <w:p w14:paraId="14FB48D8">
            <w:pPr>
              <w:spacing w:line="400" w:lineRule="exact"/>
              <w:rPr>
                <w:rFonts w:hint="eastAsia" w:ascii="宋体" w:hAnsi="宋体" w:eastAsia="宋体" w:cs="宋体"/>
                <w:color w:val="auto"/>
                <w:sz w:val="24"/>
                <w:szCs w:val="24"/>
                <w:highlight w:val="none"/>
              </w:rPr>
            </w:pPr>
          </w:p>
        </w:tc>
        <w:tc>
          <w:tcPr>
            <w:tcW w:w="2344" w:type="dxa"/>
            <w:vAlign w:val="top"/>
          </w:tcPr>
          <w:p w14:paraId="74A7FDB6">
            <w:pPr>
              <w:spacing w:line="400" w:lineRule="exact"/>
              <w:rPr>
                <w:rFonts w:hint="eastAsia" w:ascii="宋体" w:hAnsi="宋体" w:eastAsia="宋体" w:cs="宋体"/>
                <w:color w:val="auto"/>
                <w:sz w:val="24"/>
                <w:szCs w:val="24"/>
                <w:highlight w:val="none"/>
              </w:rPr>
            </w:pPr>
          </w:p>
        </w:tc>
      </w:tr>
      <w:tr w14:paraId="12C376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228" w:type="dxa"/>
            <w:vAlign w:val="center"/>
          </w:tcPr>
          <w:p w14:paraId="7837F1DD">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434C4E74">
            <w:pPr>
              <w:spacing w:line="400" w:lineRule="exact"/>
              <w:rPr>
                <w:rFonts w:hint="eastAsia" w:ascii="宋体" w:hAnsi="宋体" w:eastAsia="宋体" w:cs="宋体"/>
                <w:color w:val="auto"/>
                <w:sz w:val="24"/>
                <w:szCs w:val="24"/>
                <w:highlight w:val="none"/>
              </w:rPr>
            </w:pPr>
          </w:p>
        </w:tc>
        <w:tc>
          <w:tcPr>
            <w:tcW w:w="3562" w:type="dxa"/>
            <w:vAlign w:val="top"/>
          </w:tcPr>
          <w:p w14:paraId="27DFE6D8">
            <w:pPr>
              <w:spacing w:line="400" w:lineRule="exact"/>
              <w:rPr>
                <w:rFonts w:hint="eastAsia" w:ascii="宋体" w:hAnsi="宋体" w:eastAsia="宋体" w:cs="宋体"/>
                <w:color w:val="auto"/>
                <w:sz w:val="24"/>
                <w:szCs w:val="24"/>
                <w:highlight w:val="none"/>
              </w:rPr>
            </w:pPr>
          </w:p>
        </w:tc>
        <w:tc>
          <w:tcPr>
            <w:tcW w:w="2344" w:type="dxa"/>
            <w:vAlign w:val="top"/>
          </w:tcPr>
          <w:p w14:paraId="39A5662B">
            <w:pPr>
              <w:spacing w:line="400" w:lineRule="exact"/>
              <w:rPr>
                <w:rFonts w:hint="eastAsia" w:ascii="宋体" w:hAnsi="宋体" w:eastAsia="宋体" w:cs="宋体"/>
                <w:color w:val="auto"/>
                <w:sz w:val="24"/>
                <w:szCs w:val="24"/>
                <w:highlight w:val="none"/>
              </w:rPr>
            </w:pPr>
          </w:p>
        </w:tc>
      </w:tr>
      <w:tr w14:paraId="3CF7B0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6" w:hRule="atLeast"/>
          <w:jc w:val="center"/>
        </w:trPr>
        <w:tc>
          <w:tcPr>
            <w:tcW w:w="1228" w:type="dxa"/>
            <w:vAlign w:val="center"/>
          </w:tcPr>
          <w:p w14:paraId="5DCAD6D5">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17142687">
            <w:pPr>
              <w:spacing w:line="400" w:lineRule="exact"/>
              <w:rPr>
                <w:rFonts w:hint="eastAsia" w:ascii="宋体" w:hAnsi="宋体" w:eastAsia="宋体" w:cs="宋体"/>
                <w:color w:val="auto"/>
                <w:sz w:val="24"/>
                <w:szCs w:val="24"/>
                <w:highlight w:val="none"/>
              </w:rPr>
            </w:pPr>
          </w:p>
        </w:tc>
        <w:tc>
          <w:tcPr>
            <w:tcW w:w="3562" w:type="dxa"/>
            <w:vAlign w:val="top"/>
          </w:tcPr>
          <w:p w14:paraId="6D7EE81B">
            <w:pPr>
              <w:spacing w:line="400" w:lineRule="exact"/>
              <w:rPr>
                <w:rFonts w:hint="eastAsia" w:ascii="宋体" w:hAnsi="宋体" w:eastAsia="宋体" w:cs="宋体"/>
                <w:color w:val="auto"/>
                <w:sz w:val="24"/>
                <w:szCs w:val="24"/>
                <w:highlight w:val="none"/>
              </w:rPr>
            </w:pPr>
          </w:p>
        </w:tc>
        <w:tc>
          <w:tcPr>
            <w:tcW w:w="2344" w:type="dxa"/>
            <w:vAlign w:val="top"/>
          </w:tcPr>
          <w:p w14:paraId="4E9D610A">
            <w:pPr>
              <w:spacing w:line="400" w:lineRule="exact"/>
              <w:rPr>
                <w:rFonts w:hint="eastAsia" w:ascii="宋体" w:hAnsi="宋体" w:eastAsia="宋体" w:cs="宋体"/>
                <w:color w:val="auto"/>
                <w:sz w:val="24"/>
                <w:szCs w:val="24"/>
                <w:highlight w:val="none"/>
              </w:rPr>
            </w:pPr>
          </w:p>
        </w:tc>
      </w:tr>
      <w:tr w14:paraId="5FD396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28" w:type="dxa"/>
            <w:vAlign w:val="center"/>
          </w:tcPr>
          <w:p w14:paraId="3165C074">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41787501">
            <w:pPr>
              <w:spacing w:line="400" w:lineRule="exact"/>
              <w:rPr>
                <w:rFonts w:hint="eastAsia" w:ascii="宋体" w:hAnsi="宋体" w:eastAsia="宋体" w:cs="宋体"/>
                <w:color w:val="auto"/>
                <w:sz w:val="24"/>
                <w:szCs w:val="24"/>
                <w:highlight w:val="none"/>
              </w:rPr>
            </w:pPr>
          </w:p>
        </w:tc>
        <w:tc>
          <w:tcPr>
            <w:tcW w:w="3562" w:type="dxa"/>
            <w:vAlign w:val="top"/>
          </w:tcPr>
          <w:p w14:paraId="272C180F">
            <w:pPr>
              <w:spacing w:line="400" w:lineRule="exact"/>
              <w:rPr>
                <w:rFonts w:hint="eastAsia" w:ascii="宋体" w:hAnsi="宋体" w:eastAsia="宋体" w:cs="宋体"/>
                <w:color w:val="auto"/>
                <w:sz w:val="24"/>
                <w:szCs w:val="24"/>
                <w:highlight w:val="none"/>
              </w:rPr>
            </w:pPr>
          </w:p>
        </w:tc>
        <w:tc>
          <w:tcPr>
            <w:tcW w:w="2344" w:type="dxa"/>
            <w:vAlign w:val="top"/>
          </w:tcPr>
          <w:p w14:paraId="7DC37548">
            <w:pPr>
              <w:spacing w:line="400" w:lineRule="exact"/>
              <w:rPr>
                <w:rFonts w:hint="eastAsia" w:ascii="宋体" w:hAnsi="宋体" w:eastAsia="宋体" w:cs="宋体"/>
                <w:color w:val="auto"/>
                <w:sz w:val="24"/>
                <w:szCs w:val="24"/>
                <w:highlight w:val="none"/>
              </w:rPr>
            </w:pPr>
          </w:p>
        </w:tc>
      </w:tr>
      <w:tr w14:paraId="7EAB99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28" w:type="dxa"/>
            <w:vAlign w:val="center"/>
          </w:tcPr>
          <w:p w14:paraId="5112ABC7">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1456D931">
            <w:pPr>
              <w:spacing w:line="400" w:lineRule="exact"/>
              <w:rPr>
                <w:rFonts w:hint="eastAsia" w:ascii="宋体" w:hAnsi="宋体" w:eastAsia="宋体" w:cs="宋体"/>
                <w:color w:val="auto"/>
                <w:sz w:val="24"/>
                <w:szCs w:val="24"/>
                <w:highlight w:val="none"/>
              </w:rPr>
            </w:pPr>
          </w:p>
        </w:tc>
        <w:tc>
          <w:tcPr>
            <w:tcW w:w="3562" w:type="dxa"/>
            <w:vAlign w:val="top"/>
          </w:tcPr>
          <w:p w14:paraId="1A105249">
            <w:pPr>
              <w:spacing w:line="400" w:lineRule="exact"/>
              <w:rPr>
                <w:rFonts w:hint="eastAsia" w:ascii="宋体" w:hAnsi="宋体" w:eastAsia="宋体" w:cs="宋体"/>
                <w:color w:val="auto"/>
                <w:sz w:val="24"/>
                <w:szCs w:val="24"/>
                <w:highlight w:val="none"/>
              </w:rPr>
            </w:pPr>
          </w:p>
        </w:tc>
        <w:tc>
          <w:tcPr>
            <w:tcW w:w="2344" w:type="dxa"/>
            <w:vAlign w:val="top"/>
          </w:tcPr>
          <w:p w14:paraId="0D74F4CB">
            <w:pPr>
              <w:spacing w:line="400" w:lineRule="exact"/>
              <w:rPr>
                <w:rFonts w:hint="eastAsia" w:ascii="宋体" w:hAnsi="宋体" w:eastAsia="宋体" w:cs="宋体"/>
                <w:color w:val="auto"/>
                <w:sz w:val="24"/>
                <w:szCs w:val="24"/>
                <w:highlight w:val="none"/>
              </w:rPr>
            </w:pPr>
          </w:p>
        </w:tc>
      </w:tr>
      <w:tr w14:paraId="109890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8" w:hRule="atLeast"/>
          <w:jc w:val="center"/>
        </w:trPr>
        <w:tc>
          <w:tcPr>
            <w:tcW w:w="1228" w:type="dxa"/>
            <w:vAlign w:val="center"/>
          </w:tcPr>
          <w:p w14:paraId="0516446A">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41FBA143">
            <w:pPr>
              <w:spacing w:line="400" w:lineRule="exact"/>
              <w:rPr>
                <w:rFonts w:hint="eastAsia" w:ascii="宋体" w:hAnsi="宋体" w:eastAsia="宋体" w:cs="宋体"/>
                <w:color w:val="auto"/>
                <w:sz w:val="24"/>
                <w:szCs w:val="24"/>
                <w:highlight w:val="none"/>
              </w:rPr>
            </w:pPr>
          </w:p>
        </w:tc>
        <w:tc>
          <w:tcPr>
            <w:tcW w:w="3562" w:type="dxa"/>
            <w:vAlign w:val="top"/>
          </w:tcPr>
          <w:p w14:paraId="21552C1C">
            <w:pPr>
              <w:spacing w:line="400" w:lineRule="exact"/>
              <w:rPr>
                <w:rFonts w:hint="eastAsia" w:ascii="宋体" w:hAnsi="宋体" w:eastAsia="宋体" w:cs="宋体"/>
                <w:color w:val="auto"/>
                <w:sz w:val="24"/>
                <w:szCs w:val="24"/>
                <w:highlight w:val="none"/>
              </w:rPr>
            </w:pPr>
          </w:p>
        </w:tc>
        <w:tc>
          <w:tcPr>
            <w:tcW w:w="2344" w:type="dxa"/>
            <w:vAlign w:val="top"/>
          </w:tcPr>
          <w:p w14:paraId="711E7D02">
            <w:pPr>
              <w:spacing w:line="400" w:lineRule="exact"/>
              <w:rPr>
                <w:rFonts w:hint="eastAsia" w:ascii="宋体" w:hAnsi="宋体" w:eastAsia="宋体" w:cs="宋体"/>
                <w:color w:val="auto"/>
                <w:sz w:val="24"/>
                <w:szCs w:val="24"/>
                <w:highlight w:val="none"/>
              </w:rPr>
            </w:pPr>
          </w:p>
        </w:tc>
      </w:tr>
      <w:tr w14:paraId="0FB182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228" w:type="dxa"/>
            <w:vAlign w:val="center"/>
          </w:tcPr>
          <w:p w14:paraId="58C195BD">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587822A7">
            <w:pPr>
              <w:spacing w:line="400" w:lineRule="exact"/>
              <w:rPr>
                <w:rFonts w:hint="eastAsia" w:ascii="宋体" w:hAnsi="宋体" w:eastAsia="宋体" w:cs="宋体"/>
                <w:color w:val="auto"/>
                <w:sz w:val="24"/>
                <w:szCs w:val="24"/>
                <w:highlight w:val="none"/>
              </w:rPr>
            </w:pPr>
          </w:p>
        </w:tc>
        <w:tc>
          <w:tcPr>
            <w:tcW w:w="3562" w:type="dxa"/>
            <w:vAlign w:val="top"/>
          </w:tcPr>
          <w:p w14:paraId="578D9B2B">
            <w:pPr>
              <w:spacing w:line="400" w:lineRule="exact"/>
              <w:rPr>
                <w:rFonts w:hint="eastAsia" w:ascii="宋体" w:hAnsi="宋体" w:eastAsia="宋体" w:cs="宋体"/>
                <w:color w:val="auto"/>
                <w:sz w:val="24"/>
                <w:szCs w:val="24"/>
                <w:highlight w:val="none"/>
              </w:rPr>
            </w:pPr>
          </w:p>
        </w:tc>
        <w:tc>
          <w:tcPr>
            <w:tcW w:w="2344" w:type="dxa"/>
            <w:vAlign w:val="top"/>
          </w:tcPr>
          <w:p w14:paraId="22FA7090">
            <w:pPr>
              <w:spacing w:line="400" w:lineRule="exact"/>
              <w:rPr>
                <w:rFonts w:hint="eastAsia" w:ascii="宋体" w:hAnsi="宋体" w:eastAsia="宋体" w:cs="宋体"/>
                <w:color w:val="auto"/>
                <w:sz w:val="24"/>
                <w:szCs w:val="24"/>
                <w:highlight w:val="none"/>
              </w:rPr>
            </w:pPr>
          </w:p>
        </w:tc>
      </w:tr>
      <w:tr w14:paraId="03844C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228" w:type="dxa"/>
            <w:vAlign w:val="center"/>
          </w:tcPr>
          <w:p w14:paraId="58AB7BE8">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719A1329">
            <w:pPr>
              <w:spacing w:line="400" w:lineRule="exact"/>
              <w:rPr>
                <w:rFonts w:hint="eastAsia" w:ascii="宋体" w:hAnsi="宋体" w:eastAsia="宋体" w:cs="宋体"/>
                <w:color w:val="auto"/>
                <w:sz w:val="24"/>
                <w:szCs w:val="24"/>
                <w:highlight w:val="none"/>
              </w:rPr>
            </w:pPr>
          </w:p>
        </w:tc>
        <w:tc>
          <w:tcPr>
            <w:tcW w:w="3562" w:type="dxa"/>
            <w:vAlign w:val="top"/>
          </w:tcPr>
          <w:p w14:paraId="0AB33E6D">
            <w:pPr>
              <w:spacing w:line="400" w:lineRule="exact"/>
              <w:rPr>
                <w:rFonts w:hint="eastAsia" w:ascii="宋体" w:hAnsi="宋体" w:eastAsia="宋体" w:cs="宋体"/>
                <w:color w:val="auto"/>
                <w:sz w:val="24"/>
                <w:szCs w:val="24"/>
                <w:highlight w:val="none"/>
              </w:rPr>
            </w:pPr>
          </w:p>
        </w:tc>
        <w:tc>
          <w:tcPr>
            <w:tcW w:w="2344" w:type="dxa"/>
            <w:vAlign w:val="top"/>
          </w:tcPr>
          <w:p w14:paraId="5E4BDD20">
            <w:pPr>
              <w:spacing w:line="400" w:lineRule="exact"/>
              <w:rPr>
                <w:rFonts w:hint="eastAsia" w:ascii="宋体" w:hAnsi="宋体" w:eastAsia="宋体" w:cs="宋体"/>
                <w:color w:val="auto"/>
                <w:sz w:val="24"/>
                <w:szCs w:val="24"/>
                <w:highlight w:val="none"/>
              </w:rPr>
            </w:pPr>
          </w:p>
        </w:tc>
      </w:tr>
      <w:tr w14:paraId="7A7B78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9" w:hRule="atLeast"/>
          <w:jc w:val="center"/>
        </w:trPr>
        <w:tc>
          <w:tcPr>
            <w:tcW w:w="1228" w:type="dxa"/>
            <w:vAlign w:val="center"/>
          </w:tcPr>
          <w:p w14:paraId="3BA06616">
            <w:pPr>
              <w:spacing w:line="400" w:lineRule="exact"/>
              <w:jc w:val="center"/>
              <w:rPr>
                <w:rFonts w:hint="eastAsia" w:ascii="宋体" w:hAnsi="宋体" w:eastAsia="宋体" w:cs="宋体"/>
                <w:color w:val="auto"/>
                <w:sz w:val="24"/>
                <w:szCs w:val="24"/>
                <w:highlight w:val="none"/>
                <w:lang w:val="en-US" w:eastAsia="zh-CN"/>
              </w:rPr>
            </w:pPr>
          </w:p>
        </w:tc>
        <w:tc>
          <w:tcPr>
            <w:tcW w:w="2304" w:type="dxa"/>
            <w:vAlign w:val="top"/>
          </w:tcPr>
          <w:p w14:paraId="2188B7B9">
            <w:pPr>
              <w:spacing w:line="400" w:lineRule="exact"/>
              <w:rPr>
                <w:rFonts w:hint="eastAsia" w:ascii="宋体" w:hAnsi="宋体" w:eastAsia="宋体" w:cs="宋体"/>
                <w:color w:val="auto"/>
                <w:sz w:val="24"/>
                <w:szCs w:val="24"/>
                <w:highlight w:val="none"/>
              </w:rPr>
            </w:pPr>
          </w:p>
        </w:tc>
        <w:tc>
          <w:tcPr>
            <w:tcW w:w="3562" w:type="dxa"/>
            <w:vAlign w:val="top"/>
          </w:tcPr>
          <w:p w14:paraId="05F17B91">
            <w:pPr>
              <w:spacing w:line="400" w:lineRule="exact"/>
              <w:rPr>
                <w:rFonts w:hint="eastAsia" w:ascii="宋体" w:hAnsi="宋体" w:eastAsia="宋体" w:cs="宋体"/>
                <w:color w:val="auto"/>
                <w:sz w:val="24"/>
                <w:szCs w:val="24"/>
                <w:highlight w:val="none"/>
              </w:rPr>
            </w:pPr>
          </w:p>
        </w:tc>
        <w:tc>
          <w:tcPr>
            <w:tcW w:w="2344" w:type="dxa"/>
            <w:vAlign w:val="top"/>
          </w:tcPr>
          <w:p w14:paraId="0FDBA086">
            <w:pPr>
              <w:spacing w:line="400" w:lineRule="exact"/>
              <w:rPr>
                <w:rFonts w:hint="eastAsia" w:ascii="宋体" w:hAnsi="宋体" w:eastAsia="宋体" w:cs="宋体"/>
                <w:color w:val="auto"/>
                <w:sz w:val="24"/>
                <w:szCs w:val="24"/>
                <w:highlight w:val="none"/>
              </w:rPr>
            </w:pPr>
          </w:p>
        </w:tc>
      </w:tr>
    </w:tbl>
    <w:p w14:paraId="57167381">
      <w:pPr>
        <w:pStyle w:val="3"/>
        <w:adjustRightInd w:val="0"/>
        <w:snapToGrid w:val="0"/>
        <w:spacing w:before="0" w:after="0" w:line="360" w:lineRule="auto"/>
        <w:jc w:val="left"/>
        <w:outlineLvl w:val="9"/>
        <w:rPr>
          <w:rFonts w:hint="eastAsia" w:ascii="宋体" w:hAnsi="宋体" w:eastAsia="宋体" w:cs="宋体"/>
          <w:color w:val="auto"/>
          <w:sz w:val="24"/>
          <w:szCs w:val="24"/>
          <w:highlight w:val="none"/>
          <w:lang w:val="en-US" w:eastAsia="zh-CN"/>
        </w:rPr>
      </w:pPr>
    </w:p>
    <w:p w14:paraId="7038A011">
      <w:pPr>
        <w:rPr>
          <w:rFonts w:hint="eastAsia"/>
          <w:color w:val="auto"/>
          <w:highlight w:val="none"/>
          <w:lang w:val="en-US" w:eastAsia="zh-CN"/>
        </w:rPr>
      </w:pPr>
    </w:p>
    <w:p w14:paraId="7BFFE93F">
      <w:pPr>
        <w:wordWrap w:val="0"/>
        <w:spacing w:after="0" w:line="240" w:lineRule="auto"/>
        <w:jc w:val="center"/>
        <w:rPr>
          <w:rFonts w:hint="eastAsia" w:ascii="宋体" w:hAnsi="宋体" w:eastAsia="宋体" w:cs="宋体"/>
          <w:color w:val="auto"/>
          <w:sz w:val="44"/>
          <w:szCs w:val="28"/>
          <w:highlight w:val="none"/>
          <w:lang w:val="en-US" w:eastAsia="zh-CN"/>
        </w:rPr>
      </w:pPr>
    </w:p>
    <w:p w14:paraId="7CEC8E8D">
      <w:pPr>
        <w:pStyle w:val="18"/>
        <w:rPr>
          <w:rFonts w:hint="eastAsia" w:ascii="宋体" w:hAnsi="宋体" w:eastAsia="宋体" w:cs="宋体"/>
          <w:color w:val="auto"/>
          <w:sz w:val="44"/>
          <w:szCs w:val="28"/>
          <w:highlight w:val="none"/>
          <w:lang w:val="en-US" w:eastAsia="zh-CN"/>
        </w:rPr>
      </w:pPr>
    </w:p>
    <w:p w14:paraId="581A9567">
      <w:pPr>
        <w:pStyle w:val="18"/>
        <w:rPr>
          <w:rFonts w:hint="eastAsia" w:ascii="宋体" w:hAnsi="宋体" w:eastAsia="宋体" w:cs="宋体"/>
          <w:color w:val="auto"/>
          <w:sz w:val="44"/>
          <w:szCs w:val="28"/>
          <w:highlight w:val="none"/>
          <w:lang w:val="en-US" w:eastAsia="zh-CN"/>
        </w:rPr>
      </w:pPr>
    </w:p>
    <w:p w14:paraId="0AB88097">
      <w:pPr>
        <w:pStyle w:val="3"/>
        <w:numPr>
          <w:ilvl w:val="0"/>
          <w:numId w:val="0"/>
        </w:numPr>
        <w:spacing w:before="0" w:after="0" w:line="240" w:lineRule="auto"/>
        <w:jc w:val="center"/>
        <w:rPr>
          <w:rFonts w:hint="eastAsia" w:ascii="微软雅黑 Light" w:hAnsi="微软雅黑 Light" w:eastAsia="微软雅黑 Light" w:cs="微软雅黑 Light"/>
          <w:b/>
          <w:bCs w:val="0"/>
          <w:color w:val="auto"/>
          <w:sz w:val="40"/>
          <w:szCs w:val="40"/>
          <w:highlight w:val="none"/>
          <w:lang w:val="en-US" w:eastAsia="zh-CN"/>
        </w:rPr>
        <w:sectPr>
          <w:footerReference r:id="rId20" w:type="default"/>
          <w:pgSz w:w="11907" w:h="16840"/>
          <w:pgMar w:top="1077" w:right="1020" w:bottom="1077" w:left="1020" w:header="851" w:footer="567" w:gutter="0"/>
          <w:pgNumType w:fmt="decimal"/>
          <w:cols w:space="425" w:num="1"/>
          <w:docGrid w:linePitch="312" w:charSpace="0"/>
        </w:sectPr>
      </w:pPr>
    </w:p>
    <w:p w14:paraId="0DB67515">
      <w:pPr>
        <w:pStyle w:val="3"/>
        <w:spacing w:line="620" w:lineRule="exact"/>
        <w:jc w:val="center"/>
        <w:rPr>
          <w:rFonts w:hint="eastAsia" w:ascii="宋体" w:hAnsi="宋体" w:eastAsia="宋体" w:cs="宋体"/>
          <w:color w:val="auto"/>
          <w:sz w:val="36"/>
          <w:highlight w:val="none"/>
          <w:lang w:val="en-US" w:eastAsia="zh-CN"/>
        </w:rPr>
      </w:pPr>
      <w:bookmarkStart w:id="352" w:name="_Toc16349"/>
      <w:r>
        <w:rPr>
          <w:rFonts w:hint="eastAsia" w:ascii="宋体" w:hAnsi="宋体" w:eastAsia="宋体" w:cs="宋体"/>
          <w:color w:val="auto"/>
          <w:sz w:val="36"/>
          <w:highlight w:val="none"/>
          <w:lang w:val="en-US" w:eastAsia="zh-CN"/>
        </w:rPr>
        <w:t>十三、投标人认为有必要提供的其它资料</w:t>
      </w:r>
      <w:bookmarkEnd w:id="352"/>
    </w:p>
    <w:p w14:paraId="4E598F6E">
      <w:pPr>
        <w:wordWrap w:val="0"/>
        <w:jc w:val="center"/>
        <w:rPr>
          <w:rFonts w:hint="eastAsia" w:ascii="宋体" w:hAnsi="宋体" w:eastAsia="宋体" w:cs="宋体"/>
          <w:b/>
          <w:bCs w:val="0"/>
          <w:color w:val="auto"/>
          <w:kern w:val="2"/>
          <w:sz w:val="28"/>
          <w:szCs w:val="28"/>
          <w:highlight w:val="none"/>
          <w:lang w:val="en-US" w:eastAsia="zh-CN" w:bidi="ar-SA"/>
        </w:rPr>
      </w:pPr>
      <w:r>
        <w:rPr>
          <w:rFonts w:hint="eastAsia" w:ascii="宋体" w:hAnsi="宋体" w:eastAsia="宋体" w:cs="宋体"/>
          <w:b/>
          <w:bCs w:val="0"/>
          <w:color w:val="auto"/>
          <w:kern w:val="2"/>
          <w:sz w:val="28"/>
          <w:szCs w:val="28"/>
          <w:highlight w:val="none"/>
          <w:lang w:val="en-US" w:eastAsia="zh-CN" w:bidi="ar-SA"/>
        </w:rPr>
        <w:t>（内容、格式自拟）</w:t>
      </w:r>
    </w:p>
    <w:p w14:paraId="27F70A0C">
      <w:pPr>
        <w:wordWrap w:val="0"/>
        <w:jc w:val="center"/>
        <w:rPr>
          <w:rFonts w:hint="eastAsia" w:ascii="宋体" w:hAnsi="宋体" w:eastAsia="宋体" w:cs="宋体"/>
          <w:b/>
          <w:bCs w:val="0"/>
          <w:color w:val="auto"/>
          <w:kern w:val="2"/>
          <w:sz w:val="28"/>
          <w:szCs w:val="28"/>
          <w:highlight w:val="none"/>
          <w:lang w:val="en-US" w:eastAsia="zh-CN" w:bidi="ar-SA"/>
        </w:rPr>
      </w:pPr>
    </w:p>
    <w:p w14:paraId="0896869F">
      <w:pPr>
        <w:wordWrap w:val="0"/>
        <w:jc w:val="center"/>
        <w:rPr>
          <w:rFonts w:hint="eastAsia" w:ascii="宋体" w:hAnsi="宋体" w:eastAsia="宋体" w:cs="宋体"/>
          <w:b/>
          <w:bCs w:val="0"/>
          <w:color w:val="auto"/>
          <w:kern w:val="2"/>
          <w:sz w:val="28"/>
          <w:szCs w:val="28"/>
          <w:highlight w:val="none"/>
          <w:lang w:val="en-US" w:eastAsia="zh-CN" w:bidi="ar-SA"/>
        </w:rPr>
      </w:pPr>
    </w:p>
    <w:p w14:paraId="240990A3">
      <w:pPr>
        <w:pStyle w:val="5"/>
        <w:ind w:left="0" w:leftChars="0" w:firstLine="240" w:firstLineChars="100"/>
        <w:rPr>
          <w:rFonts w:hint="eastAsia" w:ascii="宋体" w:hAnsi="宋体" w:eastAsia="宋体" w:cs="宋体"/>
          <w:b w:val="0"/>
          <w:bCs/>
          <w:color w:val="auto"/>
          <w:sz w:val="24"/>
          <w:szCs w:val="24"/>
          <w:highlight w:val="none"/>
          <w:lang w:val="en-US" w:eastAsia="zh-CN"/>
        </w:rPr>
      </w:pPr>
      <w:r>
        <w:rPr>
          <w:rFonts w:hint="eastAsia" w:ascii="宋体" w:hAnsi="宋体" w:eastAsia="宋体" w:cs="宋体"/>
          <w:b w:val="0"/>
          <w:bCs/>
          <w:color w:val="auto"/>
          <w:sz w:val="24"/>
          <w:szCs w:val="24"/>
          <w:highlight w:val="none"/>
          <w:lang w:val="en-US" w:eastAsia="zh-CN"/>
        </w:rPr>
        <w:t>注：</w:t>
      </w:r>
      <w:r>
        <w:rPr>
          <w:rFonts w:hint="eastAsia" w:ascii="宋体" w:hAnsi="宋体" w:eastAsia="宋体" w:cs="宋体"/>
          <w:b w:val="0"/>
          <w:bCs/>
          <w:color w:val="auto"/>
          <w:sz w:val="24"/>
          <w:szCs w:val="24"/>
          <w:highlight w:val="none"/>
        </w:rPr>
        <w:t xml:space="preserve"> </w:t>
      </w:r>
      <w:r>
        <w:rPr>
          <w:rFonts w:hint="eastAsia" w:ascii="宋体" w:hAnsi="宋体" w:eastAsia="宋体" w:cs="宋体"/>
          <w:b w:val="0"/>
          <w:bCs/>
          <w:color w:val="auto"/>
          <w:sz w:val="24"/>
          <w:szCs w:val="24"/>
          <w:highlight w:val="none"/>
          <w:lang w:val="en-US" w:eastAsia="zh-CN"/>
        </w:rPr>
        <w:t>1.补充材料包括本项目的补遗、更正公告、投标人能享受政策优惠的证明材料（如果有，根据投标人实际情况提供）；</w:t>
      </w:r>
    </w:p>
    <w:p w14:paraId="74B1F50E">
      <w:pPr>
        <w:pStyle w:val="3"/>
        <w:numPr>
          <w:ilvl w:val="0"/>
          <w:numId w:val="0"/>
        </w:numPr>
        <w:spacing w:before="0" w:after="0" w:line="240" w:lineRule="auto"/>
        <w:ind w:firstLine="720" w:firstLineChars="300"/>
        <w:jc w:val="both"/>
        <w:rPr>
          <w:rFonts w:hint="eastAsia" w:ascii="微软雅黑 Light" w:hAnsi="微软雅黑 Light" w:eastAsia="微软雅黑 Light" w:cs="微软雅黑 Light"/>
          <w:b/>
          <w:bCs w:val="0"/>
          <w:color w:val="auto"/>
          <w:sz w:val="40"/>
          <w:szCs w:val="40"/>
          <w:highlight w:val="none"/>
          <w:lang w:val="en-US" w:eastAsia="zh-CN"/>
        </w:rPr>
        <w:sectPr>
          <w:pgSz w:w="11907" w:h="16840"/>
          <w:pgMar w:top="1077" w:right="1020" w:bottom="1077" w:left="1020" w:header="851" w:footer="567" w:gutter="0"/>
          <w:pgNumType w:fmt="decimal"/>
          <w:cols w:space="425" w:num="1"/>
          <w:docGrid w:linePitch="312" w:charSpace="0"/>
        </w:sectPr>
      </w:pPr>
      <w:r>
        <w:rPr>
          <w:rFonts w:hint="eastAsia" w:ascii="宋体" w:hAnsi="宋体" w:eastAsia="宋体" w:cs="宋体"/>
          <w:b w:val="0"/>
          <w:bCs/>
          <w:color w:val="auto"/>
          <w:sz w:val="24"/>
          <w:szCs w:val="24"/>
          <w:highlight w:val="none"/>
          <w:lang w:val="en-US" w:eastAsia="zh-CN"/>
        </w:rPr>
        <w:t>2.企业获得的相关证书（含获奖材料、信誉证书等）（若有）；</w:t>
      </w:r>
    </w:p>
    <w:p w14:paraId="53157DD2">
      <w:pPr>
        <w:pStyle w:val="3"/>
        <w:numPr>
          <w:ilvl w:val="0"/>
          <w:numId w:val="0"/>
        </w:numPr>
        <w:spacing w:before="0" w:after="0" w:line="240" w:lineRule="auto"/>
        <w:jc w:val="center"/>
        <w:rPr>
          <w:rFonts w:hint="eastAsia" w:ascii="微软雅黑 Light" w:hAnsi="微软雅黑 Light" w:eastAsia="微软雅黑 Light" w:cs="微软雅黑 Light"/>
          <w:b/>
          <w:bCs w:val="0"/>
          <w:color w:val="auto"/>
          <w:sz w:val="40"/>
          <w:szCs w:val="40"/>
          <w:highlight w:val="none"/>
          <w:lang w:val="en-US" w:eastAsia="zh-CN"/>
        </w:rPr>
      </w:pPr>
      <w:r>
        <w:rPr>
          <w:rFonts w:hint="eastAsia" w:ascii="微软雅黑 Light" w:hAnsi="微软雅黑 Light" w:eastAsia="微软雅黑 Light" w:cs="微软雅黑 Light"/>
          <w:b/>
          <w:bCs w:val="0"/>
          <w:color w:val="auto"/>
          <w:sz w:val="40"/>
          <w:szCs w:val="40"/>
          <w:highlight w:val="none"/>
          <w:lang w:val="en-US" w:eastAsia="zh-CN"/>
        </w:rPr>
        <w:t>技术部分</w:t>
      </w:r>
    </w:p>
    <w:p w14:paraId="1949D9D6">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一、服务方案</w:t>
      </w:r>
    </w:p>
    <w:p w14:paraId="198ED5B6">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（内容、格式自拟）</w:t>
      </w:r>
    </w:p>
    <w:p w14:paraId="1B85FBD9">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kern w:val="2"/>
          <w:sz w:val="30"/>
          <w:szCs w:val="30"/>
          <w:highlight w:val="none"/>
          <w:lang w:val="en-US" w:eastAsia="zh-CN" w:bidi="ar-SA"/>
        </w:rPr>
        <w:t>二、</w:t>
      </w:r>
      <w:r>
        <w:rPr>
          <w:rFonts w:hint="eastAsia" w:ascii="微软雅黑 Light" w:hAnsi="微软雅黑 Light" w:eastAsia="微软雅黑 Light" w:cs="微软雅黑 Light"/>
          <w:b/>
          <w:bCs w:val="0"/>
          <w:color w:val="auto"/>
          <w:sz w:val="30"/>
          <w:szCs w:val="30"/>
          <w:highlight w:val="none"/>
          <w:lang w:val="en-US" w:eastAsia="zh-CN"/>
        </w:rPr>
        <w:t>服务进度计划、组织措施方案</w:t>
      </w:r>
    </w:p>
    <w:p w14:paraId="25488D5A">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（内容、格式自拟）</w:t>
      </w:r>
    </w:p>
    <w:p w14:paraId="004F1F7D">
      <w:pPr>
        <w:numPr>
          <w:ilvl w:val="0"/>
          <w:numId w:val="0"/>
        </w:numPr>
        <w:rPr>
          <w:rFonts w:hint="eastAsia"/>
          <w:highlight w:val="none"/>
          <w:lang w:val="en-US" w:eastAsia="zh-CN"/>
        </w:rPr>
      </w:pPr>
    </w:p>
    <w:p w14:paraId="18A597CA">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三、服务质量承诺及保证措施方案</w:t>
      </w:r>
    </w:p>
    <w:p w14:paraId="681584FC">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（内容、格式自拟）</w:t>
      </w:r>
    </w:p>
    <w:p w14:paraId="50970446">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kern w:val="2"/>
          <w:sz w:val="30"/>
          <w:szCs w:val="30"/>
          <w:highlight w:val="none"/>
          <w:lang w:val="en-US" w:eastAsia="zh-CN" w:bidi="ar-SA"/>
        </w:rPr>
        <w:t>四、</w:t>
      </w:r>
      <w:r>
        <w:rPr>
          <w:rFonts w:hint="eastAsia" w:ascii="微软雅黑 Light" w:hAnsi="微软雅黑 Light" w:eastAsia="微软雅黑 Light" w:cs="微软雅黑 Light"/>
          <w:b/>
          <w:bCs w:val="0"/>
          <w:color w:val="auto"/>
          <w:sz w:val="30"/>
          <w:szCs w:val="30"/>
          <w:highlight w:val="none"/>
          <w:lang w:val="en-US" w:eastAsia="zh-CN"/>
        </w:rPr>
        <w:t>后续服务方案</w:t>
      </w:r>
    </w:p>
    <w:p w14:paraId="688FDD2D">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（内容、格式自拟）</w:t>
      </w:r>
    </w:p>
    <w:p w14:paraId="219C65EF">
      <w:pPr>
        <w:numPr>
          <w:ilvl w:val="0"/>
          <w:numId w:val="0"/>
        </w:numPr>
        <w:rPr>
          <w:rFonts w:hint="default"/>
          <w:highlight w:val="none"/>
          <w:lang w:val="en-US" w:eastAsia="zh-CN"/>
        </w:rPr>
      </w:pPr>
    </w:p>
    <w:p w14:paraId="17AFDFE1">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五、投标单位综合实力自述</w:t>
      </w:r>
    </w:p>
    <w:p w14:paraId="67C051BA">
      <w:pPr>
        <w:pStyle w:val="3"/>
        <w:numPr>
          <w:ilvl w:val="0"/>
          <w:numId w:val="0"/>
        </w:numPr>
        <w:spacing w:line="360" w:lineRule="auto"/>
        <w:jc w:val="center"/>
        <w:rPr>
          <w:rFonts w:hint="eastAsia" w:ascii="微软雅黑 Light" w:hAnsi="微软雅黑 Light" w:eastAsia="微软雅黑 Light" w:cs="微软雅黑 Light"/>
          <w:b/>
          <w:bCs w:val="0"/>
          <w:color w:val="auto"/>
          <w:sz w:val="30"/>
          <w:szCs w:val="30"/>
          <w:highlight w:val="none"/>
          <w:lang w:val="en-US" w:eastAsia="zh-CN"/>
        </w:rPr>
      </w:pPr>
      <w:r>
        <w:rPr>
          <w:rFonts w:hint="eastAsia" w:ascii="微软雅黑 Light" w:hAnsi="微软雅黑 Light" w:eastAsia="微软雅黑 Light" w:cs="微软雅黑 Light"/>
          <w:b/>
          <w:bCs w:val="0"/>
          <w:color w:val="auto"/>
          <w:sz w:val="30"/>
          <w:szCs w:val="30"/>
          <w:highlight w:val="none"/>
          <w:lang w:val="en-US" w:eastAsia="zh-CN"/>
        </w:rPr>
        <w:t>（内容、格式自拟）</w:t>
      </w:r>
    </w:p>
    <w:p w14:paraId="07FD6729">
      <w:pPr>
        <w:rPr>
          <w:rFonts w:hint="eastAsia" w:ascii="宋体" w:hAnsi="宋体" w:eastAsia="宋体" w:cs="宋体"/>
          <w:b/>
          <w:bCs w:val="0"/>
          <w:color w:val="auto"/>
          <w:kern w:val="2"/>
          <w:sz w:val="30"/>
          <w:szCs w:val="30"/>
          <w:highlight w:val="none"/>
          <w:lang w:val="en-US" w:eastAsia="zh-CN" w:bidi="ar-SA"/>
        </w:rPr>
      </w:pPr>
    </w:p>
    <w:p w14:paraId="43FAD600">
      <w:pPr>
        <w:pStyle w:val="5"/>
        <w:ind w:firstLine="630" w:firstLineChars="300"/>
        <w:rPr>
          <w:rFonts w:hint="eastAsia"/>
          <w:color w:val="auto"/>
          <w:highlight w:val="none"/>
          <w:lang w:val="en-US" w:eastAsia="zh-CN"/>
        </w:rPr>
      </w:pPr>
    </w:p>
    <w:sectPr>
      <w:pgSz w:w="11907" w:h="16840"/>
      <w:pgMar w:top="1077" w:right="1020" w:bottom="1077" w:left="1020" w:header="851" w:footer="567" w:gutter="0"/>
      <w:pgNumType w:fmt="decimal"/>
      <w:cols w:space="425"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4D"/>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swiss"/>
    <w:pitch w:val="default"/>
    <w:sig w:usb0="E1002EFF" w:usb1="C000605B" w:usb2="00000029" w:usb3="00000000" w:csb0="200101FF" w:csb1="20280000"/>
  </w:font>
  <w:font w:name="华文细黑">
    <w:panose1 w:val="02010600040101010101"/>
    <w:charset w:val="86"/>
    <w:family w:val="auto"/>
    <w:pitch w:val="default"/>
    <w:sig w:usb0="00000287" w:usb1="080F0000" w:usb2="00000000" w:usb3="00000000" w:csb0="0004009F" w:csb1="DFD7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微软雅黑">
    <w:panose1 w:val="020B0503020204020204"/>
    <w:charset w:val="86"/>
    <w:family w:val="auto"/>
    <w:pitch w:val="default"/>
    <w:sig w:usb0="80000287" w:usb1="2ACF3C50" w:usb2="00000016" w:usb3="00000000" w:csb0="0004001F" w:csb1="00000000"/>
  </w:font>
  <w:font w:name="微软雅黑 Light">
    <w:panose1 w:val="020B0502040204020203"/>
    <w:charset w:val="86"/>
    <w:family w:val="auto"/>
    <w:pitch w:val="default"/>
    <w:sig w:usb0="80000287" w:usb1="2ACF0010" w:usb2="00000016" w:usb3="00000000" w:csb0="0004001F" w:csb1="00000000"/>
  </w:font>
  <w:font w:name="方正仿宋_GBK">
    <w:altName w:val="微软雅黑"/>
    <w:panose1 w:val="03000509000000000000"/>
    <w:charset w:val="86"/>
    <w:family w:val="script"/>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A3C9EC">
    <w:pPr>
      <w:pStyle w:val="28"/>
      <w:pBdr>
        <w:top w:val="thinThickSmallGap" w:color="622423" w:sz="24" w:space="1"/>
      </w:pBdr>
      <w:ind w:firstLine="540" w:firstLineChars="300"/>
      <w:rPr>
        <w:b/>
        <w:bCs/>
        <w:sz w:val="21"/>
        <w:szCs w:val="21"/>
      </w:rPr>
    </w:pPr>
    <w:r>
      <w:drawing>
        <wp:anchor distT="0" distB="0" distL="114300" distR="114300" simplePos="0" relativeHeight="251660288" behindDoc="1" locked="0" layoutInCell="1" allowOverlap="1">
          <wp:simplePos x="0" y="0"/>
          <wp:positionH relativeFrom="column">
            <wp:posOffset>110490</wp:posOffset>
          </wp:positionH>
          <wp:positionV relativeFrom="paragraph">
            <wp:posOffset>36195</wp:posOffset>
          </wp:positionV>
          <wp:extent cx="257175" cy="212090"/>
          <wp:effectExtent l="0" t="0" r="9525" b="16510"/>
          <wp:wrapTopAndBottom/>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257175" cy="212090"/>
                  </a:xfrm>
                  <a:prstGeom prst="rect">
                    <a:avLst/>
                  </a:prstGeom>
                  <a:noFill/>
                  <a:ln w="9525">
                    <a:noFill/>
                  </a:ln>
                </pic:spPr>
              </pic:pic>
            </a:graphicData>
          </a:graphic>
        </wp:anchor>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A291D4">
    <w:pPr>
      <w:ind w:firstLine="840" w:firstLineChars="400"/>
    </w:pPr>
    <w:r>
      <w:rPr>
        <w:rFonts w:hint="eastAsia" w:eastAsiaTheme="minorEastAsia"/>
        <w:lang w:eastAsia="zh-CN"/>
      </w:rPr>
      <w:drawing>
        <wp:anchor distT="0" distB="0" distL="114300" distR="114300" simplePos="0" relativeHeight="251665408" behindDoc="1" locked="0" layoutInCell="1" allowOverlap="1">
          <wp:simplePos x="0" y="0"/>
          <wp:positionH relativeFrom="column">
            <wp:posOffset>32385</wp:posOffset>
          </wp:positionH>
          <wp:positionV relativeFrom="paragraph">
            <wp:posOffset>-14605</wp:posOffset>
          </wp:positionV>
          <wp:extent cx="360680" cy="189865"/>
          <wp:effectExtent l="0" t="0" r="1270" b="635"/>
          <wp:wrapNone/>
          <wp:docPr id="1" name="图片 1"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5FA3763">
    <w:pPr>
      <w:pStyle w:val="28"/>
    </w:pPr>
    <w:r>
      <w:rPr>
        <w:rFonts w:hint="eastAsia" w:eastAsiaTheme="minorEastAsia"/>
        <w:lang w:eastAsia="zh-CN"/>
      </w:rPr>
      <w:drawing>
        <wp:anchor distT="0" distB="0" distL="114300" distR="114300" simplePos="0" relativeHeight="251667456" behindDoc="1" locked="0" layoutInCell="1" allowOverlap="1">
          <wp:simplePos x="0" y="0"/>
          <wp:positionH relativeFrom="column">
            <wp:posOffset>92710</wp:posOffset>
          </wp:positionH>
          <wp:positionV relativeFrom="paragraph">
            <wp:posOffset>-21590</wp:posOffset>
          </wp:positionV>
          <wp:extent cx="360680" cy="189865"/>
          <wp:effectExtent l="0" t="0" r="1270" b="635"/>
          <wp:wrapNone/>
          <wp:docPr id="4" name="图片 4"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4B125C">
    <w:pPr>
      <w:pStyle w:val="28"/>
    </w:pPr>
    <w:r>
      <w:rPr>
        <w:rFonts w:hint="eastAsia" w:eastAsiaTheme="minorEastAsia"/>
        <w:lang w:eastAsia="zh-CN"/>
      </w:rPr>
      <w:drawing>
        <wp:anchor distT="0" distB="0" distL="114300" distR="114300" simplePos="0" relativeHeight="251666432" behindDoc="1" locked="0" layoutInCell="1" allowOverlap="1">
          <wp:simplePos x="0" y="0"/>
          <wp:positionH relativeFrom="column">
            <wp:posOffset>-9525</wp:posOffset>
          </wp:positionH>
          <wp:positionV relativeFrom="paragraph">
            <wp:posOffset>-40005</wp:posOffset>
          </wp:positionV>
          <wp:extent cx="360680" cy="189865"/>
          <wp:effectExtent l="0" t="0" r="1270" b="635"/>
          <wp:wrapNone/>
          <wp:docPr id="3" name="图片 3"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D651966">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3D651966">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F4B7844">
    <w:pPr>
      <w:pStyle w:val="28"/>
    </w:pPr>
    <w:r>
      <w:rPr>
        <w:rFonts w:hint="eastAsia" w:eastAsiaTheme="minorEastAsia"/>
        <w:lang w:eastAsia="zh-CN"/>
      </w:rPr>
      <w:drawing>
        <wp:anchor distT="0" distB="0" distL="114300" distR="114300" simplePos="0" relativeHeight="251669504"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6" name="图片 6"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36272EE">
                          <w:pPr>
                            <w:pStyle w:val="2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36272EE">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7AA23">
    <w:pPr>
      <w:pStyle w:val="28"/>
    </w:pPr>
    <w:r>
      <w:rPr>
        <w:rFonts w:hint="eastAsia" w:eastAsiaTheme="minorEastAsia"/>
        <w:lang w:eastAsia="zh-CN"/>
      </w:rPr>
      <w:drawing>
        <wp:anchor distT="0" distB="0" distL="114300" distR="114300" simplePos="0" relativeHeight="251668480" behindDoc="1" locked="0" layoutInCell="1" allowOverlap="1">
          <wp:simplePos x="0" y="0"/>
          <wp:positionH relativeFrom="column">
            <wp:posOffset>154940</wp:posOffset>
          </wp:positionH>
          <wp:positionV relativeFrom="paragraph">
            <wp:posOffset>19685</wp:posOffset>
          </wp:positionV>
          <wp:extent cx="304800" cy="160655"/>
          <wp:effectExtent l="0" t="0" r="0" b="10795"/>
          <wp:wrapNone/>
          <wp:docPr id="5" name="图片 5"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云南泽诚公司log"/>
                  <pic:cNvPicPr>
                    <a:picLocks noChangeAspect="1"/>
                  </pic:cNvPicPr>
                </pic:nvPicPr>
                <pic:blipFill>
                  <a:blip r:embed="rId1"/>
                  <a:stretch>
                    <a:fillRect/>
                  </a:stretch>
                </pic:blipFill>
                <pic:spPr>
                  <a:xfrm>
                    <a:off x="0" y="0"/>
                    <a:ext cx="304800" cy="16065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6BE2909">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26BE2909">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06993">
    <w:pPr>
      <w:pStyle w:val="28"/>
    </w:pPr>
    <w:r>
      <w:rPr>
        <w:rFonts w:hint="eastAsia" w:eastAsiaTheme="minorEastAsia"/>
        <w:lang w:eastAsia="zh-CN"/>
      </w:rPr>
      <w:drawing>
        <wp:anchor distT="0" distB="0" distL="114300" distR="114300" simplePos="0" relativeHeight="251671552"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16" name="图片 16"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9" name="文本框 1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899FF1F">
                          <w:pPr>
                            <w:pStyle w:val="2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9bQWsyAgAAYw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1tBazICAABjBAAADgAAAAAAAAABACAAAAAfAQAAZHJzL2Uyb0RvYy54bWxQSwUG&#10;AAAAAAYABgBZAQAAwwUAAAAA&#10;">
              <v:fill on="f" focussize="0,0"/>
              <v:stroke on="f" weight="0.5pt"/>
              <v:imagedata o:title=""/>
              <o:lock v:ext="edit" aspectratio="f"/>
              <v:textbox inset="0mm,0mm,0mm,0mm" style="mso-fit-shape-to-text:t;">
                <w:txbxContent>
                  <w:p w14:paraId="5899FF1F">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1A073C2">
    <w:pPr>
      <w:pStyle w:val="28"/>
    </w:pPr>
    <w:r>
      <w:rPr>
        <w:rFonts w:hint="eastAsia" w:eastAsiaTheme="minorEastAsia"/>
        <w:lang w:eastAsia="zh-CN"/>
      </w:rPr>
      <w:drawing>
        <wp:anchor distT="0" distB="0" distL="114300" distR="114300" simplePos="0" relativeHeight="251670528"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12" name="图片 12"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992967D">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3992967D">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AC9F52">
    <w:pPr>
      <w:pStyle w:val="28"/>
    </w:pPr>
    <w:r>
      <w:rPr>
        <w:rFonts w:hint="eastAsia" w:eastAsiaTheme="minorEastAsia"/>
        <w:lang w:eastAsia="zh-CN"/>
      </w:rPr>
      <w:drawing>
        <wp:anchor distT="0" distB="0" distL="114300" distR="114300" simplePos="0" relativeHeight="251671552"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22" name="图片 22"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图片 22"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3" name="文本框 2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8CD426">
                          <w:pPr>
                            <w:pStyle w:val="2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OJUQ0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FOJUQ0zAgAAYwQAAA4AAAAAAAAAAQAgAAAAHwEAAGRycy9lMm9Eb2MueG1sUEsF&#10;BgAAAAAGAAYAWQEAAMQFAAAAAA==&#10;">
              <v:fill on="f" focussize="0,0"/>
              <v:stroke on="f" weight="0.5pt"/>
              <v:imagedata o:title=""/>
              <o:lock v:ext="edit" aspectratio="f"/>
              <v:textbox inset="0mm,0mm,0mm,0mm" style="mso-fit-shape-to-text:t;">
                <w:txbxContent>
                  <w:p w14:paraId="1C8CD426">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7B5666">
    <w:pPr>
      <w:pStyle w:val="28"/>
    </w:pPr>
    <w:r>
      <w:rPr>
        <w:rFonts w:hint="eastAsia" w:eastAsiaTheme="minorEastAsia"/>
        <w:lang w:eastAsia="zh-CN"/>
      </w:rPr>
      <w:drawing>
        <wp:anchor distT="0" distB="0" distL="114300" distR="114300" simplePos="0" relativeHeight="251670528"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20" name="图片 20"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C2649F9">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0C2649F9">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BB70AB">
    <w:pPr>
      <w:pStyle w:val="28"/>
    </w:pPr>
    <w: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11A50B77">
                          <w:pPr>
                            <w:pStyle w:val="28"/>
                          </w:pPr>
                          <w:r>
                            <w:fldChar w:fldCharType="begin"/>
                          </w:r>
                          <w:r>
                            <w:instrText xml:space="preserve"> PAGE  \* MERGEFORMAT </w:instrText>
                          </w:r>
                          <w:r>
                            <w:fldChar w:fldCharType="separate"/>
                          </w:r>
                          <w:r>
                            <w:t>80</w:t>
                          </w:r>
                          <w:r>
                            <w:fldChar w:fldCharType="end"/>
                          </w:r>
                        </w:p>
                      </w:txbxContent>
                    </wps:txbx>
                    <wps:bodyPr wrap="none" lIns="0" tIns="0" rIns="0" bIns="0">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">
              <v:fill on="f" focussize="0,0"/>
              <v:stroke on="f"/>
              <v:imagedata o:title=""/>
              <o:lock v:ext="edit" aspectratio="f"/>
              <v:textbox inset="0mm,0mm,0mm,0mm" style="mso-fit-shape-to-text:t;">
                <w:txbxContent>
                  <w:p w14:paraId="11A50B77">
                    <w:pPr>
                      <w:pStyle w:val="28"/>
                    </w:pPr>
                    <w:r>
                      <w:fldChar w:fldCharType="begin"/>
                    </w:r>
                    <w:r>
                      <w:instrText xml:space="preserve"> PAGE  \* MERGEFORMAT </w:instrText>
                    </w:r>
                    <w:r>
                      <w:fldChar w:fldCharType="separate"/>
                    </w:r>
                    <w:r>
                      <w:t>80</w:t>
                    </w:r>
                    <w:r>
                      <w:fldChar w:fldCharType="end"/>
                    </w:r>
                  </w:p>
                </w:txbxContent>
              </v:textbox>
            </v:shape>
          </w:pict>
        </mc:Fallback>
      </mc:AlternateConten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89C396">
    <w:pPr>
      <w:pStyle w:val="28"/>
    </w:pPr>
    <w:r>
      <w:rPr>
        <w:rFonts w:hint="eastAsia" w:eastAsiaTheme="minorEastAsia"/>
        <w:lang w:eastAsia="zh-CN"/>
      </w:rPr>
      <w:drawing>
        <wp:anchor distT="0" distB="0" distL="114300" distR="114300" simplePos="0" relativeHeight="251673600"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38" name="图片 38"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C62C646">
                          <w:pPr>
                            <w:pStyle w:val="2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14:paraId="7C62C646">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CF6CC5">
    <w:pPr>
      <w:pStyle w:val="28"/>
    </w:pPr>
    <w:r>
      <w:rPr>
        <w:rFonts w:hint="eastAsia" w:eastAsiaTheme="minorEastAsia"/>
        <w:lang w:eastAsia="zh-CN"/>
      </w:rPr>
      <w:drawing>
        <wp:anchor distT="0" distB="0" distL="114300" distR="114300" simplePos="0" relativeHeight="251672576"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36" name="图片 36"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图片 36"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BA7C4A">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14:paraId="31BA7C4A">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E23CA6">
    <w:pPr>
      <w:pStyle w:val="28"/>
    </w:pPr>
    <w:r>
      <w:rPr>
        <w:rFonts w:hint="eastAsia" w:eastAsiaTheme="minorEastAsia"/>
        <w:lang w:eastAsia="zh-CN"/>
      </w:rPr>
      <w:drawing>
        <wp:anchor distT="0" distB="0" distL="114300" distR="114300" simplePos="0" relativeHeight="251673600"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42" name="图片 42"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3" name="文本框 4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29C1DDA">
                          <w:pPr>
                            <w:pStyle w:val="28"/>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k3Pus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PUV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k3PuszAgAAYwQAAA4AAAAAAAAAAQAgAAAAHwEAAGRycy9lMm9Eb2MueG1sUEsF&#10;BgAAAAAGAAYAWQEAAMQFAAAAAA==&#10;">
              <v:fill on="f" focussize="0,0"/>
              <v:stroke on="f" weight="0.5pt"/>
              <v:imagedata o:title=""/>
              <o:lock v:ext="edit" aspectratio="f"/>
              <v:textbox inset="0mm,0mm,0mm,0mm" style="mso-fit-shape-to-text:t;">
                <w:txbxContent>
                  <w:p w14:paraId="729C1DDA">
                    <w:pPr>
                      <w:pStyle w:val="28"/>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3B5C0E3">
    <w:pPr>
      <w:pStyle w:val="28"/>
    </w:pPr>
    <w:r>
      <w:rPr>
        <w:rFonts w:hint="eastAsia" w:eastAsiaTheme="minorEastAsia"/>
        <w:lang w:eastAsia="zh-CN"/>
      </w:rPr>
      <w:drawing>
        <wp:anchor distT="0" distB="0" distL="114300" distR="114300" simplePos="0" relativeHeight="251672576" behindDoc="1" locked="0" layoutInCell="1" allowOverlap="1">
          <wp:simplePos x="0" y="0"/>
          <wp:positionH relativeFrom="column">
            <wp:posOffset>147955</wp:posOffset>
          </wp:positionH>
          <wp:positionV relativeFrom="paragraph">
            <wp:posOffset>-38735</wp:posOffset>
          </wp:positionV>
          <wp:extent cx="360680" cy="189865"/>
          <wp:effectExtent l="0" t="0" r="1270" b="635"/>
          <wp:wrapNone/>
          <wp:docPr id="40" name="图片 40"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图片 40"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AC550A4">
                          <w:pPr>
                            <w:pStyle w:val="28"/>
                          </w:pPr>
                          <w:r>
                            <w:fldChar w:fldCharType="begin"/>
                          </w:r>
                          <w:r>
                            <w:instrText xml:space="preserve"> PAGE  \* MERGEFORMAT </w:instrText>
                          </w:r>
                          <w:r>
                            <w:fldChar w:fldCharType="separate"/>
                          </w:r>
                          <w:r>
                            <w:t>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14:paraId="4AC550A4">
                    <w:pPr>
                      <w:pStyle w:val="28"/>
                    </w:pPr>
                    <w:r>
                      <w:fldChar w:fldCharType="begin"/>
                    </w:r>
                    <w:r>
                      <w:instrText xml:space="preserve"> PAGE  \* MERGEFORMAT </w:instrText>
                    </w:r>
                    <w:r>
                      <w:fldChar w:fldCharType="separate"/>
                    </w:r>
                    <w:r>
                      <w:t>4</w:t>
                    </w:r>
                    <w:r>
                      <w:fldChar w:fldCharType="end"/>
                    </w:r>
                  </w:p>
                </w:txbxContent>
              </v:textbox>
            </v:shape>
          </w:pict>
        </mc:Fallback>
      </mc:AlternateConten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37191DD">
    <w:pPr>
      <w:pStyle w:val="28"/>
      <w:rPr>
        <w:rFonts w:hint="default"/>
        <w:lang w:val="en-US"/>
      </w:rPr>
    </w:pPr>
    <w:r>
      <w:rPr>
        <w:rFonts w:hint="eastAsia" w:eastAsiaTheme="minorEastAsia"/>
        <w:lang w:eastAsia="zh-CN"/>
      </w:rPr>
      <w:drawing>
        <wp:anchor distT="0" distB="0" distL="114300" distR="114300" simplePos="0" relativeHeight="251670528" behindDoc="1" locked="0" layoutInCell="1" allowOverlap="1">
          <wp:simplePos x="0" y="0"/>
          <wp:positionH relativeFrom="column">
            <wp:posOffset>221615</wp:posOffset>
          </wp:positionH>
          <wp:positionV relativeFrom="paragraph">
            <wp:posOffset>-41275</wp:posOffset>
          </wp:positionV>
          <wp:extent cx="360680" cy="189865"/>
          <wp:effectExtent l="0" t="0" r="1270" b="635"/>
          <wp:wrapNone/>
          <wp:docPr id="7" name="图片 7" descr="云南泽诚公司lo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云南泽诚公司log"/>
                  <pic:cNvPicPr>
                    <a:picLocks noChangeAspect="1"/>
                  </pic:cNvPicPr>
                </pic:nvPicPr>
                <pic:blipFill>
                  <a:blip r:embed="rId1"/>
                  <a:stretch>
                    <a:fillRect/>
                  </a:stretch>
                </pic:blipFill>
                <pic:spPr>
                  <a:xfrm>
                    <a:off x="0" y="0"/>
                    <a:ext cx="360680" cy="189865"/>
                  </a:xfrm>
                  <a:prstGeom prst="rect">
                    <a:avLst/>
                  </a:prstGeom>
                </pic:spPr>
              </pic:pic>
            </a:graphicData>
          </a:graphic>
        </wp:anchor>
      </w:drawing>
    </w: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241EA66">
                          <w:pPr>
                            <w:pStyle w:val="28"/>
                          </w:pPr>
                          <w:r>
                            <w:fldChar w:fldCharType="begin"/>
                          </w:r>
                          <w:r>
                            <w:instrText xml:space="preserve"> PAGE  \* MERGEFORMAT </w:instrText>
                          </w:r>
                          <w:r>
                            <w:fldChar w:fldCharType="separate"/>
                          </w:r>
                          <w:r>
                            <w:t>46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4241EA66">
                    <w:pPr>
                      <w:pStyle w:val="28"/>
                    </w:pPr>
                    <w:r>
                      <w:fldChar w:fldCharType="begin"/>
                    </w:r>
                    <w:r>
                      <w:instrText xml:space="preserve"> PAGE  \* MERGEFORMAT </w:instrText>
                    </w:r>
                    <w:r>
                      <w:fldChar w:fldCharType="separate"/>
                    </w:r>
                    <w:r>
                      <w:t>46</w:t>
                    </w:r>
                    <w:r>
                      <w:fldChar w:fldCharType="end"/>
                    </w:r>
                  </w:p>
                </w:txbxContent>
              </v:textbox>
            </v:shape>
          </w:pict>
        </mc:Fallback>
      </mc:AlternateContent>
    </w:r>
    <w:r>
      <w:rPr>
        <w:rFonts w:hint="eastAsia"/>
        <w:lang w:val="en-US" w:eastAsia="zh-CN"/>
      </w:rPr>
      <w:t xml:space="preserve">             </w:t>
    </w:r>
    <w:r>
      <w:rPr>
        <w:rFonts w:hint="eastAsia" w:ascii="微软雅黑 Light" w:hAnsi="微软雅黑 Light" w:eastAsia="微软雅黑 Light" w:cs="微软雅黑 Light"/>
        <w:lang w:val="en-US" w:eastAsia="zh-CN"/>
      </w:rPr>
      <w:t>云南泽诚工程项目管理有限公司</w:t>
    </w:r>
    <w:r>
      <w:rPr>
        <w:rFonts w:hint="eastAsia"/>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7B1AEB">
    <w:pPr>
      <w:pStyle w:val="2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258D77">
    <w:pPr>
      <w:pStyle w:val="29"/>
      <w:pBdr>
        <w:bottom w:val="none" w:color="auto" w:sz="0" w:space="1"/>
      </w:pBdr>
      <w:tabs>
        <w:tab w:val="left" w:pos="3609"/>
        <w:tab w:val="clear" w:pos="4153"/>
      </w:tabs>
      <w:jc w:val="both"/>
      <w:rPr>
        <w:rFonts w:hint="eastAsia" w:eastAsia="宋体"/>
        <w:lang w:val="en-US" w:eastAsia="zh-CN"/>
      </w:rPr>
    </w:pPr>
    <w:r>
      <w:rPr>
        <w:rFonts w:hint="eastAsia"/>
        <w:lang w:val="en-US" w:eastAsia="zh-CN"/>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7B9823C"/>
    <w:multiLevelType w:val="singleLevel"/>
    <w:tmpl w:val="C7B9823C"/>
    <w:lvl w:ilvl="0" w:tentative="0">
      <w:start w:val="1"/>
      <w:numFmt w:val="decimal"/>
      <w:lvlText w:val="%1."/>
      <w:lvlJc w:val="left"/>
      <w:pPr>
        <w:tabs>
          <w:tab w:val="left" w:pos="312"/>
        </w:tabs>
      </w:pPr>
    </w:lvl>
  </w:abstractNum>
  <w:abstractNum w:abstractNumId="1">
    <w:nsid w:val="1BE2BD3D"/>
    <w:multiLevelType w:val="singleLevel"/>
    <w:tmpl w:val="1BE2BD3D"/>
    <w:lvl w:ilvl="0" w:tentative="0">
      <w:start w:val="1"/>
      <w:numFmt w:val="upperLetter"/>
      <w:suff w:val="nothing"/>
      <w:lvlText w:val="%1、"/>
      <w:lvlJc w:val="left"/>
    </w:lvl>
  </w:abstractNum>
  <w:abstractNum w:abstractNumId="2">
    <w:nsid w:val="50E87D12"/>
    <w:multiLevelType w:val="singleLevel"/>
    <w:tmpl w:val="50E87D12"/>
    <w:lvl w:ilvl="0" w:tentative="0">
      <w:start w:val="1"/>
      <w:numFmt w:val="decimal"/>
      <w:lvlText w:val="%1."/>
      <w:lvlJc w:val="left"/>
      <w:pPr>
        <w:tabs>
          <w:tab w:val="left" w:pos="312"/>
        </w:tabs>
      </w:pPr>
    </w:lvl>
  </w:abstractNum>
  <w:abstractNum w:abstractNumId="3">
    <w:nsid w:val="59ADCABA"/>
    <w:multiLevelType w:val="multilevel"/>
    <w:tmpl w:val="59ADCABA"/>
    <w:lvl w:ilvl="0" w:tentative="0">
      <w:start w:val="1"/>
      <w:numFmt w:val="decimal"/>
      <w:lvlText w:val="%1."/>
      <w:lvlJc w:val="left"/>
      <w:pPr>
        <w:ind w:left="205" w:hanging="322"/>
        <w:jc w:val="left"/>
      </w:pPr>
      <w:rPr>
        <w:rFonts w:hint="default" w:ascii="仿宋" w:hAnsi="仿宋" w:eastAsia="仿宋" w:cs="仿宋"/>
        <w:spacing w:val="-46"/>
        <w:w w:val="99"/>
        <w:sz w:val="30"/>
        <w:szCs w:val="30"/>
        <w:lang w:val="zh-CN" w:eastAsia="zh-CN" w:bidi="zh-CN"/>
      </w:rPr>
    </w:lvl>
    <w:lvl w:ilvl="1" w:tentative="0">
      <w:start w:val="0"/>
      <w:numFmt w:val="bullet"/>
      <w:lvlText w:val="•"/>
      <w:lvlJc w:val="left"/>
      <w:pPr>
        <w:ind w:left="1074" w:hanging="322"/>
      </w:pPr>
      <w:rPr>
        <w:rFonts w:hint="default"/>
        <w:lang w:val="zh-CN" w:eastAsia="zh-CN" w:bidi="zh-CN"/>
      </w:rPr>
    </w:lvl>
    <w:lvl w:ilvl="2" w:tentative="0">
      <w:start w:val="0"/>
      <w:numFmt w:val="bullet"/>
      <w:lvlText w:val="•"/>
      <w:lvlJc w:val="left"/>
      <w:pPr>
        <w:ind w:left="1949" w:hanging="322"/>
      </w:pPr>
      <w:rPr>
        <w:rFonts w:hint="default"/>
        <w:lang w:val="zh-CN" w:eastAsia="zh-CN" w:bidi="zh-CN"/>
      </w:rPr>
    </w:lvl>
    <w:lvl w:ilvl="3" w:tentative="0">
      <w:start w:val="0"/>
      <w:numFmt w:val="bullet"/>
      <w:lvlText w:val="•"/>
      <w:lvlJc w:val="left"/>
      <w:pPr>
        <w:ind w:left="2823" w:hanging="322"/>
      </w:pPr>
      <w:rPr>
        <w:rFonts w:hint="default"/>
        <w:lang w:val="zh-CN" w:eastAsia="zh-CN" w:bidi="zh-CN"/>
      </w:rPr>
    </w:lvl>
    <w:lvl w:ilvl="4" w:tentative="0">
      <w:start w:val="0"/>
      <w:numFmt w:val="bullet"/>
      <w:lvlText w:val="•"/>
      <w:lvlJc w:val="left"/>
      <w:pPr>
        <w:ind w:left="3698" w:hanging="322"/>
      </w:pPr>
      <w:rPr>
        <w:rFonts w:hint="default"/>
        <w:lang w:val="zh-CN" w:eastAsia="zh-CN" w:bidi="zh-CN"/>
      </w:rPr>
    </w:lvl>
    <w:lvl w:ilvl="5" w:tentative="0">
      <w:start w:val="0"/>
      <w:numFmt w:val="bullet"/>
      <w:lvlText w:val="•"/>
      <w:lvlJc w:val="left"/>
      <w:pPr>
        <w:ind w:left="4573" w:hanging="322"/>
      </w:pPr>
      <w:rPr>
        <w:rFonts w:hint="default"/>
        <w:lang w:val="zh-CN" w:eastAsia="zh-CN" w:bidi="zh-CN"/>
      </w:rPr>
    </w:lvl>
    <w:lvl w:ilvl="6" w:tentative="0">
      <w:start w:val="0"/>
      <w:numFmt w:val="bullet"/>
      <w:lvlText w:val="•"/>
      <w:lvlJc w:val="left"/>
      <w:pPr>
        <w:ind w:left="5447" w:hanging="322"/>
      </w:pPr>
      <w:rPr>
        <w:rFonts w:hint="default"/>
        <w:lang w:val="zh-CN" w:eastAsia="zh-CN" w:bidi="zh-CN"/>
      </w:rPr>
    </w:lvl>
    <w:lvl w:ilvl="7" w:tentative="0">
      <w:start w:val="0"/>
      <w:numFmt w:val="bullet"/>
      <w:lvlText w:val="•"/>
      <w:lvlJc w:val="left"/>
      <w:pPr>
        <w:ind w:left="6322" w:hanging="322"/>
      </w:pPr>
      <w:rPr>
        <w:rFonts w:hint="default"/>
        <w:lang w:val="zh-CN" w:eastAsia="zh-CN" w:bidi="zh-CN"/>
      </w:rPr>
    </w:lvl>
    <w:lvl w:ilvl="8" w:tentative="0">
      <w:start w:val="0"/>
      <w:numFmt w:val="bullet"/>
      <w:lvlText w:val="•"/>
      <w:lvlJc w:val="left"/>
      <w:pPr>
        <w:ind w:left="7196" w:hanging="322"/>
      </w:pPr>
      <w:rPr>
        <w:rFonts w:hint="default"/>
        <w:lang w:val="zh-CN" w:eastAsia="zh-CN" w:bidi="zh-CN"/>
      </w:rPr>
    </w:lvl>
  </w:abstractNum>
  <w:num w:numId="1">
    <w:abstractNumId w:val="2"/>
  </w:num>
  <w:num w:numId="2">
    <w:abstractNumId w:val="1"/>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3"/>
  <w:embedSystemFonts/>
  <w:bordersDoNotSurroundHeader w:val="0"/>
  <w:bordersDoNotSurroundFooter w:val="0"/>
  <w:doNotTrackMoves/>
  <w:documentProtection w:enforcement="0"/>
  <w:defaultTabStop w:val="420"/>
  <w:doNotHyphenateCaps/>
  <w:drawingGridHorizontalSpacing w:val="105"/>
  <w:drawingGridVerticalSpacing w:val="156"/>
  <w:displayHorizontalDrawingGridEvery w:val="1"/>
  <w:displayVerticalDrawingGridEvery w:val="1"/>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underlineTabInNumLis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zljZTI0NDBkNWNhMDIxYjdmZWFhN2NmZDkzMmQ1MjUifQ=="/>
  </w:docVars>
  <w:rsids>
    <w:rsidRoot w:val="00FE61EC"/>
    <w:rsid w:val="00040296"/>
    <w:rsid w:val="0004526F"/>
    <w:rsid w:val="00046B71"/>
    <w:rsid w:val="00061AF8"/>
    <w:rsid w:val="000631A6"/>
    <w:rsid w:val="000B39FC"/>
    <w:rsid w:val="000B5744"/>
    <w:rsid w:val="000C1B59"/>
    <w:rsid w:val="000D7E84"/>
    <w:rsid w:val="000F4B59"/>
    <w:rsid w:val="0011244E"/>
    <w:rsid w:val="001241FF"/>
    <w:rsid w:val="00125F6A"/>
    <w:rsid w:val="00151D4A"/>
    <w:rsid w:val="001538A9"/>
    <w:rsid w:val="001553A8"/>
    <w:rsid w:val="00157330"/>
    <w:rsid w:val="00164A19"/>
    <w:rsid w:val="001706BA"/>
    <w:rsid w:val="001832F2"/>
    <w:rsid w:val="001A0EA0"/>
    <w:rsid w:val="001B5134"/>
    <w:rsid w:val="001C03E4"/>
    <w:rsid w:val="001C5CD6"/>
    <w:rsid w:val="001D5608"/>
    <w:rsid w:val="001D7F49"/>
    <w:rsid w:val="0020093E"/>
    <w:rsid w:val="0023619B"/>
    <w:rsid w:val="00244471"/>
    <w:rsid w:val="00255398"/>
    <w:rsid w:val="00294F1F"/>
    <w:rsid w:val="002D0D83"/>
    <w:rsid w:val="002E4A13"/>
    <w:rsid w:val="002E5E7A"/>
    <w:rsid w:val="002F4C68"/>
    <w:rsid w:val="0030639B"/>
    <w:rsid w:val="00311EA6"/>
    <w:rsid w:val="00321675"/>
    <w:rsid w:val="0034602B"/>
    <w:rsid w:val="00346C94"/>
    <w:rsid w:val="00352E73"/>
    <w:rsid w:val="003531F8"/>
    <w:rsid w:val="003547C6"/>
    <w:rsid w:val="00360A18"/>
    <w:rsid w:val="003634AA"/>
    <w:rsid w:val="003667A2"/>
    <w:rsid w:val="00380F9E"/>
    <w:rsid w:val="00393A70"/>
    <w:rsid w:val="003F68E8"/>
    <w:rsid w:val="0040714A"/>
    <w:rsid w:val="00426BA6"/>
    <w:rsid w:val="00445E5D"/>
    <w:rsid w:val="0045747D"/>
    <w:rsid w:val="004602F7"/>
    <w:rsid w:val="004767B1"/>
    <w:rsid w:val="00493238"/>
    <w:rsid w:val="004941C3"/>
    <w:rsid w:val="004B327F"/>
    <w:rsid w:val="004B4A05"/>
    <w:rsid w:val="004E266D"/>
    <w:rsid w:val="00511485"/>
    <w:rsid w:val="00515DCF"/>
    <w:rsid w:val="00522F52"/>
    <w:rsid w:val="00567732"/>
    <w:rsid w:val="00587636"/>
    <w:rsid w:val="00590DB2"/>
    <w:rsid w:val="005A2BA7"/>
    <w:rsid w:val="005C5526"/>
    <w:rsid w:val="005C640F"/>
    <w:rsid w:val="005D2854"/>
    <w:rsid w:val="005E2EAD"/>
    <w:rsid w:val="005F5AFE"/>
    <w:rsid w:val="005F6C02"/>
    <w:rsid w:val="006163BB"/>
    <w:rsid w:val="00625C5D"/>
    <w:rsid w:val="006429C0"/>
    <w:rsid w:val="00646153"/>
    <w:rsid w:val="006532CB"/>
    <w:rsid w:val="006756C7"/>
    <w:rsid w:val="00683C84"/>
    <w:rsid w:val="006978AA"/>
    <w:rsid w:val="006A5623"/>
    <w:rsid w:val="006C4A4F"/>
    <w:rsid w:val="006D2A98"/>
    <w:rsid w:val="006E651D"/>
    <w:rsid w:val="006E7D2B"/>
    <w:rsid w:val="006F13CB"/>
    <w:rsid w:val="00716CD3"/>
    <w:rsid w:val="00730809"/>
    <w:rsid w:val="00733015"/>
    <w:rsid w:val="0079110A"/>
    <w:rsid w:val="007A2A8D"/>
    <w:rsid w:val="007A4F3E"/>
    <w:rsid w:val="007A6F4A"/>
    <w:rsid w:val="007B2DB5"/>
    <w:rsid w:val="007C5C50"/>
    <w:rsid w:val="007D1356"/>
    <w:rsid w:val="007E22A2"/>
    <w:rsid w:val="007F41CC"/>
    <w:rsid w:val="007F489F"/>
    <w:rsid w:val="007F539D"/>
    <w:rsid w:val="007F7839"/>
    <w:rsid w:val="008114DC"/>
    <w:rsid w:val="0082236C"/>
    <w:rsid w:val="00822FC5"/>
    <w:rsid w:val="008555B4"/>
    <w:rsid w:val="00864740"/>
    <w:rsid w:val="008674D3"/>
    <w:rsid w:val="00891971"/>
    <w:rsid w:val="008977F4"/>
    <w:rsid w:val="008A3AC7"/>
    <w:rsid w:val="00900058"/>
    <w:rsid w:val="00923828"/>
    <w:rsid w:val="0092595E"/>
    <w:rsid w:val="00930F7B"/>
    <w:rsid w:val="0093633D"/>
    <w:rsid w:val="00946F79"/>
    <w:rsid w:val="00966C82"/>
    <w:rsid w:val="00971B90"/>
    <w:rsid w:val="009A5908"/>
    <w:rsid w:val="009B30DE"/>
    <w:rsid w:val="009C78CC"/>
    <w:rsid w:val="009C7CB3"/>
    <w:rsid w:val="009D5CAB"/>
    <w:rsid w:val="009E4741"/>
    <w:rsid w:val="009F17BC"/>
    <w:rsid w:val="00A22E3C"/>
    <w:rsid w:val="00A460A2"/>
    <w:rsid w:val="00A61A9A"/>
    <w:rsid w:val="00A641FB"/>
    <w:rsid w:val="00A854E6"/>
    <w:rsid w:val="00A965F3"/>
    <w:rsid w:val="00AC4EB9"/>
    <w:rsid w:val="00AE4141"/>
    <w:rsid w:val="00AF2475"/>
    <w:rsid w:val="00B046EE"/>
    <w:rsid w:val="00B05C2D"/>
    <w:rsid w:val="00B24357"/>
    <w:rsid w:val="00B71C7B"/>
    <w:rsid w:val="00B8340F"/>
    <w:rsid w:val="00B935C0"/>
    <w:rsid w:val="00BB71F0"/>
    <w:rsid w:val="00BB7E55"/>
    <w:rsid w:val="00BD159D"/>
    <w:rsid w:val="00BD78B8"/>
    <w:rsid w:val="00BE59D6"/>
    <w:rsid w:val="00BF67FC"/>
    <w:rsid w:val="00C20F67"/>
    <w:rsid w:val="00C37026"/>
    <w:rsid w:val="00C466DB"/>
    <w:rsid w:val="00C55A5A"/>
    <w:rsid w:val="00C74EC2"/>
    <w:rsid w:val="00C8581D"/>
    <w:rsid w:val="00C86A00"/>
    <w:rsid w:val="00C9467B"/>
    <w:rsid w:val="00CA5D5B"/>
    <w:rsid w:val="00CB5F73"/>
    <w:rsid w:val="00CE087B"/>
    <w:rsid w:val="00D056EC"/>
    <w:rsid w:val="00D07AF2"/>
    <w:rsid w:val="00D1405F"/>
    <w:rsid w:val="00D267D8"/>
    <w:rsid w:val="00D359B2"/>
    <w:rsid w:val="00D576B8"/>
    <w:rsid w:val="00D75BA5"/>
    <w:rsid w:val="00DA49D7"/>
    <w:rsid w:val="00DB19CE"/>
    <w:rsid w:val="00DC7027"/>
    <w:rsid w:val="00DD296D"/>
    <w:rsid w:val="00DD64B5"/>
    <w:rsid w:val="00DF180F"/>
    <w:rsid w:val="00E13213"/>
    <w:rsid w:val="00E260C9"/>
    <w:rsid w:val="00E3527F"/>
    <w:rsid w:val="00E84265"/>
    <w:rsid w:val="00E908D2"/>
    <w:rsid w:val="00E91C8D"/>
    <w:rsid w:val="00EA591E"/>
    <w:rsid w:val="00ED5731"/>
    <w:rsid w:val="00EE193C"/>
    <w:rsid w:val="00EE3781"/>
    <w:rsid w:val="00EF6C00"/>
    <w:rsid w:val="00F00F79"/>
    <w:rsid w:val="00F04547"/>
    <w:rsid w:val="00F3022C"/>
    <w:rsid w:val="00F416F7"/>
    <w:rsid w:val="00F41740"/>
    <w:rsid w:val="00F44CE4"/>
    <w:rsid w:val="00F47862"/>
    <w:rsid w:val="00F728C6"/>
    <w:rsid w:val="00F84639"/>
    <w:rsid w:val="00F84B9E"/>
    <w:rsid w:val="00FE61EC"/>
    <w:rsid w:val="0123584C"/>
    <w:rsid w:val="01407F3F"/>
    <w:rsid w:val="01457570"/>
    <w:rsid w:val="01496C88"/>
    <w:rsid w:val="016A6966"/>
    <w:rsid w:val="016D1A67"/>
    <w:rsid w:val="016F000B"/>
    <w:rsid w:val="018122E1"/>
    <w:rsid w:val="01A44443"/>
    <w:rsid w:val="01A512BB"/>
    <w:rsid w:val="01CC7C92"/>
    <w:rsid w:val="023539E2"/>
    <w:rsid w:val="023C7366"/>
    <w:rsid w:val="025B2DC4"/>
    <w:rsid w:val="0261487E"/>
    <w:rsid w:val="026570F9"/>
    <w:rsid w:val="027622D4"/>
    <w:rsid w:val="027C4CD8"/>
    <w:rsid w:val="02CC1A8E"/>
    <w:rsid w:val="031D1E5E"/>
    <w:rsid w:val="035C07CB"/>
    <w:rsid w:val="037112AF"/>
    <w:rsid w:val="03A2514E"/>
    <w:rsid w:val="03BF7C3D"/>
    <w:rsid w:val="03EA6308"/>
    <w:rsid w:val="044C28ED"/>
    <w:rsid w:val="045E3875"/>
    <w:rsid w:val="04C44C50"/>
    <w:rsid w:val="05103285"/>
    <w:rsid w:val="054933A7"/>
    <w:rsid w:val="0551792C"/>
    <w:rsid w:val="055A39D4"/>
    <w:rsid w:val="058217FE"/>
    <w:rsid w:val="058520A3"/>
    <w:rsid w:val="05F84CAB"/>
    <w:rsid w:val="06AC3F68"/>
    <w:rsid w:val="06E83A76"/>
    <w:rsid w:val="07232377"/>
    <w:rsid w:val="073D0CEA"/>
    <w:rsid w:val="07854B6B"/>
    <w:rsid w:val="080D2DB2"/>
    <w:rsid w:val="0835420C"/>
    <w:rsid w:val="086F1377"/>
    <w:rsid w:val="08863DF4"/>
    <w:rsid w:val="08A32379"/>
    <w:rsid w:val="08B16201"/>
    <w:rsid w:val="08F24482"/>
    <w:rsid w:val="090B4811"/>
    <w:rsid w:val="0913185F"/>
    <w:rsid w:val="09133761"/>
    <w:rsid w:val="0992356F"/>
    <w:rsid w:val="09944A43"/>
    <w:rsid w:val="09DB4F16"/>
    <w:rsid w:val="0A171CC6"/>
    <w:rsid w:val="0A3B7763"/>
    <w:rsid w:val="0A5E196F"/>
    <w:rsid w:val="0A7333A0"/>
    <w:rsid w:val="0A831D09"/>
    <w:rsid w:val="0A947954"/>
    <w:rsid w:val="0AAB76FA"/>
    <w:rsid w:val="0AB71C46"/>
    <w:rsid w:val="0B2B1DDE"/>
    <w:rsid w:val="0B440899"/>
    <w:rsid w:val="0B446AEB"/>
    <w:rsid w:val="0B4A7BBB"/>
    <w:rsid w:val="0B582596"/>
    <w:rsid w:val="0B7F711E"/>
    <w:rsid w:val="0BAB6B6A"/>
    <w:rsid w:val="0BBA4FFF"/>
    <w:rsid w:val="0BDE3F88"/>
    <w:rsid w:val="0BF91B31"/>
    <w:rsid w:val="0C1A6DEA"/>
    <w:rsid w:val="0C4D19CF"/>
    <w:rsid w:val="0C714C28"/>
    <w:rsid w:val="0C913FB2"/>
    <w:rsid w:val="0CC04897"/>
    <w:rsid w:val="0CCB39EC"/>
    <w:rsid w:val="0CFA3905"/>
    <w:rsid w:val="0CFF5BA8"/>
    <w:rsid w:val="0D1610FA"/>
    <w:rsid w:val="0D216094"/>
    <w:rsid w:val="0D725B91"/>
    <w:rsid w:val="0D7F3E0A"/>
    <w:rsid w:val="0DD40FD3"/>
    <w:rsid w:val="0E3D44ED"/>
    <w:rsid w:val="0E574D87"/>
    <w:rsid w:val="0E8E1FD2"/>
    <w:rsid w:val="0E975113"/>
    <w:rsid w:val="0ED26443"/>
    <w:rsid w:val="0F546722"/>
    <w:rsid w:val="0F720888"/>
    <w:rsid w:val="0F725529"/>
    <w:rsid w:val="0FA1275E"/>
    <w:rsid w:val="0FD76250"/>
    <w:rsid w:val="10037508"/>
    <w:rsid w:val="105E4C98"/>
    <w:rsid w:val="10795489"/>
    <w:rsid w:val="109E0A4B"/>
    <w:rsid w:val="10A82A3F"/>
    <w:rsid w:val="10B50C1F"/>
    <w:rsid w:val="1174713E"/>
    <w:rsid w:val="11A33671"/>
    <w:rsid w:val="11E864DC"/>
    <w:rsid w:val="11F1423C"/>
    <w:rsid w:val="122E4051"/>
    <w:rsid w:val="12852BE0"/>
    <w:rsid w:val="128A572B"/>
    <w:rsid w:val="12C75343"/>
    <w:rsid w:val="12F86B39"/>
    <w:rsid w:val="13312AFC"/>
    <w:rsid w:val="13402DDE"/>
    <w:rsid w:val="1345357D"/>
    <w:rsid w:val="13573133"/>
    <w:rsid w:val="13823102"/>
    <w:rsid w:val="138E4DA7"/>
    <w:rsid w:val="138E77CD"/>
    <w:rsid w:val="13EE09DB"/>
    <w:rsid w:val="141F1EA3"/>
    <w:rsid w:val="14212D7E"/>
    <w:rsid w:val="144D4099"/>
    <w:rsid w:val="14797E5E"/>
    <w:rsid w:val="14AA20B4"/>
    <w:rsid w:val="14BC76F2"/>
    <w:rsid w:val="14D47131"/>
    <w:rsid w:val="14F075C7"/>
    <w:rsid w:val="14FB013D"/>
    <w:rsid w:val="155574F4"/>
    <w:rsid w:val="158B2D0B"/>
    <w:rsid w:val="15932ECD"/>
    <w:rsid w:val="15C56A7A"/>
    <w:rsid w:val="15DD62AF"/>
    <w:rsid w:val="15DF7C6E"/>
    <w:rsid w:val="162B6DAE"/>
    <w:rsid w:val="163D4714"/>
    <w:rsid w:val="168B10A4"/>
    <w:rsid w:val="17254C3D"/>
    <w:rsid w:val="17285513"/>
    <w:rsid w:val="172D584D"/>
    <w:rsid w:val="172F68A1"/>
    <w:rsid w:val="174F0CF1"/>
    <w:rsid w:val="17991F6C"/>
    <w:rsid w:val="17B60D70"/>
    <w:rsid w:val="17B84329"/>
    <w:rsid w:val="17CE04D8"/>
    <w:rsid w:val="180D3237"/>
    <w:rsid w:val="181E75C6"/>
    <w:rsid w:val="182831D0"/>
    <w:rsid w:val="184620F4"/>
    <w:rsid w:val="184B3CB5"/>
    <w:rsid w:val="188A1F07"/>
    <w:rsid w:val="188F3456"/>
    <w:rsid w:val="18CF53B5"/>
    <w:rsid w:val="19033E41"/>
    <w:rsid w:val="19126543"/>
    <w:rsid w:val="19151545"/>
    <w:rsid w:val="191B0384"/>
    <w:rsid w:val="192A7A75"/>
    <w:rsid w:val="19B7309D"/>
    <w:rsid w:val="19C55C42"/>
    <w:rsid w:val="19FC1400"/>
    <w:rsid w:val="1A030B3D"/>
    <w:rsid w:val="1A213A09"/>
    <w:rsid w:val="1A534654"/>
    <w:rsid w:val="1A584361"/>
    <w:rsid w:val="1A644AB4"/>
    <w:rsid w:val="1AA17AB6"/>
    <w:rsid w:val="1AB36052"/>
    <w:rsid w:val="1AB570BD"/>
    <w:rsid w:val="1AD61B9D"/>
    <w:rsid w:val="1AE44B8F"/>
    <w:rsid w:val="1AFC608C"/>
    <w:rsid w:val="1B52512A"/>
    <w:rsid w:val="1B871A30"/>
    <w:rsid w:val="1BF956CF"/>
    <w:rsid w:val="1BFD6F29"/>
    <w:rsid w:val="1C8C02F2"/>
    <w:rsid w:val="1CA6423D"/>
    <w:rsid w:val="1CB3403F"/>
    <w:rsid w:val="1CBA09BB"/>
    <w:rsid w:val="1CC07A29"/>
    <w:rsid w:val="1D160100"/>
    <w:rsid w:val="1D8429CB"/>
    <w:rsid w:val="1DEE1BC5"/>
    <w:rsid w:val="1DFF5D60"/>
    <w:rsid w:val="1E1F16D0"/>
    <w:rsid w:val="1E2F53D8"/>
    <w:rsid w:val="1E3A2DC6"/>
    <w:rsid w:val="1E4744D0"/>
    <w:rsid w:val="1E6E333A"/>
    <w:rsid w:val="1E9A2397"/>
    <w:rsid w:val="1E9F5B6B"/>
    <w:rsid w:val="1EBD5216"/>
    <w:rsid w:val="1EE14925"/>
    <w:rsid w:val="1F30765A"/>
    <w:rsid w:val="1F3A3DCF"/>
    <w:rsid w:val="1F456D54"/>
    <w:rsid w:val="1F4D3D68"/>
    <w:rsid w:val="1F706947"/>
    <w:rsid w:val="1FB913FE"/>
    <w:rsid w:val="1FC55FF4"/>
    <w:rsid w:val="200B114A"/>
    <w:rsid w:val="207633FA"/>
    <w:rsid w:val="21011BB9"/>
    <w:rsid w:val="211865F8"/>
    <w:rsid w:val="21DC7625"/>
    <w:rsid w:val="21E34462"/>
    <w:rsid w:val="21E84AEC"/>
    <w:rsid w:val="220A4192"/>
    <w:rsid w:val="22661472"/>
    <w:rsid w:val="22AC524A"/>
    <w:rsid w:val="23643723"/>
    <w:rsid w:val="237C6B09"/>
    <w:rsid w:val="247D262A"/>
    <w:rsid w:val="248144B4"/>
    <w:rsid w:val="249B6CD0"/>
    <w:rsid w:val="24B90BCA"/>
    <w:rsid w:val="2528076F"/>
    <w:rsid w:val="25AD37B3"/>
    <w:rsid w:val="25D16528"/>
    <w:rsid w:val="25DD4092"/>
    <w:rsid w:val="25F211C5"/>
    <w:rsid w:val="25F71130"/>
    <w:rsid w:val="261D022F"/>
    <w:rsid w:val="26766E48"/>
    <w:rsid w:val="26B90502"/>
    <w:rsid w:val="272B5B82"/>
    <w:rsid w:val="2730274D"/>
    <w:rsid w:val="274B73CF"/>
    <w:rsid w:val="274F43F6"/>
    <w:rsid w:val="2777403E"/>
    <w:rsid w:val="27A83CF0"/>
    <w:rsid w:val="27D56FF1"/>
    <w:rsid w:val="27E64D5A"/>
    <w:rsid w:val="28A71694"/>
    <w:rsid w:val="28AD3ACA"/>
    <w:rsid w:val="28BB22B1"/>
    <w:rsid w:val="28D01143"/>
    <w:rsid w:val="290A5DFA"/>
    <w:rsid w:val="294B5CFB"/>
    <w:rsid w:val="295D54F0"/>
    <w:rsid w:val="29BC3940"/>
    <w:rsid w:val="29F16A87"/>
    <w:rsid w:val="2A2342F0"/>
    <w:rsid w:val="2A6555FE"/>
    <w:rsid w:val="2A776BAB"/>
    <w:rsid w:val="2A810D6A"/>
    <w:rsid w:val="2AAF5D92"/>
    <w:rsid w:val="2AB949A8"/>
    <w:rsid w:val="2AB96756"/>
    <w:rsid w:val="2ABB64F9"/>
    <w:rsid w:val="2ADE561E"/>
    <w:rsid w:val="2AF459E0"/>
    <w:rsid w:val="2B2C26D9"/>
    <w:rsid w:val="2B512251"/>
    <w:rsid w:val="2BA7486B"/>
    <w:rsid w:val="2BE45A54"/>
    <w:rsid w:val="2BEE6A2D"/>
    <w:rsid w:val="2BFD6B16"/>
    <w:rsid w:val="2C0D7939"/>
    <w:rsid w:val="2C303B44"/>
    <w:rsid w:val="2C6609A6"/>
    <w:rsid w:val="2C6D360D"/>
    <w:rsid w:val="2CAF16C6"/>
    <w:rsid w:val="2CB228B4"/>
    <w:rsid w:val="2CD95D5E"/>
    <w:rsid w:val="2CEB2E12"/>
    <w:rsid w:val="2CF03F85"/>
    <w:rsid w:val="2D325BC5"/>
    <w:rsid w:val="2D5862E0"/>
    <w:rsid w:val="2D8B759A"/>
    <w:rsid w:val="2D9E48E8"/>
    <w:rsid w:val="2DAB7A14"/>
    <w:rsid w:val="2DB065D4"/>
    <w:rsid w:val="2DCC49F2"/>
    <w:rsid w:val="2E304F81"/>
    <w:rsid w:val="2E3249BE"/>
    <w:rsid w:val="2E666BF4"/>
    <w:rsid w:val="2E8736D4"/>
    <w:rsid w:val="2E873978"/>
    <w:rsid w:val="2EB53AB7"/>
    <w:rsid w:val="2ECE02F6"/>
    <w:rsid w:val="2ED00512"/>
    <w:rsid w:val="2EF75A9F"/>
    <w:rsid w:val="2EF93AC5"/>
    <w:rsid w:val="2F204C92"/>
    <w:rsid w:val="2F37233F"/>
    <w:rsid w:val="2F3B1E2F"/>
    <w:rsid w:val="2F7964B4"/>
    <w:rsid w:val="2FA210B6"/>
    <w:rsid w:val="2FB26D05"/>
    <w:rsid w:val="2FBD3BE9"/>
    <w:rsid w:val="2FD91145"/>
    <w:rsid w:val="30221BAD"/>
    <w:rsid w:val="30402DE4"/>
    <w:rsid w:val="304F3ECE"/>
    <w:rsid w:val="308447F3"/>
    <w:rsid w:val="30A371B5"/>
    <w:rsid w:val="30C93B1B"/>
    <w:rsid w:val="310F2275"/>
    <w:rsid w:val="315963B5"/>
    <w:rsid w:val="31633586"/>
    <w:rsid w:val="3170407A"/>
    <w:rsid w:val="317A5D95"/>
    <w:rsid w:val="317E60CB"/>
    <w:rsid w:val="317E6C5F"/>
    <w:rsid w:val="31D75713"/>
    <w:rsid w:val="32096215"/>
    <w:rsid w:val="32AD443C"/>
    <w:rsid w:val="32BB6DE3"/>
    <w:rsid w:val="32CC0EF2"/>
    <w:rsid w:val="32EE2F21"/>
    <w:rsid w:val="33041923"/>
    <w:rsid w:val="3334449D"/>
    <w:rsid w:val="333F7A14"/>
    <w:rsid w:val="33585704"/>
    <w:rsid w:val="335D3AD4"/>
    <w:rsid w:val="34082F2F"/>
    <w:rsid w:val="346C4839"/>
    <w:rsid w:val="347A51A8"/>
    <w:rsid w:val="34A70A8A"/>
    <w:rsid w:val="34D00C01"/>
    <w:rsid w:val="34D70F11"/>
    <w:rsid w:val="353A55BF"/>
    <w:rsid w:val="354F22A9"/>
    <w:rsid w:val="35794F83"/>
    <w:rsid w:val="360F4267"/>
    <w:rsid w:val="362036AC"/>
    <w:rsid w:val="368027B2"/>
    <w:rsid w:val="36816578"/>
    <w:rsid w:val="36E81D43"/>
    <w:rsid w:val="36F158B9"/>
    <w:rsid w:val="37047406"/>
    <w:rsid w:val="372120EC"/>
    <w:rsid w:val="37921F90"/>
    <w:rsid w:val="37BC7849"/>
    <w:rsid w:val="37DE37E1"/>
    <w:rsid w:val="37FC4FD4"/>
    <w:rsid w:val="38143FBE"/>
    <w:rsid w:val="385B1431"/>
    <w:rsid w:val="388A7983"/>
    <w:rsid w:val="38970C90"/>
    <w:rsid w:val="38EF27ED"/>
    <w:rsid w:val="390E2362"/>
    <w:rsid w:val="39166A6A"/>
    <w:rsid w:val="39187C20"/>
    <w:rsid w:val="39323950"/>
    <w:rsid w:val="39452E10"/>
    <w:rsid w:val="39BF365D"/>
    <w:rsid w:val="39C96289"/>
    <w:rsid w:val="39CD048E"/>
    <w:rsid w:val="39D86D51"/>
    <w:rsid w:val="39EE77D2"/>
    <w:rsid w:val="3A63739A"/>
    <w:rsid w:val="3ABB02C8"/>
    <w:rsid w:val="3AC816A1"/>
    <w:rsid w:val="3AC92E28"/>
    <w:rsid w:val="3AD6005B"/>
    <w:rsid w:val="3B136929"/>
    <w:rsid w:val="3B2E6C24"/>
    <w:rsid w:val="3B516536"/>
    <w:rsid w:val="3C487939"/>
    <w:rsid w:val="3C577B7C"/>
    <w:rsid w:val="3C617ADD"/>
    <w:rsid w:val="3C8F7626"/>
    <w:rsid w:val="3CBC3E83"/>
    <w:rsid w:val="3CE10493"/>
    <w:rsid w:val="3D0F3212"/>
    <w:rsid w:val="3D502F50"/>
    <w:rsid w:val="3DE50FDC"/>
    <w:rsid w:val="3EF87DF0"/>
    <w:rsid w:val="3F0544F0"/>
    <w:rsid w:val="3F5900B0"/>
    <w:rsid w:val="3FA14CCA"/>
    <w:rsid w:val="3FCA15B4"/>
    <w:rsid w:val="3FEE5CC0"/>
    <w:rsid w:val="3FF04570"/>
    <w:rsid w:val="403D64A9"/>
    <w:rsid w:val="404B67DB"/>
    <w:rsid w:val="407927B7"/>
    <w:rsid w:val="40CB0B39"/>
    <w:rsid w:val="41216435"/>
    <w:rsid w:val="416345CF"/>
    <w:rsid w:val="41C23592"/>
    <w:rsid w:val="41EF78F6"/>
    <w:rsid w:val="42132798"/>
    <w:rsid w:val="427A4A2B"/>
    <w:rsid w:val="42A11B51"/>
    <w:rsid w:val="42A7780B"/>
    <w:rsid w:val="42C65CBD"/>
    <w:rsid w:val="431247FD"/>
    <w:rsid w:val="43162A0B"/>
    <w:rsid w:val="43476B9D"/>
    <w:rsid w:val="435968D0"/>
    <w:rsid w:val="43627601"/>
    <w:rsid w:val="4379487C"/>
    <w:rsid w:val="43AB3BC2"/>
    <w:rsid w:val="43F0120B"/>
    <w:rsid w:val="44031FB2"/>
    <w:rsid w:val="440643AA"/>
    <w:rsid w:val="448A0E1B"/>
    <w:rsid w:val="44AF7DFF"/>
    <w:rsid w:val="44F248E6"/>
    <w:rsid w:val="44F32A2B"/>
    <w:rsid w:val="453A003B"/>
    <w:rsid w:val="45874AD1"/>
    <w:rsid w:val="464635AB"/>
    <w:rsid w:val="467D0B27"/>
    <w:rsid w:val="468B6423"/>
    <w:rsid w:val="46AE0CE1"/>
    <w:rsid w:val="46B207D1"/>
    <w:rsid w:val="4721481F"/>
    <w:rsid w:val="47357C12"/>
    <w:rsid w:val="47775577"/>
    <w:rsid w:val="47BC11DC"/>
    <w:rsid w:val="47C36F43"/>
    <w:rsid w:val="47CB7671"/>
    <w:rsid w:val="48514134"/>
    <w:rsid w:val="486C563F"/>
    <w:rsid w:val="48B77474"/>
    <w:rsid w:val="48E75DB4"/>
    <w:rsid w:val="48EF1ED0"/>
    <w:rsid w:val="49033AF4"/>
    <w:rsid w:val="49067B83"/>
    <w:rsid w:val="49396F88"/>
    <w:rsid w:val="49541A33"/>
    <w:rsid w:val="49793357"/>
    <w:rsid w:val="49B90594"/>
    <w:rsid w:val="49DE18DD"/>
    <w:rsid w:val="49F51720"/>
    <w:rsid w:val="4A122B47"/>
    <w:rsid w:val="4A5B7F86"/>
    <w:rsid w:val="4A7F685E"/>
    <w:rsid w:val="4A814D7A"/>
    <w:rsid w:val="4A875AD1"/>
    <w:rsid w:val="4AB01F18"/>
    <w:rsid w:val="4B195FB2"/>
    <w:rsid w:val="4B1F03FF"/>
    <w:rsid w:val="4B375749"/>
    <w:rsid w:val="4B43754F"/>
    <w:rsid w:val="4B47532C"/>
    <w:rsid w:val="4B8540E8"/>
    <w:rsid w:val="4C130DE9"/>
    <w:rsid w:val="4C1D74D8"/>
    <w:rsid w:val="4C2E2EDB"/>
    <w:rsid w:val="4C8D099C"/>
    <w:rsid w:val="4C904BB3"/>
    <w:rsid w:val="4C9E64F8"/>
    <w:rsid w:val="4CC64E89"/>
    <w:rsid w:val="4CE540E9"/>
    <w:rsid w:val="4D233AD6"/>
    <w:rsid w:val="4D3912B1"/>
    <w:rsid w:val="4D3F7E0A"/>
    <w:rsid w:val="4D626470"/>
    <w:rsid w:val="4D994499"/>
    <w:rsid w:val="4DA337CD"/>
    <w:rsid w:val="4DA42E3E"/>
    <w:rsid w:val="4E08517B"/>
    <w:rsid w:val="4E707FDD"/>
    <w:rsid w:val="4ECA33CB"/>
    <w:rsid w:val="4F135B85"/>
    <w:rsid w:val="4F1B282F"/>
    <w:rsid w:val="4F484EAA"/>
    <w:rsid w:val="4F55799E"/>
    <w:rsid w:val="4F720ACF"/>
    <w:rsid w:val="4F7B6492"/>
    <w:rsid w:val="4F8876E4"/>
    <w:rsid w:val="4F8C636B"/>
    <w:rsid w:val="4FB355BA"/>
    <w:rsid w:val="4FDB4819"/>
    <w:rsid w:val="4FDB6AFE"/>
    <w:rsid w:val="502E7A07"/>
    <w:rsid w:val="503F7B06"/>
    <w:rsid w:val="506169D4"/>
    <w:rsid w:val="506B4295"/>
    <w:rsid w:val="50811C4F"/>
    <w:rsid w:val="50AF66C7"/>
    <w:rsid w:val="50E328D6"/>
    <w:rsid w:val="51022355"/>
    <w:rsid w:val="51045603"/>
    <w:rsid w:val="51295B34"/>
    <w:rsid w:val="51370A63"/>
    <w:rsid w:val="514B6EF0"/>
    <w:rsid w:val="516B45F2"/>
    <w:rsid w:val="51760E2B"/>
    <w:rsid w:val="518D636F"/>
    <w:rsid w:val="51CE0F67"/>
    <w:rsid w:val="5217598C"/>
    <w:rsid w:val="52176253"/>
    <w:rsid w:val="52350697"/>
    <w:rsid w:val="52432C25"/>
    <w:rsid w:val="524B2139"/>
    <w:rsid w:val="52765972"/>
    <w:rsid w:val="52A631B4"/>
    <w:rsid w:val="52A90405"/>
    <w:rsid w:val="52B735D3"/>
    <w:rsid w:val="52E81B68"/>
    <w:rsid w:val="5372125B"/>
    <w:rsid w:val="539346AE"/>
    <w:rsid w:val="53B13BBE"/>
    <w:rsid w:val="54086323"/>
    <w:rsid w:val="54646E83"/>
    <w:rsid w:val="54EB401D"/>
    <w:rsid w:val="54FB1595"/>
    <w:rsid w:val="550A7A2A"/>
    <w:rsid w:val="55614DF2"/>
    <w:rsid w:val="557E3F74"/>
    <w:rsid w:val="55A60432"/>
    <w:rsid w:val="56130E2F"/>
    <w:rsid w:val="562A5EDA"/>
    <w:rsid w:val="566261FE"/>
    <w:rsid w:val="56A70043"/>
    <w:rsid w:val="57233025"/>
    <w:rsid w:val="575329D5"/>
    <w:rsid w:val="57907509"/>
    <w:rsid w:val="57B16170"/>
    <w:rsid w:val="58044A73"/>
    <w:rsid w:val="580E7831"/>
    <w:rsid w:val="58453885"/>
    <w:rsid w:val="584E7C2E"/>
    <w:rsid w:val="586B2F4C"/>
    <w:rsid w:val="58DF0D10"/>
    <w:rsid w:val="58EC6675"/>
    <w:rsid w:val="59034EBC"/>
    <w:rsid w:val="59172B0C"/>
    <w:rsid w:val="591A5DB7"/>
    <w:rsid w:val="592720AC"/>
    <w:rsid w:val="593116C3"/>
    <w:rsid w:val="595526E7"/>
    <w:rsid w:val="59934492"/>
    <w:rsid w:val="59965D30"/>
    <w:rsid w:val="59A331C1"/>
    <w:rsid w:val="59FD190B"/>
    <w:rsid w:val="5A421A14"/>
    <w:rsid w:val="5A581238"/>
    <w:rsid w:val="5A5F25C6"/>
    <w:rsid w:val="5A821E11"/>
    <w:rsid w:val="5A9009D2"/>
    <w:rsid w:val="5A9F41C1"/>
    <w:rsid w:val="5B054C06"/>
    <w:rsid w:val="5B1872AD"/>
    <w:rsid w:val="5B192EC3"/>
    <w:rsid w:val="5B3C6463"/>
    <w:rsid w:val="5B415208"/>
    <w:rsid w:val="5B721D02"/>
    <w:rsid w:val="5B7F464B"/>
    <w:rsid w:val="5BAB5397"/>
    <w:rsid w:val="5BB64468"/>
    <w:rsid w:val="5BBC75A4"/>
    <w:rsid w:val="5BFC1162"/>
    <w:rsid w:val="5BFF7D50"/>
    <w:rsid w:val="5C4E5A3F"/>
    <w:rsid w:val="5C7808F4"/>
    <w:rsid w:val="5C844566"/>
    <w:rsid w:val="5CA17686"/>
    <w:rsid w:val="5CC74453"/>
    <w:rsid w:val="5D184CAE"/>
    <w:rsid w:val="5D1D22C5"/>
    <w:rsid w:val="5D2F19EE"/>
    <w:rsid w:val="5D394846"/>
    <w:rsid w:val="5D776B60"/>
    <w:rsid w:val="5D9A3915"/>
    <w:rsid w:val="5E8F7A50"/>
    <w:rsid w:val="5EB17168"/>
    <w:rsid w:val="5EDD1D0C"/>
    <w:rsid w:val="5EE66F96"/>
    <w:rsid w:val="5EFF6126"/>
    <w:rsid w:val="5F13397F"/>
    <w:rsid w:val="5F97635E"/>
    <w:rsid w:val="5FA40A7B"/>
    <w:rsid w:val="5FB80E13"/>
    <w:rsid w:val="5FD67B6F"/>
    <w:rsid w:val="601B2AEB"/>
    <w:rsid w:val="60341BBD"/>
    <w:rsid w:val="60536729"/>
    <w:rsid w:val="60671D0E"/>
    <w:rsid w:val="607260F1"/>
    <w:rsid w:val="608A5EC3"/>
    <w:rsid w:val="60C24D64"/>
    <w:rsid w:val="60C710C2"/>
    <w:rsid w:val="60D61108"/>
    <w:rsid w:val="60FE6800"/>
    <w:rsid w:val="612E4AA0"/>
    <w:rsid w:val="61803709"/>
    <w:rsid w:val="61C64CD9"/>
    <w:rsid w:val="61FF5B61"/>
    <w:rsid w:val="62407048"/>
    <w:rsid w:val="625521DF"/>
    <w:rsid w:val="62A74B0A"/>
    <w:rsid w:val="62AA1699"/>
    <w:rsid w:val="62AA2731"/>
    <w:rsid w:val="62CF4061"/>
    <w:rsid w:val="632171EF"/>
    <w:rsid w:val="634300A0"/>
    <w:rsid w:val="63A86D8C"/>
    <w:rsid w:val="63D31190"/>
    <w:rsid w:val="64194D4C"/>
    <w:rsid w:val="641B57B0"/>
    <w:rsid w:val="641E7F2A"/>
    <w:rsid w:val="645729EA"/>
    <w:rsid w:val="647F288E"/>
    <w:rsid w:val="64BB1E5F"/>
    <w:rsid w:val="64C03C61"/>
    <w:rsid w:val="64D5575D"/>
    <w:rsid w:val="64DF0456"/>
    <w:rsid w:val="64E06A4C"/>
    <w:rsid w:val="64F63939"/>
    <w:rsid w:val="65396EF9"/>
    <w:rsid w:val="65536A87"/>
    <w:rsid w:val="65A43583"/>
    <w:rsid w:val="65AC292E"/>
    <w:rsid w:val="65C92FEA"/>
    <w:rsid w:val="65CF3315"/>
    <w:rsid w:val="65FC4045"/>
    <w:rsid w:val="66154481"/>
    <w:rsid w:val="661E1587"/>
    <w:rsid w:val="66552ACF"/>
    <w:rsid w:val="668A618E"/>
    <w:rsid w:val="66A15A8C"/>
    <w:rsid w:val="66A575B3"/>
    <w:rsid w:val="66F638D2"/>
    <w:rsid w:val="674E4FC3"/>
    <w:rsid w:val="67605901"/>
    <w:rsid w:val="677518D0"/>
    <w:rsid w:val="677B70D1"/>
    <w:rsid w:val="67BA708E"/>
    <w:rsid w:val="67C40077"/>
    <w:rsid w:val="67C44F09"/>
    <w:rsid w:val="67FA23CE"/>
    <w:rsid w:val="68033D98"/>
    <w:rsid w:val="68173486"/>
    <w:rsid w:val="683230C8"/>
    <w:rsid w:val="68576A38"/>
    <w:rsid w:val="68611DF1"/>
    <w:rsid w:val="688359F3"/>
    <w:rsid w:val="68C006D4"/>
    <w:rsid w:val="68C56E2A"/>
    <w:rsid w:val="69034B40"/>
    <w:rsid w:val="691156BD"/>
    <w:rsid w:val="69461CED"/>
    <w:rsid w:val="695D7482"/>
    <w:rsid w:val="696C260A"/>
    <w:rsid w:val="69AA52EA"/>
    <w:rsid w:val="69C01226"/>
    <w:rsid w:val="69EF560D"/>
    <w:rsid w:val="69F0323B"/>
    <w:rsid w:val="69F342B7"/>
    <w:rsid w:val="6A0D3DCC"/>
    <w:rsid w:val="6A1D3904"/>
    <w:rsid w:val="6A2F13B3"/>
    <w:rsid w:val="6A38543F"/>
    <w:rsid w:val="6A3C4842"/>
    <w:rsid w:val="6A6F6E34"/>
    <w:rsid w:val="6ABF6C6B"/>
    <w:rsid w:val="6AD60DBA"/>
    <w:rsid w:val="6AE4308D"/>
    <w:rsid w:val="6AFF5ABA"/>
    <w:rsid w:val="6B92283F"/>
    <w:rsid w:val="6BAA5A05"/>
    <w:rsid w:val="6BCA2EFA"/>
    <w:rsid w:val="6C1E1FD1"/>
    <w:rsid w:val="6C991968"/>
    <w:rsid w:val="6CAF40D9"/>
    <w:rsid w:val="6CB85F8B"/>
    <w:rsid w:val="6CE626D3"/>
    <w:rsid w:val="6CEF7966"/>
    <w:rsid w:val="6D4800C9"/>
    <w:rsid w:val="6D6441C3"/>
    <w:rsid w:val="6D663E0B"/>
    <w:rsid w:val="6E167147"/>
    <w:rsid w:val="6E4A1F9A"/>
    <w:rsid w:val="6E4C1A4B"/>
    <w:rsid w:val="6E5042A8"/>
    <w:rsid w:val="6E5A691A"/>
    <w:rsid w:val="6ECB3E72"/>
    <w:rsid w:val="6EEE586F"/>
    <w:rsid w:val="6EF512B4"/>
    <w:rsid w:val="6EFA7186"/>
    <w:rsid w:val="6F026E45"/>
    <w:rsid w:val="6F5E1F5D"/>
    <w:rsid w:val="6F601A41"/>
    <w:rsid w:val="6FD63C39"/>
    <w:rsid w:val="6FFE0DA8"/>
    <w:rsid w:val="70305909"/>
    <w:rsid w:val="704E2A69"/>
    <w:rsid w:val="705559F3"/>
    <w:rsid w:val="7062628A"/>
    <w:rsid w:val="706A7075"/>
    <w:rsid w:val="708446DD"/>
    <w:rsid w:val="70957705"/>
    <w:rsid w:val="70CF47EB"/>
    <w:rsid w:val="70F25AEA"/>
    <w:rsid w:val="70FF30AE"/>
    <w:rsid w:val="717579E0"/>
    <w:rsid w:val="717D11BA"/>
    <w:rsid w:val="717E3C71"/>
    <w:rsid w:val="71940950"/>
    <w:rsid w:val="71CD20B4"/>
    <w:rsid w:val="71EB7764"/>
    <w:rsid w:val="72113D4E"/>
    <w:rsid w:val="722F7126"/>
    <w:rsid w:val="723B26E6"/>
    <w:rsid w:val="72604CD6"/>
    <w:rsid w:val="72BC20E7"/>
    <w:rsid w:val="72E6044C"/>
    <w:rsid w:val="732B0E40"/>
    <w:rsid w:val="73350D31"/>
    <w:rsid w:val="733E0702"/>
    <w:rsid w:val="73727F0B"/>
    <w:rsid w:val="7386076C"/>
    <w:rsid w:val="738F785F"/>
    <w:rsid w:val="73C65ED6"/>
    <w:rsid w:val="740D6821"/>
    <w:rsid w:val="743C223B"/>
    <w:rsid w:val="746D2616"/>
    <w:rsid w:val="74850B1C"/>
    <w:rsid w:val="74982505"/>
    <w:rsid w:val="74CB049C"/>
    <w:rsid w:val="74D33639"/>
    <w:rsid w:val="75006646"/>
    <w:rsid w:val="750D14EF"/>
    <w:rsid w:val="752D4F91"/>
    <w:rsid w:val="75622B13"/>
    <w:rsid w:val="75644ADD"/>
    <w:rsid w:val="7571135A"/>
    <w:rsid w:val="75A1188D"/>
    <w:rsid w:val="75D70F31"/>
    <w:rsid w:val="75DF5F11"/>
    <w:rsid w:val="75FD4660"/>
    <w:rsid w:val="762471FA"/>
    <w:rsid w:val="762F1867"/>
    <w:rsid w:val="763D7808"/>
    <w:rsid w:val="76540A96"/>
    <w:rsid w:val="76607F3E"/>
    <w:rsid w:val="766B47B6"/>
    <w:rsid w:val="767612EB"/>
    <w:rsid w:val="76D31426"/>
    <w:rsid w:val="76FC3E00"/>
    <w:rsid w:val="77113DD8"/>
    <w:rsid w:val="772863C5"/>
    <w:rsid w:val="778D031B"/>
    <w:rsid w:val="78021CC8"/>
    <w:rsid w:val="783B3F6C"/>
    <w:rsid w:val="78880AE2"/>
    <w:rsid w:val="78CD54B6"/>
    <w:rsid w:val="794D6266"/>
    <w:rsid w:val="79622203"/>
    <w:rsid w:val="796356AC"/>
    <w:rsid w:val="797D616D"/>
    <w:rsid w:val="79B2692A"/>
    <w:rsid w:val="79B7167F"/>
    <w:rsid w:val="7A1164D7"/>
    <w:rsid w:val="7AAA6C7C"/>
    <w:rsid w:val="7ACC560F"/>
    <w:rsid w:val="7AD63D87"/>
    <w:rsid w:val="7B213874"/>
    <w:rsid w:val="7B235A4A"/>
    <w:rsid w:val="7B5B4476"/>
    <w:rsid w:val="7B9673E6"/>
    <w:rsid w:val="7BDF4EBD"/>
    <w:rsid w:val="7BE80100"/>
    <w:rsid w:val="7BED443B"/>
    <w:rsid w:val="7C0B3F04"/>
    <w:rsid w:val="7C136583"/>
    <w:rsid w:val="7C1524C0"/>
    <w:rsid w:val="7C877A2A"/>
    <w:rsid w:val="7D5852C5"/>
    <w:rsid w:val="7DA63314"/>
    <w:rsid w:val="7DB42234"/>
    <w:rsid w:val="7DE166E6"/>
    <w:rsid w:val="7DEB2B41"/>
    <w:rsid w:val="7DF53D7F"/>
    <w:rsid w:val="7DFC3B04"/>
    <w:rsid w:val="7E1317B2"/>
    <w:rsid w:val="7E176B90"/>
    <w:rsid w:val="7E276BB0"/>
    <w:rsid w:val="7E3133E9"/>
    <w:rsid w:val="7E7062A0"/>
    <w:rsid w:val="7E7F59F2"/>
    <w:rsid w:val="7E871316"/>
    <w:rsid w:val="7E967390"/>
    <w:rsid w:val="7ED04187"/>
    <w:rsid w:val="7F0D1D41"/>
    <w:rsid w:val="7F1756B1"/>
    <w:rsid w:val="7F361A5F"/>
    <w:rsid w:val="7F7678E7"/>
    <w:rsid w:val="7FA9397F"/>
    <w:rsid w:val="7FBE4DEA"/>
    <w:rsid w:val="7FF9661F"/>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9" w:name="heading 5" w:locked="1"/>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qFormat="1" w:unhideWhenUsed="0"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nhideWhenUsed="0" w:uiPriority="99" w:semiHidden="0" w:name="Normal Indent"/>
    <w:lsdException w:qFormat="1" w:unhideWhenUsed="0" w:uiPriority="99" w:name="footnote text"/>
    <w:lsdException w:qFormat="1" w:unhideWhenUsed="0" w:uiPriority="99"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qFormat="1" w:unhideWhenUsed="0" w:uiPriority="99" w:name="table of figures"/>
    <w:lsdException w:uiPriority="99" w:name="envelope address" w:locked="1"/>
    <w:lsdException w:uiPriority="99" w:name="envelope return" w:locked="1"/>
    <w:lsdException w:qFormat="1" w:unhideWhenUsed="0" w:uiPriority="99" w:name="footnote reference"/>
    <w:lsdException w:qFormat="1" w:unhideWhenUsed="0" w:uiPriority="99" w:name="annotation reference"/>
    <w:lsdException w:uiPriority="99" w:name="line number" w:locked="1"/>
    <w:lsdException w:qFormat="1" w:unhideWhenUsed="0" w:uiPriority="99" w:semiHidden="0" w:name="page number"/>
    <w:lsdException w:qFormat="1" w:unhideWhenUsed="0" w:uiPriority="99" w:name="endnote reference" w:locked="1"/>
    <w:lsdException w:qFormat="1" w:unhideWhenUsed="0"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semiHidden="0"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ocked="1"/>
    <w:lsdException w:uiPriority="99" w:name="Salutation" w:locked="1"/>
    <w:lsdException w:qFormat="1" w:unhideWhenUsed="0" w:uiPriority="99" w:semiHidden="0" w:name="Date"/>
    <w:lsdException w:qFormat="1" w:unhideWhenUsed="0" w:uiPriority="0" w:semiHidden="0" w:name="Body Text First Indent" w:locked="1"/>
    <w:lsdException w:qFormat="1" w:unhideWhenUsed="0" w:uiPriority="99" w:semiHidden="0" w:name="Body Text First Indent 2" w:locked="1"/>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99"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name="Balloon Text"/>
    <w:lsdException w:qFormat="1"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link w:val="55"/>
    <w:qFormat/>
    <w:uiPriority w:val="99"/>
    <w:pPr>
      <w:keepNext/>
      <w:keepLines/>
      <w:spacing w:before="340" w:after="330" w:line="576" w:lineRule="auto"/>
      <w:outlineLvl w:val="0"/>
    </w:pPr>
    <w:rPr>
      <w:b/>
      <w:bCs/>
      <w:kern w:val="44"/>
      <w:sz w:val="44"/>
      <w:szCs w:val="44"/>
    </w:rPr>
  </w:style>
  <w:style w:type="paragraph" w:styleId="3">
    <w:name w:val="heading 2"/>
    <w:basedOn w:val="1"/>
    <w:next w:val="1"/>
    <w:link w:val="56"/>
    <w:qFormat/>
    <w:uiPriority w:val="99"/>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5"/>
    <w:link w:val="57"/>
    <w:qFormat/>
    <w:uiPriority w:val="99"/>
    <w:pPr>
      <w:keepNext/>
      <w:keepLines/>
      <w:spacing w:before="260" w:after="260" w:line="415" w:lineRule="auto"/>
      <w:outlineLvl w:val="2"/>
    </w:pPr>
    <w:rPr>
      <w:b/>
      <w:bCs/>
      <w:sz w:val="32"/>
      <w:szCs w:val="32"/>
    </w:rPr>
  </w:style>
  <w:style w:type="paragraph" w:styleId="6">
    <w:name w:val="heading 4"/>
    <w:basedOn w:val="1"/>
    <w:next w:val="1"/>
    <w:link w:val="58"/>
    <w:qFormat/>
    <w:uiPriority w:val="99"/>
    <w:pPr>
      <w:keepNext/>
      <w:keepLines/>
      <w:spacing w:before="280" w:after="290" w:line="374" w:lineRule="auto"/>
      <w:outlineLvl w:val="3"/>
    </w:pPr>
    <w:rPr>
      <w:rFonts w:ascii="Arial" w:hAnsi="Arial" w:eastAsia="黑体" w:cs="Arial"/>
      <w:b/>
      <w:bCs/>
      <w:sz w:val="28"/>
      <w:szCs w:val="28"/>
    </w:rPr>
  </w:style>
  <w:style w:type="paragraph" w:styleId="7">
    <w:name w:val="heading 6"/>
    <w:basedOn w:val="1"/>
    <w:next w:val="1"/>
    <w:link w:val="59"/>
    <w:qFormat/>
    <w:uiPriority w:val="99"/>
    <w:pPr>
      <w:keepNext/>
      <w:keepLines/>
      <w:widowControl/>
      <w:tabs>
        <w:tab w:val="left" w:pos="1440"/>
      </w:tabs>
      <w:spacing w:before="240" w:after="64" w:line="319" w:lineRule="auto"/>
      <w:ind w:left="1152" w:hanging="1152"/>
      <w:jc w:val="left"/>
      <w:outlineLvl w:val="5"/>
    </w:pPr>
    <w:rPr>
      <w:rFonts w:ascii="Arial" w:hAnsi="Arial" w:eastAsia="黑体" w:cs="Arial"/>
      <w:b/>
      <w:bCs/>
      <w:kern w:val="0"/>
      <w:sz w:val="24"/>
      <w:szCs w:val="24"/>
    </w:rPr>
  </w:style>
  <w:style w:type="paragraph" w:styleId="8">
    <w:name w:val="heading 7"/>
    <w:basedOn w:val="1"/>
    <w:next w:val="1"/>
    <w:link w:val="60"/>
    <w:qFormat/>
    <w:uiPriority w:val="99"/>
    <w:pPr>
      <w:keepNext/>
      <w:keepLines/>
      <w:widowControl/>
      <w:tabs>
        <w:tab w:val="left" w:pos="2520"/>
      </w:tabs>
      <w:spacing w:before="240" w:after="64" w:line="319" w:lineRule="auto"/>
      <w:ind w:left="1296" w:hanging="1296"/>
      <w:jc w:val="left"/>
      <w:outlineLvl w:val="6"/>
    </w:pPr>
    <w:rPr>
      <w:b/>
      <w:bCs/>
      <w:kern w:val="0"/>
      <w:sz w:val="24"/>
      <w:szCs w:val="24"/>
    </w:rPr>
  </w:style>
  <w:style w:type="paragraph" w:styleId="9">
    <w:name w:val="heading 8"/>
    <w:basedOn w:val="1"/>
    <w:next w:val="1"/>
    <w:link w:val="61"/>
    <w:qFormat/>
    <w:uiPriority w:val="99"/>
    <w:pPr>
      <w:keepNext/>
      <w:keepLines/>
      <w:widowControl/>
      <w:tabs>
        <w:tab w:val="left" w:pos="1440"/>
      </w:tabs>
      <w:spacing w:before="240" w:after="64" w:line="319" w:lineRule="auto"/>
      <w:ind w:left="1440" w:hanging="1440"/>
      <w:jc w:val="left"/>
      <w:outlineLvl w:val="7"/>
    </w:pPr>
    <w:rPr>
      <w:rFonts w:ascii="Arial" w:hAnsi="Arial" w:eastAsia="黑体" w:cs="Arial"/>
      <w:kern w:val="0"/>
      <w:sz w:val="24"/>
      <w:szCs w:val="24"/>
    </w:rPr>
  </w:style>
  <w:style w:type="paragraph" w:styleId="10">
    <w:name w:val="heading 9"/>
    <w:basedOn w:val="1"/>
    <w:next w:val="1"/>
    <w:link w:val="62"/>
    <w:qFormat/>
    <w:uiPriority w:val="99"/>
    <w:pPr>
      <w:keepNext/>
      <w:keepLines/>
      <w:widowControl/>
      <w:tabs>
        <w:tab w:val="left" w:pos="1584"/>
      </w:tabs>
      <w:spacing w:before="240" w:after="64" w:line="319" w:lineRule="auto"/>
      <w:ind w:left="1584" w:hanging="1584"/>
      <w:jc w:val="left"/>
      <w:outlineLvl w:val="8"/>
    </w:pPr>
    <w:rPr>
      <w:rFonts w:ascii="Arial" w:hAnsi="Arial" w:eastAsia="黑体" w:cs="Arial"/>
      <w:kern w:val="0"/>
    </w:rPr>
  </w:style>
  <w:style w:type="character" w:default="1" w:styleId="47">
    <w:name w:val="Default Paragraph Font"/>
    <w:unhideWhenUsed/>
    <w:qFormat/>
    <w:uiPriority w:val="1"/>
  </w:style>
  <w:style w:type="table" w:default="1" w:styleId="45">
    <w:name w:val="Normal Table"/>
    <w:unhideWhenUsed/>
    <w:qFormat/>
    <w:uiPriority w:val="99"/>
    <w:tblPr>
      <w:tblCellMar>
        <w:top w:w="0" w:type="dxa"/>
        <w:left w:w="108" w:type="dxa"/>
        <w:bottom w:w="0" w:type="dxa"/>
        <w:right w:w="108" w:type="dxa"/>
      </w:tblCellMar>
    </w:tblPr>
  </w:style>
  <w:style w:type="paragraph" w:styleId="5">
    <w:name w:val="Normal Indent"/>
    <w:basedOn w:val="1"/>
    <w:qFormat/>
    <w:uiPriority w:val="99"/>
    <w:pPr>
      <w:ind w:firstLine="420" w:firstLineChars="200"/>
    </w:pPr>
  </w:style>
  <w:style w:type="paragraph" w:styleId="11">
    <w:name w:val="toc 7"/>
    <w:basedOn w:val="1"/>
    <w:next w:val="1"/>
    <w:qFormat/>
    <w:uiPriority w:val="39"/>
    <w:pPr>
      <w:ind w:left="1260"/>
      <w:jc w:val="left"/>
    </w:pPr>
    <w:rPr>
      <w:sz w:val="18"/>
      <w:szCs w:val="18"/>
    </w:rPr>
  </w:style>
  <w:style w:type="paragraph" w:styleId="12">
    <w:name w:val="caption"/>
    <w:basedOn w:val="1"/>
    <w:next w:val="1"/>
    <w:qFormat/>
    <w:uiPriority w:val="99"/>
    <w:rPr>
      <w:rFonts w:ascii="Arial" w:hAnsi="Arial" w:eastAsia="黑体" w:cs="Arial"/>
      <w:sz w:val="20"/>
      <w:szCs w:val="20"/>
    </w:rPr>
  </w:style>
  <w:style w:type="paragraph" w:styleId="13">
    <w:name w:val="Document Map"/>
    <w:basedOn w:val="1"/>
    <w:link w:val="65"/>
    <w:semiHidden/>
    <w:qFormat/>
    <w:uiPriority w:val="99"/>
    <w:pPr>
      <w:shd w:val="clear" w:color="auto" w:fill="000080"/>
    </w:pPr>
  </w:style>
  <w:style w:type="paragraph" w:styleId="14">
    <w:name w:val="annotation text"/>
    <w:basedOn w:val="1"/>
    <w:link w:val="63"/>
    <w:semiHidden/>
    <w:qFormat/>
    <w:uiPriority w:val="99"/>
    <w:pPr>
      <w:jc w:val="left"/>
    </w:pPr>
    <w:rPr>
      <w:rFonts w:ascii="Calibri" w:hAnsi="Calibri" w:cs="Calibri"/>
    </w:rPr>
  </w:style>
  <w:style w:type="paragraph" w:styleId="15">
    <w:name w:val="Body Text 3"/>
    <w:basedOn w:val="1"/>
    <w:link w:val="66"/>
    <w:qFormat/>
    <w:uiPriority w:val="99"/>
    <w:rPr>
      <w:rFonts w:ascii="宋体" w:cs="宋体"/>
      <w:sz w:val="24"/>
      <w:szCs w:val="24"/>
    </w:rPr>
  </w:style>
  <w:style w:type="paragraph" w:styleId="16">
    <w:name w:val="Body Text"/>
    <w:basedOn w:val="1"/>
    <w:next w:val="1"/>
    <w:link w:val="67"/>
    <w:qFormat/>
    <w:uiPriority w:val="99"/>
    <w:pPr>
      <w:spacing w:after="120"/>
    </w:pPr>
  </w:style>
  <w:style w:type="paragraph" w:styleId="17">
    <w:name w:val="Body Text Indent"/>
    <w:basedOn w:val="1"/>
    <w:next w:val="18"/>
    <w:link w:val="68"/>
    <w:qFormat/>
    <w:uiPriority w:val="99"/>
    <w:pPr>
      <w:spacing w:after="120"/>
      <w:ind w:left="420" w:leftChars="200"/>
    </w:pPr>
  </w:style>
  <w:style w:type="paragraph" w:styleId="18">
    <w:name w:val="Body Text First Indent 2"/>
    <w:basedOn w:val="17"/>
    <w:link w:val="75"/>
    <w:qFormat/>
    <w:locked/>
    <w:uiPriority w:val="99"/>
    <w:pPr>
      <w:ind w:firstLine="420" w:firstLineChars="200"/>
    </w:pPr>
  </w:style>
  <w:style w:type="paragraph" w:styleId="19">
    <w:name w:val="Block Text"/>
    <w:basedOn w:val="1"/>
    <w:qFormat/>
    <w:uiPriority w:val="99"/>
    <w:pPr>
      <w:adjustRightInd w:val="0"/>
      <w:ind w:left="420" w:right="33"/>
      <w:jc w:val="left"/>
      <w:textAlignment w:val="baseline"/>
    </w:pPr>
    <w:rPr>
      <w:kern w:val="0"/>
      <w:sz w:val="24"/>
      <w:szCs w:val="24"/>
    </w:rPr>
  </w:style>
  <w:style w:type="paragraph" w:styleId="20">
    <w:name w:val="toc 5"/>
    <w:basedOn w:val="1"/>
    <w:next w:val="1"/>
    <w:qFormat/>
    <w:uiPriority w:val="39"/>
    <w:pPr>
      <w:ind w:left="840"/>
      <w:jc w:val="left"/>
    </w:pPr>
    <w:rPr>
      <w:sz w:val="18"/>
      <w:szCs w:val="18"/>
    </w:rPr>
  </w:style>
  <w:style w:type="paragraph" w:styleId="21">
    <w:name w:val="toc 3"/>
    <w:basedOn w:val="1"/>
    <w:next w:val="1"/>
    <w:qFormat/>
    <w:uiPriority w:val="39"/>
    <w:pPr>
      <w:ind w:left="420"/>
      <w:jc w:val="left"/>
    </w:pPr>
    <w:rPr>
      <w:i/>
      <w:iCs/>
      <w:sz w:val="20"/>
      <w:szCs w:val="20"/>
    </w:rPr>
  </w:style>
  <w:style w:type="paragraph" w:styleId="22">
    <w:name w:val="Plain Text"/>
    <w:basedOn w:val="1"/>
    <w:link w:val="69"/>
    <w:qFormat/>
    <w:uiPriority w:val="99"/>
    <w:rPr>
      <w:rFonts w:ascii="Courier New" w:hAnsi="Courier New" w:cs="Courier New"/>
    </w:rPr>
  </w:style>
  <w:style w:type="paragraph" w:styleId="23">
    <w:name w:val="toc 8"/>
    <w:basedOn w:val="1"/>
    <w:next w:val="1"/>
    <w:qFormat/>
    <w:uiPriority w:val="39"/>
    <w:pPr>
      <w:ind w:left="1470"/>
      <w:jc w:val="left"/>
    </w:pPr>
    <w:rPr>
      <w:sz w:val="18"/>
      <w:szCs w:val="18"/>
    </w:rPr>
  </w:style>
  <w:style w:type="paragraph" w:styleId="24">
    <w:name w:val="Date"/>
    <w:basedOn w:val="1"/>
    <w:next w:val="1"/>
    <w:link w:val="70"/>
    <w:qFormat/>
    <w:uiPriority w:val="99"/>
    <w:rPr>
      <w:sz w:val="24"/>
      <w:szCs w:val="24"/>
    </w:rPr>
  </w:style>
  <w:style w:type="paragraph" w:styleId="25">
    <w:name w:val="Body Text Indent 2"/>
    <w:basedOn w:val="1"/>
    <w:link w:val="71"/>
    <w:qFormat/>
    <w:uiPriority w:val="99"/>
    <w:pPr>
      <w:spacing w:line="840" w:lineRule="exact"/>
      <w:ind w:firstLine="629"/>
    </w:pPr>
    <w:rPr>
      <w:sz w:val="28"/>
      <w:szCs w:val="28"/>
    </w:rPr>
  </w:style>
  <w:style w:type="paragraph" w:styleId="26">
    <w:name w:val="endnote text"/>
    <w:basedOn w:val="1"/>
    <w:link w:val="122"/>
    <w:semiHidden/>
    <w:qFormat/>
    <w:locked/>
    <w:uiPriority w:val="99"/>
    <w:pPr>
      <w:snapToGrid w:val="0"/>
      <w:jc w:val="left"/>
    </w:pPr>
    <w:rPr>
      <w:rFonts w:ascii="Calibri" w:hAnsi="Calibri" w:cs="Calibri"/>
      <w:sz w:val="24"/>
      <w:szCs w:val="24"/>
    </w:rPr>
  </w:style>
  <w:style w:type="paragraph" w:styleId="27">
    <w:name w:val="Balloon Text"/>
    <w:basedOn w:val="1"/>
    <w:link w:val="73"/>
    <w:semiHidden/>
    <w:qFormat/>
    <w:uiPriority w:val="99"/>
    <w:rPr>
      <w:sz w:val="18"/>
      <w:szCs w:val="18"/>
    </w:rPr>
  </w:style>
  <w:style w:type="paragraph" w:styleId="28">
    <w:name w:val="footer"/>
    <w:basedOn w:val="1"/>
    <w:link w:val="74"/>
    <w:qFormat/>
    <w:uiPriority w:val="99"/>
    <w:pPr>
      <w:tabs>
        <w:tab w:val="center" w:pos="4153"/>
        <w:tab w:val="right" w:pos="8306"/>
      </w:tabs>
      <w:snapToGrid w:val="0"/>
      <w:jc w:val="left"/>
    </w:pPr>
    <w:rPr>
      <w:sz w:val="18"/>
      <w:szCs w:val="18"/>
    </w:rPr>
  </w:style>
  <w:style w:type="paragraph" w:styleId="29">
    <w:name w:val="header"/>
    <w:basedOn w:val="1"/>
    <w:link w:val="76"/>
    <w:qFormat/>
    <w:uiPriority w:val="99"/>
    <w:pPr>
      <w:pBdr>
        <w:bottom w:val="single" w:color="auto" w:sz="6" w:space="1"/>
      </w:pBdr>
      <w:tabs>
        <w:tab w:val="center" w:pos="4153"/>
        <w:tab w:val="right" w:pos="8306"/>
      </w:tabs>
      <w:snapToGrid w:val="0"/>
      <w:jc w:val="center"/>
    </w:pPr>
    <w:rPr>
      <w:sz w:val="18"/>
      <w:szCs w:val="18"/>
    </w:rPr>
  </w:style>
  <w:style w:type="paragraph" w:styleId="30">
    <w:name w:val="toc 1"/>
    <w:basedOn w:val="1"/>
    <w:next w:val="1"/>
    <w:qFormat/>
    <w:uiPriority w:val="39"/>
    <w:pPr>
      <w:spacing w:before="120" w:after="120"/>
      <w:jc w:val="left"/>
    </w:pPr>
    <w:rPr>
      <w:b/>
      <w:bCs/>
      <w:caps/>
      <w:sz w:val="20"/>
      <w:szCs w:val="20"/>
    </w:rPr>
  </w:style>
  <w:style w:type="paragraph" w:styleId="31">
    <w:name w:val="toc 4"/>
    <w:basedOn w:val="1"/>
    <w:next w:val="1"/>
    <w:qFormat/>
    <w:uiPriority w:val="39"/>
    <w:pPr>
      <w:ind w:left="630"/>
      <w:jc w:val="left"/>
    </w:pPr>
    <w:rPr>
      <w:sz w:val="18"/>
      <w:szCs w:val="18"/>
    </w:rPr>
  </w:style>
  <w:style w:type="paragraph" w:styleId="32">
    <w:name w:val="Subtitle"/>
    <w:basedOn w:val="1"/>
    <w:next w:val="1"/>
    <w:qFormat/>
    <w:locked/>
    <w:uiPriority w:val="99"/>
    <w:pPr>
      <w:spacing w:before="240" w:after="60" w:line="312" w:lineRule="auto"/>
      <w:jc w:val="center"/>
      <w:outlineLvl w:val="1"/>
    </w:pPr>
    <w:rPr>
      <w:rFonts w:ascii="Arial" w:hAnsi="Arial" w:cs="Arial"/>
      <w:b/>
      <w:bCs/>
      <w:kern w:val="28"/>
      <w:sz w:val="32"/>
      <w:szCs w:val="32"/>
    </w:rPr>
  </w:style>
  <w:style w:type="paragraph" w:styleId="33">
    <w:name w:val="footnote text"/>
    <w:basedOn w:val="1"/>
    <w:link w:val="77"/>
    <w:semiHidden/>
    <w:qFormat/>
    <w:uiPriority w:val="99"/>
    <w:rPr>
      <w:sz w:val="20"/>
      <w:szCs w:val="20"/>
    </w:rPr>
  </w:style>
  <w:style w:type="paragraph" w:styleId="34">
    <w:name w:val="toc 6"/>
    <w:basedOn w:val="1"/>
    <w:next w:val="1"/>
    <w:qFormat/>
    <w:uiPriority w:val="39"/>
    <w:pPr>
      <w:ind w:left="1050"/>
      <w:jc w:val="left"/>
    </w:pPr>
    <w:rPr>
      <w:sz w:val="18"/>
      <w:szCs w:val="18"/>
    </w:rPr>
  </w:style>
  <w:style w:type="paragraph" w:styleId="35">
    <w:name w:val="Body Text Indent 3"/>
    <w:basedOn w:val="1"/>
    <w:link w:val="78"/>
    <w:qFormat/>
    <w:uiPriority w:val="99"/>
    <w:pPr>
      <w:spacing w:after="120"/>
      <w:ind w:left="420" w:leftChars="200"/>
    </w:pPr>
    <w:rPr>
      <w:sz w:val="16"/>
      <w:szCs w:val="16"/>
    </w:rPr>
  </w:style>
  <w:style w:type="paragraph" w:styleId="36">
    <w:name w:val="table of figures"/>
    <w:basedOn w:val="1"/>
    <w:next w:val="1"/>
    <w:semiHidden/>
    <w:qFormat/>
    <w:uiPriority w:val="99"/>
    <w:pPr>
      <w:ind w:left="200" w:leftChars="200" w:hanging="200" w:hangingChars="200"/>
    </w:pPr>
  </w:style>
  <w:style w:type="paragraph" w:styleId="37">
    <w:name w:val="toc 2"/>
    <w:basedOn w:val="1"/>
    <w:next w:val="1"/>
    <w:qFormat/>
    <w:uiPriority w:val="39"/>
    <w:pPr>
      <w:ind w:left="210"/>
      <w:jc w:val="left"/>
    </w:pPr>
    <w:rPr>
      <w:smallCaps/>
      <w:sz w:val="20"/>
      <w:szCs w:val="20"/>
    </w:rPr>
  </w:style>
  <w:style w:type="paragraph" w:styleId="38">
    <w:name w:val="toc 9"/>
    <w:basedOn w:val="1"/>
    <w:next w:val="1"/>
    <w:qFormat/>
    <w:uiPriority w:val="39"/>
    <w:pPr>
      <w:ind w:left="1680"/>
      <w:jc w:val="left"/>
    </w:pPr>
    <w:rPr>
      <w:sz w:val="18"/>
      <w:szCs w:val="18"/>
    </w:rPr>
  </w:style>
  <w:style w:type="paragraph" w:styleId="39">
    <w:name w:val="Body Text 2"/>
    <w:basedOn w:val="1"/>
    <w:link w:val="79"/>
    <w:qFormat/>
    <w:uiPriority w:val="99"/>
    <w:pPr>
      <w:spacing w:after="120" w:line="480" w:lineRule="auto"/>
    </w:pPr>
  </w:style>
  <w:style w:type="paragraph" w:styleId="40">
    <w:name w:val="Normal (Web)"/>
    <w:basedOn w:val="1"/>
    <w:qFormat/>
    <w:uiPriority w:val="99"/>
    <w:pPr>
      <w:widowControl/>
      <w:spacing w:before="100" w:beforeAutospacing="1" w:after="100" w:afterAutospacing="1"/>
      <w:jc w:val="left"/>
    </w:pPr>
    <w:rPr>
      <w:rFonts w:ascii="宋体" w:hAnsi="宋体" w:cs="宋体"/>
      <w:kern w:val="0"/>
      <w:sz w:val="24"/>
      <w:szCs w:val="24"/>
    </w:rPr>
  </w:style>
  <w:style w:type="paragraph" w:styleId="41">
    <w:name w:val="index 1"/>
    <w:basedOn w:val="1"/>
    <w:next w:val="1"/>
    <w:semiHidden/>
    <w:qFormat/>
    <w:locked/>
    <w:uiPriority w:val="99"/>
    <w:pPr>
      <w:spacing w:line="220" w:lineRule="exact"/>
      <w:jc w:val="center"/>
    </w:pPr>
    <w:rPr>
      <w:rFonts w:ascii="仿宋_GB2312" w:eastAsia="仿宋_GB2312" w:cs="仿宋_GB2312"/>
    </w:rPr>
  </w:style>
  <w:style w:type="paragraph" w:styleId="42">
    <w:name w:val="Title"/>
    <w:basedOn w:val="1"/>
    <w:link w:val="80"/>
    <w:qFormat/>
    <w:uiPriority w:val="99"/>
    <w:pPr>
      <w:adjustRightInd w:val="0"/>
      <w:spacing w:before="240" w:after="60" w:line="420" w:lineRule="atLeast"/>
      <w:jc w:val="center"/>
      <w:textAlignment w:val="baseline"/>
      <w:outlineLvl w:val="0"/>
    </w:pPr>
    <w:rPr>
      <w:rFonts w:ascii="Arial" w:hAnsi="Arial" w:cs="Arial"/>
      <w:b/>
      <w:bCs/>
      <w:kern w:val="0"/>
      <w:sz w:val="32"/>
      <w:szCs w:val="32"/>
    </w:rPr>
  </w:style>
  <w:style w:type="paragraph" w:styleId="43">
    <w:name w:val="annotation subject"/>
    <w:basedOn w:val="14"/>
    <w:next w:val="14"/>
    <w:link w:val="64"/>
    <w:semiHidden/>
    <w:qFormat/>
    <w:uiPriority w:val="99"/>
    <w:rPr>
      <w:b/>
      <w:bCs/>
    </w:rPr>
  </w:style>
  <w:style w:type="paragraph" w:styleId="44">
    <w:name w:val="Body Text First Indent"/>
    <w:basedOn w:val="16"/>
    <w:next w:val="1"/>
    <w:qFormat/>
    <w:locked/>
    <w:uiPriority w:val="0"/>
    <w:pPr>
      <w:widowControl/>
      <w:spacing w:before="0" w:after="120"/>
      <w:ind w:left="0" w:right="0" w:firstLine="420"/>
      <w:jc w:val="left"/>
    </w:pPr>
    <w:rPr>
      <w:rFonts w:ascii="Arial" w:hAnsi="Arial" w:eastAsia="宋体" w:cs="Arial"/>
      <w:spacing w:val="-5"/>
      <w:kern w:val="0"/>
      <w:sz w:val="28"/>
      <w:szCs w:val="20"/>
      <w:lang w:val="en-US" w:eastAsia="zh-CN" w:bidi="ar-SA"/>
    </w:rPr>
  </w:style>
  <w:style w:type="table" w:styleId="46">
    <w:name w:val="Table Grid"/>
    <w:basedOn w:val="45"/>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8">
    <w:name w:val="Strong"/>
    <w:qFormat/>
    <w:uiPriority w:val="99"/>
    <w:rPr>
      <w:b/>
      <w:bCs/>
    </w:rPr>
  </w:style>
  <w:style w:type="character" w:styleId="49">
    <w:name w:val="endnote reference"/>
    <w:semiHidden/>
    <w:qFormat/>
    <w:locked/>
    <w:uiPriority w:val="99"/>
    <w:rPr>
      <w:vertAlign w:val="superscript"/>
    </w:rPr>
  </w:style>
  <w:style w:type="character" w:styleId="50">
    <w:name w:val="page number"/>
    <w:basedOn w:val="47"/>
    <w:qFormat/>
    <w:uiPriority w:val="99"/>
  </w:style>
  <w:style w:type="character" w:styleId="51">
    <w:name w:val="FollowedHyperlink"/>
    <w:qFormat/>
    <w:uiPriority w:val="99"/>
    <w:rPr>
      <w:color w:val="800080"/>
      <w:u w:val="single"/>
    </w:rPr>
  </w:style>
  <w:style w:type="character" w:styleId="52">
    <w:name w:val="Hyperlink"/>
    <w:qFormat/>
    <w:uiPriority w:val="99"/>
    <w:rPr>
      <w:color w:val="0000FF"/>
      <w:u w:val="single"/>
    </w:rPr>
  </w:style>
  <w:style w:type="character" w:styleId="53">
    <w:name w:val="annotation reference"/>
    <w:semiHidden/>
    <w:qFormat/>
    <w:uiPriority w:val="99"/>
    <w:rPr>
      <w:sz w:val="21"/>
      <w:szCs w:val="21"/>
    </w:rPr>
  </w:style>
  <w:style w:type="character" w:styleId="54">
    <w:name w:val="footnote reference"/>
    <w:semiHidden/>
    <w:qFormat/>
    <w:uiPriority w:val="99"/>
    <w:rPr>
      <w:vertAlign w:val="superscript"/>
    </w:rPr>
  </w:style>
  <w:style w:type="character" w:customStyle="1" w:styleId="55">
    <w:name w:val="标题 1 字符"/>
    <w:link w:val="2"/>
    <w:qFormat/>
    <w:locked/>
    <w:uiPriority w:val="99"/>
    <w:rPr>
      <w:rFonts w:ascii="Times New Roman" w:hAnsi="Times New Roman" w:eastAsia="宋体" w:cs="Times New Roman"/>
      <w:b/>
      <w:bCs/>
      <w:kern w:val="44"/>
      <w:sz w:val="44"/>
      <w:szCs w:val="44"/>
    </w:rPr>
  </w:style>
  <w:style w:type="character" w:customStyle="1" w:styleId="56">
    <w:name w:val="标题 2 字符"/>
    <w:link w:val="3"/>
    <w:qFormat/>
    <w:locked/>
    <w:uiPriority w:val="99"/>
    <w:rPr>
      <w:rFonts w:ascii="Arial" w:hAnsi="Arial" w:eastAsia="黑体" w:cs="Arial"/>
      <w:b/>
      <w:bCs/>
      <w:sz w:val="32"/>
      <w:szCs w:val="32"/>
    </w:rPr>
  </w:style>
  <w:style w:type="character" w:customStyle="1" w:styleId="57">
    <w:name w:val="标题 3 字符"/>
    <w:link w:val="4"/>
    <w:qFormat/>
    <w:locked/>
    <w:uiPriority w:val="99"/>
    <w:rPr>
      <w:rFonts w:ascii="Times New Roman" w:hAnsi="Times New Roman" w:eastAsia="宋体" w:cs="Times New Roman"/>
      <w:b/>
      <w:bCs/>
      <w:sz w:val="32"/>
      <w:szCs w:val="32"/>
    </w:rPr>
  </w:style>
  <w:style w:type="character" w:customStyle="1" w:styleId="58">
    <w:name w:val="标题 4 字符"/>
    <w:link w:val="6"/>
    <w:qFormat/>
    <w:locked/>
    <w:uiPriority w:val="99"/>
    <w:rPr>
      <w:rFonts w:ascii="Arial" w:hAnsi="Arial" w:eastAsia="黑体" w:cs="Arial"/>
      <w:b/>
      <w:bCs/>
      <w:sz w:val="28"/>
      <w:szCs w:val="28"/>
    </w:rPr>
  </w:style>
  <w:style w:type="character" w:customStyle="1" w:styleId="59">
    <w:name w:val="标题 6 字符"/>
    <w:link w:val="7"/>
    <w:qFormat/>
    <w:locked/>
    <w:uiPriority w:val="99"/>
    <w:rPr>
      <w:rFonts w:ascii="Arial" w:hAnsi="Arial" w:eastAsia="黑体" w:cs="Arial"/>
      <w:b/>
      <w:bCs/>
      <w:kern w:val="0"/>
      <w:sz w:val="24"/>
      <w:szCs w:val="24"/>
    </w:rPr>
  </w:style>
  <w:style w:type="character" w:customStyle="1" w:styleId="60">
    <w:name w:val="标题 7 字符"/>
    <w:link w:val="8"/>
    <w:qFormat/>
    <w:locked/>
    <w:uiPriority w:val="99"/>
    <w:rPr>
      <w:rFonts w:ascii="Times New Roman" w:hAnsi="Times New Roman" w:eastAsia="宋体" w:cs="Times New Roman"/>
      <w:b/>
      <w:bCs/>
      <w:kern w:val="0"/>
      <w:sz w:val="24"/>
      <w:szCs w:val="24"/>
    </w:rPr>
  </w:style>
  <w:style w:type="character" w:customStyle="1" w:styleId="61">
    <w:name w:val="标题 8 字符"/>
    <w:link w:val="9"/>
    <w:qFormat/>
    <w:locked/>
    <w:uiPriority w:val="99"/>
    <w:rPr>
      <w:rFonts w:ascii="Arial" w:hAnsi="Arial" w:eastAsia="黑体" w:cs="Arial"/>
      <w:kern w:val="0"/>
      <w:sz w:val="24"/>
      <w:szCs w:val="24"/>
    </w:rPr>
  </w:style>
  <w:style w:type="character" w:customStyle="1" w:styleId="62">
    <w:name w:val="标题 9 字符"/>
    <w:link w:val="10"/>
    <w:qFormat/>
    <w:locked/>
    <w:uiPriority w:val="99"/>
    <w:rPr>
      <w:rFonts w:ascii="Arial" w:hAnsi="Arial" w:eastAsia="黑体" w:cs="Arial"/>
      <w:kern w:val="0"/>
      <w:sz w:val="21"/>
      <w:szCs w:val="21"/>
    </w:rPr>
  </w:style>
  <w:style w:type="character" w:customStyle="1" w:styleId="63">
    <w:name w:val="批注文字 字符"/>
    <w:link w:val="14"/>
    <w:semiHidden/>
    <w:qFormat/>
    <w:locked/>
    <w:uiPriority w:val="99"/>
    <w:rPr>
      <w:rFonts w:ascii="Times New Roman" w:hAnsi="Times New Roman" w:eastAsia="宋体" w:cs="Times New Roman"/>
      <w:sz w:val="24"/>
      <w:szCs w:val="24"/>
    </w:rPr>
  </w:style>
  <w:style w:type="character" w:customStyle="1" w:styleId="64">
    <w:name w:val="批注主题 字符"/>
    <w:link w:val="43"/>
    <w:qFormat/>
    <w:locked/>
    <w:uiPriority w:val="99"/>
    <w:rPr>
      <w:rFonts w:ascii="Times New Roman" w:hAnsi="Times New Roman" w:eastAsia="宋体" w:cs="Times New Roman"/>
      <w:b/>
      <w:bCs/>
      <w:sz w:val="24"/>
      <w:szCs w:val="24"/>
    </w:rPr>
  </w:style>
  <w:style w:type="character" w:customStyle="1" w:styleId="65">
    <w:name w:val="文档结构图 字符"/>
    <w:link w:val="13"/>
    <w:qFormat/>
    <w:locked/>
    <w:uiPriority w:val="99"/>
    <w:rPr>
      <w:rFonts w:ascii="Times New Roman" w:hAnsi="Times New Roman" w:eastAsia="宋体" w:cs="Times New Roman"/>
      <w:sz w:val="24"/>
      <w:szCs w:val="24"/>
      <w:shd w:val="clear" w:color="auto" w:fill="000080"/>
    </w:rPr>
  </w:style>
  <w:style w:type="character" w:customStyle="1" w:styleId="66">
    <w:name w:val="正文文本 3 字符"/>
    <w:link w:val="15"/>
    <w:qFormat/>
    <w:locked/>
    <w:uiPriority w:val="99"/>
    <w:rPr>
      <w:rFonts w:ascii="宋体" w:hAnsi="Times New Roman" w:eastAsia="宋体" w:cs="宋体"/>
      <w:sz w:val="20"/>
      <w:szCs w:val="20"/>
    </w:rPr>
  </w:style>
  <w:style w:type="character" w:customStyle="1" w:styleId="67">
    <w:name w:val="正文文本 字符"/>
    <w:link w:val="16"/>
    <w:qFormat/>
    <w:locked/>
    <w:uiPriority w:val="99"/>
    <w:rPr>
      <w:rFonts w:ascii="Times New Roman" w:hAnsi="Times New Roman" w:eastAsia="宋体" w:cs="Times New Roman"/>
      <w:sz w:val="24"/>
      <w:szCs w:val="24"/>
    </w:rPr>
  </w:style>
  <w:style w:type="character" w:customStyle="1" w:styleId="68">
    <w:name w:val="正文文本缩进 字符"/>
    <w:link w:val="17"/>
    <w:qFormat/>
    <w:locked/>
    <w:uiPriority w:val="99"/>
    <w:rPr>
      <w:rFonts w:ascii="Times New Roman" w:hAnsi="Times New Roman" w:eastAsia="宋体" w:cs="Times New Roman"/>
      <w:sz w:val="24"/>
      <w:szCs w:val="24"/>
    </w:rPr>
  </w:style>
  <w:style w:type="character" w:customStyle="1" w:styleId="69">
    <w:name w:val="纯文本 字符"/>
    <w:link w:val="22"/>
    <w:qFormat/>
    <w:locked/>
    <w:uiPriority w:val="99"/>
    <w:rPr>
      <w:rFonts w:ascii="Courier New" w:hAnsi="Courier New" w:eastAsia="宋体" w:cs="Courier New"/>
      <w:sz w:val="20"/>
      <w:szCs w:val="20"/>
    </w:rPr>
  </w:style>
  <w:style w:type="character" w:customStyle="1" w:styleId="70">
    <w:name w:val="日期 字符"/>
    <w:link w:val="24"/>
    <w:qFormat/>
    <w:locked/>
    <w:uiPriority w:val="99"/>
    <w:rPr>
      <w:rFonts w:ascii="Times New Roman" w:hAnsi="Times New Roman" w:eastAsia="宋体" w:cs="Times New Roman"/>
      <w:sz w:val="20"/>
      <w:szCs w:val="20"/>
    </w:rPr>
  </w:style>
  <w:style w:type="character" w:customStyle="1" w:styleId="71">
    <w:name w:val="正文文本缩进 2 字符"/>
    <w:link w:val="25"/>
    <w:qFormat/>
    <w:locked/>
    <w:uiPriority w:val="99"/>
    <w:rPr>
      <w:rFonts w:ascii="Times New Roman" w:hAnsi="Times New Roman" w:eastAsia="宋体" w:cs="Times New Roman"/>
      <w:sz w:val="20"/>
      <w:szCs w:val="20"/>
    </w:rPr>
  </w:style>
  <w:style w:type="character" w:customStyle="1" w:styleId="72">
    <w:name w:val="Endnote Text Char"/>
    <w:semiHidden/>
    <w:qFormat/>
    <w:uiPriority w:val="99"/>
    <w:rPr>
      <w:rFonts w:ascii="Times New Roman" w:hAnsi="Times New Roman" w:cs="Times New Roman"/>
      <w:sz w:val="24"/>
      <w:szCs w:val="24"/>
    </w:rPr>
  </w:style>
  <w:style w:type="character" w:customStyle="1" w:styleId="73">
    <w:name w:val="批注框文本 字符"/>
    <w:link w:val="27"/>
    <w:qFormat/>
    <w:locked/>
    <w:uiPriority w:val="99"/>
    <w:rPr>
      <w:rFonts w:ascii="Times New Roman" w:hAnsi="Times New Roman" w:eastAsia="宋体" w:cs="Times New Roman"/>
      <w:sz w:val="18"/>
      <w:szCs w:val="18"/>
    </w:rPr>
  </w:style>
  <w:style w:type="character" w:customStyle="1" w:styleId="74">
    <w:name w:val="页脚 字符"/>
    <w:link w:val="28"/>
    <w:qFormat/>
    <w:locked/>
    <w:uiPriority w:val="99"/>
    <w:rPr>
      <w:rFonts w:ascii="Times New Roman" w:hAnsi="Times New Roman" w:eastAsia="宋体" w:cs="Times New Roman"/>
      <w:sz w:val="18"/>
      <w:szCs w:val="18"/>
    </w:rPr>
  </w:style>
  <w:style w:type="character" w:customStyle="1" w:styleId="75">
    <w:name w:val="正文首行缩进 2 字符"/>
    <w:basedOn w:val="68"/>
    <w:link w:val="18"/>
    <w:semiHidden/>
    <w:qFormat/>
    <w:locked/>
    <w:uiPriority w:val="99"/>
    <w:rPr>
      <w:rFonts w:ascii="Times New Roman" w:hAnsi="Times New Roman" w:eastAsia="宋体" w:cs="Times New Roman"/>
      <w:sz w:val="24"/>
      <w:szCs w:val="24"/>
    </w:rPr>
  </w:style>
  <w:style w:type="character" w:customStyle="1" w:styleId="76">
    <w:name w:val="页眉 字符"/>
    <w:link w:val="29"/>
    <w:qFormat/>
    <w:locked/>
    <w:uiPriority w:val="99"/>
    <w:rPr>
      <w:rFonts w:ascii="Times New Roman" w:hAnsi="Times New Roman" w:eastAsia="宋体" w:cs="Times New Roman"/>
      <w:sz w:val="18"/>
      <w:szCs w:val="18"/>
    </w:rPr>
  </w:style>
  <w:style w:type="character" w:customStyle="1" w:styleId="77">
    <w:name w:val="脚注文本 字符"/>
    <w:link w:val="33"/>
    <w:qFormat/>
    <w:locked/>
    <w:uiPriority w:val="99"/>
    <w:rPr>
      <w:rFonts w:ascii="Times New Roman" w:hAnsi="Times New Roman" w:eastAsia="宋体" w:cs="Times New Roman"/>
      <w:sz w:val="20"/>
      <w:szCs w:val="20"/>
    </w:rPr>
  </w:style>
  <w:style w:type="character" w:customStyle="1" w:styleId="78">
    <w:name w:val="正文文本缩进 3 字符"/>
    <w:link w:val="35"/>
    <w:qFormat/>
    <w:locked/>
    <w:uiPriority w:val="99"/>
    <w:rPr>
      <w:rFonts w:ascii="Times New Roman" w:hAnsi="Times New Roman" w:eastAsia="宋体" w:cs="Times New Roman"/>
      <w:sz w:val="16"/>
      <w:szCs w:val="16"/>
    </w:rPr>
  </w:style>
  <w:style w:type="character" w:customStyle="1" w:styleId="79">
    <w:name w:val="正文文本 2 字符"/>
    <w:link w:val="39"/>
    <w:qFormat/>
    <w:locked/>
    <w:uiPriority w:val="99"/>
    <w:rPr>
      <w:rFonts w:ascii="Times New Roman" w:hAnsi="Times New Roman" w:eastAsia="宋体" w:cs="Times New Roman"/>
      <w:sz w:val="24"/>
      <w:szCs w:val="24"/>
    </w:rPr>
  </w:style>
  <w:style w:type="character" w:customStyle="1" w:styleId="80">
    <w:name w:val="标题 字符"/>
    <w:link w:val="42"/>
    <w:qFormat/>
    <w:locked/>
    <w:uiPriority w:val="99"/>
    <w:rPr>
      <w:rFonts w:ascii="Arial" w:hAnsi="Arial" w:eastAsia="宋体" w:cs="Arial"/>
      <w:b/>
      <w:bCs/>
      <w:kern w:val="0"/>
      <w:sz w:val="20"/>
      <w:szCs w:val="20"/>
    </w:rPr>
  </w:style>
  <w:style w:type="paragraph" w:customStyle="1" w:styleId="81">
    <w:name w:val="Char3"/>
    <w:basedOn w:val="1"/>
    <w:qFormat/>
    <w:uiPriority w:val="99"/>
    <w:pPr>
      <w:tabs>
        <w:tab w:val="left" w:pos="794"/>
        <w:tab w:val="left" w:pos="1191"/>
        <w:tab w:val="left" w:pos="1588"/>
        <w:tab w:val="left" w:pos="1985"/>
      </w:tabs>
      <w:autoSpaceDE w:val="0"/>
      <w:autoSpaceDN w:val="0"/>
      <w:adjustRightInd w:val="0"/>
      <w:spacing w:before="136"/>
    </w:pPr>
    <w:rPr>
      <w:rFonts w:ascii="Tahoma" w:hAnsi="Tahoma" w:cs="Tahoma"/>
      <w:kern w:val="0"/>
      <w:sz w:val="24"/>
      <w:szCs w:val="24"/>
      <w:lang w:val="en-GB"/>
    </w:rPr>
  </w:style>
  <w:style w:type="character" w:customStyle="1" w:styleId="82">
    <w:name w:val="Char Char8"/>
    <w:qFormat/>
    <w:uiPriority w:val="99"/>
    <w:rPr>
      <w:rFonts w:ascii="Arial" w:hAnsi="Arial" w:eastAsia="黑体" w:cs="Arial"/>
      <w:b/>
      <w:bCs/>
      <w:kern w:val="2"/>
      <w:sz w:val="32"/>
      <w:szCs w:val="32"/>
      <w:lang w:val="en-US" w:eastAsia="zh-CN"/>
    </w:rPr>
  </w:style>
  <w:style w:type="character" w:customStyle="1" w:styleId="83">
    <w:name w:val="批注文字 Char"/>
    <w:qFormat/>
    <w:locked/>
    <w:uiPriority w:val="99"/>
    <w:rPr>
      <w:rFonts w:eastAsia="宋体"/>
      <w:sz w:val="24"/>
      <w:szCs w:val="24"/>
    </w:rPr>
  </w:style>
  <w:style w:type="character" w:customStyle="1" w:styleId="84">
    <w:name w:val="Char Char"/>
    <w:qFormat/>
    <w:uiPriority w:val="99"/>
    <w:rPr>
      <w:rFonts w:ascii="Arial" w:hAnsi="Arial" w:eastAsia="黑体" w:cs="Arial"/>
      <w:b/>
      <w:bCs/>
      <w:kern w:val="2"/>
      <w:sz w:val="32"/>
      <w:szCs w:val="32"/>
      <w:lang w:val="en-US" w:eastAsia="zh-CN"/>
    </w:rPr>
  </w:style>
  <w:style w:type="character" w:customStyle="1" w:styleId="85">
    <w:name w:val="font161"/>
    <w:qFormat/>
    <w:uiPriority w:val="99"/>
    <w:rPr>
      <w:b/>
      <w:bCs/>
      <w:sz w:val="32"/>
      <w:szCs w:val="32"/>
    </w:rPr>
  </w:style>
  <w:style w:type="character" w:customStyle="1" w:styleId="86">
    <w:name w:val="Char Char2"/>
    <w:qFormat/>
    <w:uiPriority w:val="99"/>
    <w:rPr>
      <w:rFonts w:eastAsia="宋体"/>
      <w:kern w:val="2"/>
      <w:sz w:val="24"/>
      <w:szCs w:val="24"/>
      <w:lang w:val="en-US" w:eastAsia="zh-CN"/>
    </w:rPr>
  </w:style>
  <w:style w:type="character" w:customStyle="1" w:styleId="87">
    <w:name w:val="Char Char7"/>
    <w:qFormat/>
    <w:uiPriority w:val="99"/>
    <w:rPr>
      <w:rFonts w:ascii="Arial" w:hAnsi="Arial" w:eastAsia="黑体" w:cs="Arial"/>
      <w:b/>
      <w:bCs/>
      <w:kern w:val="2"/>
      <w:sz w:val="32"/>
      <w:szCs w:val="32"/>
      <w:lang w:val="en-US" w:eastAsia="zh-CN"/>
    </w:rPr>
  </w:style>
  <w:style w:type="paragraph" w:customStyle="1" w:styleId="88">
    <w:name w:val="样式4"/>
    <w:basedOn w:val="4"/>
    <w:qFormat/>
    <w:uiPriority w:val="99"/>
  </w:style>
  <w:style w:type="paragraph" w:customStyle="1" w:styleId="89">
    <w:name w:val="6'"/>
    <w:basedOn w:val="1"/>
    <w:qFormat/>
    <w:uiPriority w:val="99"/>
    <w:pPr>
      <w:autoSpaceDE w:val="0"/>
      <w:autoSpaceDN w:val="0"/>
      <w:adjustRightInd w:val="0"/>
      <w:snapToGrid w:val="0"/>
      <w:spacing w:line="320" w:lineRule="exact"/>
      <w:jc w:val="center"/>
      <w:textAlignment w:val="baseline"/>
    </w:pPr>
    <w:rPr>
      <w:spacing w:val="20"/>
      <w:kern w:val="28"/>
    </w:rPr>
  </w:style>
  <w:style w:type="paragraph" w:customStyle="1" w:styleId="90">
    <w:name w:val="1"/>
    <w:basedOn w:val="1"/>
    <w:next w:val="1"/>
    <w:qFormat/>
    <w:uiPriority w:val="99"/>
  </w:style>
  <w:style w:type="paragraph" w:customStyle="1" w:styleId="91">
    <w:name w:val="样式 标题 1 + 黑体 三号 非加粗 居中 段前: 6 磅 段后: 6 磅 行距: 固定值 20 磅"/>
    <w:basedOn w:val="2"/>
    <w:qFormat/>
    <w:uiPriority w:val="99"/>
    <w:pPr>
      <w:spacing w:before="120" w:after="120" w:line="400" w:lineRule="exact"/>
      <w:jc w:val="center"/>
    </w:pPr>
    <w:rPr>
      <w:rFonts w:ascii="黑体" w:hAnsi="黑体" w:eastAsia="黑体" w:cs="黑体"/>
      <w:b w:val="0"/>
      <w:bCs w:val="0"/>
      <w:sz w:val="32"/>
      <w:szCs w:val="32"/>
    </w:rPr>
  </w:style>
  <w:style w:type="paragraph" w:customStyle="1" w:styleId="92">
    <w:name w:val="样式2"/>
    <w:basedOn w:val="4"/>
    <w:qFormat/>
    <w:uiPriority w:val="99"/>
  </w:style>
  <w:style w:type="paragraph" w:customStyle="1" w:styleId="93">
    <w:name w:val="样式 标题 3 + (中文) 黑体 小四 非加粗 段前: 7.8 磅 段后: 0 磅 行距: 固定值 20 磅"/>
    <w:basedOn w:val="4"/>
    <w:qFormat/>
    <w:uiPriority w:val="99"/>
    <w:pPr>
      <w:spacing w:before="0" w:after="0" w:line="400" w:lineRule="exact"/>
    </w:pPr>
    <w:rPr>
      <w:rFonts w:eastAsia="黑体"/>
      <w:b w:val="0"/>
      <w:bCs w:val="0"/>
      <w:sz w:val="24"/>
      <w:szCs w:val="24"/>
    </w:rPr>
  </w:style>
  <w:style w:type="paragraph" w:customStyle="1" w:styleId="94">
    <w:name w:val="表格"/>
    <w:basedOn w:val="1"/>
    <w:qFormat/>
    <w:uiPriority w:val="99"/>
    <w:pPr>
      <w:jc w:val="center"/>
      <w:textAlignment w:val="center"/>
    </w:pPr>
    <w:rPr>
      <w:rFonts w:ascii="华文细黑" w:hAnsi="华文细黑" w:cs="华文细黑"/>
      <w:kern w:val="0"/>
    </w:rPr>
  </w:style>
  <w:style w:type="paragraph" w:customStyle="1" w:styleId="95">
    <w:name w:val="样式3"/>
    <w:basedOn w:val="4"/>
    <w:qFormat/>
    <w:uiPriority w:val="99"/>
  </w:style>
  <w:style w:type="paragraph" w:customStyle="1" w:styleId="96">
    <w:name w:val="Char"/>
    <w:basedOn w:val="1"/>
    <w:qFormat/>
    <w:uiPriority w:val="99"/>
    <w:pPr>
      <w:tabs>
        <w:tab w:val="left" w:pos="360"/>
      </w:tabs>
    </w:pPr>
    <w:rPr>
      <w:sz w:val="24"/>
      <w:szCs w:val="24"/>
    </w:rPr>
  </w:style>
  <w:style w:type="character" w:customStyle="1" w:styleId="97">
    <w:name w:val="纯文本 Char"/>
    <w:semiHidden/>
    <w:qFormat/>
    <w:locked/>
    <w:uiPriority w:val="99"/>
    <w:rPr>
      <w:rFonts w:ascii="宋体" w:hAnsi="Courier New" w:eastAsia="宋体" w:cs="宋体"/>
      <w:sz w:val="21"/>
      <w:szCs w:val="21"/>
    </w:rPr>
  </w:style>
  <w:style w:type="paragraph" w:customStyle="1" w:styleId="98">
    <w:name w:val="样式 标题 2 + Times New Roman 四号 非加粗 段前: 5 磅 段后: 0 磅 行距: 固定值 20..."/>
    <w:basedOn w:val="3"/>
    <w:link w:val="99"/>
    <w:qFormat/>
    <w:uiPriority w:val="99"/>
    <w:pPr>
      <w:spacing w:before="100" w:after="0" w:line="400" w:lineRule="exact"/>
    </w:pPr>
    <w:rPr>
      <w:rFonts w:ascii="Times New Roman" w:hAnsi="Times New Roman" w:cs="Times New Roman"/>
      <w:b w:val="0"/>
      <w:bCs w:val="0"/>
      <w:sz w:val="28"/>
      <w:szCs w:val="28"/>
    </w:rPr>
  </w:style>
  <w:style w:type="character" w:customStyle="1" w:styleId="99">
    <w:name w:val="样式 标题 2 + Times New Roman 四号 非加粗 段前: 5 磅 段后: 0 磅 行距: 固定值 20... Char"/>
    <w:link w:val="98"/>
    <w:qFormat/>
    <w:locked/>
    <w:uiPriority w:val="99"/>
    <w:rPr>
      <w:rFonts w:ascii="Arial" w:hAnsi="Arial" w:eastAsia="黑体" w:cs="Arial"/>
      <w:b/>
      <w:bCs/>
      <w:kern w:val="2"/>
      <w:sz w:val="32"/>
      <w:szCs w:val="32"/>
      <w:lang w:val="en-US" w:eastAsia="zh-CN"/>
    </w:rPr>
  </w:style>
  <w:style w:type="character" w:customStyle="1" w:styleId="100">
    <w:name w:val="Char Char19"/>
    <w:qFormat/>
    <w:uiPriority w:val="99"/>
    <w:rPr>
      <w:rFonts w:ascii="Arial" w:hAnsi="Arial" w:eastAsia="黑体" w:cs="Arial"/>
      <w:b/>
      <w:bCs/>
      <w:kern w:val="2"/>
      <w:sz w:val="32"/>
      <w:szCs w:val="32"/>
    </w:rPr>
  </w:style>
  <w:style w:type="paragraph" w:customStyle="1" w:styleId="101">
    <w:name w:val="样式1"/>
    <w:basedOn w:val="4"/>
    <w:qFormat/>
    <w:uiPriority w:val="99"/>
  </w:style>
  <w:style w:type="paragraph" w:customStyle="1" w:styleId="102">
    <w:name w:val="表格文字"/>
    <w:basedOn w:val="1"/>
    <w:qFormat/>
    <w:uiPriority w:val="99"/>
    <w:pPr>
      <w:adjustRightInd w:val="0"/>
      <w:spacing w:line="420" w:lineRule="atLeast"/>
      <w:jc w:val="left"/>
      <w:textAlignment w:val="baseline"/>
    </w:pPr>
    <w:rPr>
      <w:kern w:val="0"/>
    </w:rPr>
  </w:style>
  <w:style w:type="character" w:customStyle="1" w:styleId="103">
    <w:name w:val="hei121"/>
    <w:qFormat/>
    <w:uiPriority w:val="99"/>
    <w:rPr>
      <w:color w:val="000000"/>
      <w:sz w:val="18"/>
      <w:szCs w:val="18"/>
      <w:u w:val="none"/>
    </w:rPr>
  </w:style>
  <w:style w:type="paragraph" w:customStyle="1" w:styleId="104">
    <w:name w:val="Blockquote"/>
    <w:basedOn w:val="1"/>
    <w:qFormat/>
    <w:uiPriority w:val="99"/>
    <w:pPr>
      <w:autoSpaceDE w:val="0"/>
      <w:autoSpaceDN w:val="0"/>
      <w:adjustRightInd w:val="0"/>
      <w:spacing w:before="100" w:after="100"/>
      <w:ind w:left="360" w:right="360"/>
      <w:jc w:val="left"/>
    </w:pPr>
    <w:rPr>
      <w:kern w:val="0"/>
      <w:sz w:val="24"/>
      <w:szCs w:val="24"/>
    </w:rPr>
  </w:style>
  <w:style w:type="paragraph" w:customStyle="1" w:styleId="105">
    <w:name w:val="7"/>
    <w:basedOn w:val="1"/>
    <w:qFormat/>
    <w:uiPriority w:val="99"/>
    <w:pPr>
      <w:widowControl/>
      <w:tabs>
        <w:tab w:val="left" w:pos="425"/>
      </w:tabs>
      <w:spacing w:beforeLines="100" w:after="160" w:line="240" w:lineRule="exact"/>
      <w:ind w:left="425" w:hanging="425"/>
      <w:jc w:val="left"/>
    </w:pPr>
    <w:rPr>
      <w:rFonts w:ascii="Verdana" w:hAnsi="Verdana" w:eastAsia="黑体" w:cs="Verdana"/>
      <w:kern w:val="0"/>
      <w:sz w:val="20"/>
      <w:szCs w:val="20"/>
      <w:lang w:eastAsia="en-US"/>
    </w:rPr>
  </w:style>
  <w:style w:type="paragraph" w:customStyle="1" w:styleId="106">
    <w:name w:val="Char Char Char Char Char Char Char Char Char Char1"/>
    <w:basedOn w:val="1"/>
    <w:qFormat/>
    <w:uiPriority w:val="99"/>
    <w:pPr>
      <w:tabs>
        <w:tab w:val="left" w:pos="425"/>
      </w:tabs>
      <w:ind w:left="425" w:hanging="425"/>
    </w:pPr>
    <w:rPr>
      <w:rFonts w:ascii="Arial" w:hAnsi="Arial" w:eastAsia="黑体" w:cs="Arial"/>
      <w:b/>
      <w:bCs/>
      <w:sz w:val="32"/>
      <w:szCs w:val="32"/>
    </w:rPr>
  </w:style>
  <w:style w:type="paragraph" w:customStyle="1" w:styleId="107">
    <w:name w:val="样式 首行缩进:  2 字符2"/>
    <w:basedOn w:val="1"/>
    <w:qFormat/>
    <w:uiPriority w:val="99"/>
    <w:pPr>
      <w:spacing w:line="300" w:lineRule="auto"/>
      <w:ind w:firstLine="200" w:firstLineChars="200"/>
    </w:pPr>
    <w:rPr>
      <w:kern w:val="28"/>
      <w:sz w:val="24"/>
      <w:szCs w:val="24"/>
    </w:rPr>
  </w:style>
  <w:style w:type="paragraph" w:customStyle="1" w:styleId="108">
    <w:name w:val="表格内文字"/>
    <w:basedOn w:val="1"/>
    <w:qFormat/>
    <w:uiPriority w:val="99"/>
    <w:pPr>
      <w:adjustRightInd w:val="0"/>
      <w:snapToGrid w:val="0"/>
      <w:spacing w:line="240" w:lineRule="atLeast"/>
      <w:jc w:val="center"/>
    </w:pPr>
    <w:rPr>
      <w:kern w:val="28"/>
      <w:sz w:val="24"/>
      <w:szCs w:val="24"/>
    </w:rPr>
  </w:style>
  <w:style w:type="paragraph" w:customStyle="1" w:styleId="109">
    <w:name w:val="opening2"/>
    <w:basedOn w:val="1"/>
    <w:qFormat/>
    <w:uiPriority w:val="99"/>
    <w:pPr>
      <w:widowControl/>
      <w:spacing w:before="100" w:beforeAutospacing="1" w:after="100" w:afterAutospacing="1"/>
      <w:jc w:val="left"/>
    </w:pPr>
    <w:rPr>
      <w:rFonts w:ascii="宋体" w:hAnsi="宋体" w:cs="宋体"/>
      <w:color w:val="000000"/>
      <w:kern w:val="0"/>
      <w:sz w:val="23"/>
      <w:szCs w:val="23"/>
    </w:rPr>
  </w:style>
  <w:style w:type="character" w:customStyle="1" w:styleId="110">
    <w:name w:val="yinying"/>
    <w:basedOn w:val="47"/>
    <w:qFormat/>
    <w:uiPriority w:val="99"/>
  </w:style>
  <w:style w:type="paragraph" w:customStyle="1" w:styleId="11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Courier New" w:hAnsi="Courier New" w:cs="Courier New"/>
      <w:kern w:val="0"/>
      <w:sz w:val="20"/>
      <w:szCs w:val="20"/>
    </w:rPr>
  </w:style>
  <w:style w:type="paragraph" w:customStyle="1" w:styleId="112">
    <w:name w:val="Char Char Char Char1 Char Char Char"/>
    <w:basedOn w:val="1"/>
    <w:qFormat/>
    <w:uiPriority w:val="99"/>
    <w:pPr>
      <w:spacing w:line="240" w:lineRule="atLeast"/>
      <w:ind w:left="420" w:firstLine="420"/>
    </w:pPr>
    <w:rPr>
      <w:kern w:val="0"/>
    </w:rPr>
  </w:style>
  <w:style w:type="paragraph" w:customStyle="1" w:styleId="113">
    <w:name w:val="样式 标题 2"/>
    <w:basedOn w:val="1"/>
    <w:next w:val="4"/>
    <w:qFormat/>
    <w:uiPriority w:val="99"/>
    <w:pPr>
      <w:snapToGrid w:val="0"/>
      <w:spacing w:line="360" w:lineRule="auto"/>
      <w:ind w:firstLine="200" w:firstLineChars="200"/>
    </w:pPr>
    <w:rPr>
      <w:rFonts w:eastAsia="仿宋_GB2312"/>
      <w:sz w:val="32"/>
      <w:szCs w:val="32"/>
    </w:rPr>
  </w:style>
  <w:style w:type="paragraph" w:customStyle="1" w:styleId="114">
    <w:name w:val="Default"/>
    <w:qFormat/>
    <w:uiPriority w:val="99"/>
    <w:pPr>
      <w:widowControl w:val="0"/>
      <w:autoSpaceDE w:val="0"/>
      <w:autoSpaceDN w:val="0"/>
      <w:adjustRightInd w:val="0"/>
    </w:pPr>
    <w:rPr>
      <w:rFonts w:ascii="宋体" w:hAnsi="Times New Roman" w:eastAsia="宋体" w:cs="宋体"/>
      <w:color w:val="000000"/>
      <w:sz w:val="24"/>
      <w:szCs w:val="24"/>
      <w:lang w:val="en-US" w:eastAsia="zh-CN" w:bidi="ar-SA"/>
    </w:rPr>
  </w:style>
  <w:style w:type="character" w:customStyle="1" w:styleId="115">
    <w:name w:val="Char Char11"/>
    <w:qFormat/>
    <w:uiPriority w:val="99"/>
    <w:rPr>
      <w:kern w:val="2"/>
      <w:sz w:val="16"/>
      <w:szCs w:val="16"/>
    </w:rPr>
  </w:style>
  <w:style w:type="character" w:customStyle="1" w:styleId="116">
    <w:name w:val="Char Char22"/>
    <w:qFormat/>
    <w:uiPriority w:val="99"/>
    <w:rPr>
      <w:rFonts w:ascii="宋体" w:hAnsi="Courier New" w:cs="宋体"/>
      <w:color w:val="000000"/>
      <w:kern w:val="2"/>
      <w:sz w:val="21"/>
      <w:szCs w:val="21"/>
    </w:rPr>
  </w:style>
  <w:style w:type="character" w:customStyle="1" w:styleId="117">
    <w:name w:val="Char Char15"/>
    <w:qFormat/>
    <w:uiPriority w:val="99"/>
    <w:rPr>
      <w:b/>
      <w:bCs/>
      <w:sz w:val="24"/>
      <w:szCs w:val="24"/>
    </w:rPr>
  </w:style>
  <w:style w:type="character" w:customStyle="1" w:styleId="118">
    <w:name w:val="Char Char13"/>
    <w:qFormat/>
    <w:uiPriority w:val="99"/>
    <w:rPr>
      <w:rFonts w:ascii="Arial" w:hAnsi="Arial" w:eastAsia="黑体" w:cs="Arial"/>
      <w:sz w:val="21"/>
      <w:szCs w:val="21"/>
    </w:rPr>
  </w:style>
  <w:style w:type="character" w:customStyle="1" w:styleId="119">
    <w:name w:val="Char Char1"/>
    <w:qFormat/>
    <w:uiPriority w:val="99"/>
    <w:rPr>
      <w:kern w:val="2"/>
      <w:sz w:val="24"/>
      <w:szCs w:val="24"/>
    </w:rPr>
  </w:style>
  <w:style w:type="character" w:customStyle="1" w:styleId="120">
    <w:name w:val="Char Char21"/>
    <w:qFormat/>
    <w:uiPriority w:val="99"/>
    <w:rPr>
      <w:rFonts w:ascii="宋体" w:cs="宋体"/>
      <w:kern w:val="2"/>
      <w:sz w:val="24"/>
      <w:szCs w:val="24"/>
    </w:rPr>
  </w:style>
  <w:style w:type="character" w:customStyle="1" w:styleId="121">
    <w:name w:val="Char Char14"/>
    <w:qFormat/>
    <w:uiPriority w:val="99"/>
    <w:rPr>
      <w:rFonts w:ascii="Arial" w:hAnsi="Arial" w:eastAsia="黑体" w:cs="Arial"/>
      <w:sz w:val="24"/>
      <w:szCs w:val="24"/>
    </w:rPr>
  </w:style>
  <w:style w:type="character" w:customStyle="1" w:styleId="122">
    <w:name w:val="尾注文本 字符"/>
    <w:link w:val="26"/>
    <w:qFormat/>
    <w:locked/>
    <w:uiPriority w:val="99"/>
    <w:rPr>
      <w:kern w:val="2"/>
      <w:sz w:val="24"/>
      <w:szCs w:val="24"/>
    </w:rPr>
  </w:style>
  <w:style w:type="character" w:customStyle="1" w:styleId="123">
    <w:name w:val="Char Char18"/>
    <w:qFormat/>
    <w:uiPriority w:val="99"/>
    <w:rPr>
      <w:b/>
      <w:bCs/>
      <w:kern w:val="2"/>
      <w:sz w:val="32"/>
      <w:szCs w:val="32"/>
    </w:rPr>
  </w:style>
  <w:style w:type="character" w:customStyle="1" w:styleId="124">
    <w:name w:val="Char Char20"/>
    <w:qFormat/>
    <w:uiPriority w:val="99"/>
    <w:rPr>
      <w:rFonts w:eastAsia="宋体"/>
      <w:b/>
      <w:bCs/>
      <w:kern w:val="44"/>
      <w:sz w:val="44"/>
      <w:szCs w:val="44"/>
      <w:lang w:val="en-US" w:eastAsia="zh-CN"/>
    </w:rPr>
  </w:style>
  <w:style w:type="character" w:customStyle="1" w:styleId="125">
    <w:name w:val="Char Char17"/>
    <w:qFormat/>
    <w:uiPriority w:val="99"/>
    <w:rPr>
      <w:rFonts w:ascii="Arial" w:hAnsi="Arial" w:eastAsia="黑体" w:cs="Arial"/>
      <w:b/>
      <w:bCs/>
      <w:kern w:val="2"/>
      <w:sz w:val="28"/>
      <w:szCs w:val="28"/>
    </w:rPr>
  </w:style>
  <w:style w:type="character" w:customStyle="1" w:styleId="126">
    <w:name w:val="Char Char5"/>
    <w:qFormat/>
    <w:uiPriority w:val="99"/>
    <w:rPr>
      <w:rFonts w:ascii="仿宋_GB2312" w:eastAsia="仿宋_GB2312" w:cs="仿宋_GB2312"/>
      <w:kern w:val="2"/>
      <w:sz w:val="24"/>
      <w:szCs w:val="24"/>
    </w:rPr>
  </w:style>
  <w:style w:type="character" w:customStyle="1" w:styleId="127">
    <w:name w:val="普通文字 Char"/>
    <w:qFormat/>
    <w:uiPriority w:val="99"/>
    <w:rPr>
      <w:rFonts w:ascii="宋体" w:hAnsi="Courier New" w:eastAsia="宋体" w:cs="宋体"/>
      <w:kern w:val="2"/>
      <w:sz w:val="21"/>
      <w:szCs w:val="21"/>
      <w:lang w:val="en-US" w:eastAsia="zh-CN"/>
    </w:rPr>
  </w:style>
  <w:style w:type="character" w:customStyle="1" w:styleId="128">
    <w:name w:val="Char Char6"/>
    <w:qFormat/>
    <w:uiPriority w:val="99"/>
    <w:rPr>
      <w:rFonts w:ascii="宋体" w:eastAsia="宋体" w:cs="宋体"/>
      <w:kern w:val="2"/>
      <w:sz w:val="24"/>
      <w:szCs w:val="24"/>
    </w:rPr>
  </w:style>
  <w:style w:type="character" w:customStyle="1" w:styleId="129">
    <w:name w:val="Char Char71"/>
    <w:qFormat/>
    <w:uiPriority w:val="99"/>
    <w:rPr>
      <w:rFonts w:ascii="Arial" w:hAnsi="Arial" w:cs="Arial"/>
      <w:b/>
      <w:bCs/>
      <w:sz w:val="32"/>
      <w:szCs w:val="32"/>
    </w:rPr>
  </w:style>
  <w:style w:type="character" w:customStyle="1" w:styleId="130">
    <w:name w:val="Char Char81"/>
    <w:qFormat/>
    <w:uiPriority w:val="99"/>
    <w:rPr>
      <w:kern w:val="2"/>
      <w:sz w:val="24"/>
      <w:szCs w:val="24"/>
    </w:rPr>
  </w:style>
  <w:style w:type="character" w:customStyle="1" w:styleId="131">
    <w:name w:val="Char Char12"/>
    <w:qFormat/>
    <w:uiPriority w:val="99"/>
    <w:rPr>
      <w:kern w:val="2"/>
      <w:sz w:val="24"/>
      <w:szCs w:val="24"/>
      <w:shd w:val="clear" w:color="auto" w:fill="000080"/>
    </w:rPr>
  </w:style>
  <w:style w:type="character" w:customStyle="1" w:styleId="132">
    <w:name w:val="Char Char10"/>
    <w:qFormat/>
    <w:uiPriority w:val="99"/>
    <w:rPr>
      <w:kern w:val="2"/>
      <w:sz w:val="24"/>
      <w:szCs w:val="24"/>
    </w:rPr>
  </w:style>
  <w:style w:type="character" w:customStyle="1" w:styleId="133">
    <w:name w:val="Char Char16"/>
    <w:qFormat/>
    <w:uiPriority w:val="99"/>
    <w:rPr>
      <w:rFonts w:ascii="Arial" w:hAnsi="Arial" w:eastAsia="黑体" w:cs="Arial"/>
      <w:b/>
      <w:bCs/>
      <w:sz w:val="24"/>
      <w:szCs w:val="24"/>
    </w:rPr>
  </w:style>
  <w:style w:type="character" w:customStyle="1" w:styleId="134">
    <w:name w:val="Char Char9"/>
    <w:qFormat/>
    <w:uiPriority w:val="99"/>
    <w:rPr>
      <w:kern w:val="2"/>
      <w:sz w:val="18"/>
      <w:szCs w:val="18"/>
    </w:rPr>
  </w:style>
  <w:style w:type="character" w:customStyle="1" w:styleId="135">
    <w:name w:val="Char Char3"/>
    <w:qFormat/>
    <w:uiPriority w:val="99"/>
    <w:rPr>
      <w:kern w:val="2"/>
      <w:sz w:val="18"/>
      <w:szCs w:val="18"/>
    </w:rPr>
  </w:style>
  <w:style w:type="paragraph" w:customStyle="1" w:styleId="136">
    <w:name w:val="p0"/>
    <w:basedOn w:val="1"/>
    <w:qFormat/>
    <w:uiPriority w:val="99"/>
    <w:pPr>
      <w:widowControl/>
    </w:pPr>
    <w:rPr>
      <w:kern w:val="0"/>
    </w:rPr>
  </w:style>
  <w:style w:type="paragraph" w:customStyle="1" w:styleId="137">
    <w:name w:val="TOC 标题1"/>
    <w:basedOn w:val="2"/>
    <w:next w:val="1"/>
    <w:qFormat/>
    <w:uiPriority w:val="99"/>
    <w:pPr>
      <w:widowControl/>
      <w:spacing w:before="480" w:after="0" w:line="276" w:lineRule="auto"/>
      <w:jc w:val="left"/>
      <w:outlineLvl w:val="9"/>
    </w:pPr>
    <w:rPr>
      <w:rFonts w:ascii="Cambria" w:hAnsi="Cambria" w:cs="Cambria"/>
      <w:color w:val="365F91"/>
      <w:kern w:val="0"/>
      <w:sz w:val="28"/>
      <w:szCs w:val="28"/>
    </w:rPr>
  </w:style>
  <w:style w:type="paragraph" w:customStyle="1" w:styleId="138">
    <w:name w:val="表格文字居中"/>
    <w:basedOn w:val="1"/>
    <w:next w:val="1"/>
    <w:qFormat/>
    <w:uiPriority w:val="99"/>
    <w:pPr>
      <w:tabs>
        <w:tab w:val="left" w:pos="720"/>
        <w:tab w:val="left" w:pos="900"/>
      </w:tabs>
      <w:adjustRightInd w:val="0"/>
      <w:snapToGrid w:val="0"/>
      <w:spacing w:beforeLines="20" w:afterLines="20" w:line="360" w:lineRule="auto"/>
      <w:jc w:val="center"/>
    </w:pPr>
    <w:rPr>
      <w:rFonts w:ascii="宋体" w:hAnsi="Arial" w:cs="宋体"/>
      <w:kern w:val="0"/>
      <w:sz w:val="18"/>
      <w:szCs w:val="18"/>
    </w:rPr>
  </w:style>
  <w:style w:type="paragraph" w:customStyle="1" w:styleId="139">
    <w:name w:val="Char Char Char Char Char Char Char Char Char Char"/>
    <w:basedOn w:val="1"/>
    <w:qFormat/>
    <w:uiPriority w:val="99"/>
    <w:pPr>
      <w:widowControl/>
      <w:spacing w:after="160" w:line="240" w:lineRule="exact"/>
      <w:jc w:val="left"/>
    </w:pPr>
    <w:rPr>
      <w:rFonts w:ascii="Arial" w:hAnsi="Arial" w:cs="Arial"/>
      <w:b/>
      <w:bCs/>
      <w:kern w:val="0"/>
      <w:sz w:val="24"/>
      <w:szCs w:val="24"/>
      <w:lang w:eastAsia="en-US"/>
    </w:rPr>
  </w:style>
  <w:style w:type="paragraph" w:customStyle="1" w:styleId="140">
    <w:name w:val="默认段落字体 Para Char"/>
    <w:basedOn w:val="1"/>
    <w:qFormat/>
    <w:uiPriority w:val="99"/>
  </w:style>
  <w:style w:type="character" w:customStyle="1" w:styleId="141">
    <w:name w:val="标题 2 Char1"/>
    <w:qFormat/>
    <w:uiPriority w:val="99"/>
    <w:rPr>
      <w:rFonts w:ascii="Arial" w:hAnsi="Arial" w:eastAsia="黑体" w:cs="Arial"/>
      <w:b/>
      <w:bCs/>
      <w:kern w:val="2"/>
      <w:sz w:val="32"/>
      <w:szCs w:val="32"/>
      <w:lang w:val="en-US" w:eastAsia="zh-CN"/>
    </w:rPr>
  </w:style>
  <w:style w:type="paragraph" w:customStyle="1" w:styleId="142">
    <w:name w:val="Char Char Char Char Char Char"/>
    <w:basedOn w:val="1"/>
    <w:qFormat/>
    <w:uiPriority w:val="99"/>
    <w:pPr>
      <w:adjustRightInd w:val="0"/>
      <w:spacing w:line="360" w:lineRule="auto"/>
    </w:pPr>
    <w:rPr>
      <w:kern w:val="0"/>
      <w:sz w:val="24"/>
      <w:szCs w:val="24"/>
    </w:rPr>
  </w:style>
  <w:style w:type="paragraph" w:customStyle="1" w:styleId="143">
    <w:name w:val="TOC 标题2"/>
    <w:basedOn w:val="2"/>
    <w:next w:val="1"/>
    <w:qFormat/>
    <w:uiPriority w:val="99"/>
    <w:pPr>
      <w:widowControl/>
      <w:spacing w:before="480" w:after="0" w:line="276" w:lineRule="auto"/>
      <w:jc w:val="left"/>
      <w:outlineLvl w:val="9"/>
    </w:pPr>
    <w:rPr>
      <w:rFonts w:ascii="Cambria" w:hAnsi="Cambria" w:cs="Cambria"/>
      <w:color w:val="365F91"/>
      <w:kern w:val="0"/>
      <w:sz w:val="28"/>
      <w:szCs w:val="28"/>
    </w:rPr>
  </w:style>
  <w:style w:type="paragraph" w:customStyle="1" w:styleId="144">
    <w:name w:val="List Paragraph"/>
    <w:basedOn w:val="1"/>
    <w:qFormat/>
    <w:uiPriority w:val="99"/>
    <w:pPr>
      <w:ind w:firstLine="420" w:firstLineChars="200"/>
    </w:pPr>
  </w:style>
  <w:style w:type="character" w:customStyle="1" w:styleId="145">
    <w:name w:val="未处理的提及1"/>
    <w:qFormat/>
    <w:uiPriority w:val="99"/>
    <w:rPr>
      <w:color w:val="808080"/>
      <w:shd w:val="clear" w:color="auto" w:fill="auto"/>
    </w:rPr>
  </w:style>
  <w:style w:type="character" w:customStyle="1" w:styleId="146">
    <w:name w:val="未处理的提及2"/>
    <w:qFormat/>
    <w:uiPriority w:val="99"/>
    <w:rPr>
      <w:color w:val="808080"/>
      <w:shd w:val="clear" w:color="auto" w:fill="auto"/>
    </w:rPr>
  </w:style>
  <w:style w:type="character" w:customStyle="1" w:styleId="147">
    <w:name w:val="Unresolved Mention"/>
    <w:unhideWhenUsed/>
    <w:qFormat/>
    <w:uiPriority w:val="99"/>
    <w:rPr>
      <w:color w:val="808080"/>
      <w:shd w:val="clear" w:color="auto" w:fill="E6E6E6"/>
    </w:rPr>
  </w:style>
  <w:style w:type="paragraph" w:customStyle="1" w:styleId="148">
    <w:name w:val="正文 A"/>
    <w:qFormat/>
    <w:uiPriority w:val="0"/>
    <w:pPr>
      <w:widowControl w:val="0"/>
      <w:spacing w:after="200" w:line="276" w:lineRule="auto"/>
      <w:jc w:val="both"/>
    </w:pPr>
    <w:rPr>
      <w:rFonts w:ascii="Times New Roman" w:hAnsi="Times New Roman" w:eastAsia="黑体" w:cs="Times New Roman"/>
      <w:color w:val="000000"/>
      <w:kern w:val="2"/>
      <w:sz w:val="21"/>
      <w:szCs w:val="21"/>
      <w:lang w:val="en-US" w:eastAsia="zh-CN" w:bidi="ar-SA"/>
    </w:rPr>
  </w:style>
  <w:style w:type="paragraph" w:customStyle="1" w:styleId="149">
    <w:name w:val="Heading #7|1"/>
    <w:basedOn w:val="1"/>
    <w:qFormat/>
    <w:uiPriority w:val="0"/>
    <w:pPr>
      <w:spacing w:after="200"/>
      <w:jc w:val="center"/>
      <w:outlineLvl w:val="6"/>
    </w:pPr>
    <w:rPr>
      <w:rFonts w:ascii="宋体" w:hAnsi="宋体" w:eastAsia="宋体" w:cs="宋体"/>
      <w:b/>
      <w:bCs/>
      <w:lang w:val="zh-TW" w:eastAsia="zh-TW" w:bidi="zh-TW"/>
    </w:rPr>
  </w:style>
  <w:style w:type="paragraph" w:customStyle="1" w:styleId="150">
    <w:name w:val="09正文_wh"/>
    <w:qFormat/>
    <w:uiPriority w:val="0"/>
    <w:pPr>
      <w:spacing w:line="300" w:lineRule="auto"/>
      <w:ind w:firstLine="200" w:firstLineChars="200"/>
      <w:jc w:val="both"/>
    </w:pPr>
    <w:rPr>
      <w:rFonts w:ascii="Times New Roman" w:hAnsi="Times New Roman" w:eastAsia="宋体" w:cs="Times New Roman"/>
      <w:sz w:val="28"/>
      <w:lang w:val="en-US" w:eastAsia="zh-CN" w:bidi="ar-SA"/>
    </w:rPr>
  </w:style>
  <w:style w:type="character" w:customStyle="1" w:styleId="151">
    <w:name w:val="font21"/>
    <w:basedOn w:val="47"/>
    <w:qFormat/>
    <w:uiPriority w:val="0"/>
    <w:rPr>
      <w:rFonts w:hint="eastAsia" w:ascii="微软雅黑" w:hAnsi="微软雅黑" w:eastAsia="微软雅黑" w:cs="微软雅黑"/>
      <w:color w:val="000000"/>
      <w:sz w:val="20"/>
      <w:szCs w:val="20"/>
      <w:u w:val="none"/>
    </w:rPr>
  </w:style>
  <w:style w:type="character" w:customStyle="1" w:styleId="152">
    <w:name w:val="font31"/>
    <w:basedOn w:val="47"/>
    <w:qFormat/>
    <w:uiPriority w:val="0"/>
    <w:rPr>
      <w:rFonts w:hint="eastAsia" w:ascii="宋体" w:hAnsi="宋体" w:eastAsia="宋体" w:cs="宋体"/>
      <w:color w:val="000000"/>
      <w:sz w:val="22"/>
      <w:szCs w:val="22"/>
      <w:u w:val="none"/>
    </w:rPr>
  </w:style>
  <w:style w:type="paragraph" w:customStyle="1" w:styleId="153">
    <w:name w:val="WPSOffice手动目录 1"/>
    <w:qFormat/>
    <w:uiPriority w:val="0"/>
    <w:pPr>
      <w:ind w:leftChars="0"/>
    </w:pPr>
    <w:rPr>
      <w:rFonts w:ascii="Times New Roman" w:hAnsi="Times New Roman" w:eastAsia="宋体" w:cs="Times New Roman"/>
      <w:sz w:val="20"/>
      <w:szCs w:val="20"/>
    </w:rPr>
  </w:style>
  <w:style w:type="paragraph" w:customStyle="1" w:styleId="154">
    <w:name w:val="WPSOffice手动目录 2"/>
    <w:qFormat/>
    <w:uiPriority w:val="0"/>
    <w:pPr>
      <w:ind w:leftChars="200"/>
    </w:pPr>
    <w:rPr>
      <w:rFonts w:ascii="Times New Roman" w:hAnsi="Times New Roman" w:eastAsia="宋体" w:cs="Times New Roman"/>
      <w:sz w:val="20"/>
      <w:szCs w:val="20"/>
    </w:rPr>
  </w:style>
  <w:style w:type="paragraph" w:customStyle="1" w:styleId="155">
    <w:name w:val="Table Paragraph"/>
    <w:basedOn w:val="1"/>
    <w:unhideWhenUsed/>
    <w:qFormat/>
    <w:uiPriority w:val="1"/>
    <w:pPr>
      <w:spacing w:beforeLines="0" w:afterLines="0"/>
    </w:pPr>
    <w:rPr>
      <w:rFonts w:hint="default"/>
      <w:sz w:val="21"/>
      <w:szCs w:val="24"/>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5" Type="http://schemas.openxmlformats.org/officeDocument/2006/relationships/fontTable" Target="fontTable.xml"/><Relationship Id="rId24" Type="http://schemas.openxmlformats.org/officeDocument/2006/relationships/numbering" Target="numbering.xml"/><Relationship Id="rId23" Type="http://schemas.openxmlformats.org/officeDocument/2006/relationships/customXml" Target="../customXml/item1.xml"/><Relationship Id="rId22" Type="http://schemas.openxmlformats.org/officeDocument/2006/relationships/image" Target="media/image2.jpeg"/><Relationship Id="rId21" Type="http://schemas.openxmlformats.org/officeDocument/2006/relationships/theme" Target="theme/theme1.xml"/><Relationship Id="rId20" Type="http://schemas.openxmlformats.org/officeDocument/2006/relationships/footer" Target="footer16.xml"/><Relationship Id="rId2" Type="http://schemas.openxmlformats.org/officeDocument/2006/relationships/settings" Target="settings.xml"/><Relationship Id="rId19" Type="http://schemas.openxmlformats.org/officeDocument/2006/relationships/footer" Target="footer15.xml"/><Relationship Id="rId18" Type="http://schemas.openxmlformats.org/officeDocument/2006/relationships/footer" Target="footer14.xml"/><Relationship Id="rId17" Type="http://schemas.openxmlformats.org/officeDocument/2006/relationships/footer" Target="footer13.xml"/><Relationship Id="rId16" Type="http://schemas.openxmlformats.org/officeDocument/2006/relationships/footer" Target="footer12.xml"/><Relationship Id="rId15" Type="http://schemas.openxmlformats.org/officeDocument/2006/relationships/footer" Target="footer11.xml"/><Relationship Id="rId14" Type="http://schemas.openxmlformats.org/officeDocument/2006/relationships/footer" Target="footer10.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er2.xml.rels><?xml version="1.0" encoding="UTF-8" standalone="yes"?>
<Relationships xmlns="http://schemas.openxmlformats.org/package/2006/relationships"><Relationship Id="rId1" Type="http://schemas.openxmlformats.org/officeDocument/2006/relationships/image" Target="media/image2.jpeg"/></Relationships>
</file>

<file path=word/_rels/footer3.xml.rels><?xml version="1.0" encoding="UTF-8" standalone="yes"?>
<Relationships xmlns="http://schemas.openxmlformats.org/package/2006/relationships"><Relationship Id="rId1" Type="http://schemas.openxmlformats.org/officeDocument/2006/relationships/image" Target="media/image2.jpeg"/></Relationships>
</file>

<file path=word/_rels/footer4.xml.rels><?xml version="1.0" encoding="UTF-8" standalone="yes"?>
<Relationships xmlns="http://schemas.openxmlformats.org/package/2006/relationships"><Relationship Id="rId1" Type="http://schemas.openxmlformats.org/officeDocument/2006/relationships/image" Target="media/image2.jpeg"/></Relationships>
</file>

<file path=word/_rels/footer5.xml.rels><?xml version="1.0" encoding="UTF-8" standalone="yes"?>
<Relationships xmlns="http://schemas.openxmlformats.org/package/2006/relationships"><Relationship Id="rId1" Type="http://schemas.openxmlformats.org/officeDocument/2006/relationships/image" Target="media/image2.jpeg"/></Relationships>
</file>

<file path=word/_rels/footer6.xml.rels><?xml version="1.0" encoding="UTF-8" standalone="yes"?>
<Relationships xmlns="http://schemas.openxmlformats.org/package/2006/relationships"><Relationship Id="rId1" Type="http://schemas.openxmlformats.org/officeDocument/2006/relationships/image" Target="media/image2.jpeg"/></Relationships>
</file>

<file path=word/_rels/footer7.xml.rels><?xml version="1.0" encoding="UTF-8" standalone="yes"?>
<Relationships xmlns="http://schemas.openxmlformats.org/package/2006/relationships"><Relationship Id="rId1" Type="http://schemas.openxmlformats.org/officeDocument/2006/relationships/image" Target="media/image2.jpeg"/></Relationships>
</file>

<file path=word/_rels/footer8.xml.rels><?xml version="1.0" encoding="UTF-8" standalone="yes"?>
<Relationships xmlns="http://schemas.openxmlformats.org/package/2006/relationships"><Relationship Id="rId1" Type="http://schemas.openxmlformats.org/officeDocument/2006/relationships/image" Target="media/image2.jpeg"/></Relationships>
</file>

<file path=word/_rels/footer9.xml.rels><?xml version="1.0" encoding="UTF-8" standalone="yes"?>
<Relationships xmlns="http://schemas.openxmlformats.org/package/2006/relationships"><Relationship Id="rId1" Type="http://schemas.openxmlformats.org/officeDocument/2006/relationships/image" Target="media/image2.jpeg"/></Relationships>
</file>

<file path=word/_rels/footer10.xml.rels><?xml version="1.0" encoding="UTF-8" standalone="yes"?>
<Relationships xmlns="http://schemas.openxmlformats.org/package/2006/relationships"><Relationship Id="rId1" Type="http://schemas.openxmlformats.org/officeDocument/2006/relationships/image" Target="media/image2.jpeg"/></Relationships>
</file>

<file path=word/_rels/footer12.xml.rels><?xml version="1.0" encoding="UTF-8" standalone="yes"?>
<Relationships xmlns="http://schemas.openxmlformats.org/package/2006/relationships"><Relationship Id="rId1" Type="http://schemas.openxmlformats.org/officeDocument/2006/relationships/image" Target="media/image2.jpeg"/></Relationships>
</file>

<file path=word/_rels/footer13.xml.rels><?xml version="1.0" encoding="UTF-8" standalone="yes"?>
<Relationships xmlns="http://schemas.openxmlformats.org/package/2006/relationships"><Relationship Id="rId1" Type="http://schemas.openxmlformats.org/officeDocument/2006/relationships/image" Target="media/image2.jpeg"/></Relationships>
</file>

<file path=word/_rels/footer14.xml.rels><?xml version="1.0" encoding="UTF-8" standalone="yes"?>
<Relationships xmlns="http://schemas.openxmlformats.org/package/2006/relationships"><Relationship Id="rId1" Type="http://schemas.openxmlformats.org/officeDocument/2006/relationships/image" Target="media/image2.jpeg"/></Relationships>
</file>

<file path=word/_rels/footer15.xml.rels><?xml version="1.0" encoding="UTF-8" standalone="yes"?>
<Relationships xmlns="http://schemas.openxmlformats.org/package/2006/relationships"><Relationship Id="rId1" Type="http://schemas.openxmlformats.org/officeDocument/2006/relationships/image" Target="media/image2.jpeg"/></Relationships>
</file>

<file path=word/_rels/footer16.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58</Pages>
  <Words>23457</Words>
  <Characters>25426</Characters>
  <Lines>323</Lines>
  <Paragraphs>91</Paragraphs>
  <TotalTime>0</TotalTime>
  <ScaleCrop>false</ScaleCrop>
  <LinksUpToDate>false</LinksUpToDate>
  <CharactersWithSpaces>27198</CharactersWithSpaces>
  <Application>WPS Office_12.1.0.23125_F1E327BC-269C-435d-A152-05C5408002CA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2016-08-29T04:02:00Z</dcterms:created>
  <dc:creator>User</dc:creator>
  <cp:lastModifiedBy>微信用户</cp:lastModifiedBy>
  <cp:lastPrinted>2025-09-16T09:52:00Z</cp:lastPrinted>
  <dcterms:modified xsi:type="dcterms:W3CDTF">2025-10-17T01:34:32Z</dcterms:modified>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B603878CC8A1419888C2E836C02BBE29_13</vt:lpwstr>
  </property>
  <property fmtid="{D5CDD505-2E9C-101B-9397-08002B2CF9AE}" pid="4" name="KSOTemplateDocerSaveRecord">
    <vt:lpwstr>eyJoZGlkIjoiNzVmNTBkYzY5MjMxNjk2NThmZGZiMmRkYWFlYzg2NjMiLCJ1c2VySWQiOiIxMjQzODg2MjI1In0=</vt:lpwstr>
  </property>
</Properties>
</file>