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Cs/>
          <w:color w:val="auto"/>
          <w:szCs w:val="32"/>
          <w:highlight w:val="none"/>
        </w:rPr>
      </w:pPr>
      <w:r>
        <w:rPr>
          <w:rFonts w:hint="eastAsia"/>
          <w:b/>
          <w:color w:val="auto"/>
          <w:sz w:val="44"/>
          <w:highlight w:val="none"/>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9525" b="9525"/>
            <wp:wrapTight wrapText="bothSides">
              <wp:wrapPolygon>
                <wp:start x="-126" y="0"/>
                <wp:lineTo x="-126" y="21257"/>
                <wp:lineTo x="21600" y="21257"/>
                <wp:lineTo x="21600" y="0"/>
                <wp:lineTo x="-126" y="0"/>
              </wp:wrapPolygon>
            </wp:wrapTight>
            <wp:docPr id="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pPr>
        <w:ind w:right="-281"/>
        <w:jc w:val="right"/>
        <w:rPr>
          <w:rFonts w:ascii="Bookman Old Style" w:hAnsi="Bookman Old Style"/>
          <w:b/>
          <w:color w:val="auto"/>
          <w:sz w:val="28"/>
          <w:highlight w:val="none"/>
        </w:rPr>
      </w:pPr>
    </w:p>
    <w:p>
      <w:pPr>
        <w:spacing w:after="312" w:afterLines="100" w:line="500" w:lineRule="exact"/>
        <w:jc w:val="center"/>
        <w:rPr>
          <w:rFonts w:hint="eastAsia"/>
          <w:b/>
          <w:color w:val="auto"/>
          <w:sz w:val="44"/>
          <w:szCs w:val="44"/>
          <w:highlight w:val="none"/>
        </w:rPr>
      </w:pPr>
    </w:p>
    <w:p>
      <w:pPr>
        <w:spacing w:after="312" w:afterLines="100" w:line="500" w:lineRule="exact"/>
        <w:jc w:val="center"/>
        <w:rPr>
          <w:rFonts w:hint="eastAsia"/>
          <w:b/>
          <w:color w:val="auto"/>
          <w:sz w:val="52"/>
          <w:szCs w:val="52"/>
          <w:highlight w:val="none"/>
        </w:rPr>
      </w:pPr>
    </w:p>
    <w:p>
      <w:pPr>
        <w:spacing w:after="312" w:afterLines="100" w:line="500" w:lineRule="exact"/>
        <w:jc w:val="center"/>
        <w:rPr>
          <w:rFonts w:hint="eastAsia" w:eastAsia="宋体"/>
          <w:b/>
          <w:color w:val="auto"/>
          <w:sz w:val="52"/>
          <w:szCs w:val="52"/>
          <w:highlight w:val="none"/>
          <w:lang w:eastAsia="zh-CN"/>
        </w:rPr>
      </w:pPr>
      <w:r>
        <w:rPr>
          <w:rFonts w:hint="eastAsia"/>
          <w:b/>
          <w:color w:val="auto"/>
          <w:sz w:val="52"/>
          <w:szCs w:val="52"/>
          <w:highlight w:val="none"/>
        </w:rPr>
        <w:t>中国科学院</w:t>
      </w:r>
      <w:r>
        <w:rPr>
          <w:rFonts w:hint="eastAsia"/>
          <w:b/>
          <w:color w:val="auto"/>
          <w:sz w:val="52"/>
          <w:szCs w:val="52"/>
          <w:highlight w:val="none"/>
          <w:lang w:eastAsia="zh-CN"/>
        </w:rPr>
        <w:t>上海有机化学研究所</w:t>
      </w:r>
    </w:p>
    <w:p>
      <w:pPr>
        <w:spacing w:after="312" w:afterLines="100"/>
        <w:jc w:val="center"/>
        <w:rPr>
          <w:rFonts w:hint="eastAsia"/>
          <w:b/>
          <w:color w:val="auto"/>
          <w:sz w:val="52"/>
          <w:szCs w:val="52"/>
          <w:highlight w:val="none"/>
        </w:rPr>
      </w:pPr>
      <w:r>
        <w:rPr>
          <w:rFonts w:hint="eastAsia"/>
          <w:b/>
          <w:color w:val="auto"/>
          <w:sz w:val="52"/>
          <w:szCs w:val="52"/>
          <w:highlight w:val="none"/>
          <w:u w:val="none"/>
          <w:lang w:val="en-US" w:eastAsia="zh-CN"/>
        </w:rPr>
        <w:t>波长色散型X射线荧光光谱仪</w:t>
      </w:r>
      <w:r>
        <w:rPr>
          <w:rFonts w:hint="eastAsia"/>
          <w:b/>
          <w:color w:val="auto"/>
          <w:sz w:val="52"/>
          <w:szCs w:val="52"/>
          <w:highlight w:val="none"/>
        </w:rPr>
        <w:t>采购项目</w:t>
      </w:r>
    </w:p>
    <w:p>
      <w:pPr>
        <w:spacing w:line="360" w:lineRule="auto"/>
        <w:jc w:val="center"/>
        <w:rPr>
          <w:rFonts w:hint="eastAsia"/>
          <w:b/>
          <w:color w:val="auto"/>
          <w:sz w:val="44"/>
          <w:highlight w:val="none"/>
        </w:rPr>
      </w:pPr>
    </w:p>
    <w:p>
      <w:pPr>
        <w:spacing w:line="360" w:lineRule="auto"/>
        <w:rPr>
          <w:rFonts w:hint="eastAsia"/>
          <w:b/>
          <w:color w:val="auto"/>
          <w:sz w:val="44"/>
          <w:highlight w:val="none"/>
        </w:rPr>
      </w:pPr>
    </w:p>
    <w:p>
      <w:pPr>
        <w:spacing w:line="360" w:lineRule="auto"/>
        <w:jc w:val="center"/>
        <w:rPr>
          <w:rFonts w:hint="eastAsia"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pPr>
        <w:spacing w:line="360" w:lineRule="auto"/>
        <w:jc w:val="center"/>
        <w:rPr>
          <w:rFonts w:hint="eastAsia" w:ascii="宋体" w:hAnsi="宋体"/>
          <w:b/>
          <w:color w:val="auto"/>
          <w:sz w:val="32"/>
          <w:szCs w:val="32"/>
          <w:highlight w:val="none"/>
        </w:rPr>
      </w:pPr>
    </w:p>
    <w:p>
      <w:pPr>
        <w:spacing w:line="360" w:lineRule="auto"/>
        <w:jc w:val="center"/>
        <w:rPr>
          <w:rFonts w:hint="eastAsia" w:ascii="宋体" w:hAnsi="宋体"/>
          <w:b/>
          <w:color w:val="auto"/>
          <w:sz w:val="44"/>
          <w:szCs w:val="44"/>
          <w:highlight w:val="none"/>
        </w:rPr>
      </w:pPr>
      <w:r>
        <w:rPr>
          <w:rFonts w:hint="eastAsia" w:ascii="宋体" w:hAnsi="宋体"/>
          <w:b/>
          <w:color w:val="auto"/>
          <w:sz w:val="44"/>
          <w:szCs w:val="44"/>
          <w:highlight w:val="none"/>
        </w:rPr>
        <w:t>第二册</w:t>
      </w:r>
    </w:p>
    <w:p>
      <w:pPr>
        <w:spacing w:line="360" w:lineRule="auto"/>
        <w:jc w:val="center"/>
        <w:rPr>
          <w:rFonts w:hint="eastAsia" w:ascii="宋体" w:hAnsi="宋体"/>
          <w:b/>
          <w:color w:val="auto"/>
          <w:sz w:val="44"/>
          <w:szCs w:val="44"/>
          <w:highlight w:val="none"/>
        </w:rPr>
      </w:pPr>
      <w:r>
        <w:rPr>
          <w:rFonts w:hint="eastAsia" w:ascii="宋体" w:hAnsi="宋体"/>
          <w:b/>
          <w:color w:val="auto"/>
          <w:sz w:val="44"/>
          <w:szCs w:val="44"/>
          <w:highlight w:val="none"/>
        </w:rPr>
        <w:t>（专用册）</w:t>
      </w:r>
    </w:p>
    <w:p>
      <w:pPr>
        <w:spacing w:line="360" w:lineRule="auto"/>
        <w:jc w:val="center"/>
        <w:rPr>
          <w:rFonts w:hint="eastAsia" w:ascii="宋体" w:hAnsi="宋体"/>
          <w:b/>
          <w:color w:val="auto"/>
          <w:sz w:val="30"/>
          <w:szCs w:val="30"/>
          <w:highlight w:val="none"/>
        </w:rPr>
      </w:pPr>
    </w:p>
    <w:p>
      <w:pPr>
        <w:spacing w:line="360" w:lineRule="auto"/>
        <w:jc w:val="center"/>
        <w:rPr>
          <w:rFonts w:hint="eastAsia" w:eastAsia="宋体"/>
          <w:b/>
          <w:color w:val="auto"/>
          <w:sz w:val="32"/>
          <w:highlight w:val="none"/>
          <w:lang w:eastAsia="zh-CN"/>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lang w:eastAsia="zh-CN"/>
        </w:rPr>
        <w:t>OITC-G240300880</w:t>
      </w:r>
    </w:p>
    <w:p>
      <w:pPr>
        <w:spacing w:line="360" w:lineRule="auto"/>
        <w:jc w:val="center"/>
        <w:rPr>
          <w:rFonts w:hint="eastAsia"/>
          <w:b/>
          <w:color w:val="auto"/>
          <w:sz w:val="32"/>
          <w:highlight w:val="none"/>
        </w:rPr>
      </w:pPr>
    </w:p>
    <w:p>
      <w:pPr>
        <w:adjustRightInd w:val="0"/>
        <w:snapToGrid w:val="0"/>
        <w:spacing w:before="120"/>
        <w:jc w:val="center"/>
        <w:rPr>
          <w:rFonts w:hint="eastAsia"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东方国际招标有限责任公司</w:t>
      </w:r>
    </w:p>
    <w:p>
      <w:pPr>
        <w:adjustRightInd w:val="0"/>
        <w:snapToGrid w:val="0"/>
        <w:jc w:val="center"/>
        <w:rPr>
          <w:rFonts w:hint="eastAsia" w:ascii="宋体" w:hAnsi="宋体"/>
          <w:b/>
          <w:snapToGrid w:val="0"/>
          <w:color w:val="auto"/>
          <w:sz w:val="36"/>
          <w:szCs w:val="36"/>
          <w:highlight w:val="none"/>
        </w:rPr>
      </w:pPr>
    </w:p>
    <w:p>
      <w:pPr>
        <w:adjustRightInd w:val="0"/>
        <w:snapToGrid w:val="0"/>
        <w:jc w:val="center"/>
        <w:rPr>
          <w:rFonts w:hint="eastAsia" w:ascii="宋体" w:hAnsi="宋体"/>
          <w:b/>
          <w:snapToGrid w:val="0"/>
          <w:color w:val="auto"/>
          <w:sz w:val="36"/>
          <w:szCs w:val="36"/>
          <w:highlight w:val="none"/>
        </w:rPr>
      </w:pPr>
    </w:p>
    <w:p>
      <w:pPr>
        <w:adjustRightInd w:val="0"/>
        <w:snapToGrid w:val="0"/>
        <w:jc w:val="center"/>
        <w:rPr>
          <w:rFonts w:hint="eastAsia" w:ascii="宋体" w:hAnsi="宋体"/>
          <w:b/>
          <w:snapToGrid w:val="0"/>
          <w:color w:val="auto"/>
          <w:sz w:val="36"/>
          <w:szCs w:val="36"/>
          <w:highlight w:val="none"/>
        </w:rPr>
      </w:pPr>
      <w:r>
        <w:rPr>
          <w:rFonts w:hint="eastAsia" w:ascii="宋体" w:hAnsi="宋体"/>
          <w:b/>
          <w:snapToGrid w:val="0"/>
          <w:color w:val="auto"/>
          <w:sz w:val="36"/>
          <w:szCs w:val="36"/>
          <w:highlight w:val="none"/>
        </w:rPr>
        <w:t>中国 · 北京</w:t>
      </w:r>
    </w:p>
    <w:p>
      <w:pPr>
        <w:adjustRightInd w:val="0"/>
        <w:snapToGrid w:val="0"/>
        <w:jc w:val="center"/>
        <w:rPr>
          <w:rFonts w:hint="eastAsia" w:ascii="宋体" w:hAnsi="宋体"/>
          <w:b/>
          <w:color w:val="auto"/>
          <w:sz w:val="32"/>
          <w:szCs w:val="32"/>
          <w:highlight w:val="none"/>
        </w:rPr>
      </w:pPr>
      <w:r>
        <w:rPr>
          <w:rFonts w:hint="eastAsia" w:ascii="宋体" w:hAnsi="宋体"/>
          <w:b/>
          <w:snapToGrid w:val="0"/>
          <w:color w:val="auto"/>
          <w:sz w:val="36"/>
          <w:szCs w:val="36"/>
          <w:highlight w:val="none"/>
        </w:rPr>
        <w:t>202</w:t>
      </w:r>
      <w:r>
        <w:rPr>
          <w:rFonts w:hint="eastAsia" w:ascii="宋体" w:hAnsi="宋体"/>
          <w:b/>
          <w:snapToGrid w:val="0"/>
          <w:color w:val="auto"/>
          <w:sz w:val="36"/>
          <w:szCs w:val="36"/>
          <w:highlight w:val="none"/>
          <w:lang w:val="en-US" w:eastAsia="zh-CN"/>
        </w:rPr>
        <w:t>4</w:t>
      </w:r>
      <w:r>
        <w:rPr>
          <w:rFonts w:hint="eastAsia" w:ascii="宋体" w:hAnsi="宋体"/>
          <w:b/>
          <w:snapToGrid w:val="0"/>
          <w:color w:val="auto"/>
          <w:sz w:val="36"/>
          <w:szCs w:val="36"/>
          <w:highlight w:val="none"/>
        </w:rPr>
        <w:t>年</w:t>
      </w:r>
      <w:r>
        <w:rPr>
          <w:rFonts w:hint="eastAsia" w:ascii="宋体" w:hAnsi="宋体"/>
          <w:b/>
          <w:snapToGrid w:val="0"/>
          <w:color w:val="auto"/>
          <w:sz w:val="36"/>
          <w:szCs w:val="36"/>
          <w:highlight w:val="none"/>
          <w:lang w:val="en-US" w:eastAsia="zh-CN"/>
        </w:rPr>
        <w:t>6</w:t>
      </w:r>
      <w:r>
        <w:rPr>
          <w:rFonts w:hint="eastAsia" w:ascii="宋体" w:hAnsi="宋体"/>
          <w:b/>
          <w:snapToGrid w:val="0"/>
          <w:color w:val="auto"/>
          <w:sz w:val="36"/>
          <w:szCs w:val="36"/>
          <w:highlight w:val="none"/>
        </w:rPr>
        <w:t>月</w:t>
      </w:r>
    </w:p>
    <w:p>
      <w:pPr>
        <w:pStyle w:val="2"/>
        <w:snapToGrid w:val="0"/>
        <w:spacing w:before="0" w:after="0" w:line="240" w:lineRule="auto"/>
        <w:rPr>
          <w:rFonts w:hint="eastAsia" w:hAnsi="宋体"/>
          <w:color w:val="auto"/>
          <w:sz w:val="24"/>
          <w:szCs w:val="24"/>
          <w:highlight w:val="none"/>
        </w:rPr>
      </w:pPr>
    </w:p>
    <w:p>
      <w:pPr>
        <w:adjustRightInd w:val="0"/>
        <w:snapToGrid w:val="0"/>
        <w:rPr>
          <w:rFonts w:hint="eastAsia" w:ascii="宋体" w:hAnsi="宋体"/>
          <w:color w:val="auto"/>
          <w:highlight w:val="none"/>
        </w:rPr>
      </w:pPr>
    </w:p>
    <w:p>
      <w:pPr>
        <w:adjustRightInd w:val="0"/>
        <w:snapToGrid w:val="0"/>
        <w:rPr>
          <w:rFonts w:hint="eastAsia" w:ascii="宋体" w:hAnsi="宋体"/>
          <w:color w:val="auto"/>
          <w:highlight w:val="none"/>
        </w:rPr>
      </w:pPr>
    </w:p>
    <w:p>
      <w:pPr>
        <w:adjustRightInd w:val="0"/>
        <w:snapToGrid w:val="0"/>
        <w:jc w:val="center"/>
        <w:rPr>
          <w:rFonts w:hint="eastAsia" w:ascii="宋体" w:hAnsi="宋体"/>
          <w:b/>
          <w:color w:val="auto"/>
          <w:sz w:val="24"/>
          <w:highlight w:val="none"/>
        </w:rPr>
      </w:pPr>
      <w:bookmarkStart w:id="1" w:name="_GoBack"/>
      <w:bookmarkEnd w:id="1"/>
      <w:bookmarkStart w:id="0" w:name="_Toc512937852"/>
      <w:r>
        <w:rPr>
          <w:rFonts w:ascii="宋体" w:hAnsi="宋体"/>
          <w:b/>
          <w:color w:val="auto"/>
          <w:sz w:val="24"/>
          <w:highlight w:val="none"/>
        </w:rPr>
        <w:br w:type="page"/>
      </w: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spacing w:before="936" w:beforeLines="300"/>
        <w:jc w:val="center"/>
        <w:rPr>
          <w:rFonts w:hint="eastAsia"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bookmarkEnd w:id="0"/>
    <w:p>
      <w:p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一、货物需求一览表</w:t>
      </w:r>
    </w:p>
    <w:p>
      <w:pPr>
        <w:adjustRightInd w:val="0"/>
        <w:snapToGrid w:val="0"/>
        <w:jc w:val="center"/>
        <w:rPr>
          <w:rFonts w:hint="eastAsia" w:ascii="宋体" w:hAnsi="宋体"/>
          <w:b/>
          <w:color w:val="auto"/>
          <w:sz w:val="30"/>
          <w:szCs w:val="30"/>
          <w:highlight w:val="none"/>
        </w:rPr>
      </w:pPr>
    </w:p>
    <w:tbl>
      <w:tblPr>
        <w:tblStyle w:val="2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noWrap w:val="0"/>
            <w:vAlign w:val="center"/>
          </w:tcPr>
          <w:p>
            <w:pPr>
              <w:jc w:val="center"/>
              <w:rPr>
                <w:rFonts w:hint="eastAsia" w:ascii="宋体" w:hAnsi="Bookman Old Style" w:eastAsia="宋体"/>
                <w:color w:val="auto"/>
                <w:sz w:val="24"/>
                <w:highlight w:val="none"/>
                <w:lang w:eastAsia="zh-CN"/>
              </w:rPr>
            </w:pPr>
            <w:r>
              <w:rPr>
                <w:rFonts w:hint="eastAsia" w:ascii="宋体" w:hAnsi="Bookman Old Style"/>
                <w:color w:val="auto"/>
                <w:sz w:val="24"/>
                <w:highlight w:val="none"/>
                <w:lang w:val="en-US" w:eastAsia="zh-CN"/>
              </w:rPr>
              <w:t>包号</w:t>
            </w:r>
          </w:p>
        </w:tc>
        <w:tc>
          <w:tcPr>
            <w:tcW w:w="1878"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指定到货港</w:t>
            </w:r>
          </w:p>
        </w:tc>
        <w:tc>
          <w:tcPr>
            <w:tcW w:w="2459" w:type="dxa"/>
            <w:noWrap w:val="0"/>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noWrap w:val="0"/>
            <w:vAlign w:val="center"/>
          </w:tcPr>
          <w:p>
            <w:pPr>
              <w:jc w:val="center"/>
              <w:rPr>
                <w:rFonts w:hint="default" w:ascii="宋体" w:eastAsia="宋体"/>
                <w:color w:val="auto"/>
                <w:sz w:val="24"/>
                <w:highlight w:val="none"/>
                <w:lang w:val="en-US" w:eastAsia="zh-CN"/>
              </w:rPr>
            </w:pPr>
            <w:r>
              <w:rPr>
                <w:rFonts w:hint="eastAsia" w:ascii="宋体"/>
                <w:color w:val="auto"/>
                <w:sz w:val="24"/>
                <w:highlight w:val="none"/>
                <w:lang w:val="en-US" w:eastAsia="zh-CN"/>
              </w:rPr>
              <w:t>1</w:t>
            </w:r>
          </w:p>
        </w:tc>
        <w:tc>
          <w:tcPr>
            <w:tcW w:w="1878" w:type="dxa"/>
            <w:noWrap w:val="0"/>
            <w:vAlign w:val="center"/>
          </w:tcPr>
          <w:p>
            <w:pPr>
              <w:jc w:val="center"/>
              <w:rPr>
                <w:rFonts w:hint="eastAsia" w:ascii="Bookman Old Style" w:hAnsi="Bookman Old Style"/>
                <w:color w:val="auto"/>
                <w:sz w:val="24"/>
                <w:highlight w:val="none"/>
                <w:lang w:eastAsia="zh-CN"/>
              </w:rPr>
            </w:pPr>
            <w:r>
              <w:rPr>
                <w:rFonts w:hint="eastAsia" w:ascii="宋体" w:hAnsi="宋体" w:cs="宋体"/>
                <w:color w:val="auto"/>
                <w:kern w:val="0"/>
                <w:sz w:val="24"/>
                <w:highlight w:val="none"/>
                <w:u w:val="none"/>
                <w:lang w:eastAsia="zh-CN"/>
              </w:rPr>
              <w:t>波长色散型X射线荧光光谱仪</w:t>
            </w:r>
          </w:p>
        </w:tc>
        <w:tc>
          <w:tcPr>
            <w:tcW w:w="1122" w:type="dxa"/>
            <w:noWrap w:val="0"/>
            <w:vAlign w:val="center"/>
          </w:tcPr>
          <w:p>
            <w:pPr>
              <w:jc w:val="center"/>
              <w:rPr>
                <w:rFonts w:hint="eastAsia" w:ascii="宋体" w:hAnsi="Bookman Old Style" w:eastAsia="宋体"/>
                <w:color w:val="auto"/>
                <w:sz w:val="24"/>
                <w:highlight w:val="none"/>
                <w:lang w:eastAsia="zh-CN"/>
              </w:rPr>
            </w:pPr>
            <w:r>
              <w:rPr>
                <w:rFonts w:ascii="宋体" w:hAnsi="宋体" w:eastAsia="宋体"/>
                <w:color w:val="auto"/>
                <w:sz w:val="24"/>
                <w:highlight w:val="none"/>
              </w:rPr>
              <w:t>1</w:t>
            </w:r>
            <w:r>
              <w:rPr>
                <w:rFonts w:hint="eastAsia" w:ascii="宋体" w:hAnsi="宋体" w:eastAsia="宋体"/>
                <w:color w:val="auto"/>
                <w:sz w:val="24"/>
                <w:highlight w:val="none"/>
                <w:lang w:val="en-US" w:eastAsia="zh-CN"/>
              </w:rPr>
              <w:t>套</w:t>
            </w:r>
          </w:p>
        </w:tc>
        <w:tc>
          <w:tcPr>
            <w:tcW w:w="5037" w:type="dxa"/>
            <w:gridSpan w:val="3"/>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tabs>
          <w:tab w:val="left" w:pos="720"/>
        </w:tabs>
        <w:adjustRightInd w:val="0"/>
        <w:snapToGrid w:val="0"/>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w:t>
      </w:r>
      <w:r>
        <w:rPr>
          <w:rFonts w:hint="eastAsia" w:ascii="宋体"/>
          <w:color w:val="auto"/>
          <w:sz w:val="24"/>
          <w:highlight w:val="none"/>
          <w:lang w:val="en-US" w:eastAsia="zh-CN"/>
        </w:rPr>
        <w:t>计量、</w:t>
      </w:r>
      <w:r>
        <w:rPr>
          <w:rFonts w:hint="eastAsia" w:ascii="宋体"/>
          <w:color w:val="auto"/>
          <w:sz w:val="24"/>
          <w:highlight w:val="none"/>
        </w:rPr>
        <w:t>节能、安全和环保</w:t>
      </w:r>
      <w:r>
        <w:rPr>
          <w:rFonts w:hint="eastAsia" w:ascii="宋体"/>
          <w:color w:val="auto"/>
          <w:sz w:val="24"/>
          <w:highlight w:val="none"/>
          <w:lang w:val="en-US" w:eastAsia="zh-CN"/>
        </w:rPr>
        <w:t>法规及</w:t>
      </w:r>
      <w:r>
        <w:rPr>
          <w:rFonts w:hint="eastAsia" w:ascii="宋体"/>
          <w:color w:val="auto"/>
          <w:sz w:val="24"/>
          <w:highlight w:val="none"/>
        </w:rPr>
        <w:t>标准；如国家有关部门对投标人的投标产品有强制性规定或要求的，则投标人的投标产品必须符合相应规定或要求</w:t>
      </w:r>
      <w:r>
        <w:rPr>
          <w:rFonts w:hint="eastAsia" w:ascii="宋体"/>
          <w:color w:val="auto"/>
          <w:sz w:val="24"/>
          <w:highlight w:val="none"/>
          <w:lang w:eastAsia="zh-CN"/>
        </w:rPr>
        <w:t>，</w:t>
      </w:r>
      <w:r>
        <w:rPr>
          <w:rFonts w:hint="eastAsia" w:ascii="宋体"/>
          <w:color w:val="auto"/>
          <w:sz w:val="24"/>
          <w:highlight w:val="none"/>
          <w:lang w:val="en-US" w:eastAsia="zh-CN"/>
        </w:rPr>
        <w:t>投标人须提供相关证明文件的复印件</w:t>
      </w:r>
      <w:r>
        <w:rPr>
          <w:rFonts w:hint="eastAsia" w:ascii="宋体"/>
          <w:color w:val="auto"/>
          <w:sz w:val="24"/>
          <w:highlight w:val="none"/>
        </w:rPr>
        <w:t>。</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hint="eastAsia" w:eastAsia="黑体"/>
          <w:b/>
          <w:bCs/>
          <w:color w:val="auto"/>
          <w:kern w:val="44"/>
          <w:sz w:val="24"/>
          <w:highlight w:val="none"/>
        </w:rPr>
      </w:pP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17"/>
        <w:spacing w:line="360" w:lineRule="auto"/>
        <w:ind w:left="410" w:hanging="410" w:hangingChars="170"/>
        <w:rPr>
          <w:rFonts w:hint="eastAsia" w:hAnsi="宋体"/>
          <w:b/>
          <w:color w:val="auto"/>
          <w:sz w:val="24"/>
          <w:szCs w:val="24"/>
          <w:highlight w:val="none"/>
        </w:rPr>
      </w:pPr>
    </w:p>
    <w:p>
      <w:pPr>
        <w:pStyle w:val="17"/>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17"/>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pPr>
        <w:keepNext w:val="0"/>
        <w:keepLines w:val="0"/>
        <w:pageBreakBefore w:val="0"/>
        <w:kinsoku/>
        <w:wordWrap/>
        <w:overflowPunct/>
        <w:topLinePunct w:val="0"/>
        <w:autoSpaceDE/>
        <w:autoSpaceDN/>
        <w:bidi w:val="0"/>
        <w:adjustRightInd/>
        <w:snapToGrid/>
        <w:spacing w:line="360" w:lineRule="auto"/>
        <w:ind w:left="601" w:hanging="601"/>
        <w:textAlignment w:val="auto"/>
        <w:rPr>
          <w:rFonts w:hint="eastAsia" w:ascii="宋体" w:hAnsi="宋体"/>
          <w:b/>
          <w:color w:val="auto"/>
          <w:sz w:val="28"/>
          <w:highlight w:val="none"/>
        </w:rPr>
      </w:pPr>
      <w:r>
        <w:rPr>
          <w:rFonts w:hint="eastAsia" w:ascii="宋体" w:hAnsi="宋体"/>
          <w:b/>
          <w:color w:val="auto"/>
          <w:sz w:val="28"/>
          <w:highlight w:val="none"/>
        </w:rPr>
        <w:t>三、具体技术规格</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eastAsia="宋体"/>
          <w:b/>
          <w:color w:val="auto"/>
          <w:sz w:val="24"/>
          <w:highlight w:val="none"/>
          <w:lang w:eastAsia="zh-CN"/>
        </w:rPr>
      </w:pPr>
      <w:r>
        <w:rPr>
          <w:rFonts w:hint="eastAsia"/>
          <w:b/>
          <w:color w:val="auto"/>
          <w:sz w:val="24"/>
          <w:highlight w:val="none"/>
        </w:rPr>
        <w:t xml:space="preserve">第1包 </w:t>
      </w:r>
      <w:r>
        <w:rPr>
          <w:rFonts w:hint="eastAsia" w:ascii="宋体" w:hAnsi="宋体" w:cs="宋体"/>
          <w:b/>
          <w:bCs/>
          <w:color w:val="auto"/>
          <w:kern w:val="0"/>
          <w:sz w:val="24"/>
          <w:highlight w:val="none"/>
          <w:u w:val="none"/>
          <w:lang w:eastAsia="zh-CN"/>
        </w:rPr>
        <w:t>波长色散型X射线荧光光谱仪</w:t>
      </w:r>
    </w:p>
    <w:p>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p>
    <w:p>
      <w:pPr>
        <w:keepNext w:val="0"/>
        <w:keepLines w:val="0"/>
        <w:pageBreakBefore w:val="0"/>
        <w:numPr>
          <w:ilvl w:val="0"/>
          <w:numId w:val="1"/>
        </w:numPr>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技术要求：</w:t>
      </w:r>
    </w:p>
    <w:p>
      <w:pPr>
        <w:keepNext w:val="0"/>
        <w:keepLines w:val="0"/>
        <w:pageBreakBefore w:val="0"/>
        <w:numPr>
          <w:ilvl w:val="0"/>
          <w:numId w:val="2"/>
        </w:numPr>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工作条件：</w:t>
      </w:r>
    </w:p>
    <w:p>
      <w:pPr>
        <w:keepNext w:val="0"/>
        <w:keepLines w:val="0"/>
        <w:pageBreakBefore w:val="0"/>
        <w:kinsoku/>
        <w:wordWrap/>
        <w:overflowPunct/>
        <w:topLinePunct w:val="0"/>
        <w:autoSpaceDE/>
        <w:autoSpaceDN/>
        <w:bidi w:val="0"/>
        <w:adjustRightInd/>
        <w:snapToGrid/>
        <w:spacing w:line="360" w:lineRule="auto"/>
        <w:textAlignment w:val="auto"/>
        <w:rPr>
          <w:color w:val="auto"/>
          <w:sz w:val="24"/>
          <w:highlight w:val="none"/>
        </w:rPr>
      </w:pPr>
      <w:r>
        <w:rPr>
          <w:rFonts w:hint="eastAsia"/>
          <w:color w:val="auto"/>
          <w:sz w:val="24"/>
          <w:highlight w:val="none"/>
        </w:rPr>
        <w:t>1</w:t>
      </w:r>
      <w:r>
        <w:rPr>
          <w:color w:val="auto"/>
          <w:sz w:val="24"/>
          <w:highlight w:val="none"/>
        </w:rPr>
        <w:t>.1</w:t>
      </w:r>
      <w:r>
        <w:rPr>
          <w:rFonts w:hint="eastAsia"/>
          <w:color w:val="auto"/>
          <w:sz w:val="24"/>
          <w:highlight w:val="none"/>
        </w:rPr>
        <w:t xml:space="preserve"> 见总则第3条。</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numPr>
          <w:ilvl w:val="0"/>
          <w:numId w:val="2"/>
        </w:numPr>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设备用途：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lang w:val="en-US" w:eastAsia="zh-CN"/>
        </w:rPr>
      </w:pPr>
      <w:r>
        <w:rPr>
          <w:rFonts w:hint="eastAsia"/>
          <w:sz w:val="24"/>
          <w:lang w:val="en-US" w:eastAsia="zh-CN"/>
        </w:rPr>
        <w:t>用于金属材料、非金属材料、块状样品、玻璃熔片样品、粉末压片样品、液体样品、不规则样品等定性、定量及无标样定量分析，分析元素范围为元素周期表Be(4)到Am(95)之间的元素，含量范围为ppm-100%。仪器应包括X光管、高压发生器、测角仪、分光系统、探测器、自动进样器、数据处理软件及其它的相关附件和装置。</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numPr>
          <w:ilvl w:val="0"/>
          <w:numId w:val="2"/>
        </w:numPr>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技术规格：</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.1 测量方式：波长色散，顺序扫描式</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.2 分析元素范围：Be(4)到Am(95)</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.3 含量范围：ppm到100%</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.4 仪器稳定性：仪器短期及长期稳定性优于0.05%</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.5 进样系统：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.5.1 全自动进样器，70位以上自动样器，可无人值守连续测量70个样品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.5.2</w:t>
      </w:r>
      <w:r>
        <w:rPr>
          <w:rFonts w:hint="eastAsia"/>
          <w:color w:val="auto"/>
          <w:sz w:val="24"/>
          <w:highlight w:val="none"/>
          <w:lang w:val="en-US" w:eastAsia="zh-CN"/>
        </w:rPr>
        <w:t xml:space="preserve"> </w:t>
      </w:r>
      <w:r>
        <w:rPr>
          <w:rFonts w:hint="eastAsia"/>
          <w:color w:val="auto"/>
          <w:sz w:val="24"/>
          <w:highlight w:val="none"/>
        </w:rPr>
        <w:t>配10个34mm开口直径（或类似直径）样品杯、10个28mm开口直径（或类似直径）样品杯，配10个18mm开口直径（或类似直径）样品杯、10个8mm开口直径（或类似直径）样品杯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.5.3 配与样品杯规格相配套的准直器面罩。</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.6 高压发生器：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.6.1</w:t>
      </w:r>
      <w:r>
        <w:rPr>
          <w:rFonts w:hint="eastAsia"/>
          <w:color w:val="auto"/>
          <w:sz w:val="24"/>
          <w:highlight w:val="none"/>
          <w:lang w:val="en-US" w:eastAsia="zh-CN"/>
        </w:rPr>
        <w:t xml:space="preserve"> </w:t>
      </w:r>
      <w:r>
        <w:rPr>
          <w:rFonts w:hint="eastAsia"/>
          <w:color w:val="auto"/>
          <w:sz w:val="24"/>
          <w:highlight w:val="none"/>
        </w:rPr>
        <w:t>最大功率≥4kW；最大电压≥60kV，20-60 kV间1 kV连续可调；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#3.6.2 最大电流≥160mA，5-160mA间1mA连续可调。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#3.6.3 稳定性：外电源波动1%时，输出波动为≤ 0.00006%，提供第三方检测报告，并加盖制造商印章。</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.7</w:t>
      </w:r>
      <w:r>
        <w:rPr>
          <w:rFonts w:hint="eastAsia"/>
          <w:color w:val="auto"/>
          <w:sz w:val="24"/>
          <w:highlight w:val="none"/>
          <w:lang w:val="en-US" w:eastAsia="zh-CN"/>
        </w:rPr>
        <w:t xml:space="preserve"> </w:t>
      </w:r>
      <w:r>
        <w:rPr>
          <w:rFonts w:hint="eastAsia"/>
          <w:color w:val="auto"/>
          <w:sz w:val="24"/>
          <w:highlight w:val="none"/>
        </w:rPr>
        <w:t>X射线光管：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3.7.1 类型：端窗Rh靶陶瓷光管, Be窗厚度75μm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3.7.2 最大功率≥4.0kW</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3.7.3 最大电压≥60kV</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#3.7.4 最大电流≥160mA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3.7.5 照射方式：下照射，样品分析面朝下。</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.8 氦气冲洗系统：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具有减压及常压氦气系统，减压氦用于测量常规液体样品减少氦气消耗量，常压氦气用于测量高挥发样品，保护仪器。</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.9 测角仪：</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#3.9.1角度准确度：≤0.001°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3.9.2 角度再现精度：≤0.0001°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3.9.3 定位方式：θ/2θ分别驱动，光学定位，无机械磨损。</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.10 计数器：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3.10.1 流气正比计数器F-PC及闪烁计数器SC，全真空扫描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#3.10.2 物理线性范围：F-PC≥3000kcps，SC≥2000kcps</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eastAsia="宋体"/>
          <w:color w:val="auto"/>
          <w:sz w:val="24"/>
          <w:highlight w:val="none"/>
          <w:lang w:eastAsia="zh-CN"/>
        </w:rPr>
      </w:pPr>
      <w:r>
        <w:rPr>
          <w:rFonts w:hint="eastAsia"/>
          <w:color w:val="auto"/>
          <w:sz w:val="24"/>
          <w:highlight w:val="none"/>
          <w:lang w:val="en-US" w:eastAsia="zh-CN"/>
        </w:rPr>
        <w:t>3</w:t>
      </w:r>
      <w:r>
        <w:rPr>
          <w:rFonts w:hint="eastAsia"/>
          <w:color w:val="auto"/>
          <w:sz w:val="24"/>
          <w:highlight w:val="none"/>
        </w:rPr>
        <w:t>.11 晶体配置</w:t>
      </w:r>
      <w:r>
        <w:rPr>
          <w:rFonts w:hint="eastAsia"/>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配置8块晶体，晶体1（O-Mg）、晶体2（Al-Cl），LiF200晶体（K-Am），Ge弯晶测量S、P、Cl具有更低的检出限，LiF220（V-Am）具有更好的分辨率及更低的检出限，B元素专用晶体、C元素专用晶体、N元素专用晶体</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.12准直器转换器：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3.12.1 双向转动准直器转换器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#3.12.2至少4个位置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3.12.3 至少配置细准直器、通用准直器及B、C、N专用准直器</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rPr>
        <w:t>#</w:t>
      </w:r>
      <w:r>
        <w:rPr>
          <w:rFonts w:hint="eastAsia"/>
          <w:color w:val="auto"/>
          <w:sz w:val="24"/>
          <w:highlight w:val="none"/>
          <w:lang w:val="en-US" w:eastAsia="zh-CN"/>
        </w:rPr>
        <w:t>3</w:t>
      </w:r>
      <w:r>
        <w:rPr>
          <w:rFonts w:hint="eastAsia"/>
          <w:color w:val="auto"/>
          <w:sz w:val="24"/>
          <w:highlight w:val="none"/>
        </w:rPr>
        <w:t>.13 光谱室温度稳定性：±0.05℃</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eastAsia="宋体"/>
          <w:color w:val="auto"/>
          <w:sz w:val="24"/>
          <w:highlight w:val="none"/>
          <w:lang w:eastAsia="zh-CN"/>
        </w:rPr>
      </w:pPr>
      <w:r>
        <w:rPr>
          <w:rFonts w:hint="eastAsia"/>
          <w:color w:val="auto"/>
          <w:sz w:val="24"/>
          <w:highlight w:val="none"/>
          <w:lang w:val="en-US" w:eastAsia="zh-CN"/>
        </w:rPr>
        <w:t>3</w:t>
      </w:r>
      <w:r>
        <w:rPr>
          <w:rFonts w:hint="eastAsia"/>
          <w:color w:val="auto"/>
          <w:sz w:val="24"/>
          <w:highlight w:val="none"/>
        </w:rPr>
        <w:t>.14 配置真空封挡装置</w:t>
      </w:r>
      <w:r>
        <w:rPr>
          <w:rFonts w:hint="eastAsia"/>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在测量液体及松散粉末样品时，能够在样品室与光谱室间插入一程序控制的真空封挡, 使只有样品室冲洗氦气，光谱室始终保持真空状态，以便起到保护光谱室、节约氦气消耗、增加探测器稳定性和分析重现性的作用。在测量过程中，真空封挡也可以在液体样品泄漏或有粉尘样品时保护光谱室，防止污染光谱室。</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.15</w:t>
      </w:r>
      <w:r>
        <w:rPr>
          <w:rFonts w:hint="eastAsia"/>
          <w:color w:val="auto"/>
          <w:sz w:val="24"/>
          <w:highlight w:val="none"/>
          <w:lang w:val="en-US" w:eastAsia="zh-CN"/>
        </w:rPr>
        <w:t xml:space="preserve"> </w:t>
      </w:r>
      <w:r>
        <w:rPr>
          <w:rFonts w:hint="eastAsia"/>
          <w:color w:val="auto"/>
          <w:sz w:val="24"/>
          <w:highlight w:val="none"/>
        </w:rPr>
        <w:t>计算机控制系统与操作系统：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计算机控制系统: Windows10操作系统（64位）, 四核3.6GHz, 8G内存,500G硬盘,8倍DVD/+-RW可擦写光驱,512MB显卡, 24'LED显示器, 键盘, 鼠标, 网卡。高性能激光打印机。</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.16</w:t>
      </w:r>
      <w:r>
        <w:rPr>
          <w:rFonts w:hint="eastAsia"/>
          <w:color w:val="auto"/>
          <w:sz w:val="24"/>
          <w:highlight w:val="none"/>
          <w:lang w:val="en-US" w:eastAsia="zh-CN"/>
        </w:rPr>
        <w:t xml:space="preserve"> </w:t>
      </w:r>
      <w:r>
        <w:rPr>
          <w:rFonts w:hint="eastAsia"/>
          <w:color w:val="auto"/>
          <w:sz w:val="24"/>
          <w:highlight w:val="none"/>
        </w:rPr>
        <w:t>软件：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定性、定量及无标样分析软件，并包含以下功能：全自动安装与校准系统；光谱仪及进样器状态的实时、动态图形显示；网络及数据传输；自诊断及远程诊断。中文操作软件，软件免费升级保证。</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.16.1 定性分析：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能够高分辨显示样品谱图，具有自动背景扣除与平滑功能，自动寻峰以及元素识别。</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.16.2 定量分析软件：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具有分析曲线的自动导航；软件的智能系统提供测量参数的最佳条件；自动校正谱线重叠干扰；采用基本参数法单独地计算每一个样品的校正系数，从而进行全面的集成的基体效应修正（变动理论Alpha系数法）；灵活的输入制样参数及任何可用的化学信息；分析结果超出警戒线会自动显示与报警等功能。</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.16.3 无标样定量分析软件：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在没有标准曲线的情况下对完全未知的各类样品进行自动定量分析，可以采用扫描模式进行无标样分析，也可以采用峰/背比测量模式。</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.16.4 油品分析专用软件或能实现同等功能的定制Calibration曲线及漂移校正标样：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可分析30个（或以上）元素</w:t>
      </w:r>
    </w:p>
    <w:p>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color w:val="auto"/>
          <w:sz w:val="24"/>
          <w:highlight w:val="none"/>
        </w:rPr>
      </w:pPr>
      <w:r>
        <w:rPr>
          <w:rFonts w:hint="eastAsia"/>
          <w:color w:val="auto"/>
          <w:sz w:val="24"/>
          <w:highlight w:val="none"/>
        </w:rPr>
        <w:t>#</w:t>
      </w:r>
      <w:r>
        <w:rPr>
          <w:rFonts w:hint="eastAsia"/>
          <w:color w:val="auto"/>
          <w:sz w:val="24"/>
          <w:highlight w:val="none"/>
          <w:lang w:val="en-US" w:eastAsia="zh-CN"/>
        </w:rPr>
        <w:t>3</w:t>
      </w:r>
      <w:r>
        <w:rPr>
          <w:rFonts w:hint="eastAsia"/>
          <w:color w:val="auto"/>
          <w:sz w:val="24"/>
          <w:highlight w:val="none"/>
        </w:rPr>
        <w:t>.16.5多层膜分析软件或能实现同等功能的定制Calibration曲线及漂移校正标样：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可分析多达10层（每层10个元素）的镀膜样品，测定每层膜的厚度和元素含量。</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numPr>
          <w:ilvl w:val="0"/>
          <w:numId w:val="2"/>
        </w:numPr>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产品配置要求</w:t>
      </w:r>
    </w:p>
    <w:p>
      <w:pPr>
        <w:keepNext w:val="0"/>
        <w:keepLines w:val="0"/>
        <w:pageBreakBefore w:val="0"/>
        <w:numPr>
          <w:ilvl w:val="1"/>
          <w:numId w:val="0"/>
        </w:numPr>
        <w:kinsoku/>
        <w:wordWrap/>
        <w:overflowPunct/>
        <w:topLinePunct w:val="0"/>
        <w:autoSpaceDE/>
        <w:autoSpaceDN/>
        <w:bidi w:val="0"/>
        <w:adjustRightInd/>
        <w:snapToGrid/>
        <w:spacing w:line="360" w:lineRule="auto"/>
        <w:ind w:left="360" w:leftChars="0" w:hanging="360" w:firstLineChars="0"/>
        <w:textAlignment w:val="auto"/>
        <w:rPr>
          <w:rFonts w:hint="eastAsia"/>
          <w:color w:val="auto"/>
          <w:sz w:val="24"/>
          <w:highlight w:val="none"/>
        </w:rPr>
      </w:pPr>
      <w:r>
        <w:rPr>
          <w:rFonts w:hint="eastAsia" w:ascii="Times New Roman" w:hAnsi="Times New Roman" w:eastAsia="宋体" w:cs="Times New Roman"/>
          <w:color w:val="auto"/>
          <w:kern w:val="2"/>
          <w:sz w:val="24"/>
          <w:szCs w:val="24"/>
          <w:lang w:val="en-US" w:eastAsia="zh-CN" w:bidi="ar-SA"/>
        </w:rPr>
        <w:t>4.1</w:t>
      </w:r>
      <w:r>
        <w:rPr>
          <w:rFonts w:hint="eastAsia"/>
          <w:color w:val="auto"/>
          <w:sz w:val="24"/>
          <w:highlight w:val="none"/>
        </w:rPr>
        <w:t xml:space="preserve"> 波长色散型X射线荧光光谱仪</w:t>
      </w:r>
      <w:r>
        <w:rPr>
          <w:rFonts w:hint="eastAsia"/>
          <w:color w:val="auto"/>
          <w:sz w:val="24"/>
          <w:highlight w:val="none"/>
          <w:lang w:val="en-US" w:eastAsia="zh-CN"/>
        </w:rPr>
        <w:t xml:space="preserve"> 1套</w:t>
      </w:r>
    </w:p>
    <w:p>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color w:val="auto"/>
          <w:sz w:val="24"/>
          <w:highlight w:val="none"/>
        </w:rPr>
      </w:pPr>
      <w:r>
        <w:rPr>
          <w:rFonts w:hint="eastAsia"/>
          <w:color w:val="auto"/>
          <w:sz w:val="24"/>
          <w:highlight w:val="none"/>
          <w:lang w:val="en-US" w:eastAsia="zh-CN"/>
        </w:rPr>
        <w:t>4</w:t>
      </w:r>
      <w:r>
        <w:rPr>
          <w:rFonts w:hint="eastAsia"/>
          <w:color w:val="auto"/>
          <w:sz w:val="24"/>
          <w:highlight w:val="none"/>
        </w:rPr>
        <w:t>.</w:t>
      </w:r>
      <w:r>
        <w:rPr>
          <w:rFonts w:hint="eastAsia"/>
          <w:color w:val="auto"/>
          <w:sz w:val="24"/>
          <w:highlight w:val="none"/>
          <w:lang w:val="en-US" w:eastAsia="zh-CN"/>
        </w:rPr>
        <w:t xml:space="preserve">2 </w:t>
      </w:r>
      <w:r>
        <w:rPr>
          <w:rFonts w:hint="eastAsia"/>
          <w:color w:val="auto"/>
          <w:sz w:val="24"/>
          <w:highlight w:val="none"/>
        </w:rPr>
        <w:t>P10气体减压阀及氦气减压阀各一个，满足仪器使用需求</w:t>
      </w:r>
    </w:p>
    <w:p>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color w:val="auto"/>
          <w:sz w:val="24"/>
          <w:highlight w:val="none"/>
        </w:rPr>
      </w:pPr>
      <w:r>
        <w:rPr>
          <w:rFonts w:hint="eastAsia"/>
          <w:color w:val="auto"/>
          <w:sz w:val="24"/>
          <w:highlight w:val="none"/>
          <w:lang w:val="en-US" w:eastAsia="zh-CN"/>
        </w:rPr>
        <w:t>4</w:t>
      </w:r>
      <w:r>
        <w:rPr>
          <w:rFonts w:hint="eastAsia"/>
          <w:color w:val="auto"/>
          <w:sz w:val="24"/>
          <w:highlight w:val="none"/>
        </w:rPr>
        <w:t>.</w:t>
      </w:r>
      <w:r>
        <w:rPr>
          <w:rFonts w:hint="eastAsia"/>
          <w:color w:val="auto"/>
          <w:sz w:val="24"/>
          <w:highlight w:val="none"/>
          <w:lang w:val="en-US" w:eastAsia="zh-CN"/>
        </w:rPr>
        <w:t>3</w:t>
      </w:r>
      <w:r>
        <w:rPr>
          <w:rFonts w:hint="eastAsia"/>
          <w:color w:val="auto"/>
          <w:sz w:val="24"/>
          <w:highlight w:val="none"/>
        </w:rPr>
        <w:t xml:space="preserve"> 液体杯500个，6um厚度麦拉膜一卷（90米），4um厚度Prolene膜1卷（90米），2.5um厚度麦拉膜1盒(500片)，3.6um厚度麦拉膜2盒(100片)</w:t>
      </w:r>
    </w:p>
    <w:p>
      <w:pPr>
        <w:keepNext w:val="0"/>
        <w:keepLines w:val="0"/>
        <w:pageBreakBefore w:val="0"/>
        <w:kinsoku/>
        <w:wordWrap/>
        <w:overflowPunct/>
        <w:topLinePunct w:val="0"/>
        <w:autoSpaceDE/>
        <w:autoSpaceDN/>
        <w:bidi w:val="0"/>
        <w:adjustRightInd/>
        <w:snapToGrid/>
        <w:spacing w:line="360" w:lineRule="auto"/>
        <w:ind w:left="420" w:firstLine="240"/>
        <w:textAlignment w:val="auto"/>
        <w:rPr>
          <w:rFonts w:hint="eastAsia"/>
          <w:color w:val="auto"/>
          <w:sz w:val="24"/>
          <w:highlight w:val="none"/>
        </w:rPr>
      </w:pPr>
    </w:p>
    <w:p>
      <w:pPr>
        <w:keepNext w:val="0"/>
        <w:keepLines w:val="0"/>
        <w:pageBreakBefore w:val="0"/>
        <w:numPr>
          <w:ilvl w:val="0"/>
          <w:numId w:val="2"/>
        </w:numPr>
        <w:kinsoku/>
        <w:wordWrap/>
        <w:overflowPunct/>
        <w:topLinePunct w:val="0"/>
        <w:autoSpaceDE/>
        <w:autoSpaceDN/>
        <w:bidi w:val="0"/>
        <w:adjustRightInd/>
        <w:snapToGrid/>
        <w:spacing w:line="360" w:lineRule="auto"/>
        <w:ind w:left="360" w:leftChars="0" w:hanging="360" w:firstLineChars="0"/>
        <w:textAlignment w:val="auto"/>
        <w:rPr>
          <w:rFonts w:hint="eastAsia"/>
          <w:b/>
          <w:color w:val="auto"/>
          <w:sz w:val="24"/>
          <w:highlight w:val="none"/>
        </w:rPr>
      </w:pPr>
      <w:r>
        <w:rPr>
          <w:rFonts w:hint="eastAsia"/>
          <w:b/>
          <w:color w:val="auto"/>
          <w:sz w:val="24"/>
          <w:highlight w:val="none"/>
        </w:rPr>
        <w:t>选购附件、备件及消耗品</w:t>
      </w:r>
    </w:p>
    <w:p>
      <w:pPr>
        <w:spacing w:line="360" w:lineRule="auto"/>
        <w:rPr>
          <w:rFonts w:hint="eastAsia"/>
          <w:bCs/>
          <w:sz w:val="24"/>
        </w:rPr>
      </w:pPr>
      <w:r>
        <w:rPr>
          <w:rFonts w:hint="eastAsia"/>
          <w:bCs/>
          <w:sz w:val="24"/>
        </w:rPr>
        <w:t>5</w:t>
      </w:r>
      <w:r>
        <w:rPr>
          <w:bCs/>
          <w:sz w:val="24"/>
        </w:rPr>
        <w:t>.1</w:t>
      </w:r>
      <w:r>
        <w:rPr>
          <w:rFonts w:hint="eastAsia"/>
          <w:bCs/>
          <w:sz w:val="24"/>
          <w:lang w:val="en-US" w:eastAsia="zh-CN"/>
        </w:rPr>
        <w:t xml:space="preserve"> </w:t>
      </w:r>
      <w:r>
        <w:rPr>
          <w:rFonts w:hint="eastAsia"/>
          <w:bCs/>
          <w:sz w:val="24"/>
        </w:rPr>
        <w:t>当投标方满足用户在此设备使用过程对易损配件和耗材需求时，用户有权按照投标价格增加购置相应配件及耗材，例如</w:t>
      </w:r>
      <w:r>
        <w:rPr>
          <w:rFonts w:hint="default" w:ascii="Times New Roman" w:hAnsi="Times New Roman" w:eastAsia="宋体" w:cs="Times New Roman"/>
          <w:b w:val="0"/>
          <w:bCs w:val="0"/>
          <w:color w:val="auto"/>
          <w:sz w:val="24"/>
          <w:highlight w:val="none"/>
          <w:vertAlign w:val="baseline"/>
          <w:lang w:val="en-US" w:eastAsia="zh-CN"/>
        </w:rPr>
        <w:t>压片机</w:t>
      </w:r>
      <w:r>
        <w:rPr>
          <w:rFonts w:hint="eastAsia" w:cs="Times New Roman"/>
          <w:b w:val="0"/>
          <w:bCs w:val="0"/>
          <w:color w:val="auto"/>
          <w:sz w:val="24"/>
          <w:highlight w:val="none"/>
          <w:vertAlign w:val="baseline"/>
          <w:lang w:val="en-US" w:eastAsia="zh-CN"/>
        </w:rPr>
        <w:t>（包含压样模具和垫片）</w:t>
      </w:r>
      <w:r>
        <w:rPr>
          <w:rFonts w:hint="eastAsia"/>
          <w:bCs/>
          <w:sz w:val="24"/>
        </w:rPr>
        <w:t>、</w:t>
      </w:r>
      <w:r>
        <w:rPr>
          <w:rFonts w:hint="default" w:ascii="Times New Roman" w:hAnsi="Times New Roman" w:eastAsia="宋体" w:cs="Times New Roman"/>
          <w:b w:val="0"/>
          <w:bCs w:val="0"/>
          <w:color w:val="auto"/>
          <w:sz w:val="24"/>
          <w:highlight w:val="none"/>
          <w:vertAlign w:val="baseline"/>
          <w:lang w:val="en-US" w:eastAsia="zh-CN"/>
        </w:rPr>
        <w:t>全自动镶嵌机</w:t>
      </w:r>
      <w:r>
        <w:rPr>
          <w:rFonts w:hint="eastAsia"/>
          <w:bCs/>
          <w:sz w:val="24"/>
        </w:rPr>
        <w:t>、</w:t>
      </w:r>
      <w:r>
        <w:rPr>
          <w:rFonts w:hint="default" w:ascii="Times New Roman" w:hAnsi="Times New Roman" w:eastAsia="宋体" w:cs="Times New Roman"/>
          <w:b w:val="0"/>
          <w:bCs w:val="0"/>
          <w:color w:val="auto"/>
          <w:sz w:val="24"/>
          <w:highlight w:val="none"/>
          <w:vertAlign w:val="baseline"/>
          <w:lang w:val="en-US" w:eastAsia="zh-CN"/>
        </w:rPr>
        <w:t>分体水冷机</w:t>
      </w:r>
      <w:r>
        <w:rPr>
          <w:rFonts w:hint="eastAsia"/>
          <w:bCs/>
          <w:sz w:val="24"/>
        </w:rPr>
        <w:t>、</w:t>
      </w:r>
      <w:r>
        <w:rPr>
          <w:rFonts w:hint="default" w:ascii="Times New Roman" w:hAnsi="Times New Roman" w:eastAsia="宋体" w:cs="Times New Roman"/>
          <w:b w:val="0"/>
          <w:bCs w:val="0"/>
          <w:color w:val="auto"/>
          <w:sz w:val="24"/>
          <w:highlight w:val="none"/>
          <w:vertAlign w:val="baseline"/>
          <w:lang w:val="en-US" w:eastAsia="zh-CN"/>
        </w:rPr>
        <w:t>不间断电源</w:t>
      </w:r>
      <w:r>
        <w:rPr>
          <w:rFonts w:hint="eastAsia"/>
          <w:bCs/>
          <w:sz w:val="24"/>
        </w:rPr>
        <w:t>（</w:t>
      </w:r>
      <w:r>
        <w:rPr>
          <w:rFonts w:hint="default" w:ascii="Times New Roman" w:hAnsi="Times New Roman" w:eastAsia="宋体" w:cs="Times New Roman"/>
          <w:b w:val="0"/>
          <w:bCs w:val="0"/>
          <w:color w:val="auto"/>
          <w:sz w:val="24"/>
          <w:highlight w:val="none"/>
          <w:vertAlign w:val="baseline"/>
          <w:lang w:val="en-US" w:eastAsia="zh-CN"/>
        </w:rPr>
        <w:t>30分钟延时</w:t>
      </w:r>
      <w:r>
        <w:rPr>
          <w:rFonts w:hint="eastAsia"/>
          <w:bCs/>
          <w:sz w:val="24"/>
        </w:rPr>
        <w:t>）、</w:t>
      </w:r>
      <w:r>
        <w:rPr>
          <w:rFonts w:hint="default" w:ascii="Times New Roman" w:hAnsi="Times New Roman" w:eastAsia="宋体" w:cs="Times New Roman"/>
          <w:b w:val="0"/>
          <w:bCs w:val="0"/>
          <w:color w:val="auto"/>
          <w:sz w:val="24"/>
          <w:highlight w:val="none"/>
          <w:vertAlign w:val="baseline"/>
          <w:lang w:val="en-US" w:eastAsia="zh-CN"/>
        </w:rPr>
        <w:t>液体杯</w:t>
      </w:r>
      <w:r>
        <w:rPr>
          <w:rFonts w:hint="eastAsia"/>
          <w:bCs/>
          <w:sz w:val="24"/>
        </w:rPr>
        <w:t>、</w:t>
      </w:r>
      <w:r>
        <w:rPr>
          <w:rFonts w:hint="default" w:ascii="Times New Roman" w:hAnsi="Times New Roman" w:eastAsia="宋体" w:cs="Times New Roman"/>
          <w:b w:val="0"/>
          <w:bCs w:val="0"/>
          <w:color w:val="auto"/>
          <w:sz w:val="24"/>
          <w:highlight w:val="none"/>
          <w:vertAlign w:val="baseline"/>
          <w:lang w:val="en-US" w:eastAsia="zh-CN"/>
        </w:rPr>
        <w:t>麦拉膜</w:t>
      </w:r>
      <w:r>
        <w:rPr>
          <w:rFonts w:hint="eastAsia"/>
          <w:bCs/>
          <w:sz w:val="24"/>
        </w:rPr>
        <w:t>等。</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r>
        <w:rPr>
          <w:rFonts w:hint="eastAsia"/>
          <w:color w:val="auto"/>
          <w:sz w:val="24"/>
          <w:highlight w:val="none"/>
        </w:rPr>
        <w:t xml:space="preserve">  </w:t>
      </w:r>
    </w:p>
    <w:p>
      <w:pPr>
        <w:keepNext w:val="0"/>
        <w:keepLines w:val="0"/>
        <w:pageBreakBefore w:val="0"/>
        <w:tabs>
          <w:tab w:val="left" w:pos="540"/>
        </w:tabs>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numPr>
          <w:ilvl w:val="0"/>
          <w:numId w:val="2"/>
        </w:numPr>
        <w:tabs>
          <w:tab w:val="left" w:pos="540"/>
          <w:tab w:val="clear" w:pos="360"/>
        </w:tabs>
        <w:kinsoku/>
        <w:wordWrap/>
        <w:overflowPunct/>
        <w:topLinePunct w:val="0"/>
        <w:autoSpaceDE/>
        <w:autoSpaceDN/>
        <w:bidi w:val="0"/>
        <w:adjustRightInd/>
        <w:snapToGrid/>
        <w:spacing w:line="360" w:lineRule="auto"/>
        <w:ind w:left="360" w:leftChars="0" w:hanging="360" w:firstLineChars="0"/>
        <w:textAlignment w:val="auto"/>
        <w:rPr>
          <w:rFonts w:hint="eastAsia"/>
          <w:b/>
          <w:color w:val="auto"/>
          <w:sz w:val="24"/>
          <w:highlight w:val="none"/>
        </w:rPr>
      </w:pPr>
      <w:r>
        <w:rPr>
          <w:rFonts w:hint="eastAsia"/>
          <w:b/>
          <w:color w:val="auto"/>
          <w:sz w:val="24"/>
          <w:highlight w:val="none"/>
        </w:rPr>
        <w:t>技术文件：</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r>
        <w:rPr>
          <w:rFonts w:hint="eastAsia"/>
          <w:color w:val="auto"/>
          <w:sz w:val="24"/>
          <w:highlight w:val="none"/>
        </w:rPr>
        <w:t>6.1 请参考总则第1.2条。</w:t>
      </w:r>
    </w:p>
    <w:p>
      <w:pPr>
        <w:keepNext w:val="0"/>
        <w:keepLines w:val="0"/>
        <w:pageBreakBefore w:val="0"/>
        <w:kinsoku/>
        <w:wordWrap/>
        <w:overflowPunct/>
        <w:topLinePunct w:val="0"/>
        <w:autoSpaceDE/>
        <w:autoSpaceDN/>
        <w:bidi w:val="0"/>
        <w:adjustRightInd/>
        <w:snapToGrid/>
        <w:spacing w:line="360" w:lineRule="auto"/>
        <w:textAlignment w:val="auto"/>
        <w:rPr>
          <w:color w:val="auto"/>
          <w:sz w:val="24"/>
          <w:highlight w:val="none"/>
        </w:rPr>
      </w:pPr>
      <w:r>
        <w:rPr>
          <w:rFonts w:hint="eastAsia"/>
          <w:color w:val="auto"/>
          <w:sz w:val="24"/>
          <w:highlight w:val="none"/>
        </w:rPr>
        <w:t>6.2 请参考总则第2.3条。</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b/>
          <w:color w:val="auto"/>
          <w:sz w:val="24"/>
          <w:highlight w:val="none"/>
        </w:rPr>
      </w:pPr>
      <w:r>
        <w:rPr>
          <w:rFonts w:hint="eastAsia"/>
          <w:b/>
          <w:color w:val="auto"/>
          <w:sz w:val="24"/>
          <w:highlight w:val="none"/>
          <w:lang w:val="en-US" w:eastAsia="zh-CN"/>
        </w:rPr>
        <w:t>商务要求</w:t>
      </w:r>
      <w:r>
        <w:rPr>
          <w:rFonts w:hint="eastAsia"/>
          <w:b/>
          <w:color w:val="auto"/>
          <w:sz w:val="24"/>
          <w:highlight w:val="none"/>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default" w:eastAsia="宋体"/>
          <w:b/>
          <w:color w:val="auto"/>
          <w:sz w:val="24"/>
          <w:highlight w:val="none"/>
          <w:lang w:val="en-US" w:eastAsia="zh-CN"/>
        </w:rPr>
      </w:pPr>
      <w:r>
        <w:rPr>
          <w:rFonts w:hint="default" w:ascii="Times New Roman" w:hAnsi="Times New Roman" w:eastAsia="宋体" w:cs="Times New Roman"/>
          <w:b/>
          <w:color w:val="auto"/>
          <w:kern w:val="2"/>
          <w:sz w:val="24"/>
          <w:szCs w:val="24"/>
          <w:highlight w:val="none"/>
          <w:lang w:val="en-US" w:eastAsia="zh-CN" w:bidi="ar-SA"/>
        </w:rPr>
        <w:t>1.</w:t>
      </w:r>
      <w:r>
        <w:rPr>
          <w:rFonts w:hint="eastAsia" w:cs="Times New Roman"/>
          <w:b/>
          <w:color w:val="auto"/>
          <w:kern w:val="2"/>
          <w:sz w:val="24"/>
          <w:szCs w:val="24"/>
          <w:highlight w:val="none"/>
          <w:lang w:val="en-US" w:eastAsia="zh-CN" w:bidi="ar-SA"/>
        </w:rPr>
        <w:t xml:space="preserve"> </w:t>
      </w:r>
      <w:r>
        <w:rPr>
          <w:rFonts w:hint="eastAsia"/>
          <w:b/>
          <w:color w:val="auto"/>
          <w:sz w:val="24"/>
          <w:highlight w:val="none"/>
          <w:lang w:val="en-US" w:eastAsia="zh-CN"/>
        </w:rPr>
        <w:t>售后服务要求：</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 w:val="24"/>
          <w:highlight w:val="none"/>
        </w:rPr>
      </w:pPr>
      <w:r>
        <w:rPr>
          <w:rFonts w:hint="eastAsia"/>
          <w:color w:val="auto"/>
          <w:sz w:val="24"/>
          <w:highlight w:val="none"/>
          <w:lang w:val="en-US" w:eastAsia="zh-CN"/>
        </w:rPr>
        <w:t>1.</w:t>
      </w:r>
      <w:r>
        <w:rPr>
          <w:rFonts w:hint="eastAsia"/>
          <w:color w:val="auto"/>
          <w:sz w:val="24"/>
          <w:highlight w:val="none"/>
        </w:rPr>
        <w:t>1 到货后30天内，卖方负责仪器的安装和调试。</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 w:val="24"/>
          <w:highlight w:val="none"/>
        </w:rPr>
      </w:pPr>
      <w:r>
        <w:rPr>
          <w:rFonts w:hint="eastAsia"/>
          <w:color w:val="auto"/>
          <w:sz w:val="24"/>
          <w:highlight w:val="none"/>
          <w:lang w:val="en-US" w:eastAsia="zh-CN"/>
        </w:rPr>
        <w:t>1.</w:t>
      </w:r>
      <w:r>
        <w:rPr>
          <w:rFonts w:hint="eastAsia"/>
          <w:color w:val="auto"/>
          <w:sz w:val="24"/>
          <w:highlight w:val="none"/>
        </w:rPr>
        <w:t>2 设备安装之前，卖方邀请买方2名操作人员，到其在国内设立的培训中心接受为期5天的免费培训，内容包括理论和实际操作，以能够熟练操作为目标，差旅费及食宿费由买方承担。安装调试时，由卖方维修工程师在买方现场对操作人员进行免费培训，培训内容包括：仪器原理、结构、操作、校准、日常维护及维修。安装调试之后，由卖方专职应用工程师到买方现场进行应用培训，负责建立分析方法。</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 w:val="24"/>
          <w:highlight w:val="none"/>
        </w:rPr>
      </w:pPr>
      <w:r>
        <w:rPr>
          <w:rFonts w:hint="eastAsia"/>
          <w:color w:val="auto"/>
          <w:sz w:val="24"/>
          <w:highlight w:val="none"/>
          <w:lang w:val="en-US" w:eastAsia="zh-CN"/>
        </w:rPr>
        <w:t>1.</w:t>
      </w:r>
      <w:r>
        <w:rPr>
          <w:rFonts w:hint="eastAsia"/>
          <w:color w:val="auto"/>
          <w:sz w:val="24"/>
          <w:highlight w:val="none"/>
        </w:rPr>
        <w:t>3 在中国大陆有自己的装配有相关仪器的应用培训实验室。</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 w:val="24"/>
          <w:highlight w:val="none"/>
        </w:rPr>
      </w:pPr>
      <w:r>
        <w:rPr>
          <w:rFonts w:hint="eastAsia"/>
          <w:color w:val="auto"/>
          <w:sz w:val="24"/>
          <w:highlight w:val="none"/>
          <w:lang w:val="en-US" w:eastAsia="zh-CN"/>
        </w:rPr>
        <w:t>1.</w:t>
      </w:r>
      <w:r>
        <w:rPr>
          <w:rFonts w:hint="eastAsia"/>
          <w:color w:val="auto"/>
          <w:sz w:val="24"/>
          <w:highlight w:val="none"/>
        </w:rPr>
        <w:t>4 由卖方负责安装、调试，仪器验收由买卖双方共同协商制定。厂家在国内要有维修中心，要有专职的维修工程师，要有备品备件库。在提出维修要求后，能在4小时内作出维修响应，2-4个工作日内到达用户现场。随机提供必要的操作和维护专用工具，提供两年用备品备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rPr>
        <w:t>.5 从设备在现场调试运转正常签字验收结束后开始（以买方盖章的验收单为准），主机保修36个月，X射线管保修36个月。</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b/>
          <w:bCs/>
          <w:color w:val="auto"/>
          <w:sz w:val="24"/>
          <w:highlight w:val="none"/>
          <w:lang w:val="en-US" w:eastAsia="zh-CN"/>
        </w:rPr>
      </w:pPr>
      <w:r>
        <w:rPr>
          <w:rFonts w:hint="eastAsia"/>
          <w:color w:val="auto"/>
          <w:sz w:val="24"/>
          <w:highlight w:val="none"/>
          <w:lang w:eastAsia="zh-CN"/>
        </w:rPr>
        <w:t>*</w:t>
      </w:r>
      <w:r>
        <w:rPr>
          <w:rFonts w:hint="eastAsia" w:ascii="Times New Roman" w:hAnsi="Times New Roman" w:eastAsia="宋体" w:cs="Times New Roman"/>
          <w:b/>
          <w:bCs/>
          <w:color w:val="auto"/>
          <w:kern w:val="2"/>
          <w:sz w:val="24"/>
          <w:szCs w:val="24"/>
          <w:highlight w:val="none"/>
          <w:lang w:val="en-US" w:eastAsia="zh-CN" w:bidi="ar-SA"/>
        </w:rPr>
        <w:t>2.</w:t>
      </w:r>
      <w:r>
        <w:rPr>
          <w:rFonts w:hint="eastAsia" w:cs="Times New Roman"/>
          <w:b/>
          <w:bCs/>
          <w:color w:val="auto"/>
          <w:kern w:val="2"/>
          <w:sz w:val="24"/>
          <w:szCs w:val="24"/>
          <w:highlight w:val="none"/>
          <w:lang w:val="en-US" w:eastAsia="zh-CN" w:bidi="ar-SA"/>
        </w:rPr>
        <w:t xml:space="preserve"> </w:t>
      </w:r>
      <w:r>
        <w:rPr>
          <w:rFonts w:hint="eastAsia"/>
          <w:b/>
          <w:bCs/>
          <w:color w:val="auto"/>
          <w:sz w:val="24"/>
          <w:highlight w:val="none"/>
          <w:lang w:val="en-US" w:eastAsia="zh-CN"/>
        </w:rPr>
        <w:t>豁免备案：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为保证设备安全无辐射，投标商必须提供制造商或制造商在中国的分支机构申请的同型号设备的豁免备案文件或公告。豁免备案文件或公告载明的最大电压及最大电流数值必须与仪器最大激发电压及最大激发电流一致。</w:t>
      </w:r>
    </w:p>
    <w:p>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（三） 订货数量：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lang w:val="en-US" w:eastAsia="zh-CN"/>
        </w:rPr>
      </w:pPr>
      <w:r>
        <w:rPr>
          <w:rFonts w:hint="eastAsia"/>
          <w:sz w:val="24"/>
          <w:lang w:val="en-US" w:eastAsia="zh-CN"/>
        </w:rPr>
        <w:t>波长色散型X射线荧光光谱仪 一套</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 xml:space="preserve">（四） </w:t>
      </w:r>
      <w:r>
        <w:rPr>
          <w:rFonts w:hint="eastAsia"/>
          <w:b/>
          <w:color w:val="auto"/>
          <w:sz w:val="24"/>
          <w:highlight w:val="none"/>
          <w:lang w:val="en-US" w:eastAsia="zh-CN"/>
        </w:rPr>
        <w:t>交货地</w:t>
      </w:r>
      <w:r>
        <w:rPr>
          <w:rFonts w:hint="eastAsia"/>
          <w:b/>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lang w:val="en-US" w:eastAsia="zh-CN"/>
        </w:rPr>
      </w:pPr>
      <w:r>
        <w:rPr>
          <w:rFonts w:hint="eastAsia"/>
          <w:sz w:val="24"/>
          <w:lang w:val="en-US" w:eastAsia="zh-CN"/>
        </w:rPr>
        <w:t>用户指定地点（实验室）</w:t>
      </w:r>
    </w:p>
    <w:p>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p>
    <w:p>
      <w:pPr>
        <w:keepNext w:val="0"/>
        <w:keepLines w:val="0"/>
        <w:pageBreakBefore w:val="0"/>
        <w:numPr>
          <w:ilvl w:val="0"/>
          <w:numId w:val="3"/>
        </w:numPr>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rPr>
        <w:t>交货日期：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lang w:val="en-US" w:eastAsia="zh-CN"/>
        </w:rPr>
      </w:pPr>
      <w:r>
        <w:rPr>
          <w:rFonts w:hint="eastAsia"/>
          <w:sz w:val="24"/>
          <w:lang w:val="en-US" w:eastAsia="zh-CN"/>
        </w:rPr>
        <w:t>合同生效后5个月内。</w:t>
      </w:r>
    </w:p>
    <w:p>
      <w:pPr>
        <w:keepNext w:val="0"/>
        <w:keepLines w:val="0"/>
        <w:pageBreakBefore w:val="0"/>
        <w:kinsoku/>
        <w:wordWrap/>
        <w:overflowPunct/>
        <w:topLinePunct w:val="0"/>
        <w:autoSpaceDE/>
        <w:autoSpaceDN/>
        <w:bidi w:val="0"/>
        <w:adjustRightInd/>
        <w:snapToGrid/>
        <w:spacing w:line="360" w:lineRule="auto"/>
        <w:textAlignment w:val="auto"/>
        <w:rPr>
          <w:color w:val="auto"/>
          <w:sz w:val="24"/>
          <w:highlight w:val="none"/>
        </w:rPr>
      </w:pPr>
    </w:p>
    <w:p>
      <w:pPr>
        <w:keepNext w:val="0"/>
        <w:keepLines w:val="0"/>
        <w:pageBreakBefore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eastAsia"/>
          <w:b/>
          <w:color w:val="auto"/>
          <w:sz w:val="24"/>
          <w:highlight w:val="none"/>
        </w:rPr>
      </w:pPr>
      <w:r>
        <w:rPr>
          <w:rFonts w:hint="eastAsia"/>
          <w:b/>
          <w:color w:val="auto"/>
          <w:sz w:val="24"/>
          <w:highlight w:val="none"/>
        </w:rPr>
        <w:t>执行的相关标准</w:t>
      </w:r>
      <w:r>
        <w:rPr>
          <w:rFonts w:hint="eastAsia"/>
          <w:b/>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lang w:val="en-US" w:eastAsia="zh-CN"/>
        </w:rPr>
      </w:pPr>
      <w:r>
        <w:rPr>
          <w:rFonts w:hint="eastAsia"/>
          <w:sz w:val="24"/>
          <w:lang w:val="en-US" w:eastAsia="zh-CN"/>
        </w:rPr>
        <w:t>产品应满足ISO9001质量认证，ISO 14000 环境认证，CE机械安全认证，辐射安全认证。</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inherit" w:hAnsi="inherit" w:cs="宋体"/>
          <w:color w:val="auto"/>
          <w:kern w:val="0"/>
          <w:sz w:val="24"/>
          <w:highlight w:val="none"/>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b/>
          <w:color w:val="auto"/>
          <w:sz w:val="30"/>
          <w:szCs w:val="30"/>
          <w:highlight w:val="none"/>
        </w:rPr>
      </w:pP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time of new roman">
    <w:altName w:val="微软雅黑"/>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lang w:val="zh-CN"/>
      </w:rP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hZGZiNDQ2Mjg1NTQzOGEzMmZiMzAxMzE3MjZiMWMifQ=="/>
  </w:docVars>
  <w:rsids>
    <w:rsidRoot w:val="00FA3835"/>
    <w:rsid w:val="000050A2"/>
    <w:rsid w:val="000206C1"/>
    <w:rsid w:val="00027C8D"/>
    <w:rsid w:val="00040005"/>
    <w:rsid w:val="000543E7"/>
    <w:rsid w:val="0006010D"/>
    <w:rsid w:val="000668DC"/>
    <w:rsid w:val="00081ADD"/>
    <w:rsid w:val="00085052"/>
    <w:rsid w:val="000922AF"/>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5949"/>
    <w:rsid w:val="00107AF4"/>
    <w:rsid w:val="001140D0"/>
    <w:rsid w:val="001235CA"/>
    <w:rsid w:val="00137D93"/>
    <w:rsid w:val="001437EA"/>
    <w:rsid w:val="00144505"/>
    <w:rsid w:val="00144DDA"/>
    <w:rsid w:val="0014761F"/>
    <w:rsid w:val="00153F11"/>
    <w:rsid w:val="00154F47"/>
    <w:rsid w:val="00155A34"/>
    <w:rsid w:val="00164E27"/>
    <w:rsid w:val="00187304"/>
    <w:rsid w:val="001921CA"/>
    <w:rsid w:val="00194900"/>
    <w:rsid w:val="001A0E56"/>
    <w:rsid w:val="001A6E63"/>
    <w:rsid w:val="001B195C"/>
    <w:rsid w:val="001B5C65"/>
    <w:rsid w:val="001B62CC"/>
    <w:rsid w:val="001B66E1"/>
    <w:rsid w:val="001B6E57"/>
    <w:rsid w:val="001D67C6"/>
    <w:rsid w:val="001D7301"/>
    <w:rsid w:val="001E1467"/>
    <w:rsid w:val="001E152C"/>
    <w:rsid w:val="001E3480"/>
    <w:rsid w:val="001F18B7"/>
    <w:rsid w:val="001F1D2B"/>
    <w:rsid w:val="001F5FAD"/>
    <w:rsid w:val="001F79B6"/>
    <w:rsid w:val="002024C7"/>
    <w:rsid w:val="00206639"/>
    <w:rsid w:val="0021259E"/>
    <w:rsid w:val="00213C28"/>
    <w:rsid w:val="002208E1"/>
    <w:rsid w:val="00224FE7"/>
    <w:rsid w:val="0023013E"/>
    <w:rsid w:val="00233C8A"/>
    <w:rsid w:val="0023407F"/>
    <w:rsid w:val="00240E7B"/>
    <w:rsid w:val="00247ED0"/>
    <w:rsid w:val="00251DB7"/>
    <w:rsid w:val="00275598"/>
    <w:rsid w:val="002761A3"/>
    <w:rsid w:val="0028124D"/>
    <w:rsid w:val="00282A80"/>
    <w:rsid w:val="00282F14"/>
    <w:rsid w:val="00292E0B"/>
    <w:rsid w:val="00293D1D"/>
    <w:rsid w:val="002A05BB"/>
    <w:rsid w:val="002B44BD"/>
    <w:rsid w:val="002B6E7A"/>
    <w:rsid w:val="002B7380"/>
    <w:rsid w:val="002D5C47"/>
    <w:rsid w:val="002E03AA"/>
    <w:rsid w:val="002E6A76"/>
    <w:rsid w:val="002F1704"/>
    <w:rsid w:val="002F6FCA"/>
    <w:rsid w:val="002F7EF8"/>
    <w:rsid w:val="00301191"/>
    <w:rsid w:val="00316BEC"/>
    <w:rsid w:val="00322611"/>
    <w:rsid w:val="003248D5"/>
    <w:rsid w:val="00326D72"/>
    <w:rsid w:val="0033189B"/>
    <w:rsid w:val="003442AE"/>
    <w:rsid w:val="0034443A"/>
    <w:rsid w:val="003474B8"/>
    <w:rsid w:val="00353E66"/>
    <w:rsid w:val="00357C16"/>
    <w:rsid w:val="003637C6"/>
    <w:rsid w:val="003654F9"/>
    <w:rsid w:val="003732CC"/>
    <w:rsid w:val="00373B63"/>
    <w:rsid w:val="00374F9A"/>
    <w:rsid w:val="003752C8"/>
    <w:rsid w:val="00382C0C"/>
    <w:rsid w:val="00384D29"/>
    <w:rsid w:val="00397F24"/>
    <w:rsid w:val="003A298A"/>
    <w:rsid w:val="003B4F45"/>
    <w:rsid w:val="003B6193"/>
    <w:rsid w:val="003C172D"/>
    <w:rsid w:val="003C7092"/>
    <w:rsid w:val="003C785A"/>
    <w:rsid w:val="003D2B81"/>
    <w:rsid w:val="003F5F7A"/>
    <w:rsid w:val="003F76EE"/>
    <w:rsid w:val="004043A2"/>
    <w:rsid w:val="00404EA5"/>
    <w:rsid w:val="00415144"/>
    <w:rsid w:val="00420D92"/>
    <w:rsid w:val="0042297A"/>
    <w:rsid w:val="004362C7"/>
    <w:rsid w:val="0044106E"/>
    <w:rsid w:val="00446E68"/>
    <w:rsid w:val="00447503"/>
    <w:rsid w:val="0046038A"/>
    <w:rsid w:val="00471176"/>
    <w:rsid w:val="00484FF8"/>
    <w:rsid w:val="004874D5"/>
    <w:rsid w:val="00491CC1"/>
    <w:rsid w:val="00494102"/>
    <w:rsid w:val="004A0EB1"/>
    <w:rsid w:val="004A3B49"/>
    <w:rsid w:val="004A5C14"/>
    <w:rsid w:val="004B3476"/>
    <w:rsid w:val="004B36B8"/>
    <w:rsid w:val="004B7C30"/>
    <w:rsid w:val="004C387C"/>
    <w:rsid w:val="004D0AB9"/>
    <w:rsid w:val="004E042A"/>
    <w:rsid w:val="004E4504"/>
    <w:rsid w:val="004F0FDE"/>
    <w:rsid w:val="004F3E07"/>
    <w:rsid w:val="00504FD3"/>
    <w:rsid w:val="00512882"/>
    <w:rsid w:val="005134AD"/>
    <w:rsid w:val="005143FF"/>
    <w:rsid w:val="00516FEB"/>
    <w:rsid w:val="005244F5"/>
    <w:rsid w:val="00524665"/>
    <w:rsid w:val="005333F9"/>
    <w:rsid w:val="00543C0A"/>
    <w:rsid w:val="0054699B"/>
    <w:rsid w:val="005515EB"/>
    <w:rsid w:val="0055226E"/>
    <w:rsid w:val="00552E7C"/>
    <w:rsid w:val="005601D0"/>
    <w:rsid w:val="005613B2"/>
    <w:rsid w:val="0056304A"/>
    <w:rsid w:val="005656BB"/>
    <w:rsid w:val="0057066D"/>
    <w:rsid w:val="00572671"/>
    <w:rsid w:val="00590BEF"/>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1EE6"/>
    <w:rsid w:val="00602911"/>
    <w:rsid w:val="00602A7A"/>
    <w:rsid w:val="0060509A"/>
    <w:rsid w:val="006125F5"/>
    <w:rsid w:val="00612A9B"/>
    <w:rsid w:val="00614D00"/>
    <w:rsid w:val="006225E2"/>
    <w:rsid w:val="0062676A"/>
    <w:rsid w:val="00640DB1"/>
    <w:rsid w:val="006416E9"/>
    <w:rsid w:val="0064545D"/>
    <w:rsid w:val="00646C82"/>
    <w:rsid w:val="00647CD5"/>
    <w:rsid w:val="006548A6"/>
    <w:rsid w:val="00655478"/>
    <w:rsid w:val="00655B80"/>
    <w:rsid w:val="00660515"/>
    <w:rsid w:val="00664D7F"/>
    <w:rsid w:val="006713CD"/>
    <w:rsid w:val="006810E3"/>
    <w:rsid w:val="00681C84"/>
    <w:rsid w:val="006A377B"/>
    <w:rsid w:val="006A6511"/>
    <w:rsid w:val="006B0930"/>
    <w:rsid w:val="006C1EC0"/>
    <w:rsid w:val="006C4384"/>
    <w:rsid w:val="006C5135"/>
    <w:rsid w:val="006C546E"/>
    <w:rsid w:val="006D29F2"/>
    <w:rsid w:val="006E2DE0"/>
    <w:rsid w:val="006E5A8E"/>
    <w:rsid w:val="0070081C"/>
    <w:rsid w:val="0071653B"/>
    <w:rsid w:val="00721985"/>
    <w:rsid w:val="00724C84"/>
    <w:rsid w:val="007252A8"/>
    <w:rsid w:val="00725C0A"/>
    <w:rsid w:val="00726300"/>
    <w:rsid w:val="0073119D"/>
    <w:rsid w:val="0073199C"/>
    <w:rsid w:val="007376B0"/>
    <w:rsid w:val="00740508"/>
    <w:rsid w:val="00740A78"/>
    <w:rsid w:val="00741A82"/>
    <w:rsid w:val="00743776"/>
    <w:rsid w:val="00751428"/>
    <w:rsid w:val="00753063"/>
    <w:rsid w:val="0075674B"/>
    <w:rsid w:val="00761F2B"/>
    <w:rsid w:val="00762D39"/>
    <w:rsid w:val="00763B74"/>
    <w:rsid w:val="007731D0"/>
    <w:rsid w:val="00775B16"/>
    <w:rsid w:val="00785A0A"/>
    <w:rsid w:val="00786491"/>
    <w:rsid w:val="00787CED"/>
    <w:rsid w:val="007905E0"/>
    <w:rsid w:val="0079112E"/>
    <w:rsid w:val="00791C1F"/>
    <w:rsid w:val="007967F8"/>
    <w:rsid w:val="007A3772"/>
    <w:rsid w:val="007A3CCF"/>
    <w:rsid w:val="007C2696"/>
    <w:rsid w:val="007C4C31"/>
    <w:rsid w:val="007C5EA5"/>
    <w:rsid w:val="007D381E"/>
    <w:rsid w:val="007D3EE2"/>
    <w:rsid w:val="007E03CA"/>
    <w:rsid w:val="007E6193"/>
    <w:rsid w:val="007E67CC"/>
    <w:rsid w:val="007F2F97"/>
    <w:rsid w:val="007F387D"/>
    <w:rsid w:val="007F7152"/>
    <w:rsid w:val="008203E6"/>
    <w:rsid w:val="00822633"/>
    <w:rsid w:val="00830107"/>
    <w:rsid w:val="00831B02"/>
    <w:rsid w:val="00833174"/>
    <w:rsid w:val="00846609"/>
    <w:rsid w:val="00852958"/>
    <w:rsid w:val="00864F77"/>
    <w:rsid w:val="008661F8"/>
    <w:rsid w:val="008712FA"/>
    <w:rsid w:val="00876AA9"/>
    <w:rsid w:val="00876EFF"/>
    <w:rsid w:val="00883AB2"/>
    <w:rsid w:val="008861B2"/>
    <w:rsid w:val="0089155D"/>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12E"/>
    <w:rsid w:val="00930CDE"/>
    <w:rsid w:val="00935AA1"/>
    <w:rsid w:val="00944891"/>
    <w:rsid w:val="009451DC"/>
    <w:rsid w:val="009467F2"/>
    <w:rsid w:val="0095655E"/>
    <w:rsid w:val="009718ED"/>
    <w:rsid w:val="0097297B"/>
    <w:rsid w:val="0098154C"/>
    <w:rsid w:val="0098549E"/>
    <w:rsid w:val="009857EF"/>
    <w:rsid w:val="009941D8"/>
    <w:rsid w:val="00995597"/>
    <w:rsid w:val="009A2C18"/>
    <w:rsid w:val="009C0A0B"/>
    <w:rsid w:val="009C14BD"/>
    <w:rsid w:val="009C621D"/>
    <w:rsid w:val="009D1AF8"/>
    <w:rsid w:val="009E1C84"/>
    <w:rsid w:val="009E32D4"/>
    <w:rsid w:val="009E4080"/>
    <w:rsid w:val="009E4DCB"/>
    <w:rsid w:val="009E580F"/>
    <w:rsid w:val="009E5FCF"/>
    <w:rsid w:val="009F5A6A"/>
    <w:rsid w:val="00A0205F"/>
    <w:rsid w:val="00A04E9D"/>
    <w:rsid w:val="00A06893"/>
    <w:rsid w:val="00A21886"/>
    <w:rsid w:val="00A25682"/>
    <w:rsid w:val="00A2638C"/>
    <w:rsid w:val="00A27417"/>
    <w:rsid w:val="00A27AFD"/>
    <w:rsid w:val="00A354A8"/>
    <w:rsid w:val="00A4031E"/>
    <w:rsid w:val="00A44A2B"/>
    <w:rsid w:val="00A46F60"/>
    <w:rsid w:val="00A51826"/>
    <w:rsid w:val="00A53234"/>
    <w:rsid w:val="00A55E4D"/>
    <w:rsid w:val="00A57F47"/>
    <w:rsid w:val="00A870BB"/>
    <w:rsid w:val="00A944DF"/>
    <w:rsid w:val="00AA7A0D"/>
    <w:rsid w:val="00AB113B"/>
    <w:rsid w:val="00AD2FD2"/>
    <w:rsid w:val="00AD41E6"/>
    <w:rsid w:val="00AD4ECF"/>
    <w:rsid w:val="00AD70C8"/>
    <w:rsid w:val="00AF6067"/>
    <w:rsid w:val="00B0445C"/>
    <w:rsid w:val="00B07AAD"/>
    <w:rsid w:val="00B13E9B"/>
    <w:rsid w:val="00B15273"/>
    <w:rsid w:val="00B16887"/>
    <w:rsid w:val="00B1746F"/>
    <w:rsid w:val="00B27A2B"/>
    <w:rsid w:val="00B31F00"/>
    <w:rsid w:val="00B351A2"/>
    <w:rsid w:val="00B41959"/>
    <w:rsid w:val="00B42C18"/>
    <w:rsid w:val="00B43CF7"/>
    <w:rsid w:val="00B44327"/>
    <w:rsid w:val="00B53944"/>
    <w:rsid w:val="00B61FDD"/>
    <w:rsid w:val="00B75B80"/>
    <w:rsid w:val="00B81149"/>
    <w:rsid w:val="00B8672D"/>
    <w:rsid w:val="00B94FB1"/>
    <w:rsid w:val="00BC4B24"/>
    <w:rsid w:val="00BC7FBC"/>
    <w:rsid w:val="00BD11D6"/>
    <w:rsid w:val="00BD2A3B"/>
    <w:rsid w:val="00BD646D"/>
    <w:rsid w:val="00BD6A33"/>
    <w:rsid w:val="00BD7ED0"/>
    <w:rsid w:val="00BE5E06"/>
    <w:rsid w:val="00BE643E"/>
    <w:rsid w:val="00BE7CED"/>
    <w:rsid w:val="00BF59BF"/>
    <w:rsid w:val="00C019B6"/>
    <w:rsid w:val="00C056B5"/>
    <w:rsid w:val="00C10630"/>
    <w:rsid w:val="00C12939"/>
    <w:rsid w:val="00C132FC"/>
    <w:rsid w:val="00C14E3B"/>
    <w:rsid w:val="00C23BA4"/>
    <w:rsid w:val="00C241B2"/>
    <w:rsid w:val="00C34485"/>
    <w:rsid w:val="00C40AB3"/>
    <w:rsid w:val="00C43805"/>
    <w:rsid w:val="00C43E24"/>
    <w:rsid w:val="00C45235"/>
    <w:rsid w:val="00C60EF2"/>
    <w:rsid w:val="00C615B2"/>
    <w:rsid w:val="00C702F0"/>
    <w:rsid w:val="00C72836"/>
    <w:rsid w:val="00C74553"/>
    <w:rsid w:val="00C8112C"/>
    <w:rsid w:val="00C87EF4"/>
    <w:rsid w:val="00CA623E"/>
    <w:rsid w:val="00CA630F"/>
    <w:rsid w:val="00CB4EB2"/>
    <w:rsid w:val="00CB7A41"/>
    <w:rsid w:val="00CC2250"/>
    <w:rsid w:val="00CC7A0B"/>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5F69"/>
    <w:rsid w:val="00D778D7"/>
    <w:rsid w:val="00D83934"/>
    <w:rsid w:val="00D861C3"/>
    <w:rsid w:val="00D91A0C"/>
    <w:rsid w:val="00D9239C"/>
    <w:rsid w:val="00D95955"/>
    <w:rsid w:val="00D979AB"/>
    <w:rsid w:val="00DA5817"/>
    <w:rsid w:val="00DA590C"/>
    <w:rsid w:val="00DA703D"/>
    <w:rsid w:val="00DB54CF"/>
    <w:rsid w:val="00DC1546"/>
    <w:rsid w:val="00DD2172"/>
    <w:rsid w:val="00DD2E76"/>
    <w:rsid w:val="00DD4A09"/>
    <w:rsid w:val="00DD4C25"/>
    <w:rsid w:val="00DD6A1F"/>
    <w:rsid w:val="00DE4C00"/>
    <w:rsid w:val="00DE5C67"/>
    <w:rsid w:val="00DF2449"/>
    <w:rsid w:val="00DF7ACF"/>
    <w:rsid w:val="00E004CA"/>
    <w:rsid w:val="00E03391"/>
    <w:rsid w:val="00E0373B"/>
    <w:rsid w:val="00E07308"/>
    <w:rsid w:val="00E179B5"/>
    <w:rsid w:val="00E26286"/>
    <w:rsid w:val="00E30AC2"/>
    <w:rsid w:val="00E33D84"/>
    <w:rsid w:val="00E34813"/>
    <w:rsid w:val="00E356D2"/>
    <w:rsid w:val="00E401B3"/>
    <w:rsid w:val="00E458DA"/>
    <w:rsid w:val="00E4741B"/>
    <w:rsid w:val="00E5687E"/>
    <w:rsid w:val="00E639CC"/>
    <w:rsid w:val="00E63D5B"/>
    <w:rsid w:val="00E671AD"/>
    <w:rsid w:val="00E7142B"/>
    <w:rsid w:val="00E83E40"/>
    <w:rsid w:val="00E857B8"/>
    <w:rsid w:val="00E907E5"/>
    <w:rsid w:val="00E943B8"/>
    <w:rsid w:val="00EA11F7"/>
    <w:rsid w:val="00EA20B9"/>
    <w:rsid w:val="00EA4549"/>
    <w:rsid w:val="00EB3234"/>
    <w:rsid w:val="00ED0B37"/>
    <w:rsid w:val="00ED22DF"/>
    <w:rsid w:val="00ED4C66"/>
    <w:rsid w:val="00ED6781"/>
    <w:rsid w:val="00EE4BD8"/>
    <w:rsid w:val="00EF383F"/>
    <w:rsid w:val="00EF5BA0"/>
    <w:rsid w:val="00EF64B8"/>
    <w:rsid w:val="00EF658F"/>
    <w:rsid w:val="00F1300D"/>
    <w:rsid w:val="00F13600"/>
    <w:rsid w:val="00F15FC0"/>
    <w:rsid w:val="00F17042"/>
    <w:rsid w:val="00F175D1"/>
    <w:rsid w:val="00F21DA9"/>
    <w:rsid w:val="00F22A75"/>
    <w:rsid w:val="00F30C1E"/>
    <w:rsid w:val="00F3185D"/>
    <w:rsid w:val="00F35217"/>
    <w:rsid w:val="00F35C50"/>
    <w:rsid w:val="00F36C43"/>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C1FDD"/>
    <w:rsid w:val="00FE3D91"/>
    <w:rsid w:val="00FE55D2"/>
    <w:rsid w:val="00FF3E9D"/>
    <w:rsid w:val="00FF728E"/>
    <w:rsid w:val="011B6D03"/>
    <w:rsid w:val="012A4E2C"/>
    <w:rsid w:val="0146689C"/>
    <w:rsid w:val="01B6221C"/>
    <w:rsid w:val="03822CFE"/>
    <w:rsid w:val="03B210F3"/>
    <w:rsid w:val="03B5505D"/>
    <w:rsid w:val="04B118FC"/>
    <w:rsid w:val="05121E5F"/>
    <w:rsid w:val="06BA2C89"/>
    <w:rsid w:val="06C12717"/>
    <w:rsid w:val="07002453"/>
    <w:rsid w:val="08B258EB"/>
    <w:rsid w:val="09A45050"/>
    <w:rsid w:val="09D96A1A"/>
    <w:rsid w:val="0A5B05D9"/>
    <w:rsid w:val="0AE0030A"/>
    <w:rsid w:val="0B7A056A"/>
    <w:rsid w:val="0B927CBA"/>
    <w:rsid w:val="0C681B81"/>
    <w:rsid w:val="0CC46135"/>
    <w:rsid w:val="0D7C256C"/>
    <w:rsid w:val="0DD358E2"/>
    <w:rsid w:val="0E06452B"/>
    <w:rsid w:val="0E2B1ADA"/>
    <w:rsid w:val="0E5232CD"/>
    <w:rsid w:val="0E7C36A7"/>
    <w:rsid w:val="0E7E0566"/>
    <w:rsid w:val="0E820E5D"/>
    <w:rsid w:val="10630D41"/>
    <w:rsid w:val="10812156"/>
    <w:rsid w:val="10AD38CA"/>
    <w:rsid w:val="10E279BE"/>
    <w:rsid w:val="10FD3672"/>
    <w:rsid w:val="116F23E8"/>
    <w:rsid w:val="13B3093C"/>
    <w:rsid w:val="14BF5570"/>
    <w:rsid w:val="15431BC1"/>
    <w:rsid w:val="157E709D"/>
    <w:rsid w:val="15F35578"/>
    <w:rsid w:val="16255094"/>
    <w:rsid w:val="182757CA"/>
    <w:rsid w:val="18513720"/>
    <w:rsid w:val="18B02F9E"/>
    <w:rsid w:val="191608B9"/>
    <w:rsid w:val="19CA335A"/>
    <w:rsid w:val="1A895A2E"/>
    <w:rsid w:val="1AA41E68"/>
    <w:rsid w:val="1AD722FD"/>
    <w:rsid w:val="1B0421DB"/>
    <w:rsid w:val="1B601DCB"/>
    <w:rsid w:val="1B7F7E70"/>
    <w:rsid w:val="1B9E3D36"/>
    <w:rsid w:val="1C8F2A04"/>
    <w:rsid w:val="1CCE50AB"/>
    <w:rsid w:val="1CD468D8"/>
    <w:rsid w:val="1D091C84"/>
    <w:rsid w:val="1D3E4C23"/>
    <w:rsid w:val="1D760135"/>
    <w:rsid w:val="1E0265AE"/>
    <w:rsid w:val="1E166652"/>
    <w:rsid w:val="1E682F46"/>
    <w:rsid w:val="1E85E130"/>
    <w:rsid w:val="1EB8717C"/>
    <w:rsid w:val="1F100D66"/>
    <w:rsid w:val="1F105F79"/>
    <w:rsid w:val="1F54565A"/>
    <w:rsid w:val="1F6F4139"/>
    <w:rsid w:val="218B2C39"/>
    <w:rsid w:val="21D70261"/>
    <w:rsid w:val="22291A3F"/>
    <w:rsid w:val="232C78EC"/>
    <w:rsid w:val="2377224A"/>
    <w:rsid w:val="23A7419A"/>
    <w:rsid w:val="23D43367"/>
    <w:rsid w:val="243F7370"/>
    <w:rsid w:val="262B4CB4"/>
    <w:rsid w:val="2630502B"/>
    <w:rsid w:val="26B807B0"/>
    <w:rsid w:val="26C83883"/>
    <w:rsid w:val="26D25C1B"/>
    <w:rsid w:val="277B1CD6"/>
    <w:rsid w:val="294067C0"/>
    <w:rsid w:val="2A233FCE"/>
    <w:rsid w:val="2A8E004C"/>
    <w:rsid w:val="2B9E76FA"/>
    <w:rsid w:val="2BC1063F"/>
    <w:rsid w:val="2C5168F6"/>
    <w:rsid w:val="2D230ADF"/>
    <w:rsid w:val="2D5179CF"/>
    <w:rsid w:val="2DFF6B75"/>
    <w:rsid w:val="2E0E0B66"/>
    <w:rsid w:val="2EB36247"/>
    <w:rsid w:val="30183F1E"/>
    <w:rsid w:val="30292B21"/>
    <w:rsid w:val="31CC4FC0"/>
    <w:rsid w:val="327F0D3B"/>
    <w:rsid w:val="328E6C13"/>
    <w:rsid w:val="34AD3848"/>
    <w:rsid w:val="34D62889"/>
    <w:rsid w:val="35076310"/>
    <w:rsid w:val="35224842"/>
    <w:rsid w:val="35C0542C"/>
    <w:rsid w:val="36847D69"/>
    <w:rsid w:val="368C042F"/>
    <w:rsid w:val="368C11B1"/>
    <w:rsid w:val="36965A7B"/>
    <w:rsid w:val="38740160"/>
    <w:rsid w:val="39C30C0C"/>
    <w:rsid w:val="3AB412B2"/>
    <w:rsid w:val="3AF66579"/>
    <w:rsid w:val="3AFA0DF0"/>
    <w:rsid w:val="3AFF33E8"/>
    <w:rsid w:val="3B81506E"/>
    <w:rsid w:val="3C325184"/>
    <w:rsid w:val="3D476359"/>
    <w:rsid w:val="3D9A658C"/>
    <w:rsid w:val="3DE10046"/>
    <w:rsid w:val="3DEE1D80"/>
    <w:rsid w:val="3E8A3B75"/>
    <w:rsid w:val="3F4177F3"/>
    <w:rsid w:val="3FFC477B"/>
    <w:rsid w:val="408B3A19"/>
    <w:rsid w:val="40AF61D9"/>
    <w:rsid w:val="41045BF5"/>
    <w:rsid w:val="414A4154"/>
    <w:rsid w:val="436A3581"/>
    <w:rsid w:val="43F065F7"/>
    <w:rsid w:val="442F62DC"/>
    <w:rsid w:val="44BD3991"/>
    <w:rsid w:val="45BFB8AB"/>
    <w:rsid w:val="46DB7A17"/>
    <w:rsid w:val="470B1A6B"/>
    <w:rsid w:val="470D6E20"/>
    <w:rsid w:val="47263210"/>
    <w:rsid w:val="477749AA"/>
    <w:rsid w:val="47C16823"/>
    <w:rsid w:val="48333FF5"/>
    <w:rsid w:val="485F1589"/>
    <w:rsid w:val="49DC2C1A"/>
    <w:rsid w:val="49FA5FEB"/>
    <w:rsid w:val="4B3E4CEE"/>
    <w:rsid w:val="4C8E043C"/>
    <w:rsid w:val="4CC31D72"/>
    <w:rsid w:val="4F8462B8"/>
    <w:rsid w:val="50913C64"/>
    <w:rsid w:val="50F33EC0"/>
    <w:rsid w:val="5157551B"/>
    <w:rsid w:val="51CD3614"/>
    <w:rsid w:val="52800E89"/>
    <w:rsid w:val="53EC6754"/>
    <w:rsid w:val="53FC6986"/>
    <w:rsid w:val="55BA1450"/>
    <w:rsid w:val="56220AC4"/>
    <w:rsid w:val="56821842"/>
    <w:rsid w:val="57087F99"/>
    <w:rsid w:val="579B7ED0"/>
    <w:rsid w:val="57C9767E"/>
    <w:rsid w:val="5828649C"/>
    <w:rsid w:val="585F0652"/>
    <w:rsid w:val="5912054F"/>
    <w:rsid w:val="5C1D270E"/>
    <w:rsid w:val="5C8A31FF"/>
    <w:rsid w:val="5D920F8A"/>
    <w:rsid w:val="5ED12060"/>
    <w:rsid w:val="6036685D"/>
    <w:rsid w:val="60712451"/>
    <w:rsid w:val="60F313B0"/>
    <w:rsid w:val="62D25F79"/>
    <w:rsid w:val="62FE5618"/>
    <w:rsid w:val="6382320C"/>
    <w:rsid w:val="653E1685"/>
    <w:rsid w:val="654A5C21"/>
    <w:rsid w:val="65A62CD8"/>
    <w:rsid w:val="66524D8D"/>
    <w:rsid w:val="66730271"/>
    <w:rsid w:val="6710120C"/>
    <w:rsid w:val="67D85B6C"/>
    <w:rsid w:val="690305C1"/>
    <w:rsid w:val="690A5A3A"/>
    <w:rsid w:val="6A601F79"/>
    <w:rsid w:val="6B923E7E"/>
    <w:rsid w:val="6BC21862"/>
    <w:rsid w:val="6C5544DF"/>
    <w:rsid w:val="6C67192F"/>
    <w:rsid w:val="6C7A3290"/>
    <w:rsid w:val="6CBD4F2A"/>
    <w:rsid w:val="6D9A00E6"/>
    <w:rsid w:val="6DDA7AC0"/>
    <w:rsid w:val="6E427DDD"/>
    <w:rsid w:val="6E5D3F90"/>
    <w:rsid w:val="6EC9290D"/>
    <w:rsid w:val="6F135C55"/>
    <w:rsid w:val="71CC0B9C"/>
    <w:rsid w:val="720D24B0"/>
    <w:rsid w:val="72621496"/>
    <w:rsid w:val="727A5D81"/>
    <w:rsid w:val="734D446A"/>
    <w:rsid w:val="73E26E41"/>
    <w:rsid w:val="75616D9B"/>
    <w:rsid w:val="76285B0A"/>
    <w:rsid w:val="762F1382"/>
    <w:rsid w:val="764B5FBB"/>
    <w:rsid w:val="76CB14B6"/>
    <w:rsid w:val="76F123A0"/>
    <w:rsid w:val="77636978"/>
    <w:rsid w:val="78144598"/>
    <w:rsid w:val="78C830A0"/>
    <w:rsid w:val="79B25E17"/>
    <w:rsid w:val="7B356B4E"/>
    <w:rsid w:val="7BFE3341"/>
    <w:rsid w:val="7C0E12FE"/>
    <w:rsid w:val="7D9D4043"/>
    <w:rsid w:val="7DB12889"/>
    <w:rsid w:val="7E7A6107"/>
    <w:rsid w:val="7E821CDD"/>
    <w:rsid w:val="7EE30C9C"/>
    <w:rsid w:val="7EFC6D94"/>
    <w:rsid w:val="7F3E01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36"/>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7"/>
    <w:qFormat/>
    <w:uiPriority w:val="0"/>
    <w:rPr>
      <w:rFonts w:ascii="宋体" w:hAnsi="Courier New"/>
      <w:szCs w:val="20"/>
    </w:rPr>
  </w:style>
  <w:style w:type="paragraph" w:styleId="18">
    <w:name w:val="Date"/>
    <w:basedOn w:val="1"/>
    <w:next w:val="1"/>
    <w:link w:val="38"/>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next w:val="1"/>
    <w:qFormat/>
    <w:uiPriority w:val="0"/>
    <w:pPr>
      <w:tabs>
        <w:tab w:val="center" w:pos="4153"/>
        <w:tab w:val="right" w:pos="8306"/>
      </w:tabs>
      <w:snapToGrid w:val="0"/>
      <w:jc w:val="left"/>
    </w:pPr>
    <w:rPr>
      <w:sz w:val="18"/>
      <w:szCs w:val="18"/>
    </w:rPr>
  </w:style>
  <w:style w:type="paragraph" w:styleId="22">
    <w:name w:val="header"/>
    <w:basedOn w:val="1"/>
    <w:next w:val="23"/>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99"/>
    <w:pPr>
      <w:ind w:left="1260" w:leftChars="600"/>
    </w:pPr>
  </w:style>
  <w:style w:type="paragraph" w:styleId="24">
    <w:name w:val="Body Text 2"/>
    <w:basedOn w:val="1"/>
    <w:qFormat/>
    <w:uiPriority w:val="0"/>
    <w:pPr>
      <w:widowControl/>
    </w:pPr>
    <w:rPr>
      <w:kern w:val="0"/>
      <w:sz w:val="20"/>
      <w:szCs w:val="20"/>
      <w:lang w:eastAsia="en-US"/>
    </w:rPr>
  </w:style>
  <w:style w:type="paragraph" w:styleId="2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6">
    <w:name w:val="Title"/>
    <w:basedOn w:val="1"/>
    <w:qFormat/>
    <w:uiPriority w:val="0"/>
    <w:pPr>
      <w:jc w:val="center"/>
    </w:pPr>
    <w:rPr>
      <w:sz w:val="30"/>
    </w:rPr>
  </w:style>
  <w:style w:type="paragraph" w:styleId="27">
    <w:name w:val="annotation subject"/>
    <w:basedOn w:val="13"/>
    <w:next w:val="13"/>
    <w:link w:val="39"/>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style>
  <w:style w:type="character" w:styleId="33">
    <w:name w:val="Emphasis"/>
    <w:qFormat/>
    <w:uiPriority w:val="20"/>
    <w:rPr>
      <w:i/>
      <w:iCs/>
    </w:rPr>
  </w:style>
  <w:style w:type="character" w:styleId="34">
    <w:name w:val="Hyperlink"/>
    <w:qFormat/>
    <w:uiPriority w:val="0"/>
    <w:rPr>
      <w:color w:val="0000FF"/>
      <w:u w:val="single"/>
    </w:rPr>
  </w:style>
  <w:style w:type="character" w:styleId="35">
    <w:name w:val="annotation reference"/>
    <w:qFormat/>
    <w:uiPriority w:val="0"/>
    <w:rPr>
      <w:sz w:val="21"/>
      <w:szCs w:val="21"/>
    </w:rPr>
  </w:style>
  <w:style w:type="character" w:customStyle="1" w:styleId="36">
    <w:name w:val="批注文字 字符"/>
    <w:link w:val="13"/>
    <w:qFormat/>
    <w:uiPriority w:val="0"/>
    <w:rPr>
      <w:kern w:val="2"/>
      <w:sz w:val="21"/>
      <w:szCs w:val="24"/>
    </w:rPr>
  </w:style>
  <w:style w:type="character" w:customStyle="1" w:styleId="37">
    <w:name w:val="纯文本 字符"/>
    <w:link w:val="17"/>
    <w:qFormat/>
    <w:uiPriority w:val="0"/>
    <w:rPr>
      <w:rFonts w:ascii="宋体" w:hAnsi="Courier New"/>
      <w:kern w:val="2"/>
      <w:sz w:val="21"/>
    </w:rPr>
  </w:style>
  <w:style w:type="character" w:customStyle="1" w:styleId="38">
    <w:name w:val="日期 字符"/>
    <w:link w:val="18"/>
    <w:qFormat/>
    <w:uiPriority w:val="0"/>
    <w:rPr>
      <w:rFonts w:eastAsia="宋体"/>
      <w:kern w:val="2"/>
      <w:sz w:val="21"/>
      <w:lang w:val="en-US" w:eastAsia="zh-CN" w:bidi="ar-SA"/>
    </w:rPr>
  </w:style>
  <w:style w:type="character" w:customStyle="1" w:styleId="39">
    <w:name w:val="批注主题 字符"/>
    <w:link w:val="27"/>
    <w:qFormat/>
    <w:uiPriority w:val="0"/>
    <w:rPr>
      <w:b/>
      <w:bCs/>
      <w:kern w:val="2"/>
      <w:sz w:val="21"/>
      <w:szCs w:val="24"/>
    </w:rPr>
  </w:style>
  <w:style w:type="character" w:customStyle="1" w:styleId="40">
    <w:name w:val=" Char"/>
    <w:qFormat/>
    <w:uiPriority w:val="0"/>
    <w:rPr>
      <w:rFonts w:ascii="宋体" w:hAnsi="Courier New" w:eastAsia="宋体"/>
      <w:kern w:val="2"/>
      <w:sz w:val="21"/>
      <w:lang w:val="en-US" w:eastAsia="zh-CN" w:bidi="ar-SA"/>
    </w:rPr>
  </w:style>
  <w:style w:type="paragraph" w:customStyle="1" w:styleId="41">
    <w:name w:val=" Char1"/>
    <w:basedOn w:val="1"/>
    <w:qFormat/>
    <w:uiPriority w:val="0"/>
    <w:rPr>
      <w:rFonts w:ascii="Tahoma" w:hAnsi="Tahoma"/>
      <w:sz w:val="24"/>
      <w:szCs w:val="20"/>
    </w:rPr>
  </w:style>
  <w:style w:type="paragraph" w:customStyle="1" w:styleId="42">
    <w:name w:val="彩色列表 - 强调文字颜色 11"/>
    <w:basedOn w:val="1"/>
    <w:qFormat/>
    <w:uiPriority w:val="34"/>
    <w:pPr>
      <w:ind w:firstLine="420" w:firstLineChars="200"/>
    </w:pPr>
    <w:rPr>
      <w:rFonts w:ascii="Calibri" w:hAnsi="Calibri"/>
      <w:szCs w:val="22"/>
    </w:rPr>
  </w:style>
  <w:style w:type="paragraph" w:customStyle="1" w:styleId="43">
    <w:name w:val="Body Text 2"/>
    <w:basedOn w:val="1"/>
    <w:qFormat/>
    <w:uiPriority w:val="0"/>
    <w:pPr>
      <w:adjustRightInd w:val="0"/>
      <w:spacing w:before="120" w:line="360" w:lineRule="auto"/>
      <w:ind w:firstLine="480"/>
      <w:textAlignment w:val="baseline"/>
    </w:pPr>
    <w:rPr>
      <w:sz w:val="24"/>
      <w:szCs w:val="20"/>
    </w:rPr>
  </w:style>
  <w:style w:type="paragraph" w:customStyle="1" w:styleId="44">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5">
    <w:name w:val="Body Text Indent 2"/>
    <w:basedOn w:val="1"/>
    <w:qFormat/>
    <w:uiPriority w:val="0"/>
    <w:pPr>
      <w:adjustRightInd w:val="0"/>
      <w:spacing w:before="120"/>
      <w:ind w:firstLine="420"/>
      <w:textAlignment w:val="baseline"/>
    </w:pPr>
    <w:rPr>
      <w:sz w:val="24"/>
      <w:szCs w:val="20"/>
    </w:rPr>
  </w:style>
  <w:style w:type="character" w:customStyle="1" w:styleId="46">
    <w:name w:val="ng-binding"/>
    <w:qFormat/>
    <w:uiPriority w:val="0"/>
  </w:style>
  <w:style w:type="character" w:customStyle="1" w:styleId="47">
    <w:name w:val="tgt1"/>
    <w:qFormat/>
    <w:uiPriority w:val="0"/>
  </w:style>
  <w:style w:type="paragraph" w:styleId="48">
    <w:name w:val="List Paragraph"/>
    <w:basedOn w:val="1"/>
    <w:qFormat/>
    <w:uiPriority w:val="34"/>
    <w:pPr>
      <w:ind w:firstLine="420" w:firstLineChars="200"/>
    </w:pPr>
  </w:style>
  <w:style w:type="paragraph" w:customStyle="1" w:styleId="49">
    <w:name w:val="Default"/>
    <w:qFormat/>
    <w:uiPriority w:val="0"/>
    <w:pPr>
      <w:widowControl w:val="0"/>
      <w:autoSpaceDE w:val="0"/>
      <w:autoSpaceDN w:val="0"/>
      <w:adjustRightInd w:val="0"/>
    </w:pPr>
    <w:rPr>
      <w:rFonts w:ascii="Arial" w:hAnsi="Arial" w:eastAsia="宋体" w:cs="Times New Roman"/>
      <w:color w:val="000000"/>
      <w:sz w:val="24"/>
      <w:lang w:val="en-US" w:eastAsia="zh-CN" w:bidi="ar-SA"/>
    </w:rPr>
  </w:style>
  <w:style w:type="character" w:customStyle="1" w:styleId="50">
    <w:name w:val="font61"/>
    <w:basedOn w:val="30"/>
    <w:qFormat/>
    <w:uiPriority w:val="0"/>
    <w:rPr>
      <w:rFonts w:hint="eastAsia" w:ascii="宋体" w:hAnsi="宋体" w:eastAsia="宋体" w:cs="宋体"/>
      <w:color w:val="000000"/>
      <w:sz w:val="22"/>
      <w:szCs w:val="22"/>
      <w:u w:val="none"/>
    </w:rPr>
  </w:style>
  <w:style w:type="character" w:customStyle="1" w:styleId="51">
    <w:name w:val="16"/>
    <w:basedOn w:val="30"/>
    <w:qFormat/>
    <w:uiPriority w:val="0"/>
    <w:rPr>
      <w:rFonts w:hint="eastAsia" w:ascii="宋体" w:hAnsi="宋体" w:eastAsia="宋体"/>
      <w:color w:val="000000"/>
      <w:sz w:val="22"/>
      <w:szCs w:val="22"/>
    </w:rPr>
  </w:style>
  <w:style w:type="character" w:customStyle="1" w:styleId="52">
    <w:name w:val="15"/>
    <w:basedOn w:val="30"/>
    <w:qFormat/>
    <w:uiPriority w:val="0"/>
    <w:rPr>
      <w:rFonts w:hint="default" w:ascii="Arial" w:hAnsi="Arial" w:cs="Arial"/>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28</Pages>
  <Words>12369</Words>
  <Characters>13597</Characters>
  <Lines>99</Lines>
  <Paragraphs>27</Paragraphs>
  <TotalTime>1</TotalTime>
  <ScaleCrop>false</ScaleCrop>
  <LinksUpToDate>false</LinksUpToDate>
  <CharactersWithSpaces>13931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2023-09-22T03:27:00Z</dcterms:created>
  <dc:creator>caowuning</dc:creator>
  <cp:lastModifiedBy>C.X.F</cp:lastModifiedBy>
  <cp:lastPrinted>2009-04-21T17:03:00Z</cp:lastPrinted>
  <dcterms:modified xsi:type="dcterms:W3CDTF">2024-06-20T05:50:28Z</dcterms:modified>
  <dc:title>北 京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705CF4ADF4C34D97AF8A4B320510918F_13</vt:lpwstr>
  </property>
</Properties>
</file>