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130337">
      <w:pPr>
        <w:pStyle w:val="18"/>
        <w:jc w:val="both"/>
        <w:rPr>
          <w:rFonts w:hint="eastAsia" w:hAnsi="宋体"/>
          <w:b/>
          <w:bCs/>
          <w:color w:val="auto"/>
          <w:w w:val="95"/>
          <w:sz w:val="32"/>
          <w:szCs w:val="32"/>
          <w:lang w:eastAsia="zh-CN"/>
        </w:rPr>
      </w:pPr>
    </w:p>
    <w:p w14:paraId="3D7CCEA2">
      <w:pPr>
        <w:pStyle w:val="14"/>
        <w:jc w:val="center"/>
        <w:rPr>
          <w:rFonts w:hint="default" w:ascii="宋体" w:hAnsi="宋体" w:eastAsia="宋体" w:cs="Times New Roman"/>
          <w:b/>
          <w:bCs/>
          <w:color w:val="auto"/>
          <w:spacing w:val="0"/>
          <w:kern w:val="0"/>
          <w:sz w:val="72"/>
          <w:szCs w:val="20"/>
          <w:lang w:val="en-US" w:eastAsia="zh-CN" w:bidi="ar-SA"/>
        </w:rPr>
      </w:pPr>
      <w:r>
        <w:rPr>
          <w:rFonts w:hint="eastAsia" w:ascii="宋体" w:hAnsi="宋体" w:eastAsia="宋体" w:cs="Times New Roman"/>
          <w:b/>
          <w:bCs/>
          <w:color w:val="auto"/>
          <w:spacing w:val="0"/>
          <w:kern w:val="0"/>
          <w:sz w:val="72"/>
          <w:szCs w:val="20"/>
          <w:lang w:val="en-US" w:eastAsia="zh-CN" w:bidi="ar-SA"/>
        </w:rPr>
        <w:t>怒江职业技术学院民宿数字化实训室项目</w:t>
      </w:r>
    </w:p>
    <w:p w14:paraId="3319DDF2">
      <w:pPr>
        <w:pStyle w:val="14"/>
        <w:jc w:val="center"/>
        <w:rPr>
          <w:rFonts w:hint="eastAsia" w:ascii="宋体" w:hAnsi="宋体"/>
          <w:b w:val="0"/>
          <w:bCs/>
          <w:color w:val="auto"/>
          <w:w w:val="95"/>
          <w:kern w:val="0"/>
          <w:sz w:val="36"/>
          <w:szCs w:val="36"/>
          <w:lang w:eastAsia="zh-CN"/>
        </w:rPr>
      </w:pPr>
    </w:p>
    <w:p w14:paraId="6C648805">
      <w:pPr>
        <w:pStyle w:val="14"/>
        <w:jc w:val="center"/>
        <w:rPr>
          <w:rFonts w:hint="eastAsia" w:ascii="宋体" w:hAnsi="宋体"/>
          <w:b w:val="0"/>
          <w:bCs/>
          <w:color w:val="auto"/>
          <w:w w:val="95"/>
          <w:kern w:val="0"/>
          <w:sz w:val="36"/>
          <w:szCs w:val="36"/>
          <w:lang w:eastAsia="zh-CN"/>
        </w:rPr>
      </w:pPr>
    </w:p>
    <w:p w14:paraId="13E63729">
      <w:pPr>
        <w:pStyle w:val="18"/>
        <w:jc w:val="center"/>
        <w:rPr>
          <w:rFonts w:hAnsi="宋体"/>
          <w:b/>
          <w:bCs/>
          <w:color w:val="auto"/>
          <w:sz w:val="72"/>
        </w:rPr>
      </w:pPr>
      <w:r>
        <w:rPr>
          <w:rFonts w:hAnsi="宋体"/>
          <w:b/>
          <w:bCs/>
          <w:color w:val="auto"/>
          <w:sz w:val="72"/>
        </w:rPr>
        <w:t>招 标 文 件</w:t>
      </w:r>
    </w:p>
    <w:p w14:paraId="7644279E">
      <w:pPr>
        <w:rPr>
          <w:rFonts w:hint="eastAsia" w:ascii="宋体" w:hAnsi="宋体"/>
          <w:b/>
          <w:color w:val="auto"/>
          <w:sz w:val="72"/>
          <w:szCs w:val="72"/>
        </w:rPr>
      </w:pPr>
    </w:p>
    <w:p w14:paraId="2B675949">
      <w:pPr>
        <w:rPr>
          <w:color w:val="auto"/>
        </w:rPr>
      </w:pPr>
    </w:p>
    <w:p w14:paraId="7689B2A3">
      <w:pPr>
        <w:widowControl/>
        <w:jc w:val="center"/>
        <w:rPr>
          <w:rFonts w:hint="default" w:ascii="Times New Roman" w:hAnsi="宋体" w:eastAsia="宋体" w:cs="宋体"/>
          <w:b/>
          <w:bCs/>
          <w:color w:val="auto"/>
          <w:sz w:val="32"/>
          <w:szCs w:val="32"/>
          <w:lang w:val="en-US" w:eastAsia="zh-CN"/>
        </w:rPr>
      </w:pPr>
      <w:r>
        <w:rPr>
          <w:rFonts w:hint="eastAsia" w:hAnsi="宋体" w:cs="宋体"/>
          <w:b/>
          <w:bCs/>
          <w:color w:val="auto"/>
          <w:sz w:val="32"/>
          <w:szCs w:val="32"/>
          <w:lang w:val="en-US" w:eastAsia="zh-CN"/>
        </w:rPr>
        <w:t>项目</w:t>
      </w:r>
      <w:r>
        <w:rPr>
          <w:rFonts w:hint="eastAsia" w:hAnsi="宋体" w:cs="宋体"/>
          <w:b/>
          <w:bCs/>
          <w:color w:val="auto"/>
          <w:w w:val="95"/>
          <w:sz w:val="32"/>
          <w:szCs w:val="32"/>
        </w:rPr>
        <w:t>编号：</w:t>
      </w:r>
      <w:r>
        <w:rPr>
          <w:rFonts w:hint="eastAsia" w:hAnsi="宋体" w:cs="宋体"/>
          <w:b/>
          <w:bCs/>
          <w:color w:val="auto"/>
          <w:sz w:val="32"/>
          <w:szCs w:val="32"/>
          <w:lang w:val="en-US" w:eastAsia="zh-CN"/>
        </w:rPr>
        <w:t>SYLZB2026019</w:t>
      </w:r>
    </w:p>
    <w:p w14:paraId="09C5F250">
      <w:pPr>
        <w:spacing w:line="1120" w:lineRule="exact"/>
        <w:jc w:val="center"/>
        <w:rPr>
          <w:rFonts w:ascii="宋体" w:hAnsi="宋体"/>
          <w:b/>
          <w:color w:val="auto"/>
          <w:sz w:val="84"/>
          <w:szCs w:val="84"/>
        </w:rPr>
      </w:pPr>
    </w:p>
    <w:p w14:paraId="3A300983">
      <w:pPr>
        <w:spacing w:line="360" w:lineRule="auto"/>
        <w:ind w:firstLine="885" w:firstLineChars="245"/>
        <w:jc w:val="center"/>
        <w:rPr>
          <w:rFonts w:ascii="宋体" w:hAnsi="宋体"/>
          <w:b/>
          <w:bCs/>
          <w:color w:val="auto"/>
          <w:spacing w:val="-20"/>
          <w:kern w:val="10"/>
          <w:position w:val="14"/>
          <w:sz w:val="32"/>
          <w:szCs w:val="32"/>
        </w:rPr>
      </w:pPr>
      <w:r>
        <w:rPr>
          <w:rFonts w:hint="eastAsia" w:ascii="宋体" w:hAnsi="宋体" w:eastAsia="宋体"/>
          <w:b/>
          <w:color w:val="auto"/>
          <w:sz w:val="36"/>
          <w:szCs w:val="36"/>
          <w:lang w:eastAsia="zh-CN"/>
        </w:rPr>
        <w:drawing>
          <wp:inline distT="0" distB="0" distL="114300" distR="114300">
            <wp:extent cx="3237230" cy="2491740"/>
            <wp:effectExtent l="0" t="0" r="0" b="0"/>
            <wp:docPr id="1" name="图片 13" descr="石月亮招标-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3" descr="石月亮招标-01"/>
                    <pic:cNvPicPr>
                      <a:picLocks noChangeAspect="1"/>
                    </pic:cNvPicPr>
                  </pic:nvPicPr>
                  <pic:blipFill>
                    <a:blip r:embed="rId13"/>
                    <a:stretch>
                      <a:fillRect/>
                    </a:stretch>
                  </pic:blipFill>
                  <pic:spPr>
                    <a:xfrm>
                      <a:off x="0" y="0"/>
                      <a:ext cx="3237230" cy="2491740"/>
                    </a:xfrm>
                    <a:prstGeom prst="rect">
                      <a:avLst/>
                    </a:prstGeom>
                    <a:noFill/>
                    <a:ln>
                      <a:noFill/>
                    </a:ln>
                  </pic:spPr>
                </pic:pic>
              </a:graphicData>
            </a:graphic>
          </wp:inline>
        </w:drawing>
      </w:r>
    </w:p>
    <w:p w14:paraId="2309599A">
      <w:pPr>
        <w:pStyle w:val="18"/>
        <w:jc w:val="center"/>
        <w:rPr>
          <w:rFonts w:hint="default" w:hAnsi="宋体" w:eastAsia="宋体"/>
          <w:b/>
          <w:bCs/>
          <w:color w:val="auto"/>
          <w:w w:val="95"/>
          <w:sz w:val="32"/>
          <w:szCs w:val="32"/>
          <w:lang w:val="en-US" w:eastAsia="zh-CN"/>
        </w:rPr>
      </w:pPr>
      <w:r>
        <w:rPr>
          <w:rFonts w:hint="eastAsia" w:hAnsi="宋体"/>
          <w:b/>
          <w:bCs/>
          <w:color w:val="auto"/>
          <w:w w:val="95"/>
          <w:sz w:val="32"/>
          <w:szCs w:val="32"/>
        </w:rPr>
        <w:t>采</w:t>
      </w:r>
      <w:r>
        <w:rPr>
          <w:rFonts w:hAnsi="宋体"/>
          <w:b/>
          <w:bCs/>
          <w:color w:val="auto"/>
          <w:w w:val="95"/>
          <w:sz w:val="32"/>
          <w:szCs w:val="32"/>
        </w:rPr>
        <w:t xml:space="preserve"> </w:t>
      </w:r>
      <w:r>
        <w:rPr>
          <w:rFonts w:hint="eastAsia" w:hAnsi="宋体"/>
          <w:b/>
          <w:bCs/>
          <w:color w:val="auto"/>
          <w:w w:val="95"/>
          <w:sz w:val="32"/>
          <w:szCs w:val="32"/>
        </w:rPr>
        <w:t>购</w:t>
      </w:r>
      <w:r>
        <w:rPr>
          <w:rFonts w:hAnsi="宋体"/>
          <w:b/>
          <w:bCs/>
          <w:color w:val="auto"/>
          <w:w w:val="95"/>
          <w:sz w:val="32"/>
          <w:szCs w:val="32"/>
        </w:rPr>
        <w:t xml:space="preserve"> </w:t>
      </w:r>
      <w:r>
        <w:rPr>
          <w:rFonts w:hint="eastAsia" w:hAnsi="宋体"/>
          <w:b/>
          <w:bCs/>
          <w:color w:val="auto"/>
          <w:w w:val="95"/>
          <w:sz w:val="32"/>
          <w:szCs w:val="32"/>
        </w:rPr>
        <w:t>人</w:t>
      </w:r>
      <w:r>
        <w:rPr>
          <w:rFonts w:hint="eastAsia" w:hAnsi="宋体"/>
          <w:b/>
          <w:bCs/>
          <w:color w:val="auto"/>
          <w:w w:val="95"/>
          <w:sz w:val="32"/>
          <w:szCs w:val="32"/>
          <w:lang w:val="en-US" w:eastAsia="zh-CN"/>
        </w:rPr>
        <w:t>：怒江傈僳族自治州民族中等专业学校</w:t>
      </w:r>
    </w:p>
    <w:p w14:paraId="31F38300">
      <w:pPr>
        <w:pStyle w:val="18"/>
        <w:jc w:val="center"/>
        <w:rPr>
          <w:rFonts w:hint="eastAsia" w:hAnsi="宋体"/>
          <w:b/>
          <w:bCs/>
          <w:color w:val="auto"/>
          <w:w w:val="95"/>
          <w:sz w:val="32"/>
          <w:szCs w:val="32"/>
          <w:lang w:val="en-US" w:eastAsia="zh-CN"/>
        </w:rPr>
      </w:pPr>
      <w:r>
        <w:rPr>
          <w:rFonts w:hint="eastAsia" w:hAnsi="宋体"/>
          <w:b/>
          <w:bCs/>
          <w:color w:val="auto"/>
          <w:w w:val="95"/>
          <w:sz w:val="32"/>
          <w:szCs w:val="32"/>
          <w:lang w:val="en-US" w:eastAsia="zh-CN"/>
        </w:rPr>
        <w:t xml:space="preserve">    </w:t>
      </w:r>
    </w:p>
    <w:p w14:paraId="12F3B567">
      <w:pPr>
        <w:pStyle w:val="18"/>
        <w:jc w:val="center"/>
        <w:rPr>
          <w:rFonts w:hint="eastAsia" w:hAnsi="宋体" w:eastAsia="宋体" w:cs="Times New Roman"/>
          <w:b/>
          <w:bCs/>
          <w:color w:val="auto"/>
          <w:w w:val="95"/>
          <w:sz w:val="32"/>
          <w:szCs w:val="32"/>
          <w:lang w:val="en-US" w:eastAsia="zh-CN"/>
        </w:rPr>
      </w:pPr>
      <w:r>
        <w:rPr>
          <w:rFonts w:hint="eastAsia" w:hAnsi="宋体"/>
          <w:b/>
          <w:bCs/>
          <w:color w:val="auto"/>
          <w:w w:val="95"/>
          <w:sz w:val="32"/>
          <w:szCs w:val="32"/>
        </w:rPr>
        <w:t>采购代理机构：</w:t>
      </w:r>
      <w:r>
        <w:rPr>
          <w:rFonts w:hint="eastAsia" w:hAnsi="宋体"/>
          <w:b/>
          <w:bCs/>
          <w:color w:val="auto"/>
          <w:w w:val="95"/>
          <w:sz w:val="32"/>
          <w:szCs w:val="32"/>
          <w:lang w:val="en-US" w:eastAsia="zh-CN"/>
        </w:rPr>
        <w:t>怒江石月亮招标有限公司</w:t>
      </w:r>
    </w:p>
    <w:p w14:paraId="0E658CB1">
      <w:pPr>
        <w:spacing w:line="1120" w:lineRule="exact"/>
        <w:ind w:left="141" w:leftChars="67" w:firstLine="131" w:firstLineChars="43"/>
        <w:jc w:val="center"/>
        <w:rPr>
          <w:rFonts w:hint="default"/>
          <w:b/>
          <w:bCs/>
          <w:color w:val="auto"/>
          <w:sz w:val="36"/>
          <w:lang w:val="en-US"/>
        </w:rPr>
        <w:sectPr>
          <w:footerReference r:id="rId5" w:type="first"/>
          <w:headerReference r:id="rId3" w:type="default"/>
          <w:footerReference r:id="rId4" w:type="default"/>
          <w:pgSz w:w="11906" w:h="16838"/>
          <w:pgMar w:top="1097" w:right="1106" w:bottom="1440" w:left="1260" w:header="426" w:footer="851" w:gutter="0"/>
          <w:pgNumType w:start="1"/>
          <w:cols w:space="720" w:num="1"/>
          <w:docGrid w:linePitch="312" w:charSpace="0"/>
        </w:sectPr>
      </w:pPr>
      <w:r>
        <w:rPr>
          <w:rFonts w:hint="eastAsia" w:hAnsi="宋体"/>
          <w:b/>
          <w:bCs/>
          <w:color w:val="auto"/>
          <w:w w:val="95"/>
          <w:sz w:val="32"/>
          <w:szCs w:val="32"/>
          <w:lang w:val="en-US" w:eastAsia="zh-CN"/>
        </w:rPr>
        <w:t>日期：</w:t>
      </w:r>
      <w:r>
        <w:rPr>
          <w:rFonts w:hint="eastAsia" w:hAnsi="宋体"/>
          <w:b/>
          <w:bCs/>
          <w:color w:val="auto"/>
          <w:w w:val="95"/>
          <w:sz w:val="32"/>
          <w:szCs w:val="32"/>
        </w:rPr>
        <w:t>二○二</w:t>
      </w:r>
      <w:r>
        <w:rPr>
          <w:rFonts w:hint="eastAsia" w:hAnsi="宋体"/>
          <w:b/>
          <w:bCs/>
          <w:color w:val="auto"/>
          <w:w w:val="95"/>
          <w:sz w:val="32"/>
          <w:szCs w:val="32"/>
          <w:lang w:val="en-US" w:eastAsia="zh-CN"/>
        </w:rPr>
        <w:t>六</w:t>
      </w:r>
      <w:r>
        <w:rPr>
          <w:rFonts w:hint="eastAsia" w:hAnsi="宋体"/>
          <w:b/>
          <w:bCs/>
          <w:color w:val="auto"/>
          <w:w w:val="95"/>
          <w:sz w:val="32"/>
          <w:szCs w:val="32"/>
        </w:rPr>
        <w:t>年</w:t>
      </w:r>
      <w:r>
        <w:rPr>
          <w:rFonts w:hint="eastAsia" w:hAnsi="宋体"/>
          <w:b/>
          <w:bCs/>
          <w:color w:val="auto"/>
          <w:w w:val="95"/>
          <w:sz w:val="32"/>
          <w:szCs w:val="32"/>
          <w:lang w:val="en-US" w:eastAsia="zh-CN"/>
        </w:rPr>
        <w:t>五月</w:t>
      </w:r>
    </w:p>
    <w:p w14:paraId="66C5C9A2">
      <w:pPr>
        <w:rPr>
          <w:rFonts w:hAnsi="宋体"/>
          <w:b/>
          <w:bCs/>
          <w:color w:val="auto"/>
          <w:w w:val="95"/>
          <w:sz w:val="32"/>
        </w:rPr>
      </w:pPr>
    </w:p>
    <w:p w14:paraId="7B355059">
      <w:pPr>
        <w:pStyle w:val="18"/>
        <w:jc w:val="center"/>
        <w:rPr>
          <w:rFonts w:hAnsi="宋体"/>
          <w:b/>
          <w:color w:val="auto"/>
          <w:sz w:val="44"/>
        </w:rPr>
      </w:pPr>
      <w:r>
        <w:rPr>
          <w:rFonts w:hAnsi="宋体"/>
          <w:b/>
          <w:color w:val="auto"/>
          <w:sz w:val="44"/>
        </w:rPr>
        <w:t>目   录</w:t>
      </w:r>
    </w:p>
    <w:p w14:paraId="2116BC9D">
      <w:pPr>
        <w:pStyle w:val="25"/>
        <w:tabs>
          <w:tab w:val="right" w:leader="dot" w:pos="8403"/>
          <w:tab w:val="clear" w:pos="9072"/>
        </w:tabs>
      </w:pPr>
      <w:r>
        <w:rPr>
          <w:rFonts w:hint="eastAsia" w:ascii="宋体" w:hAnsi="宋体"/>
          <w:color w:val="auto"/>
          <w:sz w:val="21"/>
          <w:szCs w:val="21"/>
        </w:rPr>
        <w:fldChar w:fldCharType="begin"/>
      </w:r>
      <w:r>
        <w:rPr>
          <w:rFonts w:hint="eastAsia" w:ascii="宋体" w:hAnsi="宋体"/>
          <w:color w:val="auto"/>
          <w:sz w:val="21"/>
          <w:szCs w:val="21"/>
        </w:rPr>
        <w:instrText xml:space="preserve"> TOC \o "1-3" \h \z \u </w:instrText>
      </w:r>
      <w:r>
        <w:rPr>
          <w:rFonts w:hint="eastAsia" w:ascii="宋体" w:hAnsi="宋体"/>
          <w:color w:val="auto"/>
          <w:sz w:val="21"/>
          <w:szCs w:val="21"/>
        </w:rPr>
        <w:fldChar w:fldCharType="separate"/>
      </w:r>
      <w:r>
        <w:rPr>
          <w:rFonts w:hint="eastAsia" w:ascii="宋体" w:hAnsi="宋体"/>
          <w:color w:val="auto"/>
          <w:szCs w:val="21"/>
        </w:rPr>
        <w:fldChar w:fldCharType="begin"/>
      </w:r>
      <w:r>
        <w:rPr>
          <w:rFonts w:hint="eastAsia" w:ascii="宋体" w:hAnsi="宋体"/>
          <w:szCs w:val="21"/>
        </w:rPr>
        <w:instrText xml:space="preserve"> HYPERLINK \l _Toc9 </w:instrText>
      </w:r>
      <w:r>
        <w:rPr>
          <w:rFonts w:hint="eastAsia" w:ascii="宋体" w:hAnsi="宋体"/>
          <w:szCs w:val="21"/>
        </w:rPr>
        <w:fldChar w:fldCharType="separate"/>
      </w:r>
      <w:r>
        <w:rPr>
          <w:rFonts w:hint="eastAsia" w:ascii="宋体" w:hAnsi="宋体" w:eastAsia="宋体" w:cs="宋体"/>
          <w:szCs w:val="28"/>
        </w:rPr>
        <w:t>电子投标文件编制及报送要求</w:t>
      </w:r>
      <w:r>
        <w:tab/>
      </w:r>
      <w:r>
        <w:rPr>
          <w:rFonts w:hint="eastAsia"/>
          <w:lang w:val="en-US" w:eastAsia="zh-CN"/>
        </w:rPr>
        <w:t>4</w:t>
      </w:r>
      <w:r>
        <w:rPr>
          <w:rFonts w:hint="eastAsia" w:ascii="宋体" w:hAnsi="宋体"/>
          <w:color w:val="auto"/>
          <w:szCs w:val="21"/>
        </w:rPr>
        <w:fldChar w:fldCharType="end"/>
      </w:r>
    </w:p>
    <w:p w14:paraId="02C80EE7">
      <w:pPr>
        <w:pStyle w:val="25"/>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_Toc14977 </w:instrText>
      </w:r>
      <w:r>
        <w:rPr>
          <w:rFonts w:hint="eastAsia" w:ascii="宋体" w:hAnsi="宋体"/>
          <w:szCs w:val="21"/>
        </w:rPr>
        <w:fldChar w:fldCharType="separate"/>
      </w:r>
      <w:r>
        <w:rPr>
          <w:rFonts w:hint="eastAsia" w:ascii="宋体" w:hAnsi="宋体" w:eastAsia="宋体"/>
        </w:rPr>
        <w:t xml:space="preserve">第一章 </w:t>
      </w:r>
      <w:r>
        <w:rPr>
          <w:rFonts w:ascii="宋体" w:hAnsi="宋体" w:eastAsia="宋体"/>
        </w:rPr>
        <w:t>招标公告</w:t>
      </w:r>
      <w:r>
        <w:tab/>
      </w:r>
      <w:r>
        <w:fldChar w:fldCharType="begin"/>
      </w:r>
      <w:r>
        <w:instrText xml:space="preserve"> PAGEREF _Toc14977 \h </w:instrText>
      </w:r>
      <w:r>
        <w:fldChar w:fldCharType="separate"/>
      </w:r>
      <w:r>
        <w:t>4</w:t>
      </w:r>
      <w:r>
        <w:fldChar w:fldCharType="end"/>
      </w:r>
      <w:r>
        <w:rPr>
          <w:rFonts w:hint="eastAsia" w:ascii="宋体" w:hAnsi="宋体"/>
          <w:color w:val="auto"/>
          <w:szCs w:val="21"/>
        </w:rPr>
        <w:fldChar w:fldCharType="end"/>
      </w:r>
    </w:p>
    <w:p w14:paraId="6C182607">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_Toc27475 </w:instrText>
      </w:r>
      <w:r>
        <w:rPr>
          <w:rFonts w:hint="eastAsia" w:ascii="宋体" w:hAnsi="宋体"/>
          <w:szCs w:val="21"/>
        </w:rPr>
        <w:fldChar w:fldCharType="separate"/>
      </w:r>
      <w:r>
        <w:rPr>
          <w:rFonts w:hint="eastAsia" w:ascii="宋体" w:hAnsi="宋体" w:eastAsia="宋体"/>
          <w:szCs w:val="21"/>
        </w:rPr>
        <w:t>一、招标条件</w:t>
      </w:r>
      <w:r>
        <w:tab/>
      </w:r>
      <w:r>
        <w:fldChar w:fldCharType="begin"/>
      </w:r>
      <w:r>
        <w:instrText xml:space="preserve"> PAGEREF _Toc27475 \h </w:instrText>
      </w:r>
      <w:r>
        <w:fldChar w:fldCharType="separate"/>
      </w:r>
      <w:r>
        <w:t>4</w:t>
      </w:r>
      <w:r>
        <w:fldChar w:fldCharType="end"/>
      </w:r>
      <w:r>
        <w:rPr>
          <w:rFonts w:hint="eastAsia" w:ascii="宋体" w:hAnsi="宋体"/>
          <w:color w:val="auto"/>
          <w:szCs w:val="21"/>
        </w:rPr>
        <w:fldChar w:fldCharType="end"/>
      </w:r>
    </w:p>
    <w:p w14:paraId="1773D4ED">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_Toc29661 </w:instrText>
      </w:r>
      <w:r>
        <w:rPr>
          <w:rFonts w:hint="eastAsia" w:ascii="宋体" w:hAnsi="宋体"/>
          <w:szCs w:val="21"/>
        </w:rPr>
        <w:fldChar w:fldCharType="separate"/>
      </w:r>
      <w:r>
        <w:rPr>
          <w:rFonts w:hint="eastAsia" w:ascii="宋体" w:hAnsi="宋体" w:eastAsia="宋体"/>
          <w:szCs w:val="21"/>
        </w:rPr>
        <w:t>二、招标概况</w:t>
      </w:r>
      <w:r>
        <w:tab/>
      </w:r>
      <w:r>
        <w:fldChar w:fldCharType="begin"/>
      </w:r>
      <w:r>
        <w:instrText xml:space="preserve"> PAGEREF _Toc29661 \h </w:instrText>
      </w:r>
      <w:r>
        <w:fldChar w:fldCharType="separate"/>
      </w:r>
      <w:r>
        <w:t>4</w:t>
      </w:r>
      <w:r>
        <w:fldChar w:fldCharType="end"/>
      </w:r>
      <w:r>
        <w:rPr>
          <w:rFonts w:hint="eastAsia" w:ascii="宋体" w:hAnsi="宋体"/>
          <w:color w:val="auto"/>
          <w:szCs w:val="21"/>
        </w:rPr>
        <w:fldChar w:fldCharType="end"/>
      </w:r>
    </w:p>
    <w:p w14:paraId="7A42E5D3">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_Toc5682 </w:instrText>
      </w:r>
      <w:r>
        <w:rPr>
          <w:rFonts w:hint="eastAsia" w:ascii="宋体" w:hAnsi="宋体"/>
          <w:szCs w:val="21"/>
        </w:rPr>
        <w:fldChar w:fldCharType="separate"/>
      </w:r>
      <w:r>
        <w:rPr>
          <w:rFonts w:hint="eastAsia" w:ascii="宋体" w:hAnsi="宋体" w:eastAsia="宋体"/>
          <w:szCs w:val="21"/>
        </w:rPr>
        <w:t>三、投标人资格要求</w:t>
      </w:r>
      <w:r>
        <w:tab/>
      </w:r>
      <w:r>
        <w:fldChar w:fldCharType="begin"/>
      </w:r>
      <w:r>
        <w:instrText xml:space="preserve"> PAGEREF _Toc5682 \h </w:instrText>
      </w:r>
      <w:r>
        <w:fldChar w:fldCharType="separate"/>
      </w:r>
      <w:r>
        <w:t>4</w:t>
      </w:r>
      <w:r>
        <w:fldChar w:fldCharType="end"/>
      </w:r>
      <w:r>
        <w:rPr>
          <w:rFonts w:hint="eastAsia" w:ascii="宋体" w:hAnsi="宋体"/>
          <w:color w:val="auto"/>
          <w:szCs w:val="21"/>
        </w:rPr>
        <w:fldChar w:fldCharType="end"/>
      </w:r>
    </w:p>
    <w:p w14:paraId="6D1BCB33">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_Toc5253 </w:instrText>
      </w:r>
      <w:r>
        <w:rPr>
          <w:rFonts w:hint="eastAsia" w:ascii="宋体" w:hAnsi="宋体"/>
          <w:szCs w:val="21"/>
        </w:rPr>
        <w:fldChar w:fldCharType="separate"/>
      </w:r>
      <w:r>
        <w:rPr>
          <w:rFonts w:hint="eastAsia" w:ascii="宋体" w:hAnsi="宋体" w:eastAsia="宋体"/>
          <w:szCs w:val="21"/>
        </w:rPr>
        <w:t>四、招标文件的获取</w:t>
      </w:r>
      <w:r>
        <w:tab/>
      </w:r>
      <w:r>
        <w:fldChar w:fldCharType="begin"/>
      </w:r>
      <w:r>
        <w:instrText xml:space="preserve"> PAGEREF _Toc5253 \h </w:instrText>
      </w:r>
      <w:r>
        <w:fldChar w:fldCharType="separate"/>
      </w:r>
      <w:r>
        <w:t>4</w:t>
      </w:r>
      <w:r>
        <w:fldChar w:fldCharType="end"/>
      </w:r>
      <w:r>
        <w:rPr>
          <w:rFonts w:hint="eastAsia" w:ascii="宋体" w:hAnsi="宋体"/>
          <w:color w:val="auto"/>
          <w:szCs w:val="21"/>
        </w:rPr>
        <w:fldChar w:fldCharType="end"/>
      </w:r>
    </w:p>
    <w:p w14:paraId="3269F96A">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_Toc24069 </w:instrText>
      </w:r>
      <w:r>
        <w:rPr>
          <w:rFonts w:hint="eastAsia" w:ascii="宋体" w:hAnsi="宋体"/>
          <w:szCs w:val="21"/>
        </w:rPr>
        <w:fldChar w:fldCharType="separate"/>
      </w:r>
      <w:r>
        <w:rPr>
          <w:rFonts w:hint="eastAsia" w:ascii="宋体" w:hAnsi="宋体" w:eastAsia="宋体" w:cs="宋体"/>
          <w:bCs/>
          <w:kern w:val="0"/>
          <w:szCs w:val="21"/>
          <w:lang w:val="en-US" w:eastAsia="zh-CN" w:bidi="ar-SA"/>
        </w:rPr>
        <w:t>六、公告期限</w:t>
      </w:r>
      <w:r>
        <w:tab/>
      </w:r>
      <w:r>
        <w:fldChar w:fldCharType="begin"/>
      </w:r>
      <w:r>
        <w:instrText xml:space="preserve"> PAGEREF _Toc24069 \h </w:instrText>
      </w:r>
      <w:r>
        <w:fldChar w:fldCharType="separate"/>
      </w:r>
      <w:r>
        <w:t>5</w:t>
      </w:r>
      <w:r>
        <w:fldChar w:fldCharType="end"/>
      </w:r>
      <w:r>
        <w:rPr>
          <w:rFonts w:hint="eastAsia" w:ascii="宋体" w:hAnsi="宋体"/>
          <w:color w:val="auto"/>
          <w:szCs w:val="21"/>
        </w:rPr>
        <w:fldChar w:fldCharType="end"/>
      </w:r>
    </w:p>
    <w:p w14:paraId="55021CDD">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_Toc5835 </w:instrText>
      </w:r>
      <w:r>
        <w:rPr>
          <w:rFonts w:hint="eastAsia" w:ascii="宋体" w:hAnsi="宋体"/>
          <w:szCs w:val="21"/>
        </w:rPr>
        <w:fldChar w:fldCharType="separate"/>
      </w:r>
      <w:r>
        <w:rPr>
          <w:rFonts w:hint="eastAsia" w:ascii="宋体" w:hAnsi="宋体" w:eastAsia="宋体" w:cs="宋体"/>
          <w:bCs/>
          <w:kern w:val="0"/>
          <w:szCs w:val="21"/>
          <w:lang w:val="en-US" w:eastAsia="zh-CN" w:bidi="ar-SA"/>
        </w:rPr>
        <w:t>七、其他补充事宜</w:t>
      </w:r>
      <w:r>
        <w:tab/>
      </w:r>
      <w:r>
        <w:fldChar w:fldCharType="begin"/>
      </w:r>
      <w:r>
        <w:instrText xml:space="preserve"> PAGEREF _Toc5835 \h </w:instrText>
      </w:r>
      <w:r>
        <w:fldChar w:fldCharType="separate"/>
      </w:r>
      <w:r>
        <w:t>5</w:t>
      </w:r>
      <w:r>
        <w:fldChar w:fldCharType="end"/>
      </w:r>
      <w:r>
        <w:rPr>
          <w:rFonts w:hint="eastAsia" w:ascii="宋体" w:hAnsi="宋体"/>
          <w:color w:val="auto"/>
          <w:szCs w:val="21"/>
        </w:rPr>
        <w:fldChar w:fldCharType="end"/>
      </w:r>
    </w:p>
    <w:p w14:paraId="38774D07">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_Toc17561 </w:instrText>
      </w:r>
      <w:r>
        <w:rPr>
          <w:rFonts w:hint="eastAsia" w:ascii="宋体" w:hAnsi="宋体"/>
          <w:szCs w:val="21"/>
        </w:rPr>
        <w:fldChar w:fldCharType="separate"/>
      </w:r>
      <w:r>
        <w:rPr>
          <w:rFonts w:hint="eastAsia" w:ascii="宋体" w:hAnsi="宋体" w:eastAsia="宋体" w:cs="宋体"/>
          <w:spacing w:val="0"/>
          <w:kern w:val="2"/>
          <w:szCs w:val="21"/>
          <w:lang w:val="en-US" w:eastAsia="zh-CN" w:bidi="ar-SA"/>
        </w:rPr>
        <w:t>1.投标保证金</w:t>
      </w:r>
      <w:r>
        <w:tab/>
      </w:r>
      <w:r>
        <w:rPr>
          <w:rFonts w:hint="eastAsia"/>
          <w:lang w:val="en-US" w:eastAsia="zh-CN"/>
        </w:rPr>
        <w:t>5</w:t>
      </w:r>
      <w:r>
        <w:rPr>
          <w:rFonts w:hint="eastAsia" w:ascii="宋体" w:hAnsi="宋体"/>
          <w:color w:val="auto"/>
          <w:szCs w:val="21"/>
        </w:rPr>
        <w:fldChar w:fldCharType="end"/>
      </w:r>
    </w:p>
    <w:p w14:paraId="39F369EC">
      <w:pPr>
        <w:pStyle w:val="25"/>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_Toc11006 </w:instrText>
      </w:r>
      <w:r>
        <w:rPr>
          <w:rFonts w:hint="eastAsia" w:ascii="宋体" w:hAnsi="宋体"/>
          <w:szCs w:val="21"/>
        </w:rPr>
        <w:fldChar w:fldCharType="separate"/>
      </w:r>
      <w:r>
        <w:rPr>
          <w:rFonts w:ascii="宋体" w:hAnsi="宋体" w:eastAsia="宋体"/>
        </w:rPr>
        <w:t>第二章 投标人须知</w:t>
      </w:r>
      <w:r>
        <w:tab/>
      </w:r>
      <w:r>
        <w:fldChar w:fldCharType="begin"/>
      </w:r>
      <w:r>
        <w:instrText xml:space="preserve"> PAGEREF _Toc11006 \h </w:instrText>
      </w:r>
      <w:r>
        <w:fldChar w:fldCharType="separate"/>
      </w:r>
      <w:r>
        <w:t>6</w:t>
      </w:r>
      <w:r>
        <w:fldChar w:fldCharType="end"/>
      </w:r>
      <w:r>
        <w:rPr>
          <w:rFonts w:hint="eastAsia" w:ascii="宋体" w:hAnsi="宋体"/>
          <w:color w:val="auto"/>
          <w:szCs w:val="21"/>
        </w:rPr>
        <w:fldChar w:fldCharType="end"/>
      </w:r>
    </w:p>
    <w:p w14:paraId="7D116433">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_Toc32722 </w:instrText>
      </w:r>
      <w:r>
        <w:rPr>
          <w:rFonts w:hint="eastAsia" w:ascii="宋体" w:hAnsi="宋体"/>
          <w:szCs w:val="21"/>
        </w:rPr>
        <w:fldChar w:fldCharType="separate"/>
      </w:r>
      <w:r>
        <w:rPr>
          <w:rFonts w:hint="eastAsia" w:ascii="宋体" w:hAnsi="宋体" w:eastAsia="宋体"/>
          <w:szCs w:val="32"/>
        </w:rPr>
        <w:t>投标人须知前附表</w:t>
      </w:r>
      <w:r>
        <w:tab/>
      </w:r>
      <w:r>
        <w:fldChar w:fldCharType="begin"/>
      </w:r>
      <w:r>
        <w:instrText xml:space="preserve"> PAGEREF _Toc32722 \h </w:instrText>
      </w:r>
      <w:r>
        <w:fldChar w:fldCharType="separate"/>
      </w:r>
      <w:r>
        <w:t>6</w:t>
      </w:r>
      <w:r>
        <w:fldChar w:fldCharType="end"/>
      </w:r>
      <w:r>
        <w:rPr>
          <w:rFonts w:hint="eastAsia" w:ascii="宋体" w:hAnsi="宋体"/>
          <w:color w:val="auto"/>
          <w:szCs w:val="21"/>
        </w:rPr>
        <w:fldChar w:fldCharType="end"/>
      </w:r>
    </w:p>
    <w:p w14:paraId="1E5E93B4">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_Toc8958 </w:instrText>
      </w:r>
      <w:r>
        <w:rPr>
          <w:rFonts w:hint="eastAsia" w:ascii="宋体" w:hAnsi="宋体"/>
          <w:szCs w:val="21"/>
        </w:rPr>
        <w:fldChar w:fldCharType="separate"/>
      </w:r>
      <w:r>
        <w:rPr>
          <w:rFonts w:hint="eastAsia" w:ascii="宋体" w:hAnsi="宋体" w:eastAsia="宋体"/>
          <w:szCs w:val="30"/>
        </w:rPr>
        <w:t>一、总  则</w:t>
      </w:r>
      <w:r>
        <w:tab/>
      </w:r>
      <w:r>
        <w:fldChar w:fldCharType="begin"/>
      </w:r>
      <w:r>
        <w:instrText xml:space="preserve"> PAGEREF _Toc8958 \h </w:instrText>
      </w:r>
      <w:r>
        <w:fldChar w:fldCharType="separate"/>
      </w:r>
      <w:r>
        <w:t>8</w:t>
      </w:r>
      <w:r>
        <w:fldChar w:fldCharType="end"/>
      </w:r>
      <w:r>
        <w:rPr>
          <w:rFonts w:hint="eastAsia" w:ascii="宋体" w:hAnsi="宋体"/>
          <w:color w:val="auto"/>
          <w:szCs w:val="21"/>
        </w:rPr>
        <w:fldChar w:fldCharType="end"/>
      </w:r>
    </w:p>
    <w:p w14:paraId="421A8DAE">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_Toc26482 </w:instrText>
      </w:r>
      <w:r>
        <w:rPr>
          <w:rFonts w:hint="eastAsia" w:ascii="宋体" w:hAnsi="宋体"/>
          <w:szCs w:val="21"/>
        </w:rPr>
        <w:fldChar w:fldCharType="separate"/>
      </w:r>
      <w:r>
        <w:rPr>
          <w:rFonts w:hint="eastAsia" w:ascii="宋体" w:hAnsi="宋体" w:eastAsia="宋体" w:cs="宋体"/>
          <w:szCs w:val="21"/>
        </w:rPr>
        <w:t>二、招标文件</w:t>
      </w:r>
      <w:r>
        <w:tab/>
      </w:r>
      <w:r>
        <w:fldChar w:fldCharType="begin"/>
      </w:r>
      <w:r>
        <w:instrText xml:space="preserve"> PAGEREF _Toc26482 \h </w:instrText>
      </w:r>
      <w:r>
        <w:fldChar w:fldCharType="separate"/>
      </w:r>
      <w:r>
        <w:t>9</w:t>
      </w:r>
      <w:r>
        <w:fldChar w:fldCharType="end"/>
      </w:r>
      <w:r>
        <w:rPr>
          <w:rFonts w:hint="eastAsia" w:ascii="宋体" w:hAnsi="宋体"/>
          <w:color w:val="auto"/>
          <w:szCs w:val="21"/>
        </w:rPr>
        <w:fldChar w:fldCharType="end"/>
      </w:r>
    </w:p>
    <w:p w14:paraId="1109439A">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_Toc5983 </w:instrText>
      </w:r>
      <w:r>
        <w:rPr>
          <w:rFonts w:hint="eastAsia" w:ascii="宋体" w:hAnsi="宋体"/>
          <w:szCs w:val="21"/>
        </w:rPr>
        <w:fldChar w:fldCharType="separate"/>
      </w:r>
      <w:r>
        <w:rPr>
          <w:rFonts w:hint="eastAsia" w:ascii="宋体" w:hAnsi="宋体" w:eastAsia="宋体"/>
          <w:szCs w:val="21"/>
        </w:rPr>
        <w:t>三、投标文件</w:t>
      </w:r>
      <w:r>
        <w:tab/>
      </w:r>
      <w:r>
        <w:fldChar w:fldCharType="begin"/>
      </w:r>
      <w:r>
        <w:instrText xml:space="preserve"> PAGEREF _Toc5983 \h </w:instrText>
      </w:r>
      <w:r>
        <w:fldChar w:fldCharType="separate"/>
      </w:r>
      <w:r>
        <w:t>10</w:t>
      </w:r>
      <w:r>
        <w:fldChar w:fldCharType="end"/>
      </w:r>
      <w:r>
        <w:rPr>
          <w:rFonts w:hint="eastAsia" w:ascii="宋体" w:hAnsi="宋体"/>
          <w:color w:val="auto"/>
          <w:szCs w:val="21"/>
        </w:rPr>
        <w:fldChar w:fldCharType="end"/>
      </w:r>
    </w:p>
    <w:p w14:paraId="53A8A8BA">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_Toc14896 </w:instrText>
      </w:r>
      <w:r>
        <w:rPr>
          <w:rFonts w:hint="eastAsia" w:ascii="宋体" w:hAnsi="宋体"/>
          <w:szCs w:val="21"/>
        </w:rPr>
        <w:fldChar w:fldCharType="separate"/>
      </w:r>
      <w:r>
        <w:rPr>
          <w:rFonts w:hint="eastAsia" w:ascii="宋体" w:hAnsi="宋体" w:eastAsia="宋体" w:cs="宋体"/>
          <w:szCs w:val="21"/>
        </w:rPr>
        <w:t>四、投标文件的提交</w:t>
      </w:r>
      <w:r>
        <w:tab/>
      </w:r>
      <w:r>
        <w:fldChar w:fldCharType="begin"/>
      </w:r>
      <w:r>
        <w:instrText xml:space="preserve"> PAGEREF _Toc14896 \h </w:instrText>
      </w:r>
      <w:r>
        <w:fldChar w:fldCharType="separate"/>
      </w:r>
      <w:r>
        <w:t>12</w:t>
      </w:r>
      <w:r>
        <w:fldChar w:fldCharType="end"/>
      </w:r>
      <w:r>
        <w:rPr>
          <w:rFonts w:hint="eastAsia" w:ascii="宋体" w:hAnsi="宋体"/>
          <w:color w:val="auto"/>
          <w:szCs w:val="21"/>
        </w:rPr>
        <w:fldChar w:fldCharType="end"/>
      </w:r>
    </w:p>
    <w:p w14:paraId="7A2833A8">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_Toc31395 </w:instrText>
      </w:r>
      <w:r>
        <w:rPr>
          <w:rFonts w:hint="eastAsia" w:ascii="宋体" w:hAnsi="宋体"/>
          <w:szCs w:val="21"/>
        </w:rPr>
        <w:fldChar w:fldCharType="separate"/>
      </w:r>
      <w:r>
        <w:rPr>
          <w:rFonts w:hint="eastAsia" w:ascii="宋体" w:hAnsi="宋体" w:eastAsia="宋体" w:cs="宋体"/>
          <w:szCs w:val="21"/>
        </w:rPr>
        <w:t>五、开标与评标</w:t>
      </w:r>
      <w:r>
        <w:tab/>
      </w:r>
      <w:r>
        <w:fldChar w:fldCharType="begin"/>
      </w:r>
      <w:r>
        <w:instrText xml:space="preserve"> PAGEREF _Toc31395 \h </w:instrText>
      </w:r>
      <w:r>
        <w:fldChar w:fldCharType="separate"/>
      </w:r>
      <w:r>
        <w:t>12</w:t>
      </w:r>
      <w:r>
        <w:fldChar w:fldCharType="end"/>
      </w:r>
      <w:r>
        <w:rPr>
          <w:rFonts w:hint="eastAsia" w:ascii="宋体" w:hAnsi="宋体"/>
          <w:color w:val="auto"/>
          <w:szCs w:val="21"/>
        </w:rPr>
        <w:fldChar w:fldCharType="end"/>
      </w:r>
    </w:p>
    <w:p w14:paraId="56D3DE1D">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_Toc15493 </w:instrText>
      </w:r>
      <w:r>
        <w:rPr>
          <w:rFonts w:hint="eastAsia" w:ascii="宋体" w:hAnsi="宋体"/>
          <w:szCs w:val="21"/>
        </w:rPr>
        <w:fldChar w:fldCharType="separate"/>
      </w:r>
      <w:r>
        <w:rPr>
          <w:rFonts w:hint="eastAsia" w:ascii="宋体" w:hAnsi="宋体" w:eastAsia="宋体" w:cs="宋体"/>
          <w:szCs w:val="21"/>
        </w:rPr>
        <w:t>六、中标结果</w:t>
      </w:r>
      <w:r>
        <w:tab/>
      </w:r>
      <w:r>
        <w:fldChar w:fldCharType="begin"/>
      </w:r>
      <w:r>
        <w:instrText xml:space="preserve"> PAGEREF _Toc15493 \h </w:instrText>
      </w:r>
      <w:r>
        <w:fldChar w:fldCharType="separate"/>
      </w:r>
      <w:r>
        <w:t>13</w:t>
      </w:r>
      <w:r>
        <w:fldChar w:fldCharType="end"/>
      </w:r>
      <w:r>
        <w:rPr>
          <w:rFonts w:hint="eastAsia" w:ascii="宋体" w:hAnsi="宋体"/>
          <w:color w:val="auto"/>
          <w:szCs w:val="21"/>
        </w:rPr>
        <w:fldChar w:fldCharType="end"/>
      </w:r>
    </w:p>
    <w:p w14:paraId="6E7ADBA2">
      <w:pPr>
        <w:pStyle w:val="25"/>
        <w:tabs>
          <w:tab w:val="right" w:leader="dot" w:pos="8403"/>
          <w:tab w:val="clear" w:pos="9072"/>
        </w:tabs>
        <w:ind w:firstLine="348" w:firstLineChars="174"/>
      </w:pPr>
      <w:r>
        <w:rPr>
          <w:rFonts w:hint="eastAsia" w:ascii="宋体" w:hAnsi="宋体"/>
          <w:color w:val="auto"/>
          <w:szCs w:val="21"/>
        </w:rPr>
        <w:fldChar w:fldCharType="begin"/>
      </w:r>
      <w:r>
        <w:rPr>
          <w:rFonts w:hint="eastAsia" w:ascii="宋体" w:hAnsi="宋体"/>
          <w:szCs w:val="21"/>
        </w:rPr>
        <w:instrText xml:space="preserve"> HYPERLINK \l _Toc13147 </w:instrText>
      </w:r>
      <w:r>
        <w:rPr>
          <w:rFonts w:hint="eastAsia" w:ascii="宋体" w:hAnsi="宋体"/>
          <w:szCs w:val="21"/>
        </w:rPr>
        <w:fldChar w:fldCharType="separate"/>
      </w:r>
      <w:r>
        <w:rPr>
          <w:rFonts w:hint="eastAsia" w:ascii="宋体" w:hAnsi="宋体" w:eastAsia="宋体" w:cs="宋体"/>
          <w:b w:val="0"/>
          <w:bCs w:val="0"/>
          <w:caps w:val="0"/>
          <w:smallCaps/>
          <w:kern w:val="2"/>
          <w:sz w:val="20"/>
          <w:szCs w:val="21"/>
          <w:lang w:val="en-US" w:eastAsia="zh-CN" w:bidi="ar-SA"/>
        </w:rPr>
        <w:t>七、定  标</w:t>
      </w:r>
      <w:r>
        <w:tab/>
      </w:r>
      <w:r>
        <w:fldChar w:fldCharType="begin"/>
      </w:r>
      <w:r>
        <w:instrText xml:space="preserve"> PAGEREF _Toc13147 \h </w:instrText>
      </w:r>
      <w:r>
        <w:fldChar w:fldCharType="separate"/>
      </w:r>
      <w:r>
        <w:t>14</w:t>
      </w:r>
      <w:r>
        <w:fldChar w:fldCharType="end"/>
      </w:r>
      <w:r>
        <w:rPr>
          <w:rFonts w:hint="eastAsia" w:ascii="宋体" w:hAnsi="宋体"/>
          <w:color w:val="auto"/>
          <w:szCs w:val="21"/>
        </w:rPr>
        <w:fldChar w:fldCharType="end"/>
      </w:r>
    </w:p>
    <w:p w14:paraId="328C17BA">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_Toc23593 </w:instrText>
      </w:r>
      <w:r>
        <w:rPr>
          <w:rFonts w:hint="eastAsia" w:ascii="宋体" w:hAnsi="宋体"/>
          <w:szCs w:val="21"/>
        </w:rPr>
        <w:fldChar w:fldCharType="separate"/>
      </w:r>
      <w:r>
        <w:rPr>
          <w:rFonts w:hint="eastAsia" w:ascii="宋体" w:hAnsi="宋体" w:eastAsia="宋体" w:cs="宋体"/>
          <w:szCs w:val="21"/>
          <w:lang w:eastAsia="zh-CN"/>
        </w:rPr>
        <w:t>八</w:t>
      </w:r>
      <w:r>
        <w:rPr>
          <w:rFonts w:hint="eastAsia" w:ascii="宋体" w:hAnsi="宋体" w:eastAsia="宋体" w:cs="宋体"/>
          <w:szCs w:val="21"/>
        </w:rPr>
        <w:t>、其他事项</w:t>
      </w:r>
      <w:r>
        <w:tab/>
      </w:r>
      <w:r>
        <w:fldChar w:fldCharType="begin"/>
      </w:r>
      <w:r>
        <w:instrText xml:space="preserve"> PAGEREF _Toc23593 \h </w:instrText>
      </w:r>
      <w:r>
        <w:fldChar w:fldCharType="separate"/>
      </w:r>
      <w:r>
        <w:t>14</w:t>
      </w:r>
      <w:r>
        <w:fldChar w:fldCharType="end"/>
      </w:r>
      <w:r>
        <w:rPr>
          <w:rFonts w:hint="eastAsia" w:ascii="宋体" w:hAnsi="宋体"/>
          <w:color w:val="auto"/>
          <w:szCs w:val="21"/>
        </w:rPr>
        <w:fldChar w:fldCharType="end"/>
      </w:r>
    </w:p>
    <w:p w14:paraId="553712DC">
      <w:pPr>
        <w:pStyle w:val="25"/>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_Toc17879 </w:instrText>
      </w:r>
      <w:r>
        <w:rPr>
          <w:rFonts w:hint="eastAsia" w:ascii="宋体" w:hAnsi="宋体"/>
          <w:szCs w:val="21"/>
        </w:rPr>
        <w:fldChar w:fldCharType="separate"/>
      </w:r>
      <w:r>
        <w:rPr>
          <w:rFonts w:ascii="宋体" w:hAnsi="宋体" w:eastAsia="宋体"/>
        </w:rPr>
        <w:t>第三章 合同书样式及主要条款</w:t>
      </w:r>
      <w:r>
        <w:tab/>
      </w:r>
      <w:r>
        <w:fldChar w:fldCharType="begin"/>
      </w:r>
      <w:r>
        <w:instrText xml:space="preserve"> PAGEREF _Toc17879 \h </w:instrText>
      </w:r>
      <w:r>
        <w:fldChar w:fldCharType="separate"/>
      </w:r>
      <w:r>
        <w:t>15</w:t>
      </w:r>
      <w:r>
        <w:fldChar w:fldCharType="end"/>
      </w:r>
      <w:r>
        <w:rPr>
          <w:rFonts w:hint="eastAsia" w:ascii="宋体" w:hAnsi="宋体"/>
          <w:color w:val="auto"/>
          <w:szCs w:val="21"/>
        </w:rPr>
        <w:fldChar w:fldCharType="end"/>
      </w:r>
    </w:p>
    <w:p w14:paraId="1C3AF46E">
      <w:pPr>
        <w:pStyle w:val="25"/>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_Toc250 </w:instrText>
      </w:r>
      <w:r>
        <w:rPr>
          <w:rFonts w:hint="eastAsia" w:ascii="宋体" w:hAnsi="宋体"/>
          <w:szCs w:val="21"/>
        </w:rPr>
        <w:fldChar w:fldCharType="separate"/>
      </w:r>
      <w:r>
        <w:rPr>
          <w:rFonts w:ascii="宋体" w:hAnsi="宋体" w:eastAsia="宋体"/>
          <w:szCs w:val="28"/>
        </w:rPr>
        <w:t>合同条款前附表</w:t>
      </w:r>
      <w:r>
        <w:rPr>
          <w:rFonts w:hint="eastAsia" w:ascii="宋体" w:hAnsi="宋体" w:eastAsia="宋体"/>
          <w:szCs w:val="28"/>
          <w:lang w:eastAsia="zh-CN"/>
        </w:rPr>
        <w:t>（仅供参考）</w:t>
      </w:r>
      <w:r>
        <w:tab/>
      </w:r>
      <w:r>
        <w:fldChar w:fldCharType="begin"/>
      </w:r>
      <w:r>
        <w:instrText xml:space="preserve"> PAGEREF _Toc250 \h </w:instrText>
      </w:r>
      <w:r>
        <w:fldChar w:fldCharType="separate"/>
      </w:r>
      <w:r>
        <w:t>15</w:t>
      </w:r>
      <w:r>
        <w:fldChar w:fldCharType="end"/>
      </w:r>
      <w:r>
        <w:rPr>
          <w:rFonts w:hint="eastAsia" w:ascii="宋体" w:hAnsi="宋体"/>
          <w:color w:val="auto"/>
          <w:szCs w:val="21"/>
        </w:rPr>
        <w:fldChar w:fldCharType="end"/>
      </w:r>
    </w:p>
    <w:p w14:paraId="6D54F7CC">
      <w:pPr>
        <w:pStyle w:val="25"/>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_Toc1913 </w:instrText>
      </w:r>
      <w:r>
        <w:rPr>
          <w:rFonts w:hint="eastAsia" w:ascii="宋体" w:hAnsi="宋体"/>
          <w:szCs w:val="21"/>
        </w:rPr>
        <w:fldChar w:fldCharType="separate"/>
      </w:r>
      <w:r>
        <w:rPr>
          <w:rFonts w:ascii="宋体" w:hAnsi="宋体" w:eastAsia="宋体"/>
          <w:bCs/>
        </w:rPr>
        <w:t>第四章  投标文件格式</w:t>
      </w:r>
      <w:r>
        <w:tab/>
      </w:r>
      <w:r>
        <w:fldChar w:fldCharType="begin"/>
      </w:r>
      <w:r>
        <w:instrText xml:space="preserve"> PAGEREF _Toc1913 \h </w:instrText>
      </w:r>
      <w:r>
        <w:fldChar w:fldCharType="separate"/>
      </w:r>
      <w:r>
        <w:t>22</w:t>
      </w:r>
      <w:r>
        <w:fldChar w:fldCharType="end"/>
      </w:r>
      <w:r>
        <w:rPr>
          <w:rFonts w:hint="eastAsia" w:ascii="宋体" w:hAnsi="宋体"/>
          <w:color w:val="auto"/>
          <w:szCs w:val="21"/>
        </w:rPr>
        <w:fldChar w:fldCharType="end"/>
      </w:r>
    </w:p>
    <w:p w14:paraId="5BF045D1">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_Toc10997 </w:instrText>
      </w:r>
      <w:r>
        <w:rPr>
          <w:rFonts w:hint="eastAsia" w:ascii="宋体" w:hAnsi="宋体"/>
          <w:szCs w:val="21"/>
        </w:rPr>
        <w:fldChar w:fldCharType="separate"/>
      </w:r>
      <w:r>
        <w:rPr>
          <w:rFonts w:hint="eastAsia" w:ascii="宋体" w:hAnsi="宋体" w:eastAsia="宋体"/>
          <w:szCs w:val="32"/>
        </w:rPr>
        <w:t>开标一览表</w:t>
      </w:r>
      <w:r>
        <w:tab/>
      </w:r>
      <w:r>
        <w:fldChar w:fldCharType="begin"/>
      </w:r>
      <w:r>
        <w:instrText xml:space="preserve"> PAGEREF _Toc10997 \h </w:instrText>
      </w:r>
      <w:r>
        <w:fldChar w:fldCharType="separate"/>
      </w:r>
      <w:r>
        <w:t>23</w:t>
      </w:r>
      <w:r>
        <w:fldChar w:fldCharType="end"/>
      </w:r>
      <w:r>
        <w:rPr>
          <w:rFonts w:hint="eastAsia" w:ascii="宋体" w:hAnsi="宋体"/>
          <w:color w:val="auto"/>
          <w:szCs w:val="21"/>
        </w:rPr>
        <w:fldChar w:fldCharType="end"/>
      </w:r>
    </w:p>
    <w:p w14:paraId="4AD4470B">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_Toc16263 </w:instrText>
      </w:r>
      <w:r>
        <w:rPr>
          <w:rFonts w:hint="eastAsia" w:ascii="宋体" w:hAnsi="宋体"/>
          <w:szCs w:val="21"/>
        </w:rPr>
        <w:fldChar w:fldCharType="separate"/>
      </w:r>
      <w:r>
        <w:rPr>
          <w:rFonts w:hint="eastAsia" w:ascii="宋体" w:hAnsi="宋体" w:eastAsia="宋体"/>
          <w:szCs w:val="32"/>
        </w:rPr>
        <w:t>投 标 函</w:t>
      </w:r>
      <w:r>
        <w:tab/>
      </w:r>
      <w:r>
        <w:fldChar w:fldCharType="begin"/>
      </w:r>
      <w:r>
        <w:instrText xml:space="preserve"> PAGEREF _Toc16263 \h </w:instrText>
      </w:r>
      <w:r>
        <w:fldChar w:fldCharType="separate"/>
      </w:r>
      <w:r>
        <w:t>24</w:t>
      </w:r>
      <w:r>
        <w:fldChar w:fldCharType="end"/>
      </w:r>
      <w:r>
        <w:rPr>
          <w:rFonts w:hint="eastAsia" w:ascii="宋体" w:hAnsi="宋体"/>
          <w:color w:val="auto"/>
          <w:szCs w:val="21"/>
        </w:rPr>
        <w:fldChar w:fldCharType="end"/>
      </w:r>
    </w:p>
    <w:p w14:paraId="0D6E45D5">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_Toc22765 </w:instrText>
      </w:r>
      <w:r>
        <w:rPr>
          <w:rFonts w:hint="eastAsia" w:ascii="宋体" w:hAnsi="宋体"/>
          <w:szCs w:val="21"/>
        </w:rPr>
        <w:fldChar w:fldCharType="separate"/>
      </w:r>
      <w:r>
        <w:rPr>
          <w:rFonts w:hint="eastAsia" w:ascii="宋体" w:hAnsi="宋体" w:eastAsia="宋体"/>
          <w:szCs w:val="32"/>
        </w:rPr>
        <w:t>报价</w:t>
      </w:r>
      <w:r>
        <w:rPr>
          <w:rFonts w:ascii="宋体" w:hAnsi="宋体" w:eastAsia="宋体"/>
          <w:szCs w:val="32"/>
        </w:rPr>
        <w:t>表</w:t>
      </w:r>
      <w:r>
        <w:tab/>
      </w:r>
      <w:r>
        <w:fldChar w:fldCharType="begin"/>
      </w:r>
      <w:r>
        <w:instrText xml:space="preserve"> PAGEREF _Toc22765 \h </w:instrText>
      </w:r>
      <w:r>
        <w:fldChar w:fldCharType="separate"/>
      </w:r>
      <w:r>
        <w:t>26</w:t>
      </w:r>
      <w:r>
        <w:fldChar w:fldCharType="end"/>
      </w:r>
      <w:r>
        <w:rPr>
          <w:rFonts w:hint="eastAsia" w:ascii="宋体" w:hAnsi="宋体"/>
          <w:color w:val="auto"/>
          <w:szCs w:val="21"/>
        </w:rPr>
        <w:fldChar w:fldCharType="end"/>
      </w:r>
    </w:p>
    <w:p w14:paraId="76B97CD2">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_Toc19165 </w:instrText>
      </w:r>
      <w:r>
        <w:rPr>
          <w:rFonts w:hint="eastAsia" w:ascii="宋体" w:hAnsi="宋体"/>
          <w:szCs w:val="21"/>
        </w:rPr>
        <w:fldChar w:fldCharType="separate"/>
      </w:r>
      <w:r>
        <w:rPr>
          <w:rFonts w:hint="eastAsia" w:ascii="宋体" w:hAnsi="宋体" w:eastAsia="宋体"/>
          <w:szCs w:val="32"/>
        </w:rPr>
        <w:t>商务条款偏离表</w:t>
      </w:r>
      <w:r>
        <w:tab/>
      </w:r>
      <w:r>
        <w:fldChar w:fldCharType="begin"/>
      </w:r>
      <w:r>
        <w:instrText xml:space="preserve"> PAGEREF _Toc19165 \h </w:instrText>
      </w:r>
      <w:r>
        <w:fldChar w:fldCharType="separate"/>
      </w:r>
      <w:r>
        <w:t>27</w:t>
      </w:r>
      <w:r>
        <w:fldChar w:fldCharType="end"/>
      </w:r>
      <w:r>
        <w:rPr>
          <w:rFonts w:hint="eastAsia" w:ascii="宋体" w:hAnsi="宋体"/>
          <w:color w:val="auto"/>
          <w:szCs w:val="21"/>
        </w:rPr>
        <w:fldChar w:fldCharType="end"/>
      </w:r>
    </w:p>
    <w:p w14:paraId="06FB29C3">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_Toc12376 </w:instrText>
      </w:r>
      <w:r>
        <w:rPr>
          <w:rFonts w:hint="eastAsia" w:ascii="宋体" w:hAnsi="宋体"/>
          <w:szCs w:val="21"/>
        </w:rPr>
        <w:fldChar w:fldCharType="separate"/>
      </w:r>
      <w:r>
        <w:rPr>
          <w:rFonts w:hint="eastAsia" w:ascii="宋体" w:hAnsi="宋体" w:eastAsia="宋体"/>
          <w:szCs w:val="32"/>
        </w:rPr>
        <w:t>服务</w:t>
      </w:r>
      <w:r>
        <w:rPr>
          <w:rFonts w:hint="eastAsia" w:ascii="宋体" w:hAnsi="宋体" w:eastAsia="宋体"/>
          <w:szCs w:val="32"/>
          <w:lang w:val="en-US" w:eastAsia="zh-CN"/>
        </w:rPr>
        <w:t>方案</w:t>
      </w:r>
      <w:r>
        <w:tab/>
      </w:r>
      <w:r>
        <w:fldChar w:fldCharType="begin"/>
      </w:r>
      <w:r>
        <w:instrText xml:space="preserve"> PAGEREF _Toc12376 \h </w:instrText>
      </w:r>
      <w:r>
        <w:fldChar w:fldCharType="separate"/>
      </w:r>
      <w:r>
        <w:t>28</w:t>
      </w:r>
      <w:r>
        <w:fldChar w:fldCharType="end"/>
      </w:r>
      <w:r>
        <w:rPr>
          <w:rFonts w:hint="eastAsia" w:ascii="宋体" w:hAnsi="宋体"/>
          <w:color w:val="auto"/>
          <w:szCs w:val="21"/>
        </w:rPr>
        <w:fldChar w:fldCharType="end"/>
      </w:r>
    </w:p>
    <w:p w14:paraId="216865FF">
      <w:pPr>
        <w:pStyle w:val="17"/>
        <w:tabs>
          <w:tab w:val="right" w:leader="dot" w:pos="8403"/>
        </w:tabs>
        <w:ind w:left="0" w:leftChars="0" w:firstLine="400" w:firstLineChars="200"/>
        <w:rPr>
          <w:rFonts w:hint="eastAsia" w:ascii="宋体" w:hAnsi="宋体" w:eastAsia="宋体" w:cs="Times New Roman"/>
          <w:i w:val="0"/>
          <w:iCs w:val="0"/>
          <w:smallCaps/>
          <w:kern w:val="2"/>
          <w:sz w:val="20"/>
          <w:szCs w:val="32"/>
          <w:lang w:val="en-US" w:eastAsia="zh-CN" w:bidi="ar-SA"/>
        </w:rPr>
      </w:pPr>
      <w:r>
        <w:rPr>
          <w:rFonts w:hint="eastAsia" w:ascii="宋体" w:hAnsi="宋体" w:eastAsia="宋体" w:cs="Times New Roman"/>
          <w:i w:val="0"/>
          <w:iCs w:val="0"/>
          <w:smallCaps/>
          <w:kern w:val="2"/>
          <w:sz w:val="20"/>
          <w:szCs w:val="32"/>
          <w:lang w:val="en-US" w:eastAsia="zh-CN" w:bidi="ar-SA"/>
        </w:rPr>
        <w:fldChar w:fldCharType="begin"/>
      </w:r>
      <w:r>
        <w:rPr>
          <w:rFonts w:hint="eastAsia" w:ascii="宋体" w:hAnsi="宋体" w:eastAsia="宋体" w:cs="Times New Roman"/>
          <w:i w:val="0"/>
          <w:iCs w:val="0"/>
          <w:smallCaps/>
          <w:kern w:val="2"/>
          <w:sz w:val="20"/>
          <w:szCs w:val="32"/>
          <w:lang w:val="en-US" w:eastAsia="zh-CN" w:bidi="ar-SA"/>
        </w:rPr>
        <w:instrText xml:space="preserve"> HYPERLINK \l _Toc11510 </w:instrText>
      </w:r>
      <w:r>
        <w:rPr>
          <w:rFonts w:hint="eastAsia" w:ascii="宋体" w:hAnsi="宋体" w:eastAsia="宋体" w:cs="Times New Roman"/>
          <w:i w:val="0"/>
          <w:iCs w:val="0"/>
          <w:smallCaps/>
          <w:kern w:val="2"/>
          <w:sz w:val="20"/>
          <w:szCs w:val="32"/>
          <w:lang w:val="en-US" w:eastAsia="zh-CN" w:bidi="ar-SA"/>
        </w:rPr>
        <w:fldChar w:fldCharType="separate"/>
      </w:r>
      <w:r>
        <w:rPr>
          <w:rFonts w:hint="eastAsia" w:ascii="宋体" w:hAnsi="宋体" w:eastAsia="宋体" w:cs="Times New Roman"/>
          <w:i w:val="0"/>
          <w:iCs w:val="0"/>
          <w:smallCaps/>
          <w:kern w:val="2"/>
          <w:sz w:val="20"/>
          <w:szCs w:val="32"/>
          <w:lang w:val="en-US" w:eastAsia="zh-CN" w:bidi="ar-SA"/>
        </w:rPr>
        <w:t>项目团队主要人员汇总表</w:t>
      </w:r>
      <w:r>
        <w:rPr>
          <w:rFonts w:hint="eastAsia" w:ascii="宋体" w:hAnsi="宋体" w:eastAsia="宋体" w:cs="Times New Roman"/>
          <w:i w:val="0"/>
          <w:iCs w:val="0"/>
          <w:smallCaps/>
          <w:kern w:val="2"/>
          <w:sz w:val="20"/>
          <w:szCs w:val="32"/>
          <w:lang w:val="en-US" w:eastAsia="zh-CN" w:bidi="ar-SA"/>
        </w:rPr>
        <w:tab/>
      </w:r>
      <w:r>
        <w:rPr>
          <w:rFonts w:hint="eastAsia" w:ascii="宋体" w:hAnsi="宋体" w:eastAsia="宋体" w:cs="Times New Roman"/>
          <w:i w:val="0"/>
          <w:iCs w:val="0"/>
          <w:smallCaps/>
          <w:kern w:val="2"/>
          <w:sz w:val="20"/>
          <w:szCs w:val="32"/>
          <w:lang w:val="en-US" w:eastAsia="zh-CN" w:bidi="ar-SA"/>
        </w:rPr>
        <w:fldChar w:fldCharType="begin"/>
      </w:r>
      <w:r>
        <w:rPr>
          <w:rFonts w:hint="eastAsia" w:ascii="宋体" w:hAnsi="宋体" w:eastAsia="宋体" w:cs="Times New Roman"/>
          <w:i w:val="0"/>
          <w:iCs w:val="0"/>
          <w:smallCaps/>
          <w:kern w:val="2"/>
          <w:sz w:val="20"/>
          <w:szCs w:val="32"/>
          <w:lang w:val="en-US" w:eastAsia="zh-CN" w:bidi="ar-SA"/>
        </w:rPr>
        <w:instrText xml:space="preserve"> PAGEREF _Toc11510 \h </w:instrText>
      </w:r>
      <w:r>
        <w:rPr>
          <w:rFonts w:hint="eastAsia" w:ascii="宋体" w:hAnsi="宋体" w:eastAsia="宋体" w:cs="Times New Roman"/>
          <w:i w:val="0"/>
          <w:iCs w:val="0"/>
          <w:smallCaps/>
          <w:kern w:val="2"/>
          <w:sz w:val="20"/>
          <w:szCs w:val="32"/>
          <w:lang w:val="en-US" w:eastAsia="zh-CN" w:bidi="ar-SA"/>
        </w:rPr>
        <w:fldChar w:fldCharType="separate"/>
      </w:r>
      <w:r>
        <w:rPr>
          <w:rFonts w:hint="eastAsia" w:ascii="宋体" w:hAnsi="宋体" w:eastAsia="宋体" w:cs="Times New Roman"/>
          <w:i w:val="0"/>
          <w:iCs w:val="0"/>
          <w:smallCaps/>
          <w:kern w:val="2"/>
          <w:sz w:val="20"/>
          <w:szCs w:val="32"/>
          <w:lang w:val="en-US" w:eastAsia="zh-CN" w:bidi="ar-SA"/>
        </w:rPr>
        <w:t>29</w:t>
      </w:r>
      <w:r>
        <w:rPr>
          <w:rFonts w:hint="eastAsia" w:ascii="宋体" w:hAnsi="宋体" w:eastAsia="宋体" w:cs="Times New Roman"/>
          <w:i w:val="0"/>
          <w:iCs w:val="0"/>
          <w:smallCaps/>
          <w:kern w:val="2"/>
          <w:sz w:val="20"/>
          <w:szCs w:val="32"/>
          <w:lang w:val="en-US" w:eastAsia="zh-CN" w:bidi="ar-SA"/>
        </w:rPr>
        <w:fldChar w:fldCharType="end"/>
      </w:r>
      <w:r>
        <w:rPr>
          <w:rFonts w:hint="eastAsia" w:ascii="宋体" w:hAnsi="宋体" w:eastAsia="宋体" w:cs="Times New Roman"/>
          <w:i w:val="0"/>
          <w:iCs w:val="0"/>
          <w:smallCaps/>
          <w:kern w:val="2"/>
          <w:sz w:val="20"/>
          <w:szCs w:val="32"/>
          <w:lang w:val="en-US" w:eastAsia="zh-CN" w:bidi="ar-SA"/>
        </w:rPr>
        <w:fldChar w:fldCharType="end"/>
      </w:r>
    </w:p>
    <w:p w14:paraId="70A9172C">
      <w:pPr>
        <w:pStyle w:val="30"/>
        <w:tabs>
          <w:tab w:val="right" w:leader="dot" w:pos="8403"/>
          <w:tab w:val="clear" w:pos="9072"/>
        </w:tabs>
      </w:pPr>
      <w:r>
        <w:rPr>
          <w:rFonts w:hint="eastAsia" w:ascii="宋体" w:hAnsi="宋体" w:eastAsia="宋体" w:cs="Times New Roman"/>
          <w:i w:val="0"/>
          <w:iCs w:val="0"/>
          <w:smallCaps/>
          <w:kern w:val="2"/>
          <w:sz w:val="20"/>
          <w:szCs w:val="32"/>
          <w:lang w:val="en-US" w:eastAsia="zh-CN" w:bidi="ar-SA"/>
        </w:rPr>
        <w:fldChar w:fldCharType="begin"/>
      </w:r>
      <w:r>
        <w:rPr>
          <w:rFonts w:hint="eastAsia" w:ascii="宋体" w:hAnsi="宋体" w:eastAsia="宋体" w:cs="Times New Roman"/>
          <w:i w:val="0"/>
          <w:iCs w:val="0"/>
          <w:smallCaps/>
          <w:kern w:val="2"/>
          <w:sz w:val="20"/>
          <w:szCs w:val="32"/>
          <w:lang w:val="en-US" w:eastAsia="zh-CN" w:bidi="ar-SA"/>
        </w:rPr>
        <w:instrText xml:space="preserve"> HYPERLINK \l _Toc21279 </w:instrText>
      </w:r>
      <w:r>
        <w:rPr>
          <w:rFonts w:hint="eastAsia" w:ascii="宋体" w:hAnsi="宋体" w:eastAsia="宋体" w:cs="Times New Roman"/>
          <w:i w:val="0"/>
          <w:iCs w:val="0"/>
          <w:smallCaps/>
          <w:kern w:val="2"/>
          <w:sz w:val="20"/>
          <w:szCs w:val="32"/>
          <w:lang w:val="en-US" w:eastAsia="zh-CN" w:bidi="ar-SA"/>
        </w:rPr>
        <w:fldChar w:fldCharType="separate"/>
      </w:r>
      <w:r>
        <w:rPr>
          <w:rFonts w:hint="eastAsia" w:ascii="宋体" w:hAnsi="宋体" w:eastAsia="宋体" w:cs="Times New Roman"/>
          <w:i w:val="0"/>
          <w:iCs w:val="0"/>
          <w:smallCaps/>
          <w:kern w:val="2"/>
          <w:sz w:val="20"/>
          <w:szCs w:val="32"/>
          <w:lang w:val="en-US" w:eastAsia="zh-CN" w:bidi="ar-SA"/>
        </w:rPr>
        <w:t>参加政府采购活动前 3 年内，在经营活动中没有重大违法记录</w:t>
      </w:r>
      <w:r>
        <w:rPr>
          <w:rFonts w:hint="eastAsia" w:ascii="宋体" w:hAnsi="宋体" w:eastAsia="宋体" w:cs="Times New Roman"/>
          <w:i w:val="0"/>
          <w:iCs w:val="0"/>
          <w:smallCaps/>
          <w:kern w:val="2"/>
          <w:sz w:val="20"/>
          <w:szCs w:val="32"/>
          <w:lang w:val="en-US" w:eastAsia="zh-CN" w:bidi="ar-SA"/>
        </w:rPr>
        <w:tab/>
      </w:r>
      <w:r>
        <w:rPr>
          <w:rFonts w:hint="eastAsia" w:ascii="宋体" w:hAnsi="宋体" w:eastAsia="宋体" w:cs="Times New Roman"/>
          <w:i w:val="0"/>
          <w:iCs w:val="0"/>
          <w:smallCaps/>
          <w:kern w:val="2"/>
          <w:sz w:val="20"/>
          <w:szCs w:val="32"/>
          <w:lang w:val="en-US" w:eastAsia="zh-CN" w:bidi="ar-SA"/>
        </w:rPr>
        <w:fldChar w:fldCharType="begin"/>
      </w:r>
      <w:r>
        <w:rPr>
          <w:rFonts w:hint="eastAsia" w:ascii="宋体" w:hAnsi="宋体" w:eastAsia="宋体" w:cs="Times New Roman"/>
          <w:i w:val="0"/>
          <w:iCs w:val="0"/>
          <w:smallCaps/>
          <w:kern w:val="2"/>
          <w:sz w:val="20"/>
          <w:szCs w:val="32"/>
          <w:lang w:val="en-US" w:eastAsia="zh-CN" w:bidi="ar-SA"/>
        </w:rPr>
        <w:instrText xml:space="preserve"> PAGEREF _Toc21279 \h </w:instrText>
      </w:r>
      <w:r>
        <w:rPr>
          <w:rFonts w:hint="eastAsia" w:ascii="宋体" w:hAnsi="宋体" w:eastAsia="宋体" w:cs="Times New Roman"/>
          <w:i w:val="0"/>
          <w:iCs w:val="0"/>
          <w:smallCaps/>
          <w:kern w:val="2"/>
          <w:sz w:val="20"/>
          <w:szCs w:val="32"/>
          <w:lang w:val="en-US" w:eastAsia="zh-CN" w:bidi="ar-SA"/>
        </w:rPr>
        <w:fldChar w:fldCharType="separate"/>
      </w:r>
      <w:r>
        <w:rPr>
          <w:rFonts w:hint="eastAsia" w:ascii="宋体" w:hAnsi="宋体" w:eastAsia="宋体" w:cs="Times New Roman"/>
          <w:i w:val="0"/>
          <w:iCs w:val="0"/>
          <w:smallCaps/>
          <w:kern w:val="2"/>
          <w:sz w:val="20"/>
          <w:szCs w:val="32"/>
          <w:lang w:val="en-US" w:eastAsia="zh-CN" w:bidi="ar-SA"/>
        </w:rPr>
        <w:t>30</w:t>
      </w:r>
      <w:r>
        <w:rPr>
          <w:rFonts w:hint="eastAsia" w:ascii="宋体" w:hAnsi="宋体" w:eastAsia="宋体" w:cs="Times New Roman"/>
          <w:i w:val="0"/>
          <w:iCs w:val="0"/>
          <w:smallCaps/>
          <w:kern w:val="2"/>
          <w:sz w:val="20"/>
          <w:szCs w:val="32"/>
          <w:lang w:val="en-US" w:eastAsia="zh-CN" w:bidi="ar-SA"/>
        </w:rPr>
        <w:fldChar w:fldCharType="end"/>
      </w:r>
      <w:r>
        <w:rPr>
          <w:rFonts w:hint="eastAsia" w:ascii="宋体" w:hAnsi="宋体" w:eastAsia="宋体" w:cs="Times New Roman"/>
          <w:i w:val="0"/>
          <w:iCs w:val="0"/>
          <w:smallCaps/>
          <w:kern w:val="2"/>
          <w:sz w:val="20"/>
          <w:szCs w:val="32"/>
          <w:lang w:val="en-US" w:eastAsia="zh-CN" w:bidi="ar-SA"/>
        </w:rPr>
        <w:fldChar w:fldCharType="end"/>
      </w:r>
    </w:p>
    <w:p w14:paraId="339D66A4">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_Toc25356 </w:instrText>
      </w:r>
      <w:r>
        <w:rPr>
          <w:rFonts w:hint="eastAsia" w:ascii="宋体" w:hAnsi="宋体"/>
          <w:szCs w:val="21"/>
        </w:rPr>
        <w:fldChar w:fldCharType="separate"/>
      </w:r>
      <w:r>
        <w:rPr>
          <w:rFonts w:hint="eastAsia" w:ascii="宋体" w:hAnsi="宋体" w:eastAsia="宋体"/>
          <w:szCs w:val="32"/>
        </w:rPr>
        <w:t>营业执照、税务登记证及组织机构代码证</w:t>
      </w:r>
      <w:r>
        <w:tab/>
      </w:r>
      <w:r>
        <w:fldChar w:fldCharType="begin"/>
      </w:r>
      <w:r>
        <w:instrText xml:space="preserve"> PAGEREF _Toc25356 \h </w:instrText>
      </w:r>
      <w:r>
        <w:fldChar w:fldCharType="separate"/>
      </w:r>
      <w:r>
        <w:t>31</w:t>
      </w:r>
      <w:r>
        <w:fldChar w:fldCharType="end"/>
      </w:r>
      <w:r>
        <w:rPr>
          <w:rFonts w:hint="eastAsia" w:ascii="宋体" w:hAnsi="宋体"/>
          <w:color w:val="auto"/>
          <w:szCs w:val="21"/>
        </w:rPr>
        <w:fldChar w:fldCharType="end"/>
      </w:r>
    </w:p>
    <w:p w14:paraId="41E55DB8">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_Toc26814 </w:instrText>
      </w:r>
      <w:r>
        <w:rPr>
          <w:rFonts w:hint="eastAsia" w:ascii="宋体" w:hAnsi="宋体"/>
          <w:szCs w:val="21"/>
        </w:rPr>
        <w:fldChar w:fldCharType="separate"/>
      </w:r>
      <w:r>
        <w:rPr>
          <w:rFonts w:hint="eastAsia" w:ascii="宋体" w:hAnsi="宋体" w:eastAsia="宋体"/>
        </w:rPr>
        <w:t>法定代表人身份证明书</w:t>
      </w:r>
      <w:r>
        <w:tab/>
      </w:r>
      <w:r>
        <w:fldChar w:fldCharType="begin"/>
      </w:r>
      <w:r>
        <w:instrText xml:space="preserve"> PAGEREF _Toc26814 \h </w:instrText>
      </w:r>
      <w:r>
        <w:fldChar w:fldCharType="separate"/>
      </w:r>
      <w:r>
        <w:t>32</w:t>
      </w:r>
      <w:r>
        <w:fldChar w:fldCharType="end"/>
      </w:r>
      <w:r>
        <w:rPr>
          <w:rFonts w:hint="eastAsia" w:ascii="宋体" w:hAnsi="宋体"/>
          <w:color w:val="auto"/>
          <w:szCs w:val="21"/>
        </w:rPr>
        <w:fldChar w:fldCharType="end"/>
      </w:r>
    </w:p>
    <w:p w14:paraId="7B254A51">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_Toc16682 </w:instrText>
      </w:r>
      <w:r>
        <w:rPr>
          <w:rFonts w:hint="eastAsia" w:ascii="宋体" w:hAnsi="宋体"/>
          <w:szCs w:val="21"/>
        </w:rPr>
        <w:fldChar w:fldCharType="separate"/>
      </w:r>
      <w:r>
        <w:rPr>
          <w:rFonts w:hint="eastAsia" w:ascii="宋体" w:hAnsi="宋体" w:eastAsia="宋体"/>
          <w:szCs w:val="32"/>
        </w:rPr>
        <w:t>法定代表人授权委托书</w:t>
      </w:r>
      <w:r>
        <w:tab/>
      </w:r>
      <w:r>
        <w:fldChar w:fldCharType="begin"/>
      </w:r>
      <w:r>
        <w:instrText xml:space="preserve"> PAGEREF _Toc16682 \h </w:instrText>
      </w:r>
      <w:r>
        <w:fldChar w:fldCharType="separate"/>
      </w:r>
      <w:r>
        <w:t>33</w:t>
      </w:r>
      <w:r>
        <w:fldChar w:fldCharType="end"/>
      </w:r>
      <w:r>
        <w:rPr>
          <w:rFonts w:hint="eastAsia" w:ascii="宋体" w:hAnsi="宋体"/>
          <w:color w:val="auto"/>
          <w:szCs w:val="21"/>
        </w:rPr>
        <w:fldChar w:fldCharType="end"/>
      </w:r>
    </w:p>
    <w:p w14:paraId="5FAEBA95">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_Toc7564 </w:instrText>
      </w:r>
      <w:r>
        <w:rPr>
          <w:rFonts w:hint="eastAsia" w:ascii="宋体" w:hAnsi="宋体"/>
          <w:szCs w:val="21"/>
        </w:rPr>
        <w:fldChar w:fldCharType="separate"/>
      </w:r>
      <w:r>
        <w:rPr>
          <w:rFonts w:hint="eastAsia" w:ascii="宋体" w:hAnsi="宋体" w:eastAsia="宋体"/>
          <w:szCs w:val="32"/>
          <w:lang w:val="en-US" w:eastAsia="zh-CN"/>
        </w:rPr>
        <w:t>服务</w:t>
      </w:r>
      <w:r>
        <w:rPr>
          <w:rFonts w:hint="eastAsia" w:ascii="宋体" w:hAnsi="宋体" w:eastAsia="宋体"/>
          <w:szCs w:val="32"/>
        </w:rPr>
        <w:t>商具备参加政府采购活动条件承诺书</w:t>
      </w:r>
      <w:r>
        <w:tab/>
      </w:r>
      <w:r>
        <w:fldChar w:fldCharType="begin"/>
      </w:r>
      <w:r>
        <w:instrText xml:space="preserve"> PAGEREF _Toc7564 \h </w:instrText>
      </w:r>
      <w:r>
        <w:fldChar w:fldCharType="separate"/>
      </w:r>
      <w:r>
        <w:t>34</w:t>
      </w:r>
      <w:r>
        <w:fldChar w:fldCharType="end"/>
      </w:r>
      <w:r>
        <w:rPr>
          <w:rFonts w:hint="eastAsia" w:ascii="宋体" w:hAnsi="宋体"/>
          <w:color w:val="auto"/>
          <w:szCs w:val="21"/>
        </w:rPr>
        <w:fldChar w:fldCharType="end"/>
      </w:r>
    </w:p>
    <w:p w14:paraId="749B9BF1">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_Toc12512 </w:instrText>
      </w:r>
      <w:r>
        <w:rPr>
          <w:rFonts w:hint="eastAsia" w:ascii="宋体" w:hAnsi="宋体"/>
          <w:szCs w:val="21"/>
        </w:rPr>
        <w:fldChar w:fldCharType="separate"/>
      </w:r>
      <w:r>
        <w:rPr>
          <w:rFonts w:ascii="宋体" w:hAnsi="宋体" w:eastAsia="宋体"/>
          <w:szCs w:val="32"/>
        </w:rPr>
        <w:t>构成投标文件的其它资料</w:t>
      </w:r>
      <w:r>
        <w:tab/>
      </w:r>
      <w:r>
        <w:fldChar w:fldCharType="begin"/>
      </w:r>
      <w:r>
        <w:instrText xml:space="preserve"> PAGEREF _Toc12512 \h </w:instrText>
      </w:r>
      <w:r>
        <w:fldChar w:fldCharType="separate"/>
      </w:r>
      <w:r>
        <w:t>37</w:t>
      </w:r>
      <w:r>
        <w:fldChar w:fldCharType="end"/>
      </w:r>
      <w:r>
        <w:rPr>
          <w:rFonts w:hint="eastAsia" w:ascii="宋体" w:hAnsi="宋体"/>
          <w:color w:val="auto"/>
          <w:szCs w:val="21"/>
        </w:rPr>
        <w:fldChar w:fldCharType="end"/>
      </w:r>
    </w:p>
    <w:p w14:paraId="611C5F77">
      <w:pPr>
        <w:pStyle w:val="25"/>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_Toc12584 </w:instrText>
      </w:r>
      <w:r>
        <w:rPr>
          <w:rFonts w:hint="eastAsia" w:ascii="宋体" w:hAnsi="宋体"/>
          <w:szCs w:val="21"/>
        </w:rPr>
        <w:fldChar w:fldCharType="separate"/>
      </w:r>
      <w:r>
        <w:rPr>
          <w:rFonts w:ascii="宋体" w:hAnsi="宋体" w:eastAsia="宋体"/>
        </w:rPr>
        <w:t xml:space="preserve">第五章  </w:t>
      </w:r>
      <w:r>
        <w:rPr>
          <w:rFonts w:hint="eastAsia" w:ascii="宋体" w:hAnsi="宋体" w:eastAsia="宋体"/>
          <w:lang w:val="en-US" w:eastAsia="zh-CN"/>
        </w:rPr>
        <w:t>服务</w:t>
      </w:r>
      <w:r>
        <w:rPr>
          <w:rFonts w:ascii="宋体" w:hAnsi="宋体" w:eastAsia="宋体"/>
        </w:rPr>
        <w:t>要求</w:t>
      </w:r>
      <w:r>
        <w:tab/>
      </w:r>
      <w:r>
        <w:fldChar w:fldCharType="begin"/>
      </w:r>
      <w:r>
        <w:instrText xml:space="preserve"> PAGEREF _Toc12584 \h </w:instrText>
      </w:r>
      <w:r>
        <w:fldChar w:fldCharType="separate"/>
      </w:r>
      <w:r>
        <w:t>40</w:t>
      </w:r>
      <w:r>
        <w:fldChar w:fldCharType="end"/>
      </w:r>
      <w:r>
        <w:rPr>
          <w:rFonts w:hint="eastAsia" w:ascii="宋体" w:hAnsi="宋体"/>
          <w:color w:val="auto"/>
          <w:szCs w:val="21"/>
        </w:rPr>
        <w:fldChar w:fldCharType="end"/>
      </w:r>
    </w:p>
    <w:p w14:paraId="6229CB32">
      <w:pPr>
        <w:pStyle w:val="30"/>
        <w:tabs>
          <w:tab w:val="right" w:leader="dot" w:pos="8403"/>
          <w:tab w:val="clear" w:pos="9072"/>
        </w:tabs>
      </w:pPr>
      <w:r>
        <w:rPr>
          <w:rFonts w:hint="eastAsia" w:ascii="宋体" w:hAnsi="宋体"/>
          <w:color w:val="auto"/>
          <w:szCs w:val="21"/>
        </w:rPr>
        <w:fldChar w:fldCharType="begin"/>
      </w:r>
      <w:r>
        <w:rPr>
          <w:rFonts w:hint="eastAsia" w:ascii="宋体" w:hAnsi="宋体"/>
          <w:szCs w:val="21"/>
        </w:rPr>
        <w:instrText xml:space="preserve"> HYPERLINK \l _Toc9845 </w:instrText>
      </w:r>
      <w:r>
        <w:rPr>
          <w:rFonts w:hint="eastAsia" w:ascii="宋体" w:hAnsi="宋体"/>
          <w:szCs w:val="21"/>
        </w:rPr>
        <w:fldChar w:fldCharType="separate"/>
      </w:r>
      <w:r>
        <w:rPr>
          <w:rFonts w:ascii="宋体" w:hAnsi="宋体" w:eastAsia="宋体"/>
        </w:rPr>
        <w:t>评标办法前附表</w:t>
      </w:r>
      <w:r>
        <w:tab/>
      </w:r>
      <w:r>
        <w:fldChar w:fldCharType="begin"/>
      </w:r>
      <w:r>
        <w:instrText xml:space="preserve"> PAGEREF _Toc9845 \h </w:instrText>
      </w:r>
      <w:r>
        <w:fldChar w:fldCharType="separate"/>
      </w:r>
      <w:r>
        <w:t>41</w:t>
      </w:r>
      <w:r>
        <w:fldChar w:fldCharType="end"/>
      </w:r>
      <w:r>
        <w:rPr>
          <w:rFonts w:hint="eastAsia" w:ascii="宋体" w:hAnsi="宋体"/>
          <w:color w:val="auto"/>
          <w:szCs w:val="21"/>
        </w:rPr>
        <w:fldChar w:fldCharType="end"/>
      </w:r>
    </w:p>
    <w:p w14:paraId="3F4076AB">
      <w:pPr>
        <w:rPr>
          <w:rFonts w:hint="eastAsia" w:ascii="宋体" w:hAnsi="宋体"/>
          <w:color w:val="auto"/>
          <w:szCs w:val="21"/>
        </w:rPr>
      </w:pPr>
      <w:r>
        <w:rPr>
          <w:rFonts w:hint="eastAsia" w:ascii="宋体" w:hAnsi="宋体"/>
          <w:color w:val="auto"/>
          <w:szCs w:val="21"/>
        </w:rPr>
        <w:fldChar w:fldCharType="end"/>
      </w:r>
    </w:p>
    <w:p w14:paraId="0E51C70B">
      <w:pPr>
        <w:tabs>
          <w:tab w:val="left" w:pos="2659"/>
        </w:tabs>
        <w:rPr>
          <w:rFonts w:ascii="宋体" w:hAnsi="宋体" w:eastAsia="宋体"/>
          <w:b/>
          <w:color w:val="auto"/>
          <w:sz w:val="36"/>
        </w:rPr>
        <w:sectPr>
          <w:headerReference r:id="rId7" w:type="first"/>
          <w:headerReference r:id="rId6" w:type="default"/>
          <w:pgSz w:w="11907" w:h="16840"/>
          <w:pgMar w:top="1440" w:right="1752" w:bottom="1440" w:left="1752" w:header="851" w:footer="992" w:gutter="0"/>
          <w:cols w:space="720" w:num="1"/>
          <w:titlePg/>
          <w:docGrid w:type="linesAndChars" w:linePitch="323" w:charSpace="-2"/>
        </w:sectPr>
      </w:pPr>
    </w:p>
    <w:p w14:paraId="320D1E34">
      <w:pPr>
        <w:pStyle w:val="2"/>
        <w:numPr>
          <w:ilvl w:val="0"/>
          <w:numId w:val="3"/>
        </w:numPr>
        <w:jc w:val="center"/>
        <w:rPr>
          <w:rFonts w:ascii="宋体" w:hAnsi="宋体" w:eastAsia="宋体"/>
          <w:b w:val="0"/>
          <w:color w:val="auto"/>
          <w:sz w:val="36"/>
        </w:rPr>
      </w:pPr>
      <w:bookmarkStart w:id="0" w:name="_Toc14977"/>
      <w:r>
        <w:rPr>
          <w:rFonts w:ascii="宋体" w:hAnsi="宋体" w:eastAsia="宋体"/>
          <w:b w:val="0"/>
          <w:color w:val="auto"/>
          <w:sz w:val="36"/>
        </w:rPr>
        <w:t>招标公告</w:t>
      </w:r>
      <w:bookmarkEnd w:id="0"/>
    </w:p>
    <w:p w14:paraId="049256CB">
      <w:pPr>
        <w:numPr>
          <w:ilvl w:val="0"/>
          <w:numId w:val="0"/>
        </w:numPr>
        <w:jc w:val="center"/>
        <w:rPr>
          <w:rFonts w:hint="default"/>
          <w:b/>
          <w:bCs/>
          <w:color w:val="auto"/>
          <w:sz w:val="24"/>
          <w:szCs w:val="32"/>
          <w:u w:val="none"/>
          <w:lang w:val="en-US"/>
        </w:rPr>
      </w:pPr>
      <w:r>
        <w:rPr>
          <w:rFonts w:hint="eastAsia" w:hAnsi="宋体"/>
          <w:b/>
          <w:bCs/>
          <w:color w:val="auto"/>
          <w:sz w:val="24"/>
          <w:szCs w:val="24"/>
          <w:u w:val="none"/>
          <w:lang w:val="en-US" w:eastAsia="zh-CN"/>
        </w:rPr>
        <w:t>怒江职业技术学院民宿数字化实训室项目招标公告</w:t>
      </w:r>
    </w:p>
    <w:p w14:paraId="434A763E">
      <w:pPr>
        <w:pStyle w:val="3"/>
        <w:numPr>
          <w:ilvl w:val="0"/>
          <w:numId w:val="0"/>
        </w:numPr>
        <w:tabs>
          <w:tab w:val="left" w:pos="1021"/>
        </w:tabs>
        <w:ind w:left="-2" w:leftChars="-1" w:firstLine="413" w:firstLineChars="196"/>
        <w:rPr>
          <w:rFonts w:ascii="宋体" w:hAnsi="宋体" w:eastAsia="宋体"/>
          <w:color w:val="auto"/>
          <w:sz w:val="21"/>
          <w:szCs w:val="21"/>
        </w:rPr>
      </w:pPr>
      <w:bookmarkStart w:id="1" w:name="_Toc396092965"/>
      <w:bookmarkStart w:id="2" w:name="_Toc348009972"/>
      <w:bookmarkStart w:id="3" w:name="_Toc27475"/>
      <w:bookmarkStart w:id="4" w:name="_Toc223860496"/>
      <w:r>
        <w:rPr>
          <w:rFonts w:hint="eastAsia" w:ascii="宋体" w:hAnsi="宋体" w:eastAsia="宋体"/>
          <w:color w:val="auto"/>
          <w:sz w:val="21"/>
          <w:szCs w:val="21"/>
        </w:rPr>
        <w:t>一、招标条件</w:t>
      </w:r>
      <w:bookmarkEnd w:id="1"/>
      <w:bookmarkEnd w:id="2"/>
      <w:bookmarkEnd w:id="3"/>
    </w:p>
    <w:p w14:paraId="19DCF5C7">
      <w:pPr>
        <w:pStyle w:val="18"/>
        <w:keepLines w:val="0"/>
        <w:pageBreakBefore w:val="0"/>
        <w:wordWrap/>
        <w:topLinePunct w:val="0"/>
        <w:autoSpaceDE/>
        <w:autoSpaceDN/>
        <w:bidi w:val="0"/>
        <w:snapToGrid/>
        <w:spacing w:line="420" w:lineRule="exact"/>
        <w:ind w:firstLine="420" w:firstLineChars="200"/>
        <w:jc w:val="left"/>
        <w:rPr>
          <w:rFonts w:hAnsi="宋体"/>
          <w:color w:val="auto"/>
          <w:sz w:val="21"/>
          <w:szCs w:val="21"/>
        </w:rPr>
      </w:pPr>
      <w:bookmarkStart w:id="5" w:name="_Toc348009973"/>
      <w:r>
        <w:rPr>
          <w:rFonts w:hAnsi="宋体"/>
          <w:color w:val="auto"/>
          <w:sz w:val="21"/>
          <w:szCs w:val="21"/>
        </w:rPr>
        <w:t>根据《中华人民共和国政府采购法》、</w:t>
      </w:r>
      <w:r>
        <w:rPr>
          <w:rFonts w:hint="eastAsia" w:hAnsi="宋体" w:cs="宋体"/>
          <w:color w:val="auto"/>
          <w:sz w:val="21"/>
          <w:szCs w:val="21"/>
        </w:rPr>
        <w:t>《政府采购货物和服务招标投标管理办法（财政部</w:t>
      </w:r>
      <w:r>
        <w:rPr>
          <w:rFonts w:hint="eastAsia" w:hAnsi="宋体" w:cs="宋体"/>
          <w:color w:val="auto"/>
          <w:sz w:val="21"/>
          <w:szCs w:val="21"/>
          <w:lang w:val="en-US" w:eastAsia="zh-CN"/>
        </w:rPr>
        <w:t>87</w:t>
      </w:r>
      <w:r>
        <w:rPr>
          <w:rFonts w:hint="eastAsia" w:hAnsi="宋体" w:cs="宋体"/>
          <w:color w:val="auto"/>
          <w:sz w:val="21"/>
          <w:szCs w:val="21"/>
        </w:rPr>
        <w:t>号令）》</w:t>
      </w:r>
      <w:r>
        <w:rPr>
          <w:rFonts w:hAnsi="宋体"/>
          <w:color w:val="auto"/>
          <w:sz w:val="21"/>
          <w:szCs w:val="21"/>
        </w:rPr>
        <w:t>及相关法律法规的规定，</w:t>
      </w:r>
      <w:r>
        <w:rPr>
          <w:rFonts w:hint="eastAsia" w:hAnsi="宋体"/>
          <w:color w:val="auto"/>
          <w:sz w:val="21"/>
          <w:szCs w:val="21"/>
          <w:u w:val="single"/>
          <w:lang w:eastAsia="zh-CN"/>
        </w:rPr>
        <w:t>怒江石月亮招标有限公司</w:t>
      </w:r>
      <w:r>
        <w:rPr>
          <w:rFonts w:hAnsi="宋体"/>
          <w:color w:val="auto"/>
          <w:sz w:val="21"/>
          <w:szCs w:val="21"/>
        </w:rPr>
        <w:t>受</w:t>
      </w:r>
      <w:r>
        <w:rPr>
          <w:rFonts w:hint="eastAsia" w:hAnsi="宋体"/>
          <w:color w:val="auto"/>
          <w:sz w:val="21"/>
          <w:szCs w:val="21"/>
          <w:u w:val="single"/>
          <w:lang w:val="en-US" w:eastAsia="zh-CN"/>
        </w:rPr>
        <w:t>怒江傈僳族自治州民族中等专业学校</w:t>
      </w:r>
      <w:r>
        <w:rPr>
          <w:rFonts w:hAnsi="宋体"/>
          <w:color w:val="auto"/>
          <w:sz w:val="21"/>
          <w:szCs w:val="21"/>
        </w:rPr>
        <w:t>（</w:t>
      </w:r>
      <w:r>
        <w:rPr>
          <w:rFonts w:hint="eastAsia" w:hAnsi="宋体"/>
          <w:color w:val="auto"/>
          <w:sz w:val="21"/>
          <w:szCs w:val="21"/>
        </w:rPr>
        <w:t>采购</w:t>
      </w:r>
      <w:r>
        <w:rPr>
          <w:rFonts w:hAnsi="宋体"/>
          <w:color w:val="auto"/>
          <w:sz w:val="21"/>
          <w:szCs w:val="21"/>
        </w:rPr>
        <w:t>人）的委托，对</w:t>
      </w:r>
      <w:r>
        <w:rPr>
          <w:rFonts w:hint="eastAsia" w:hAnsi="宋体"/>
          <w:color w:val="auto"/>
          <w:sz w:val="21"/>
          <w:szCs w:val="21"/>
          <w:u w:val="single"/>
        </w:rPr>
        <w:t>“</w:t>
      </w:r>
      <w:r>
        <w:rPr>
          <w:rFonts w:hint="eastAsia" w:hAnsi="宋体"/>
          <w:color w:val="auto"/>
          <w:sz w:val="21"/>
          <w:szCs w:val="21"/>
          <w:u w:val="single"/>
          <w:lang w:val="en-US" w:eastAsia="zh-CN"/>
        </w:rPr>
        <w:t>怒江职业技术学院民宿数字化实训室项目”</w:t>
      </w:r>
      <w:r>
        <w:rPr>
          <w:rFonts w:hAnsi="宋体"/>
          <w:color w:val="auto"/>
          <w:sz w:val="21"/>
          <w:szCs w:val="21"/>
        </w:rPr>
        <w:t>进行公开招标，现欢迎符合本项目资格要求的投标人就本项目所需货物的采购及相关服务进行投标。</w:t>
      </w:r>
    </w:p>
    <w:p w14:paraId="470A17E3">
      <w:pPr>
        <w:pStyle w:val="3"/>
        <w:keepLines w:val="0"/>
        <w:pageBreakBefore w:val="0"/>
        <w:numPr>
          <w:ilvl w:val="0"/>
          <w:numId w:val="0"/>
        </w:numPr>
        <w:tabs>
          <w:tab w:val="left" w:pos="1021"/>
        </w:tabs>
        <w:wordWrap/>
        <w:topLinePunct w:val="0"/>
        <w:autoSpaceDE/>
        <w:autoSpaceDN/>
        <w:bidi w:val="0"/>
        <w:snapToGrid/>
        <w:spacing w:line="420" w:lineRule="exact"/>
        <w:ind w:left="-2" w:leftChars="-1" w:firstLine="413" w:firstLineChars="196"/>
        <w:rPr>
          <w:rFonts w:ascii="宋体" w:hAnsi="宋体" w:eastAsia="宋体"/>
          <w:color w:val="auto"/>
          <w:sz w:val="21"/>
          <w:szCs w:val="21"/>
        </w:rPr>
      </w:pPr>
      <w:bookmarkStart w:id="6" w:name="_Toc29661"/>
      <w:bookmarkStart w:id="7" w:name="_Toc396092966"/>
      <w:r>
        <w:rPr>
          <w:rFonts w:hint="eastAsia" w:ascii="宋体" w:hAnsi="宋体" w:eastAsia="宋体"/>
          <w:color w:val="auto"/>
          <w:sz w:val="21"/>
          <w:szCs w:val="21"/>
        </w:rPr>
        <w:t>二、招标概况</w:t>
      </w:r>
      <w:bookmarkEnd w:id="5"/>
      <w:bookmarkEnd w:id="6"/>
      <w:bookmarkEnd w:id="7"/>
    </w:p>
    <w:p w14:paraId="52174E17">
      <w:pPr>
        <w:keepLines w:val="0"/>
        <w:pageBreakBefore w:val="0"/>
        <w:widowControl/>
        <w:wordWrap/>
        <w:topLinePunct w:val="0"/>
        <w:autoSpaceDE/>
        <w:autoSpaceDN/>
        <w:bidi w:val="0"/>
        <w:snapToGrid/>
        <w:spacing w:line="420" w:lineRule="exact"/>
        <w:ind w:firstLine="420" w:firstLineChars="200"/>
        <w:rPr>
          <w:rFonts w:hint="eastAsia" w:ascii="宋体" w:hAnsi="宋体" w:cs="Times New Roman"/>
          <w:color w:val="auto"/>
          <w:szCs w:val="21"/>
        </w:rPr>
      </w:pPr>
      <w:r>
        <w:rPr>
          <w:rFonts w:hint="eastAsia" w:ascii="宋体" w:hAnsi="宋体" w:cs="Times New Roman"/>
          <w:color w:val="auto"/>
          <w:szCs w:val="21"/>
        </w:rPr>
        <w:t>2.1项目编号：</w:t>
      </w:r>
      <w:r>
        <w:rPr>
          <w:rFonts w:hint="eastAsia" w:ascii="宋体" w:hAnsi="宋体" w:cs="Times New Roman"/>
          <w:color w:val="auto"/>
          <w:szCs w:val="21"/>
          <w:lang w:val="en-US" w:eastAsia="zh-CN"/>
        </w:rPr>
        <w:t>SYLZB2026019</w:t>
      </w:r>
      <w:r>
        <w:rPr>
          <w:rFonts w:hint="eastAsia" w:ascii="宋体" w:hAnsi="宋体" w:cs="Times New Roman"/>
          <w:color w:val="auto"/>
          <w:szCs w:val="21"/>
        </w:rPr>
        <w:t>，</w:t>
      </w:r>
    </w:p>
    <w:p w14:paraId="14ACB192">
      <w:pPr>
        <w:keepLines w:val="0"/>
        <w:pageBreakBefore w:val="0"/>
        <w:widowControl/>
        <w:wordWrap/>
        <w:topLinePunct w:val="0"/>
        <w:autoSpaceDE/>
        <w:autoSpaceDN/>
        <w:bidi w:val="0"/>
        <w:snapToGrid/>
        <w:spacing w:line="420" w:lineRule="exact"/>
        <w:ind w:firstLine="840" w:firstLineChars="400"/>
        <w:rPr>
          <w:rFonts w:hint="eastAsia" w:ascii="宋体" w:hAnsi="宋体" w:cs="Times New Roman"/>
          <w:color w:val="auto"/>
          <w:szCs w:val="21"/>
          <w:lang w:val="en-US" w:eastAsia="zh-CN"/>
        </w:rPr>
      </w:pPr>
      <w:r>
        <w:rPr>
          <w:rFonts w:hint="eastAsia" w:ascii="宋体" w:hAnsi="宋体" w:cs="Times New Roman"/>
          <w:color w:val="auto"/>
          <w:szCs w:val="21"/>
        </w:rPr>
        <w:t>采购预算价：</w:t>
      </w:r>
      <w:r>
        <w:rPr>
          <w:rFonts w:hint="eastAsia" w:ascii="宋体" w:hAnsi="宋体" w:eastAsia="宋体" w:cs="Times New Roman"/>
          <w:color w:val="auto"/>
          <w:szCs w:val="21"/>
          <w:lang w:val="en-US" w:eastAsia="zh-CN"/>
        </w:rPr>
        <w:t>小写：</w:t>
      </w:r>
      <w:r>
        <w:rPr>
          <w:rFonts w:hint="default" w:ascii="宋体" w:hAnsi="宋体" w:eastAsia="宋体" w:cs="Times New Roman"/>
          <w:color w:val="auto"/>
          <w:szCs w:val="21"/>
          <w:lang w:val="en-US" w:eastAsia="zh-CN"/>
        </w:rPr>
        <w:t>¥</w:t>
      </w:r>
      <w:r>
        <w:rPr>
          <w:rFonts w:hint="eastAsia" w:ascii="宋体" w:hAnsi="宋体" w:eastAsia="宋体" w:cs="Times New Roman"/>
          <w:color w:val="auto"/>
          <w:szCs w:val="21"/>
          <w:lang w:val="en-US" w:eastAsia="zh-CN"/>
        </w:rPr>
        <w:t>1180200.00 元 大写：壹佰壹拾捌万零贰佰元整</w:t>
      </w:r>
    </w:p>
    <w:p w14:paraId="586D84B7">
      <w:pPr>
        <w:keepLines w:val="0"/>
        <w:pageBreakBefore w:val="0"/>
        <w:widowControl/>
        <w:wordWrap/>
        <w:topLinePunct w:val="0"/>
        <w:autoSpaceDE/>
        <w:autoSpaceDN/>
        <w:bidi w:val="0"/>
        <w:snapToGrid/>
        <w:spacing w:line="420" w:lineRule="exact"/>
        <w:ind w:firstLine="420" w:firstLineChars="200"/>
        <w:rPr>
          <w:rFonts w:hint="eastAsia" w:ascii="宋体" w:hAnsi="宋体" w:cs="Times New Roman"/>
          <w:color w:val="auto"/>
          <w:szCs w:val="21"/>
          <w:lang w:val="en-US" w:eastAsia="zh-CN"/>
        </w:rPr>
      </w:pPr>
      <w:r>
        <w:rPr>
          <w:rFonts w:hint="eastAsia" w:ascii="宋体" w:hAnsi="宋体" w:cs="Times New Roman"/>
          <w:color w:val="auto"/>
          <w:szCs w:val="21"/>
          <w:lang w:val="en-US" w:eastAsia="zh-CN"/>
        </w:rPr>
        <w:t>2.2采购内容：</w:t>
      </w:r>
      <w:r>
        <w:rPr>
          <w:rFonts w:hint="eastAsia" w:ascii="宋体" w:hAnsi="宋体" w:cs="Times New Roman"/>
          <w:color w:val="auto"/>
          <w:szCs w:val="21"/>
          <w:highlight w:val="none"/>
          <w:lang w:val="en-US" w:eastAsia="zh-CN"/>
        </w:rPr>
        <w:t>详细内容见第五章采购要求</w:t>
      </w:r>
    </w:p>
    <w:p w14:paraId="6F8CB730">
      <w:pPr>
        <w:keepLines w:val="0"/>
        <w:pageBreakBefore w:val="0"/>
        <w:widowControl/>
        <w:wordWrap/>
        <w:topLinePunct w:val="0"/>
        <w:autoSpaceDE/>
        <w:autoSpaceDN/>
        <w:bidi w:val="0"/>
        <w:snapToGrid/>
        <w:spacing w:line="420" w:lineRule="exact"/>
        <w:ind w:firstLine="420" w:firstLineChars="200"/>
        <w:rPr>
          <w:rFonts w:hint="eastAsia" w:ascii="宋体" w:hAnsi="宋体"/>
          <w:color w:val="auto"/>
          <w:kern w:val="0"/>
          <w:szCs w:val="21"/>
        </w:rPr>
      </w:pPr>
      <w:bookmarkStart w:id="8" w:name="_Toc348009974"/>
      <w:bookmarkStart w:id="9" w:name="_Toc396092967"/>
      <w:r>
        <w:rPr>
          <w:rFonts w:hint="eastAsia" w:ascii="宋体" w:hAnsi="宋体" w:cs="Times New Roman"/>
          <w:color w:val="auto"/>
          <w:szCs w:val="21"/>
        </w:rPr>
        <w:t>2.3.项目名称：</w:t>
      </w:r>
      <w:r>
        <w:rPr>
          <w:rFonts w:hint="eastAsia" w:ascii="宋体" w:hAnsi="宋体" w:cs="Times New Roman"/>
          <w:color w:val="auto"/>
          <w:szCs w:val="21"/>
          <w:lang w:eastAsia="zh-CN"/>
        </w:rPr>
        <w:t>怒江职业技术学院民宿数字化实训室项目</w:t>
      </w:r>
      <w:r>
        <w:rPr>
          <w:rFonts w:hint="eastAsia" w:ascii="宋体" w:hAnsi="宋体" w:cs="Times New Roman"/>
          <w:color w:val="auto"/>
          <w:szCs w:val="21"/>
        </w:rPr>
        <w:t xml:space="preserve">    </w:t>
      </w:r>
      <w:r>
        <w:rPr>
          <w:rFonts w:hint="eastAsia" w:ascii="宋体" w:hAnsi="宋体"/>
          <w:color w:val="auto"/>
          <w:kern w:val="0"/>
          <w:szCs w:val="21"/>
        </w:rPr>
        <w:t xml:space="preserve">    </w:t>
      </w:r>
    </w:p>
    <w:p w14:paraId="222C68FD">
      <w:pPr>
        <w:keepLines w:val="0"/>
        <w:pageBreakBefore w:val="0"/>
        <w:widowControl/>
        <w:wordWrap/>
        <w:topLinePunct w:val="0"/>
        <w:autoSpaceDE/>
        <w:autoSpaceDN/>
        <w:bidi w:val="0"/>
        <w:snapToGrid/>
        <w:spacing w:line="420" w:lineRule="exact"/>
        <w:ind w:firstLine="420" w:firstLineChars="200"/>
        <w:rPr>
          <w:rFonts w:hint="eastAsia" w:ascii="宋体" w:hAnsi="宋体"/>
          <w:color w:val="auto"/>
          <w:kern w:val="0"/>
          <w:szCs w:val="21"/>
        </w:rPr>
      </w:pPr>
      <w:r>
        <w:rPr>
          <w:rFonts w:hint="eastAsia" w:ascii="宋体" w:hAnsi="宋体"/>
          <w:color w:val="auto"/>
          <w:kern w:val="0"/>
          <w:szCs w:val="21"/>
        </w:rPr>
        <w:t>2.4.资金来源及使用方式：财政拨款</w:t>
      </w:r>
    </w:p>
    <w:p w14:paraId="584587FB">
      <w:pPr>
        <w:keepLines w:val="0"/>
        <w:pageBreakBefore w:val="0"/>
        <w:widowControl/>
        <w:wordWrap/>
        <w:topLinePunct w:val="0"/>
        <w:autoSpaceDE/>
        <w:autoSpaceDN/>
        <w:bidi w:val="0"/>
        <w:snapToGrid/>
        <w:spacing w:line="420" w:lineRule="exact"/>
        <w:ind w:firstLine="420" w:firstLineChars="200"/>
        <w:rPr>
          <w:rFonts w:hint="eastAsia" w:ascii="宋体" w:hAnsi="宋体"/>
          <w:color w:val="auto"/>
          <w:kern w:val="0"/>
          <w:szCs w:val="21"/>
        </w:rPr>
      </w:pPr>
      <w:r>
        <w:rPr>
          <w:rFonts w:hint="eastAsia" w:ascii="宋体" w:hAnsi="宋体"/>
          <w:color w:val="auto"/>
          <w:kern w:val="0"/>
          <w:szCs w:val="21"/>
        </w:rPr>
        <w:t>2.5.</w:t>
      </w:r>
      <w:r>
        <w:rPr>
          <w:rFonts w:hint="eastAsia" w:ascii="宋体" w:hAnsi="宋体" w:cs="宋体"/>
          <w:color w:val="auto"/>
          <w:szCs w:val="21"/>
          <w:highlight w:val="none"/>
          <w:lang w:val="en-US" w:eastAsia="zh-CN"/>
        </w:rPr>
        <w:t>供货</w:t>
      </w:r>
      <w:r>
        <w:rPr>
          <w:rFonts w:hint="eastAsia" w:ascii="宋体" w:hAnsi="宋体" w:cs="宋体"/>
          <w:color w:val="auto"/>
          <w:szCs w:val="21"/>
          <w:highlight w:val="none"/>
        </w:rPr>
        <w:t>期</w:t>
      </w:r>
      <w:r>
        <w:rPr>
          <w:rFonts w:hint="eastAsia" w:ascii="宋体" w:hAnsi="宋体"/>
          <w:color w:val="auto"/>
          <w:kern w:val="0"/>
          <w:szCs w:val="21"/>
        </w:rPr>
        <w:t>：按合同约定。</w:t>
      </w:r>
    </w:p>
    <w:p w14:paraId="43CF7B98">
      <w:pPr>
        <w:pStyle w:val="3"/>
        <w:keepLines w:val="0"/>
        <w:pageBreakBefore w:val="0"/>
        <w:numPr>
          <w:ilvl w:val="0"/>
          <w:numId w:val="0"/>
        </w:numPr>
        <w:tabs>
          <w:tab w:val="left" w:pos="1021"/>
        </w:tabs>
        <w:wordWrap/>
        <w:topLinePunct w:val="0"/>
        <w:autoSpaceDE/>
        <w:autoSpaceDN/>
        <w:bidi w:val="0"/>
        <w:snapToGrid/>
        <w:spacing w:before="0" w:line="420" w:lineRule="exact"/>
        <w:rPr>
          <w:rFonts w:hint="eastAsia" w:ascii="宋体" w:hAnsi="宋体" w:eastAsia="宋体"/>
          <w:color w:val="auto"/>
          <w:sz w:val="21"/>
          <w:szCs w:val="21"/>
        </w:rPr>
      </w:pPr>
      <w:bookmarkStart w:id="10" w:name="_Toc5682"/>
      <w:r>
        <w:rPr>
          <w:rFonts w:hint="eastAsia" w:ascii="宋体" w:hAnsi="宋体" w:eastAsia="宋体"/>
          <w:color w:val="auto"/>
          <w:sz w:val="21"/>
          <w:szCs w:val="21"/>
        </w:rPr>
        <w:t>三、投标人资格要求</w:t>
      </w:r>
      <w:bookmarkEnd w:id="8"/>
      <w:bookmarkEnd w:id="9"/>
      <w:bookmarkEnd w:id="10"/>
    </w:p>
    <w:p w14:paraId="4758E4B6">
      <w:pPr>
        <w:keepLines w:val="0"/>
        <w:pageBreakBefore w:val="0"/>
        <w:widowControl/>
        <w:wordWrap/>
        <w:topLinePunct w:val="0"/>
        <w:autoSpaceDE/>
        <w:autoSpaceDN/>
        <w:bidi w:val="0"/>
        <w:snapToGrid/>
        <w:spacing w:line="420" w:lineRule="exact"/>
        <w:ind w:firstLine="420" w:firstLineChars="200"/>
        <w:rPr>
          <w:rFonts w:hint="eastAsia" w:ascii="宋体" w:hAnsi="宋体"/>
          <w:color w:val="auto"/>
          <w:kern w:val="0"/>
          <w:szCs w:val="21"/>
        </w:rPr>
      </w:pPr>
      <w:bookmarkStart w:id="11" w:name="_Toc396092968"/>
      <w:bookmarkStart w:id="12" w:name="_Toc348009975"/>
      <w:r>
        <w:rPr>
          <w:rFonts w:hint="eastAsia" w:ascii="宋体" w:hAnsi="宋体"/>
          <w:color w:val="auto"/>
          <w:kern w:val="0"/>
          <w:szCs w:val="21"/>
        </w:rPr>
        <w:t>3.1供应商必须符合《中华人民共和国政府采购法》第二十二条规定的条件：</w:t>
      </w:r>
    </w:p>
    <w:p w14:paraId="4EA9DF83">
      <w:pPr>
        <w:keepLines w:val="0"/>
        <w:pageBreakBefore w:val="0"/>
        <w:widowControl/>
        <w:wordWrap/>
        <w:topLinePunct w:val="0"/>
        <w:autoSpaceDE/>
        <w:autoSpaceDN/>
        <w:bidi w:val="0"/>
        <w:snapToGrid/>
        <w:spacing w:line="420" w:lineRule="exact"/>
        <w:ind w:firstLine="420" w:firstLineChars="200"/>
        <w:rPr>
          <w:rFonts w:hint="eastAsia" w:ascii="宋体" w:hAnsi="宋体"/>
          <w:b/>
          <w:color w:val="auto"/>
          <w:kern w:val="0"/>
          <w:szCs w:val="21"/>
        </w:rPr>
      </w:pPr>
      <w:r>
        <w:rPr>
          <w:rFonts w:hint="eastAsia" w:ascii="宋体" w:hAnsi="宋体"/>
          <w:color w:val="auto"/>
          <w:kern w:val="0"/>
          <w:szCs w:val="21"/>
        </w:rPr>
        <w:t>（一）具有独立承担民事责任的能力</w:t>
      </w:r>
      <w:r>
        <w:rPr>
          <w:rFonts w:hint="eastAsia" w:ascii="宋体" w:hAnsi="宋体"/>
          <w:b w:val="0"/>
          <w:bCs/>
          <w:color w:val="auto"/>
          <w:kern w:val="0"/>
          <w:szCs w:val="21"/>
        </w:rPr>
        <w:t>；</w:t>
      </w:r>
    </w:p>
    <w:p w14:paraId="60556A4D">
      <w:pPr>
        <w:keepLines w:val="0"/>
        <w:pageBreakBefore w:val="0"/>
        <w:widowControl/>
        <w:wordWrap/>
        <w:topLinePunct w:val="0"/>
        <w:autoSpaceDE/>
        <w:autoSpaceDN/>
        <w:bidi w:val="0"/>
        <w:snapToGrid/>
        <w:spacing w:line="420" w:lineRule="exact"/>
        <w:ind w:firstLine="420" w:firstLineChars="200"/>
        <w:rPr>
          <w:rFonts w:hint="eastAsia" w:ascii="宋体" w:hAnsi="宋体"/>
          <w:color w:val="auto"/>
          <w:kern w:val="0"/>
          <w:szCs w:val="21"/>
        </w:rPr>
      </w:pPr>
      <w:r>
        <w:rPr>
          <w:rFonts w:hint="eastAsia" w:ascii="宋体" w:hAnsi="宋体"/>
          <w:color w:val="auto"/>
          <w:kern w:val="0"/>
          <w:szCs w:val="21"/>
        </w:rPr>
        <w:t>（二）具有良好的商业信誉和健全的财务会计制度；</w:t>
      </w:r>
    </w:p>
    <w:p w14:paraId="09F47727">
      <w:pPr>
        <w:keepLines w:val="0"/>
        <w:pageBreakBefore w:val="0"/>
        <w:widowControl/>
        <w:wordWrap/>
        <w:topLinePunct w:val="0"/>
        <w:autoSpaceDE/>
        <w:autoSpaceDN/>
        <w:bidi w:val="0"/>
        <w:snapToGrid/>
        <w:spacing w:line="420" w:lineRule="exact"/>
        <w:ind w:firstLine="420" w:firstLineChars="200"/>
        <w:rPr>
          <w:rFonts w:hint="eastAsia" w:ascii="宋体" w:hAnsi="宋体"/>
          <w:color w:val="auto"/>
          <w:kern w:val="0"/>
          <w:szCs w:val="21"/>
        </w:rPr>
      </w:pPr>
      <w:r>
        <w:rPr>
          <w:rFonts w:hint="eastAsia" w:ascii="宋体" w:hAnsi="宋体"/>
          <w:color w:val="auto"/>
          <w:kern w:val="0"/>
          <w:szCs w:val="21"/>
        </w:rPr>
        <w:t>（三）具有履行合同所必需的设备和专业技术能力（提供相关证明材料）；</w:t>
      </w:r>
    </w:p>
    <w:p w14:paraId="4F17C0F0">
      <w:pPr>
        <w:keepLines w:val="0"/>
        <w:pageBreakBefore w:val="0"/>
        <w:widowControl/>
        <w:wordWrap/>
        <w:topLinePunct w:val="0"/>
        <w:autoSpaceDE/>
        <w:autoSpaceDN/>
        <w:bidi w:val="0"/>
        <w:snapToGrid/>
        <w:spacing w:line="420" w:lineRule="exact"/>
        <w:ind w:firstLine="420" w:firstLineChars="200"/>
        <w:rPr>
          <w:rFonts w:hint="eastAsia" w:ascii="宋体" w:hAnsi="宋体"/>
          <w:color w:val="auto"/>
          <w:kern w:val="0"/>
          <w:szCs w:val="21"/>
        </w:rPr>
      </w:pPr>
      <w:r>
        <w:rPr>
          <w:rFonts w:hint="eastAsia" w:ascii="宋体" w:hAnsi="宋体"/>
          <w:color w:val="auto"/>
          <w:kern w:val="0"/>
          <w:szCs w:val="21"/>
        </w:rPr>
        <w:t>（四）有依法缴纳税收和社会保障资金的良好记录；</w:t>
      </w:r>
    </w:p>
    <w:p w14:paraId="558944CE">
      <w:pPr>
        <w:keepLines w:val="0"/>
        <w:pageBreakBefore w:val="0"/>
        <w:widowControl/>
        <w:wordWrap/>
        <w:topLinePunct w:val="0"/>
        <w:autoSpaceDE/>
        <w:autoSpaceDN/>
        <w:bidi w:val="0"/>
        <w:snapToGrid/>
        <w:spacing w:line="420" w:lineRule="exact"/>
        <w:ind w:firstLine="420" w:firstLineChars="200"/>
        <w:rPr>
          <w:rFonts w:hint="eastAsia" w:ascii="宋体" w:hAnsi="宋体"/>
          <w:color w:val="auto"/>
          <w:kern w:val="0"/>
          <w:szCs w:val="21"/>
        </w:rPr>
      </w:pPr>
      <w:r>
        <w:rPr>
          <w:rFonts w:hint="eastAsia" w:ascii="宋体" w:hAnsi="宋体"/>
          <w:color w:val="auto"/>
          <w:kern w:val="0"/>
          <w:szCs w:val="21"/>
        </w:rPr>
        <w:t>（五）参加政府采购活动前三年内，在经营活动中没有重大违法记录（重大违法记录，是指供应商因违法经营受到刑事处罚或者责令停产停业、吊销许可证或者执照、较大数额罚款等行政处罚）的书面声明；（1）投标人及投标人法定代表人不得为“信用中国”网站（www.creditchina.gov.cn）列入失信被执行人、重大税收违法案件当事人名单；（2）投标人不得为“中国政府采购网”网站（http://www.ccgp.gov.cn/）政府采购严重违法失信行为记录名单中被财政部门禁止参加政府采购活动的投标人（处罚决定规定的时间和地域范围内）；（3）投标人不得为“国家企业信用信息公示”网站（http://gsxt.saic.gov.cn/）参加政府采购活动前3年内存在经营活动中有重大违法记录的行为。</w:t>
      </w:r>
    </w:p>
    <w:p w14:paraId="2175F2BC">
      <w:pPr>
        <w:keepLines w:val="0"/>
        <w:pageBreakBefore w:val="0"/>
        <w:widowControl/>
        <w:wordWrap/>
        <w:topLinePunct w:val="0"/>
        <w:autoSpaceDE/>
        <w:autoSpaceDN/>
        <w:bidi w:val="0"/>
        <w:snapToGrid/>
        <w:spacing w:line="420" w:lineRule="exact"/>
        <w:ind w:firstLine="420" w:firstLineChars="200"/>
        <w:rPr>
          <w:rFonts w:hint="eastAsia" w:ascii="宋体" w:hAnsi="宋体"/>
          <w:color w:val="auto"/>
          <w:kern w:val="0"/>
          <w:szCs w:val="21"/>
        </w:rPr>
      </w:pPr>
      <w:r>
        <w:rPr>
          <w:rFonts w:hint="eastAsia" w:ascii="宋体" w:hAnsi="宋体"/>
          <w:color w:val="auto"/>
          <w:kern w:val="0"/>
          <w:szCs w:val="21"/>
        </w:rPr>
        <w:t>（六）法律、行政法规规定的其他条件。</w:t>
      </w:r>
    </w:p>
    <w:p w14:paraId="734EBC62">
      <w:pPr>
        <w:keepLines w:val="0"/>
        <w:pageBreakBefore w:val="0"/>
        <w:wordWrap/>
        <w:topLinePunct w:val="0"/>
        <w:autoSpaceDE/>
        <w:autoSpaceDN/>
        <w:bidi w:val="0"/>
        <w:snapToGrid/>
        <w:spacing w:line="420" w:lineRule="exact"/>
        <w:ind w:firstLine="420" w:firstLineChars="200"/>
        <w:rPr>
          <w:rFonts w:hint="eastAsia"/>
          <w:color w:val="auto"/>
          <w:szCs w:val="21"/>
        </w:rPr>
      </w:pPr>
      <w:r>
        <w:rPr>
          <w:rFonts w:hint="eastAsia" w:ascii="宋体" w:hAnsi="宋体"/>
          <w:color w:val="auto"/>
          <w:kern w:val="0"/>
          <w:szCs w:val="21"/>
        </w:rPr>
        <w:t>3.</w:t>
      </w:r>
      <w:r>
        <w:rPr>
          <w:rFonts w:hint="eastAsia" w:ascii="宋体" w:hAnsi="宋体"/>
          <w:color w:val="auto"/>
          <w:kern w:val="0"/>
          <w:szCs w:val="21"/>
          <w:lang w:val="en-US" w:eastAsia="zh-CN"/>
        </w:rPr>
        <w:t>2</w:t>
      </w:r>
      <w:r>
        <w:rPr>
          <w:rFonts w:hint="eastAsia" w:ascii="宋体" w:hAnsi="宋体"/>
          <w:color w:val="auto"/>
          <w:kern w:val="0"/>
          <w:szCs w:val="21"/>
        </w:rPr>
        <w:t>本项目不接受联合体投标</w:t>
      </w:r>
      <w:r>
        <w:rPr>
          <w:rFonts w:hint="eastAsia"/>
          <w:color w:val="auto"/>
          <w:szCs w:val="21"/>
        </w:rPr>
        <w:t>。</w:t>
      </w:r>
    </w:p>
    <w:p w14:paraId="37A91A3F">
      <w:pPr>
        <w:pStyle w:val="3"/>
        <w:keepLines w:val="0"/>
        <w:pageBreakBefore w:val="0"/>
        <w:numPr>
          <w:ilvl w:val="0"/>
          <w:numId w:val="0"/>
        </w:numPr>
        <w:tabs>
          <w:tab w:val="left" w:pos="1021"/>
        </w:tabs>
        <w:wordWrap/>
        <w:topLinePunct w:val="0"/>
        <w:autoSpaceDE/>
        <w:autoSpaceDN/>
        <w:bidi w:val="0"/>
        <w:snapToGrid/>
        <w:spacing w:line="420" w:lineRule="exact"/>
        <w:rPr>
          <w:rFonts w:ascii="宋体" w:hAnsi="宋体" w:eastAsia="宋体"/>
          <w:color w:val="auto"/>
          <w:sz w:val="21"/>
          <w:szCs w:val="21"/>
        </w:rPr>
      </w:pPr>
      <w:bookmarkStart w:id="13" w:name="_Toc5253"/>
      <w:r>
        <w:rPr>
          <w:rFonts w:hint="eastAsia" w:ascii="宋体" w:hAnsi="宋体" w:eastAsia="宋体"/>
          <w:color w:val="auto"/>
          <w:sz w:val="21"/>
          <w:szCs w:val="21"/>
        </w:rPr>
        <w:t>四、招标文件的获取</w:t>
      </w:r>
      <w:bookmarkEnd w:id="11"/>
      <w:bookmarkEnd w:id="12"/>
      <w:bookmarkEnd w:id="13"/>
    </w:p>
    <w:bookmarkEnd w:id="4"/>
    <w:p w14:paraId="0DDB98FF">
      <w:pPr>
        <w:keepLines w:val="0"/>
        <w:pageBreakBefore w:val="0"/>
        <w:widowControl/>
        <w:wordWrap/>
        <w:topLinePunct w:val="0"/>
        <w:autoSpaceDE/>
        <w:autoSpaceDN/>
        <w:bidi w:val="0"/>
        <w:snapToGrid/>
        <w:spacing w:line="420" w:lineRule="exact"/>
        <w:ind w:firstLine="420" w:firstLineChars="200"/>
        <w:rPr>
          <w:rFonts w:hint="eastAsia" w:ascii="宋体" w:hAnsi="宋体" w:eastAsia="宋体" w:cs="Times New Roman"/>
          <w:color w:val="auto"/>
          <w:kern w:val="0"/>
          <w:szCs w:val="21"/>
          <w:lang w:val="en-US" w:eastAsia="zh-CN"/>
        </w:rPr>
      </w:pPr>
      <w:bookmarkStart w:id="14" w:name="_Toc35393801"/>
      <w:bookmarkStart w:id="15" w:name="_Toc35393632"/>
      <w:bookmarkStart w:id="16" w:name="_Toc28359015"/>
      <w:bookmarkStart w:id="17" w:name="_Toc28359092"/>
      <w:bookmarkStart w:id="18" w:name="_Toc396092971"/>
      <w:r>
        <w:rPr>
          <w:rFonts w:hint="eastAsia" w:ascii="宋体" w:hAnsi="宋体" w:eastAsia="宋体"/>
          <w:color w:val="auto"/>
          <w:kern w:val="0"/>
          <w:szCs w:val="21"/>
          <w:lang w:val="en-US" w:eastAsia="zh-CN"/>
        </w:rPr>
        <w:t>4.1时间</w:t>
      </w:r>
      <w:r>
        <w:rPr>
          <w:rFonts w:hint="eastAsia" w:ascii="宋体" w:hAnsi="宋体" w:eastAsia="宋体" w:cs="Times New Roman"/>
          <w:color w:val="auto"/>
          <w:kern w:val="0"/>
          <w:szCs w:val="21"/>
          <w:lang w:val="en-US" w:eastAsia="zh-CN"/>
        </w:rPr>
        <w:t>：</w:t>
      </w:r>
      <w:r>
        <w:rPr>
          <w:rFonts w:hint="eastAsia" w:ascii="宋体" w:hAnsi="宋体" w:eastAsia="宋体" w:cs="Times New Roman"/>
          <w:color w:val="auto"/>
          <w:kern w:val="0"/>
          <w:szCs w:val="21"/>
          <w:highlight w:val="none"/>
          <w:lang w:val="en-US" w:eastAsia="zh-CN"/>
        </w:rPr>
        <w:t>202</w:t>
      </w:r>
      <w:r>
        <w:rPr>
          <w:rFonts w:hint="eastAsia" w:ascii="宋体" w:hAnsi="宋体" w:cs="Times New Roman"/>
          <w:color w:val="auto"/>
          <w:kern w:val="0"/>
          <w:szCs w:val="21"/>
          <w:highlight w:val="none"/>
          <w:lang w:val="en-US" w:eastAsia="zh-CN"/>
        </w:rPr>
        <w:t>6</w:t>
      </w:r>
      <w:r>
        <w:rPr>
          <w:rFonts w:hint="eastAsia" w:ascii="宋体" w:hAnsi="宋体" w:eastAsia="宋体" w:cs="Times New Roman"/>
          <w:color w:val="auto"/>
          <w:kern w:val="0"/>
          <w:szCs w:val="21"/>
          <w:highlight w:val="none"/>
          <w:lang w:val="en-US" w:eastAsia="zh-CN"/>
        </w:rPr>
        <w:t>年</w:t>
      </w:r>
      <w:r>
        <w:rPr>
          <w:rFonts w:hint="eastAsia" w:ascii="宋体" w:hAnsi="宋体" w:cs="Times New Roman"/>
          <w:color w:val="auto"/>
          <w:kern w:val="0"/>
          <w:szCs w:val="21"/>
          <w:highlight w:val="none"/>
          <w:lang w:val="en-US" w:eastAsia="zh-CN"/>
        </w:rPr>
        <w:t>5</w:t>
      </w:r>
      <w:r>
        <w:rPr>
          <w:rFonts w:hint="eastAsia" w:ascii="宋体" w:hAnsi="宋体" w:eastAsia="宋体" w:cs="Times New Roman"/>
          <w:color w:val="auto"/>
          <w:kern w:val="0"/>
          <w:szCs w:val="21"/>
          <w:highlight w:val="none"/>
          <w:lang w:val="en-US" w:eastAsia="zh-CN"/>
        </w:rPr>
        <w:t>月</w:t>
      </w:r>
      <w:r>
        <w:rPr>
          <w:rFonts w:hint="eastAsia" w:ascii="宋体" w:hAnsi="宋体" w:cs="Times New Roman"/>
          <w:color w:val="auto"/>
          <w:kern w:val="0"/>
          <w:szCs w:val="21"/>
          <w:highlight w:val="none"/>
          <w:lang w:val="en-US" w:eastAsia="zh-CN"/>
        </w:rPr>
        <w:t>22</w:t>
      </w:r>
      <w:r>
        <w:rPr>
          <w:rFonts w:hint="eastAsia" w:ascii="宋体" w:hAnsi="宋体" w:eastAsia="宋体" w:cs="Times New Roman"/>
          <w:color w:val="auto"/>
          <w:kern w:val="0"/>
          <w:szCs w:val="21"/>
          <w:highlight w:val="none"/>
          <w:lang w:val="en-US" w:eastAsia="zh-CN"/>
        </w:rPr>
        <w:t xml:space="preserve"> 日至202</w:t>
      </w:r>
      <w:r>
        <w:rPr>
          <w:rFonts w:hint="eastAsia" w:ascii="宋体" w:hAnsi="宋体" w:cs="Times New Roman"/>
          <w:color w:val="auto"/>
          <w:kern w:val="0"/>
          <w:szCs w:val="21"/>
          <w:highlight w:val="none"/>
          <w:lang w:val="en-US" w:eastAsia="zh-CN"/>
        </w:rPr>
        <w:t>6</w:t>
      </w:r>
      <w:r>
        <w:rPr>
          <w:rFonts w:hint="eastAsia" w:ascii="宋体" w:hAnsi="宋体" w:eastAsia="宋体" w:cs="Times New Roman"/>
          <w:color w:val="auto"/>
          <w:kern w:val="0"/>
          <w:szCs w:val="21"/>
          <w:highlight w:val="none"/>
          <w:lang w:val="en-US" w:eastAsia="zh-CN"/>
        </w:rPr>
        <w:t>年</w:t>
      </w:r>
      <w:r>
        <w:rPr>
          <w:rFonts w:hint="eastAsia" w:ascii="宋体" w:hAnsi="宋体" w:cs="Times New Roman"/>
          <w:color w:val="auto"/>
          <w:kern w:val="0"/>
          <w:szCs w:val="21"/>
          <w:highlight w:val="none"/>
          <w:lang w:val="en-US" w:eastAsia="zh-CN"/>
        </w:rPr>
        <w:t>6</w:t>
      </w:r>
      <w:r>
        <w:rPr>
          <w:rFonts w:hint="eastAsia" w:ascii="宋体" w:hAnsi="宋体" w:eastAsia="宋体" w:cs="Times New Roman"/>
          <w:color w:val="auto"/>
          <w:kern w:val="0"/>
          <w:szCs w:val="21"/>
          <w:highlight w:val="none"/>
          <w:lang w:val="en-US" w:eastAsia="zh-CN"/>
        </w:rPr>
        <w:t>月</w:t>
      </w:r>
      <w:r>
        <w:rPr>
          <w:rFonts w:hint="eastAsia" w:ascii="宋体" w:hAnsi="宋体" w:cs="Times New Roman"/>
          <w:color w:val="auto"/>
          <w:kern w:val="0"/>
          <w:szCs w:val="21"/>
          <w:highlight w:val="none"/>
          <w:lang w:val="en-US" w:eastAsia="zh-CN"/>
        </w:rPr>
        <w:t>18</w:t>
      </w:r>
      <w:r>
        <w:rPr>
          <w:rFonts w:hint="eastAsia" w:ascii="宋体" w:hAnsi="宋体" w:eastAsia="宋体" w:cs="Times New Roman"/>
          <w:color w:val="auto"/>
          <w:kern w:val="0"/>
          <w:szCs w:val="21"/>
          <w:highlight w:val="none"/>
          <w:lang w:val="en-US" w:eastAsia="zh-CN"/>
        </w:rPr>
        <w:t>日，</w:t>
      </w:r>
      <w:r>
        <w:rPr>
          <w:rFonts w:hint="eastAsia" w:ascii="宋体" w:hAnsi="宋体" w:eastAsia="宋体" w:cs="Times New Roman"/>
          <w:color w:val="auto"/>
          <w:kern w:val="0"/>
          <w:szCs w:val="21"/>
          <w:lang w:val="en-US" w:eastAsia="zh-CN"/>
        </w:rPr>
        <w:t>每天上午06:00至12:00，下午12:00至23:59（北京时间，法定节假日除外）</w:t>
      </w:r>
    </w:p>
    <w:p w14:paraId="3193D3E9">
      <w:pPr>
        <w:keepLines w:val="0"/>
        <w:pageBreakBefore w:val="0"/>
        <w:widowControl/>
        <w:wordWrap/>
        <w:topLinePunct w:val="0"/>
        <w:autoSpaceDE/>
        <w:autoSpaceDN/>
        <w:bidi w:val="0"/>
        <w:snapToGrid/>
        <w:spacing w:line="420" w:lineRule="exact"/>
        <w:ind w:firstLine="420" w:firstLineChars="200"/>
        <w:rPr>
          <w:rFonts w:hint="eastAsia" w:ascii="宋体" w:hAnsi="宋体" w:eastAsia="宋体" w:cs="Times New Roman"/>
          <w:color w:val="auto"/>
          <w:kern w:val="0"/>
          <w:szCs w:val="21"/>
          <w:lang w:val="en-US" w:eastAsia="zh-CN"/>
        </w:rPr>
      </w:pPr>
      <w:r>
        <w:rPr>
          <w:rFonts w:hint="eastAsia" w:ascii="宋体" w:hAnsi="宋体" w:eastAsia="宋体" w:cs="Times New Roman"/>
          <w:color w:val="auto"/>
          <w:kern w:val="0"/>
          <w:szCs w:val="21"/>
          <w:lang w:val="en-US" w:eastAsia="zh-CN"/>
        </w:rPr>
        <w:t>4.2地点：投标人须在“政采云”平台（https://www.zcygov.cn）下载采购文件（操作路径：登录“政采云”平台-项目采购-获取采购文件-找到本项目-点击“申请获取采购文件”）</w:t>
      </w:r>
    </w:p>
    <w:p w14:paraId="3AC454FC">
      <w:pPr>
        <w:keepLines w:val="0"/>
        <w:pageBreakBefore w:val="0"/>
        <w:widowControl/>
        <w:wordWrap/>
        <w:topLinePunct w:val="0"/>
        <w:autoSpaceDE/>
        <w:autoSpaceDN/>
        <w:bidi w:val="0"/>
        <w:snapToGrid/>
        <w:spacing w:line="420" w:lineRule="exact"/>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 xml:space="preserve">4.3方式：1.凡有意参加投标者，须在政采云平台办理数字证书（CA），并在政采云绑定数字证书（CA）后线上获取采购文件及其它采购资料。           </w:t>
      </w:r>
    </w:p>
    <w:p w14:paraId="1B9BA077">
      <w:pPr>
        <w:keepLines w:val="0"/>
        <w:pageBreakBefore w:val="0"/>
        <w:widowControl/>
        <w:numPr>
          <w:ilvl w:val="0"/>
          <w:numId w:val="0"/>
        </w:numPr>
        <w:wordWrap/>
        <w:topLinePunct w:val="0"/>
        <w:autoSpaceDE/>
        <w:autoSpaceDN/>
        <w:bidi w:val="0"/>
        <w:snapToGrid/>
        <w:spacing w:line="420" w:lineRule="exact"/>
        <w:ind w:firstLine="1260" w:firstLineChars="6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2.CA申领链接：https://middle.zcygov.cn/ca/apply/list?_app_=zcy.sys，CA申领后需登陆政采云平台完成数字证书（CA）绑定才可以使用，数字证书（CA）详见其办理流程。</w:t>
      </w:r>
    </w:p>
    <w:p w14:paraId="173B8567">
      <w:pPr>
        <w:keepLines w:val="0"/>
        <w:pageBreakBefore w:val="0"/>
        <w:widowControl/>
        <w:wordWrap/>
        <w:topLinePunct w:val="0"/>
        <w:autoSpaceDE/>
        <w:autoSpaceDN/>
        <w:bidi w:val="0"/>
        <w:snapToGrid/>
        <w:spacing w:line="420" w:lineRule="exact"/>
        <w:ind w:firstLine="420" w:firstLineChars="200"/>
        <w:rPr>
          <w:rFonts w:hint="eastAsia" w:ascii="宋体" w:hAnsi="宋体" w:eastAsia="宋体" w:cs="宋体"/>
          <w:color w:val="auto"/>
          <w:spacing w:val="0"/>
          <w:sz w:val="21"/>
          <w:szCs w:val="21"/>
          <w:lang w:val="en-US" w:eastAsia="zh-CN"/>
        </w:rPr>
      </w:pPr>
      <w:r>
        <w:rPr>
          <w:rFonts w:hint="eastAsia" w:ascii="宋体" w:hAnsi="宋体" w:eastAsia="宋体"/>
          <w:color w:val="auto"/>
          <w:kern w:val="0"/>
          <w:szCs w:val="21"/>
          <w:lang w:val="en-US" w:eastAsia="zh-CN"/>
        </w:rPr>
        <w:t>4.4按上述要求获取文件的供应商视为合法获取了本项目采购文件，具备本项目的投标资格。电子投标文件制作需要基于“政采云”平台（https://www.zcygov.cn/）获取的采购文件编制</w:t>
      </w:r>
      <w:r>
        <w:rPr>
          <w:rFonts w:hint="eastAsia" w:ascii="宋体" w:hAnsi="宋体" w:eastAsia="宋体"/>
          <w:color w:val="auto"/>
          <w:kern w:val="0"/>
          <w:szCs w:val="21"/>
        </w:rPr>
        <w:t>。</w:t>
      </w:r>
    </w:p>
    <w:p w14:paraId="245FEDEC">
      <w:pPr>
        <w:keepLines w:val="0"/>
        <w:pageBreakBefore w:val="0"/>
        <w:widowControl/>
        <w:wordWrap/>
        <w:topLinePunct w:val="0"/>
        <w:autoSpaceDE/>
        <w:autoSpaceDN/>
        <w:bidi w:val="0"/>
        <w:snapToGrid/>
        <w:spacing w:line="420" w:lineRule="exact"/>
        <w:ind w:left="422" w:hanging="422" w:hangingChars="200"/>
        <w:jc w:val="left"/>
        <w:rPr>
          <w:rFonts w:hint="eastAsia" w:ascii="宋体" w:hAnsi="宋体" w:eastAsia="宋体" w:cs="宋体"/>
          <w:b/>
          <w:bCs/>
          <w:color w:val="auto"/>
          <w:kern w:val="0"/>
          <w:szCs w:val="21"/>
        </w:rPr>
      </w:pPr>
      <w:r>
        <w:rPr>
          <w:rFonts w:hint="eastAsia" w:ascii="宋体" w:hAnsi="宋体" w:eastAsia="宋体" w:cs="宋体"/>
          <w:b/>
          <w:bCs/>
          <w:color w:val="auto"/>
          <w:kern w:val="0"/>
          <w:szCs w:val="21"/>
          <w:lang w:val="en-US" w:eastAsia="zh-CN"/>
        </w:rPr>
        <w:t>五</w:t>
      </w:r>
      <w:r>
        <w:rPr>
          <w:rFonts w:hint="eastAsia" w:ascii="宋体" w:hAnsi="宋体" w:eastAsia="宋体" w:cs="宋体"/>
          <w:b/>
          <w:bCs/>
          <w:color w:val="auto"/>
          <w:kern w:val="0"/>
          <w:szCs w:val="21"/>
        </w:rPr>
        <w:t>、</w:t>
      </w:r>
      <w:bookmarkEnd w:id="14"/>
      <w:bookmarkEnd w:id="15"/>
      <w:bookmarkEnd w:id="16"/>
      <w:bookmarkEnd w:id="17"/>
      <w:bookmarkStart w:id="19" w:name="_Toc28359016"/>
      <w:bookmarkStart w:id="20" w:name="_Toc28359093"/>
      <w:bookmarkStart w:id="21" w:name="_Toc35393802"/>
      <w:bookmarkStart w:id="22" w:name="_Toc35393633"/>
      <w:r>
        <w:rPr>
          <w:rFonts w:hint="eastAsia" w:ascii="宋体" w:hAnsi="宋体" w:eastAsia="宋体" w:cs="宋体"/>
          <w:b/>
          <w:bCs/>
          <w:color w:val="auto"/>
          <w:kern w:val="0"/>
          <w:szCs w:val="21"/>
          <w:lang w:val="en-US" w:eastAsia="zh-CN"/>
        </w:rPr>
        <w:t>提交投标文件截止时间、开标时间和地点</w:t>
      </w:r>
    </w:p>
    <w:p w14:paraId="7FA15BE5">
      <w:pPr>
        <w:keepLines w:val="0"/>
        <w:pageBreakBefore w:val="0"/>
        <w:widowControl/>
        <w:wordWrap/>
        <w:topLinePunct w:val="0"/>
        <w:autoSpaceDE/>
        <w:autoSpaceDN/>
        <w:bidi w:val="0"/>
        <w:snapToGrid/>
        <w:spacing w:line="420" w:lineRule="exact"/>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开标时间</w:t>
      </w:r>
      <w:r>
        <w:rPr>
          <w:rFonts w:hint="eastAsia" w:ascii="宋体" w:hAnsi="宋体" w:eastAsia="宋体"/>
          <w:color w:val="auto"/>
          <w:kern w:val="0"/>
          <w:szCs w:val="21"/>
          <w:highlight w:val="none"/>
          <w:lang w:val="en-US" w:eastAsia="zh-CN"/>
        </w:rPr>
        <w:t>：202</w:t>
      </w:r>
      <w:r>
        <w:rPr>
          <w:rFonts w:hint="eastAsia" w:ascii="宋体" w:hAnsi="宋体"/>
          <w:color w:val="auto"/>
          <w:kern w:val="0"/>
          <w:szCs w:val="21"/>
          <w:highlight w:val="none"/>
          <w:lang w:val="en-US" w:eastAsia="zh-CN"/>
        </w:rPr>
        <w:t>6</w:t>
      </w:r>
      <w:r>
        <w:rPr>
          <w:rFonts w:hint="eastAsia" w:ascii="宋体" w:hAnsi="宋体" w:eastAsia="宋体"/>
          <w:color w:val="auto"/>
          <w:kern w:val="0"/>
          <w:szCs w:val="21"/>
          <w:highlight w:val="none"/>
          <w:lang w:val="en-US" w:eastAsia="zh-CN"/>
        </w:rPr>
        <w:t>年</w:t>
      </w:r>
      <w:r>
        <w:rPr>
          <w:rFonts w:hint="eastAsia" w:ascii="宋体" w:hAnsi="宋体"/>
          <w:color w:val="auto"/>
          <w:kern w:val="0"/>
          <w:szCs w:val="21"/>
          <w:highlight w:val="none"/>
          <w:lang w:val="en-US" w:eastAsia="zh-CN"/>
        </w:rPr>
        <w:t>7</w:t>
      </w:r>
      <w:r>
        <w:rPr>
          <w:rFonts w:hint="eastAsia" w:ascii="宋体" w:hAnsi="宋体" w:eastAsia="宋体"/>
          <w:color w:val="auto"/>
          <w:kern w:val="0"/>
          <w:szCs w:val="21"/>
          <w:highlight w:val="none"/>
          <w:lang w:val="en-US" w:eastAsia="zh-CN"/>
        </w:rPr>
        <w:t>月</w:t>
      </w:r>
      <w:r>
        <w:rPr>
          <w:rFonts w:hint="eastAsia" w:ascii="宋体" w:hAnsi="宋体"/>
          <w:color w:val="auto"/>
          <w:kern w:val="0"/>
          <w:szCs w:val="21"/>
          <w:highlight w:val="none"/>
          <w:lang w:val="en-US" w:eastAsia="zh-CN"/>
        </w:rPr>
        <w:t>7</w:t>
      </w:r>
      <w:r>
        <w:rPr>
          <w:rFonts w:hint="eastAsia" w:ascii="宋体" w:hAnsi="宋体" w:eastAsia="宋体"/>
          <w:color w:val="auto"/>
          <w:kern w:val="0"/>
          <w:szCs w:val="21"/>
          <w:highlight w:val="none"/>
          <w:lang w:val="en-US" w:eastAsia="zh-CN"/>
        </w:rPr>
        <w:t>日上午09时00分（北</w:t>
      </w:r>
      <w:r>
        <w:rPr>
          <w:rFonts w:hint="eastAsia" w:ascii="宋体" w:hAnsi="宋体" w:eastAsia="宋体"/>
          <w:color w:val="auto"/>
          <w:kern w:val="0"/>
          <w:szCs w:val="21"/>
          <w:lang w:val="en-US" w:eastAsia="zh-CN"/>
        </w:rPr>
        <w:t>京时间）。</w:t>
      </w:r>
    </w:p>
    <w:p w14:paraId="63E915BA">
      <w:pPr>
        <w:keepLines w:val="0"/>
        <w:pageBreakBefore w:val="0"/>
        <w:widowControl/>
        <w:wordWrap/>
        <w:topLinePunct w:val="0"/>
        <w:autoSpaceDE/>
        <w:autoSpaceDN/>
        <w:bidi w:val="0"/>
        <w:snapToGrid/>
        <w:spacing w:line="420" w:lineRule="exact"/>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开标方式：网上智能开标。</w:t>
      </w:r>
    </w:p>
    <w:p w14:paraId="704907DD">
      <w:pPr>
        <w:keepLines w:val="0"/>
        <w:pageBreakBefore w:val="0"/>
        <w:widowControl/>
        <w:wordWrap/>
        <w:topLinePunct w:val="0"/>
        <w:autoSpaceDE/>
        <w:autoSpaceDN/>
        <w:bidi w:val="0"/>
        <w:snapToGrid/>
        <w:spacing w:line="420" w:lineRule="exact"/>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开标地点：怒江石月亮招标有限公司开标室（怒江明珠5期商铺S03）。</w:t>
      </w:r>
    </w:p>
    <w:p w14:paraId="1ACC6D2C">
      <w:pPr>
        <w:keepLines w:val="0"/>
        <w:pageBreakBefore w:val="0"/>
        <w:widowControl/>
        <w:wordWrap/>
        <w:topLinePunct w:val="0"/>
        <w:autoSpaceDE/>
        <w:autoSpaceDN/>
        <w:bidi w:val="0"/>
        <w:snapToGrid/>
        <w:spacing w:line="420" w:lineRule="exact"/>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注：本次采购采用在“政采云”平台（https://www.zcygov.cn）系统上进行采购与递交投标文件，投标文件递交要求如下：</w:t>
      </w:r>
    </w:p>
    <w:p w14:paraId="6A81FD2E">
      <w:pPr>
        <w:keepLines w:val="0"/>
        <w:pageBreakBefore w:val="0"/>
        <w:widowControl/>
        <w:wordWrap/>
        <w:topLinePunct w:val="0"/>
        <w:autoSpaceDE/>
        <w:autoSpaceDN/>
        <w:bidi w:val="0"/>
        <w:snapToGrid/>
        <w:spacing w:line="420" w:lineRule="exact"/>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1.投标文件递交方式：（将投标文件递交方式确定为电子化进行，是否存在）本项目采用全程电子化招投标方式进行，潜在投标人须通过“政采云”平台（https://www.zcygov.cn）递交投标文件；未通过“政采云”平台（https://www.zcygov.cn）递交投标文件的潜在投标人，均视为未递交投标文件，所递交文件视为无效投标文件；投标人须在投标截止时间前完成所有投标文件的上传，网上确认电子签名，并打印“上传响应文件回执”，投标截止时间前未完成投标文件传输的，视为无效投标文件。</w:t>
      </w:r>
    </w:p>
    <w:p w14:paraId="6EEF30D3">
      <w:pPr>
        <w:keepLines w:val="0"/>
        <w:pageBreakBefore w:val="0"/>
        <w:widowControl/>
        <w:wordWrap/>
        <w:topLinePunct w:val="0"/>
        <w:autoSpaceDE/>
        <w:autoSpaceDN/>
        <w:bidi w:val="0"/>
        <w:snapToGrid/>
        <w:spacing w:line="420" w:lineRule="exact"/>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2.网上智能开标远程解密。投标人登录“政采云”平台，按照《网上智能开标远程解密操作指南（投标人）》完成远程解密、查看开标一览表等相关操作。本项目解密时间为60分钟，请投标人在投标截止时间前登录系统做好解密准备。若投标人未在规定时间完成以上解密，则视为撤销其投标文件，不再进入评标阶段。</w:t>
      </w:r>
    </w:p>
    <w:p w14:paraId="19EEE880">
      <w:pPr>
        <w:keepLines w:val="0"/>
        <w:pageBreakBefore w:val="0"/>
        <w:widowControl/>
        <w:wordWrap/>
        <w:topLinePunct w:val="0"/>
        <w:autoSpaceDE/>
        <w:autoSpaceDN/>
        <w:bidi w:val="0"/>
        <w:snapToGrid/>
        <w:spacing w:line="420" w:lineRule="exact"/>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3.因开标系统、开标现场网络、设备及其他特殊原因，导致不能正常解密投标文件的，经核实和上报相关部门同意后，可再次下达网上解密指令来延长解密时间。</w:t>
      </w:r>
    </w:p>
    <w:p w14:paraId="4B670966">
      <w:pPr>
        <w:keepLines w:val="0"/>
        <w:pageBreakBefore w:val="0"/>
        <w:widowControl/>
        <w:wordWrap/>
        <w:topLinePunct w:val="0"/>
        <w:autoSpaceDE/>
        <w:autoSpaceDN/>
        <w:bidi w:val="0"/>
        <w:snapToGrid/>
        <w:spacing w:line="420" w:lineRule="exact"/>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4.开标过程中如有问题，可以在线提出异议，由代理机构给予对应的回复。在规定的统一提出异议时间内不提出异议的，则视为对开标结果无异议。</w:t>
      </w:r>
    </w:p>
    <w:bookmarkEnd w:id="19"/>
    <w:bookmarkEnd w:id="20"/>
    <w:bookmarkEnd w:id="21"/>
    <w:bookmarkEnd w:id="22"/>
    <w:p w14:paraId="799E96B1">
      <w:pPr>
        <w:pStyle w:val="3"/>
        <w:keepNext w:val="0"/>
        <w:keepLines w:val="0"/>
        <w:pageBreakBefore w:val="0"/>
        <w:widowControl w:val="0"/>
        <w:numPr>
          <w:ilvl w:val="0"/>
          <w:numId w:val="0"/>
        </w:numPr>
        <w:kinsoku w:val="0"/>
        <w:wordWrap/>
        <w:overflowPunct w:val="0"/>
        <w:topLinePunct w:val="0"/>
        <w:autoSpaceDE/>
        <w:autoSpaceDN/>
        <w:bidi w:val="0"/>
        <w:snapToGrid/>
        <w:spacing w:before="0" w:after="0" w:line="420" w:lineRule="exact"/>
        <w:ind w:leftChars="200"/>
        <w:textAlignment w:val="auto"/>
        <w:rPr>
          <w:rFonts w:hint="eastAsia" w:ascii="宋体" w:hAnsi="宋体" w:eastAsia="宋体" w:cs="宋体"/>
          <w:b/>
          <w:bCs/>
          <w:color w:val="auto"/>
          <w:kern w:val="0"/>
          <w:sz w:val="21"/>
          <w:szCs w:val="21"/>
          <w:lang w:val="en-US" w:eastAsia="zh-CN" w:bidi="ar-SA"/>
        </w:rPr>
      </w:pPr>
      <w:bookmarkStart w:id="23" w:name="_Toc35393634"/>
      <w:bookmarkStart w:id="24" w:name="_Toc24069"/>
      <w:bookmarkStart w:id="25" w:name="_Toc28359094"/>
      <w:bookmarkStart w:id="26" w:name="_Toc28359017"/>
      <w:bookmarkStart w:id="27" w:name="_Toc35393803"/>
      <w:r>
        <w:rPr>
          <w:rFonts w:hint="eastAsia" w:ascii="宋体" w:hAnsi="宋体" w:eastAsia="宋体" w:cs="宋体"/>
          <w:b/>
          <w:bCs/>
          <w:color w:val="auto"/>
          <w:kern w:val="0"/>
          <w:sz w:val="21"/>
          <w:szCs w:val="21"/>
          <w:lang w:val="en-US" w:eastAsia="zh-CN" w:bidi="ar-SA"/>
        </w:rPr>
        <w:t>六、公告期限</w:t>
      </w:r>
      <w:bookmarkEnd w:id="23"/>
      <w:bookmarkEnd w:id="24"/>
      <w:bookmarkEnd w:id="25"/>
      <w:bookmarkEnd w:id="26"/>
      <w:bookmarkEnd w:id="27"/>
    </w:p>
    <w:p w14:paraId="08063ED6">
      <w:pPr>
        <w:keepLines w:val="0"/>
        <w:pageBreakBefore w:val="0"/>
        <w:widowControl/>
        <w:wordWrap/>
        <w:topLinePunct w:val="0"/>
        <w:autoSpaceDE/>
        <w:autoSpaceDN/>
        <w:bidi w:val="0"/>
        <w:snapToGrid/>
        <w:spacing w:line="420" w:lineRule="exact"/>
        <w:ind w:firstLine="420" w:firstLineChars="200"/>
        <w:rPr>
          <w:rFonts w:hint="eastAsia" w:ascii="宋体" w:hAnsi="宋体"/>
          <w:color w:val="auto"/>
          <w:kern w:val="0"/>
          <w:szCs w:val="21"/>
          <w:lang w:val="en-US" w:eastAsia="zh-CN"/>
        </w:rPr>
      </w:pPr>
      <w:r>
        <w:rPr>
          <w:rFonts w:hint="eastAsia" w:ascii="宋体" w:hAnsi="宋体"/>
          <w:color w:val="auto"/>
          <w:kern w:val="0"/>
          <w:szCs w:val="21"/>
          <w:lang w:val="en-US" w:eastAsia="zh-CN"/>
        </w:rPr>
        <w:t>自本公告发布之日起5个工作日(即2026年5月22日至2026年5月29日）。</w:t>
      </w:r>
    </w:p>
    <w:p w14:paraId="12D5FB21">
      <w:pPr>
        <w:pStyle w:val="3"/>
        <w:keepNext w:val="0"/>
        <w:keepLines w:val="0"/>
        <w:pageBreakBefore w:val="0"/>
        <w:widowControl w:val="0"/>
        <w:numPr>
          <w:ilvl w:val="1"/>
          <w:numId w:val="0"/>
        </w:numPr>
        <w:kinsoku w:val="0"/>
        <w:wordWrap/>
        <w:overflowPunct w:val="0"/>
        <w:topLinePunct w:val="0"/>
        <w:autoSpaceDE/>
        <w:autoSpaceDN/>
        <w:bidi w:val="0"/>
        <w:snapToGrid/>
        <w:spacing w:before="0" w:after="0" w:line="420" w:lineRule="exact"/>
        <w:ind w:leftChars="200"/>
        <w:textAlignment w:val="auto"/>
        <w:rPr>
          <w:rFonts w:hint="default" w:ascii="宋体" w:hAnsi="宋体" w:eastAsia="宋体" w:cs="宋体"/>
          <w:b/>
          <w:bCs/>
          <w:color w:val="auto"/>
          <w:kern w:val="0"/>
          <w:sz w:val="21"/>
          <w:szCs w:val="21"/>
          <w:lang w:val="en-US" w:eastAsia="zh-CN" w:bidi="ar-SA"/>
        </w:rPr>
      </w:pPr>
      <w:bookmarkStart w:id="28" w:name="_Toc5835"/>
      <w:bookmarkStart w:id="29" w:name="_Toc35393804"/>
      <w:bookmarkStart w:id="30" w:name="_Toc35393635"/>
      <w:r>
        <w:rPr>
          <w:rFonts w:hint="eastAsia" w:ascii="宋体" w:hAnsi="宋体" w:eastAsia="宋体" w:cs="宋体"/>
          <w:b/>
          <w:bCs/>
          <w:color w:val="auto"/>
          <w:kern w:val="0"/>
          <w:sz w:val="21"/>
          <w:szCs w:val="21"/>
          <w:lang w:val="en-US" w:eastAsia="zh-CN" w:bidi="ar-SA"/>
        </w:rPr>
        <w:t>七、</w:t>
      </w:r>
      <w:bookmarkEnd w:id="28"/>
      <w:bookmarkEnd w:id="29"/>
      <w:bookmarkEnd w:id="30"/>
      <w:r>
        <w:rPr>
          <w:rFonts w:hint="eastAsia" w:ascii="宋体" w:hAnsi="宋体" w:eastAsia="宋体" w:cs="宋体"/>
          <w:b/>
          <w:bCs/>
          <w:color w:val="auto"/>
          <w:kern w:val="0"/>
          <w:sz w:val="21"/>
          <w:szCs w:val="21"/>
          <w:lang w:val="en-US" w:eastAsia="zh-CN" w:bidi="ar-SA"/>
        </w:rPr>
        <w:t>投标保证金</w:t>
      </w:r>
    </w:p>
    <w:p w14:paraId="4F072393">
      <w:pPr>
        <w:keepLines w:val="0"/>
        <w:pageBreakBefore w:val="0"/>
        <w:widowControl/>
        <w:wordWrap/>
        <w:topLinePunct w:val="0"/>
        <w:autoSpaceDE/>
        <w:autoSpaceDN/>
        <w:bidi w:val="0"/>
        <w:snapToGrid/>
        <w:spacing w:line="420" w:lineRule="exact"/>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投标保证金递交方式：支票、汇票、本票、保函、网银、转账</w:t>
      </w:r>
    </w:p>
    <w:p w14:paraId="586A7367">
      <w:pPr>
        <w:keepLines w:val="0"/>
        <w:pageBreakBefore w:val="0"/>
        <w:widowControl/>
        <w:wordWrap/>
        <w:topLinePunct w:val="0"/>
        <w:autoSpaceDE/>
        <w:autoSpaceDN/>
        <w:bidi w:val="0"/>
        <w:snapToGrid/>
        <w:spacing w:line="420" w:lineRule="exact"/>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投标保证金：</w:t>
      </w:r>
      <w:r>
        <w:rPr>
          <w:rFonts w:hint="eastAsia" w:ascii="宋体" w:hAnsi="宋体"/>
          <w:color w:val="auto"/>
          <w:kern w:val="0"/>
          <w:szCs w:val="21"/>
          <w:lang w:val="en-US" w:eastAsia="zh-CN"/>
        </w:rPr>
        <w:t>5</w:t>
      </w:r>
      <w:r>
        <w:rPr>
          <w:rFonts w:hint="eastAsia" w:ascii="宋体" w:hAnsi="宋体" w:eastAsia="宋体"/>
          <w:color w:val="auto"/>
          <w:kern w:val="0"/>
          <w:szCs w:val="21"/>
          <w:lang w:val="en-US" w:eastAsia="zh-CN"/>
        </w:rPr>
        <w:t>000.00元（人民币：</w:t>
      </w:r>
      <w:r>
        <w:rPr>
          <w:rFonts w:hint="eastAsia" w:ascii="宋体" w:hAnsi="宋体"/>
          <w:color w:val="auto"/>
          <w:kern w:val="0"/>
          <w:szCs w:val="21"/>
          <w:lang w:val="en-US" w:eastAsia="zh-CN"/>
        </w:rPr>
        <w:t>伍仟</w:t>
      </w:r>
      <w:r>
        <w:rPr>
          <w:rFonts w:hint="eastAsia" w:ascii="宋体" w:hAnsi="宋体" w:eastAsia="宋体"/>
          <w:color w:val="auto"/>
          <w:kern w:val="0"/>
          <w:szCs w:val="21"/>
          <w:lang w:val="en-US" w:eastAsia="zh-CN"/>
        </w:rPr>
        <w:t>元整）</w:t>
      </w:r>
    </w:p>
    <w:p w14:paraId="1E65D737">
      <w:pPr>
        <w:keepLines w:val="0"/>
        <w:pageBreakBefore w:val="0"/>
        <w:widowControl/>
        <w:wordWrap/>
        <w:topLinePunct w:val="0"/>
        <w:autoSpaceDE/>
        <w:autoSpaceDN/>
        <w:bidi w:val="0"/>
        <w:snapToGrid/>
        <w:spacing w:line="420" w:lineRule="exact"/>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户名：怒江石月亮招标有限公司</w:t>
      </w:r>
    </w:p>
    <w:p w14:paraId="0B8DFDBD">
      <w:pPr>
        <w:keepLines w:val="0"/>
        <w:pageBreakBefore w:val="0"/>
        <w:widowControl/>
        <w:wordWrap/>
        <w:topLinePunct w:val="0"/>
        <w:autoSpaceDE/>
        <w:autoSpaceDN/>
        <w:bidi w:val="0"/>
        <w:snapToGrid/>
        <w:spacing w:line="420" w:lineRule="exact"/>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 xml:space="preserve">账号：5305 0175 6141 0000 1267 </w:t>
      </w:r>
    </w:p>
    <w:p w14:paraId="02132BBB">
      <w:pPr>
        <w:keepLines w:val="0"/>
        <w:pageBreakBefore w:val="0"/>
        <w:widowControl/>
        <w:wordWrap/>
        <w:topLinePunct w:val="0"/>
        <w:autoSpaceDE/>
        <w:autoSpaceDN/>
        <w:bidi w:val="0"/>
        <w:snapToGrid/>
        <w:spacing w:line="420" w:lineRule="exact"/>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开户银行：中国建设银行怒江分行营业室</w:t>
      </w:r>
    </w:p>
    <w:p w14:paraId="7E27CA40">
      <w:pPr>
        <w:keepLines w:val="0"/>
        <w:pageBreakBefore w:val="0"/>
        <w:widowControl/>
        <w:wordWrap/>
        <w:topLinePunct w:val="0"/>
        <w:autoSpaceDE/>
        <w:autoSpaceDN/>
        <w:bidi w:val="0"/>
        <w:snapToGrid/>
        <w:spacing w:line="420" w:lineRule="exact"/>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联系人：唐师</w:t>
      </w:r>
    </w:p>
    <w:p w14:paraId="7BC974C3">
      <w:pPr>
        <w:keepLines w:val="0"/>
        <w:pageBreakBefore w:val="0"/>
        <w:widowControl/>
        <w:wordWrap/>
        <w:topLinePunct w:val="0"/>
        <w:autoSpaceDE/>
        <w:autoSpaceDN/>
        <w:bidi w:val="0"/>
        <w:snapToGrid/>
        <w:spacing w:line="420" w:lineRule="exact"/>
        <w:ind w:firstLine="420" w:firstLineChars="200"/>
        <w:rPr>
          <w:rFonts w:hint="default" w:ascii="宋体" w:hAnsi="宋体" w:eastAsia="宋体"/>
          <w:color w:val="auto"/>
          <w:kern w:val="0"/>
          <w:szCs w:val="21"/>
          <w:lang w:val="en-US" w:eastAsia="zh-CN"/>
        </w:rPr>
      </w:pPr>
      <w:r>
        <w:rPr>
          <w:rFonts w:hint="eastAsia" w:ascii="宋体" w:hAnsi="宋体" w:eastAsia="宋体"/>
          <w:color w:val="auto"/>
          <w:kern w:val="0"/>
          <w:szCs w:val="21"/>
          <w:lang w:val="en-US" w:eastAsia="zh-CN"/>
        </w:rPr>
        <w:t>联系电话：0886-6666648</w:t>
      </w:r>
    </w:p>
    <w:p w14:paraId="0CED2AA0">
      <w:pPr>
        <w:keepLines w:val="0"/>
        <w:pageBreakBefore w:val="0"/>
        <w:widowControl/>
        <w:wordWrap/>
        <w:topLinePunct w:val="0"/>
        <w:autoSpaceDE/>
        <w:autoSpaceDN/>
        <w:bidi w:val="0"/>
        <w:snapToGrid/>
        <w:spacing w:line="420" w:lineRule="exact"/>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缴纳投标保证金必须从投标人基本账户转至怒江石月亮招标有限公司；</w:t>
      </w:r>
    </w:p>
    <w:p w14:paraId="560FEC61">
      <w:pPr>
        <w:keepLines w:val="0"/>
        <w:pageBreakBefore w:val="0"/>
        <w:widowControl/>
        <w:wordWrap/>
        <w:topLinePunct w:val="0"/>
        <w:autoSpaceDE/>
        <w:autoSpaceDN/>
        <w:bidi w:val="0"/>
        <w:snapToGrid/>
        <w:spacing w:line="420" w:lineRule="exact"/>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转账凭证上备注栏内必须注明项目名称、企业名称，若分标段报价的，还必须注明所报价段名称</w:t>
      </w:r>
      <w:r>
        <w:rPr>
          <w:rFonts w:hint="eastAsia" w:ascii="宋体" w:hAnsi="宋体"/>
          <w:color w:val="auto"/>
          <w:kern w:val="0"/>
          <w:szCs w:val="21"/>
          <w:lang w:val="en-US" w:eastAsia="zh-CN"/>
        </w:rPr>
        <w:t>。</w:t>
      </w:r>
    </w:p>
    <w:p w14:paraId="07E415A2">
      <w:pPr>
        <w:keepNext w:val="0"/>
        <w:keepLines w:val="0"/>
        <w:pageBreakBefore w:val="0"/>
        <w:widowControl/>
        <w:suppressLineNumbers w:val="0"/>
        <w:wordWrap/>
        <w:topLinePunct w:val="0"/>
        <w:autoSpaceDE/>
        <w:autoSpaceDN/>
        <w:bidi w:val="0"/>
        <w:snapToGrid/>
        <w:spacing w:line="420" w:lineRule="exact"/>
        <w:jc w:val="left"/>
        <w:rPr>
          <w:rFonts w:hint="eastAsia" w:ascii="宋体" w:hAnsi="宋体" w:eastAsia="宋体" w:cs="宋体"/>
          <w:color w:val="auto"/>
          <w:sz w:val="21"/>
          <w:szCs w:val="21"/>
        </w:rPr>
      </w:pPr>
      <w:r>
        <w:rPr>
          <w:rFonts w:hint="eastAsia" w:ascii="宋体" w:hAnsi="宋体" w:cs="宋体"/>
          <w:b/>
          <w:bCs/>
          <w:color w:val="auto"/>
          <w:kern w:val="0"/>
          <w:sz w:val="21"/>
          <w:szCs w:val="21"/>
          <w:lang w:val="en-US" w:eastAsia="zh-CN" w:bidi="ar"/>
        </w:rPr>
        <w:t>八</w:t>
      </w:r>
      <w:r>
        <w:rPr>
          <w:rFonts w:hint="eastAsia" w:ascii="宋体" w:hAnsi="宋体" w:eastAsia="宋体" w:cs="宋体"/>
          <w:b/>
          <w:bCs/>
          <w:color w:val="auto"/>
          <w:kern w:val="0"/>
          <w:sz w:val="21"/>
          <w:szCs w:val="21"/>
          <w:lang w:val="en-US" w:eastAsia="zh-CN" w:bidi="ar"/>
        </w:rPr>
        <w:t xml:space="preserve">、发布媒体 </w:t>
      </w:r>
    </w:p>
    <w:p w14:paraId="57396807">
      <w:pPr>
        <w:keepLines w:val="0"/>
        <w:pageBreakBefore w:val="0"/>
        <w:widowControl/>
        <w:wordWrap/>
        <w:topLinePunct w:val="0"/>
        <w:autoSpaceDE/>
        <w:autoSpaceDN/>
        <w:bidi w:val="0"/>
        <w:snapToGrid/>
        <w:spacing w:line="420" w:lineRule="exact"/>
        <w:ind w:firstLine="420" w:firstLineChars="200"/>
        <w:rPr>
          <w:rFonts w:hint="eastAsia" w:ascii="宋体" w:hAnsi="宋体"/>
          <w:color w:val="auto"/>
          <w:kern w:val="0"/>
          <w:szCs w:val="21"/>
          <w:lang w:val="en-US" w:eastAsia="zh-CN"/>
        </w:rPr>
      </w:pPr>
      <w:r>
        <w:rPr>
          <w:rFonts w:hint="eastAsia" w:ascii="宋体" w:hAnsi="宋体" w:eastAsia="宋体" w:cs="宋体"/>
          <w:color w:val="auto"/>
          <w:kern w:val="0"/>
          <w:sz w:val="21"/>
          <w:szCs w:val="22"/>
          <w:highlight w:val="none"/>
          <w:lang w:val="en-US" w:eastAsia="zh-CN" w:bidi="ar-SA"/>
        </w:rPr>
        <w:t>本次招标公告同时在《云南省政府采购网》（网址：http://www.yngp.com）、“政采云”平台（https://www.zcygov.cn）上发布，投标人在提交投标文件之前务必认真阅读本招标公告的全部内容；招标公告如有变更，将通过上述媒介发布</w:t>
      </w:r>
      <w:r>
        <w:rPr>
          <w:rFonts w:hint="eastAsia" w:ascii="宋体" w:hAnsi="宋体"/>
          <w:color w:val="auto"/>
          <w:kern w:val="0"/>
          <w:szCs w:val="21"/>
          <w:lang w:val="en-US" w:eastAsia="zh-CN"/>
        </w:rPr>
        <w:t xml:space="preserve">。 </w:t>
      </w:r>
    </w:p>
    <w:p w14:paraId="34870035">
      <w:pPr>
        <w:keepLines w:val="0"/>
        <w:pageBreakBefore w:val="0"/>
        <w:widowControl/>
        <w:wordWrap/>
        <w:topLinePunct w:val="0"/>
        <w:autoSpaceDE/>
        <w:autoSpaceDN/>
        <w:bidi w:val="0"/>
        <w:snapToGrid/>
        <w:spacing w:line="420" w:lineRule="exact"/>
        <w:jc w:val="left"/>
        <w:rPr>
          <w:rFonts w:hint="eastAsia" w:ascii="宋体" w:hAnsi="宋体"/>
          <w:b/>
          <w:bCs/>
          <w:color w:val="auto"/>
          <w:szCs w:val="21"/>
        </w:rPr>
      </w:pPr>
      <w:r>
        <w:rPr>
          <w:rFonts w:hint="eastAsia" w:ascii="宋体" w:hAnsi="宋体"/>
          <w:b/>
          <w:bCs/>
          <w:color w:val="auto"/>
          <w:szCs w:val="21"/>
          <w:lang w:val="en-US" w:eastAsia="zh-CN"/>
        </w:rPr>
        <w:t>九</w:t>
      </w:r>
      <w:r>
        <w:rPr>
          <w:rFonts w:hint="eastAsia" w:ascii="宋体" w:hAnsi="宋体"/>
          <w:b/>
          <w:bCs/>
          <w:color w:val="auto"/>
          <w:szCs w:val="21"/>
        </w:rPr>
        <w:t>、</w:t>
      </w:r>
      <w:r>
        <w:rPr>
          <w:rFonts w:ascii="宋体" w:hAnsi="宋体"/>
          <w:b/>
          <w:bCs/>
          <w:color w:val="auto"/>
          <w:szCs w:val="21"/>
        </w:rPr>
        <w:t>联系方式</w:t>
      </w:r>
      <w:bookmarkEnd w:id="18"/>
    </w:p>
    <w:p w14:paraId="7E8B9443">
      <w:pPr>
        <w:keepLines w:val="0"/>
        <w:pageBreakBefore w:val="0"/>
        <w:widowControl/>
        <w:wordWrap/>
        <w:topLinePunct w:val="0"/>
        <w:autoSpaceDE/>
        <w:autoSpaceDN/>
        <w:bidi w:val="0"/>
        <w:snapToGrid/>
        <w:spacing w:line="420" w:lineRule="exact"/>
        <w:ind w:firstLine="420" w:firstLineChars="200"/>
        <w:rPr>
          <w:rFonts w:hint="eastAsia" w:ascii="宋体" w:hAnsi="宋体"/>
          <w:color w:val="auto"/>
          <w:kern w:val="0"/>
          <w:szCs w:val="21"/>
          <w:lang w:val="en-US" w:eastAsia="zh-CN"/>
        </w:rPr>
      </w:pPr>
      <w:r>
        <w:rPr>
          <w:rFonts w:hint="eastAsia" w:ascii="宋体" w:hAnsi="宋体"/>
          <w:color w:val="auto"/>
          <w:kern w:val="0"/>
          <w:szCs w:val="21"/>
          <w:lang w:val="en-US" w:eastAsia="zh-CN"/>
        </w:rPr>
        <w:t>1、采购人联系方式</w:t>
      </w:r>
    </w:p>
    <w:p w14:paraId="5A6B7061">
      <w:pPr>
        <w:keepLines w:val="0"/>
        <w:pageBreakBefore w:val="0"/>
        <w:widowControl/>
        <w:wordWrap/>
        <w:topLinePunct w:val="0"/>
        <w:autoSpaceDE/>
        <w:autoSpaceDN/>
        <w:bidi w:val="0"/>
        <w:snapToGrid/>
        <w:spacing w:line="420" w:lineRule="exact"/>
        <w:ind w:firstLine="420" w:firstLineChars="200"/>
        <w:rPr>
          <w:rFonts w:hint="eastAsia" w:ascii="宋体" w:hAnsi="宋体"/>
          <w:color w:val="auto"/>
          <w:kern w:val="0"/>
          <w:szCs w:val="21"/>
          <w:lang w:val="en-US" w:eastAsia="zh-CN"/>
        </w:rPr>
      </w:pPr>
      <w:r>
        <w:rPr>
          <w:rFonts w:hint="eastAsia" w:ascii="宋体" w:hAnsi="宋体"/>
          <w:color w:val="auto"/>
          <w:kern w:val="0"/>
          <w:szCs w:val="21"/>
          <w:lang w:val="en-US" w:eastAsia="zh-CN"/>
        </w:rPr>
        <w:t>采   购   人：怒江傈僳族自治州民族中等专业学校</w:t>
      </w:r>
    </w:p>
    <w:p w14:paraId="3089E985">
      <w:pPr>
        <w:keepLines w:val="0"/>
        <w:pageBreakBefore w:val="0"/>
        <w:widowControl/>
        <w:wordWrap/>
        <w:topLinePunct w:val="0"/>
        <w:autoSpaceDE/>
        <w:autoSpaceDN/>
        <w:bidi w:val="0"/>
        <w:snapToGrid/>
        <w:spacing w:line="420" w:lineRule="exact"/>
        <w:ind w:firstLine="420" w:firstLineChars="200"/>
        <w:rPr>
          <w:rFonts w:hint="eastAsia" w:ascii="宋体" w:hAnsi="宋体" w:eastAsia="宋体"/>
          <w:color w:val="auto"/>
          <w:kern w:val="0"/>
          <w:szCs w:val="21"/>
          <w:lang w:val="en-US" w:eastAsia="zh-CN"/>
        </w:rPr>
      </w:pPr>
      <w:r>
        <w:rPr>
          <w:rFonts w:hint="eastAsia" w:ascii="宋体" w:hAnsi="宋体"/>
          <w:color w:val="auto"/>
          <w:kern w:val="0"/>
          <w:szCs w:val="21"/>
          <w:lang w:val="en-US" w:eastAsia="zh-CN"/>
        </w:rPr>
        <w:t xml:space="preserve">联   系   </w:t>
      </w:r>
      <w:r>
        <w:rPr>
          <w:rFonts w:hint="eastAsia" w:ascii="宋体" w:hAnsi="宋体" w:eastAsia="宋体"/>
          <w:color w:val="auto"/>
          <w:kern w:val="0"/>
          <w:szCs w:val="21"/>
          <w:lang w:val="en-US" w:eastAsia="zh-CN"/>
        </w:rPr>
        <w:t xml:space="preserve">人：唐老师      电话：13988644254  </w:t>
      </w:r>
    </w:p>
    <w:p w14:paraId="1BFFDB5D">
      <w:pPr>
        <w:keepLines w:val="0"/>
        <w:pageBreakBefore w:val="0"/>
        <w:widowControl/>
        <w:wordWrap/>
        <w:topLinePunct w:val="0"/>
        <w:autoSpaceDE/>
        <w:autoSpaceDN/>
        <w:bidi w:val="0"/>
        <w:snapToGrid/>
        <w:spacing w:line="420" w:lineRule="exact"/>
        <w:ind w:firstLine="420" w:firstLineChars="200"/>
        <w:rPr>
          <w:rFonts w:hint="eastAsia" w:ascii="宋体" w:hAnsi="宋体"/>
          <w:color w:val="auto"/>
          <w:kern w:val="0"/>
          <w:szCs w:val="21"/>
          <w:lang w:val="en-US" w:eastAsia="zh-CN"/>
        </w:rPr>
      </w:pPr>
      <w:r>
        <w:rPr>
          <w:rFonts w:hint="eastAsia" w:ascii="宋体" w:hAnsi="宋体"/>
          <w:color w:val="auto"/>
          <w:kern w:val="0"/>
          <w:szCs w:val="21"/>
          <w:lang w:val="en-US" w:eastAsia="zh-CN"/>
        </w:rPr>
        <w:t>2、招标代理机构联系方式。</w:t>
      </w:r>
    </w:p>
    <w:p w14:paraId="6DD88600">
      <w:pPr>
        <w:keepLines w:val="0"/>
        <w:pageBreakBefore w:val="0"/>
        <w:widowControl/>
        <w:wordWrap/>
        <w:topLinePunct w:val="0"/>
        <w:autoSpaceDE/>
        <w:autoSpaceDN/>
        <w:bidi w:val="0"/>
        <w:snapToGrid/>
        <w:spacing w:line="420" w:lineRule="exact"/>
        <w:ind w:firstLine="420" w:firstLineChars="200"/>
        <w:rPr>
          <w:rFonts w:hint="eastAsia" w:ascii="宋体" w:hAnsi="宋体"/>
          <w:color w:val="auto"/>
          <w:kern w:val="0"/>
          <w:szCs w:val="21"/>
          <w:lang w:val="en-US" w:eastAsia="zh-CN"/>
        </w:rPr>
      </w:pPr>
      <w:r>
        <w:rPr>
          <w:rFonts w:hint="eastAsia" w:ascii="宋体" w:hAnsi="宋体"/>
          <w:color w:val="auto"/>
          <w:kern w:val="0"/>
          <w:szCs w:val="21"/>
          <w:lang w:val="en-US" w:eastAsia="zh-CN"/>
        </w:rPr>
        <w:t>机构名称：怒江石月亮招标有限公司       </w:t>
      </w:r>
    </w:p>
    <w:p w14:paraId="2AD14FD7">
      <w:pPr>
        <w:keepLines w:val="0"/>
        <w:pageBreakBefore w:val="0"/>
        <w:widowControl/>
        <w:wordWrap/>
        <w:topLinePunct w:val="0"/>
        <w:autoSpaceDE/>
        <w:autoSpaceDN/>
        <w:bidi w:val="0"/>
        <w:snapToGrid/>
        <w:spacing w:line="420" w:lineRule="exact"/>
        <w:ind w:firstLine="420" w:firstLineChars="200"/>
        <w:rPr>
          <w:rFonts w:hint="eastAsia" w:ascii="宋体" w:hAnsi="宋体"/>
          <w:color w:val="auto"/>
          <w:kern w:val="0"/>
          <w:szCs w:val="21"/>
          <w:lang w:val="en-US" w:eastAsia="zh-CN"/>
        </w:rPr>
      </w:pPr>
      <w:r>
        <w:rPr>
          <w:rFonts w:hint="eastAsia" w:ascii="宋体" w:hAnsi="宋体"/>
          <w:color w:val="auto"/>
          <w:kern w:val="0"/>
          <w:szCs w:val="21"/>
          <w:lang w:val="en-US" w:eastAsia="zh-CN"/>
        </w:rPr>
        <w:t xml:space="preserve">地    址：怒江明珠5期商铺S03 </w:t>
      </w:r>
    </w:p>
    <w:p w14:paraId="631E1314">
      <w:pPr>
        <w:keepLines w:val="0"/>
        <w:pageBreakBefore w:val="0"/>
        <w:widowControl/>
        <w:wordWrap/>
        <w:topLinePunct w:val="0"/>
        <w:autoSpaceDE/>
        <w:autoSpaceDN/>
        <w:bidi w:val="0"/>
        <w:snapToGrid/>
        <w:spacing w:line="420" w:lineRule="exact"/>
        <w:ind w:firstLine="420" w:firstLineChars="200"/>
        <w:rPr>
          <w:rFonts w:hint="eastAsia" w:ascii="宋体" w:hAnsi="宋体"/>
          <w:color w:val="auto"/>
          <w:kern w:val="0"/>
          <w:szCs w:val="21"/>
          <w:lang w:val="en-US" w:eastAsia="zh-CN"/>
        </w:rPr>
      </w:pPr>
      <w:r>
        <w:rPr>
          <w:rFonts w:hint="eastAsia" w:ascii="宋体" w:hAnsi="宋体"/>
          <w:color w:val="auto"/>
          <w:kern w:val="0"/>
          <w:szCs w:val="21"/>
          <w:lang w:val="en-US" w:eastAsia="zh-CN"/>
        </w:rPr>
        <w:t>联系人（项目咨询事项）：范金忠       联系电话：13988625153；13108850240</w:t>
      </w:r>
    </w:p>
    <w:p w14:paraId="6AB402FC">
      <w:pPr>
        <w:pStyle w:val="14"/>
        <w:rPr>
          <w:rFonts w:hint="eastAsia"/>
          <w:color w:val="auto"/>
          <w:lang w:val="en-US" w:eastAsia="zh-CN"/>
        </w:rPr>
      </w:pPr>
    </w:p>
    <w:p w14:paraId="00AA618B">
      <w:pPr>
        <w:rPr>
          <w:rFonts w:hint="eastAsia"/>
          <w:lang w:val="en-US" w:eastAsia="zh-CN"/>
        </w:rPr>
      </w:pPr>
    </w:p>
    <w:p w14:paraId="3676FAE8">
      <w:pPr>
        <w:rPr>
          <w:rFonts w:hint="eastAsia"/>
          <w:lang w:val="en-US" w:eastAsia="zh-CN"/>
        </w:rPr>
      </w:pPr>
    </w:p>
    <w:p w14:paraId="4C5A39E7">
      <w:pPr>
        <w:rPr>
          <w:rFonts w:hint="eastAsia"/>
          <w:lang w:val="en-US" w:eastAsia="zh-CN"/>
        </w:rPr>
      </w:pPr>
    </w:p>
    <w:p w14:paraId="6B6D2B5C">
      <w:pPr>
        <w:rPr>
          <w:rFonts w:hint="eastAsia"/>
          <w:lang w:val="en-US" w:eastAsia="zh-CN"/>
        </w:rPr>
      </w:pPr>
    </w:p>
    <w:p w14:paraId="2ECCD0FA">
      <w:pPr>
        <w:rPr>
          <w:rFonts w:hint="eastAsia"/>
          <w:lang w:val="en-US" w:eastAsia="zh-CN"/>
        </w:rPr>
      </w:pPr>
    </w:p>
    <w:p w14:paraId="308434CB">
      <w:pPr>
        <w:rPr>
          <w:rFonts w:hint="eastAsia"/>
          <w:lang w:val="en-US" w:eastAsia="zh-CN"/>
        </w:rPr>
      </w:pPr>
    </w:p>
    <w:p w14:paraId="7431D19D">
      <w:pPr>
        <w:rPr>
          <w:rFonts w:hint="eastAsia"/>
          <w:lang w:val="en-US" w:eastAsia="zh-CN"/>
        </w:rPr>
      </w:pPr>
    </w:p>
    <w:p w14:paraId="754197C6">
      <w:pPr>
        <w:rPr>
          <w:rFonts w:hint="eastAsia"/>
          <w:lang w:val="en-US" w:eastAsia="zh-CN"/>
        </w:rPr>
      </w:pPr>
    </w:p>
    <w:p w14:paraId="425C08BB">
      <w:pPr>
        <w:rPr>
          <w:rFonts w:hint="eastAsia"/>
          <w:lang w:val="en-US" w:eastAsia="zh-CN"/>
        </w:rPr>
      </w:pPr>
    </w:p>
    <w:p w14:paraId="4BA90DAE">
      <w:pPr>
        <w:rPr>
          <w:rFonts w:hint="eastAsia"/>
          <w:lang w:val="en-US" w:eastAsia="zh-CN"/>
        </w:rPr>
      </w:pPr>
    </w:p>
    <w:p w14:paraId="549BB14A">
      <w:pPr>
        <w:rPr>
          <w:rFonts w:hint="eastAsia"/>
          <w:lang w:val="en-US" w:eastAsia="zh-CN"/>
        </w:rPr>
      </w:pPr>
    </w:p>
    <w:p w14:paraId="109D8795">
      <w:pPr>
        <w:rPr>
          <w:rFonts w:hint="eastAsia"/>
          <w:lang w:val="en-US" w:eastAsia="zh-CN"/>
        </w:rPr>
      </w:pPr>
    </w:p>
    <w:p w14:paraId="2F0335B3">
      <w:pPr>
        <w:rPr>
          <w:rFonts w:hint="eastAsia"/>
          <w:lang w:val="en-US" w:eastAsia="zh-CN"/>
        </w:rPr>
      </w:pPr>
    </w:p>
    <w:p w14:paraId="421A9F2A">
      <w:pPr>
        <w:rPr>
          <w:rFonts w:hint="eastAsia"/>
          <w:lang w:val="en-US" w:eastAsia="zh-CN"/>
        </w:rPr>
      </w:pPr>
    </w:p>
    <w:p w14:paraId="0ED995F7">
      <w:pPr>
        <w:rPr>
          <w:rFonts w:hint="eastAsia"/>
          <w:lang w:val="en-US" w:eastAsia="zh-CN"/>
        </w:rPr>
      </w:pPr>
    </w:p>
    <w:p w14:paraId="4E7C3F42">
      <w:pPr>
        <w:rPr>
          <w:rFonts w:hint="eastAsia"/>
          <w:lang w:val="en-US" w:eastAsia="zh-CN"/>
        </w:rPr>
      </w:pPr>
    </w:p>
    <w:p w14:paraId="7BD915DA">
      <w:pPr>
        <w:rPr>
          <w:rFonts w:hint="eastAsia"/>
          <w:lang w:val="en-US" w:eastAsia="zh-CN"/>
        </w:rPr>
      </w:pPr>
    </w:p>
    <w:p w14:paraId="459A4E4A">
      <w:pPr>
        <w:rPr>
          <w:rFonts w:hint="eastAsia"/>
          <w:lang w:val="en-US" w:eastAsia="zh-CN"/>
        </w:rPr>
      </w:pPr>
    </w:p>
    <w:p w14:paraId="78B7C0CB">
      <w:pPr>
        <w:rPr>
          <w:rFonts w:hint="eastAsia"/>
          <w:lang w:val="en-US" w:eastAsia="zh-CN"/>
        </w:rPr>
      </w:pPr>
    </w:p>
    <w:p w14:paraId="6AC5D6A7">
      <w:pPr>
        <w:rPr>
          <w:rFonts w:hint="eastAsia"/>
          <w:lang w:val="en-US" w:eastAsia="zh-CN"/>
        </w:rPr>
      </w:pPr>
    </w:p>
    <w:p w14:paraId="07AB57E1">
      <w:pPr>
        <w:rPr>
          <w:rFonts w:hint="eastAsia"/>
          <w:lang w:val="en-US" w:eastAsia="zh-CN"/>
        </w:rPr>
      </w:pPr>
    </w:p>
    <w:p w14:paraId="784E525C">
      <w:pPr>
        <w:rPr>
          <w:rFonts w:hint="eastAsia"/>
          <w:lang w:val="en-US" w:eastAsia="zh-CN"/>
        </w:rPr>
      </w:pPr>
    </w:p>
    <w:p w14:paraId="21C2A0E7">
      <w:pPr>
        <w:rPr>
          <w:rFonts w:hint="eastAsia"/>
          <w:lang w:val="en-US" w:eastAsia="zh-CN"/>
        </w:rPr>
      </w:pPr>
    </w:p>
    <w:p w14:paraId="3342DEA5">
      <w:pPr>
        <w:pStyle w:val="2"/>
        <w:numPr>
          <w:ilvl w:val="0"/>
          <w:numId w:val="0"/>
        </w:numPr>
        <w:jc w:val="center"/>
        <w:rPr>
          <w:rFonts w:ascii="宋体" w:hAnsi="宋体" w:eastAsia="宋体"/>
          <w:bCs/>
          <w:color w:val="auto"/>
          <w:sz w:val="36"/>
          <w:szCs w:val="36"/>
        </w:rPr>
      </w:pPr>
      <w:bookmarkStart w:id="31" w:name="_Toc11006"/>
      <w:r>
        <w:rPr>
          <w:rFonts w:ascii="宋体" w:hAnsi="宋体" w:eastAsia="宋体"/>
          <w:b w:val="0"/>
          <w:color w:val="auto"/>
          <w:sz w:val="36"/>
        </w:rPr>
        <w:t>第二章 投标人须知</w:t>
      </w:r>
      <w:bookmarkEnd w:id="31"/>
    </w:p>
    <w:p w14:paraId="55335A9B">
      <w:pPr>
        <w:pStyle w:val="3"/>
        <w:numPr>
          <w:ilvl w:val="0"/>
          <w:numId w:val="0"/>
        </w:numPr>
        <w:tabs>
          <w:tab w:val="left" w:pos="1021"/>
        </w:tabs>
        <w:spacing w:before="0" w:line="240" w:lineRule="auto"/>
        <w:ind w:left="425"/>
        <w:jc w:val="center"/>
        <w:rPr>
          <w:rFonts w:ascii="宋体" w:hAnsi="宋体" w:eastAsia="宋体"/>
          <w:b w:val="0"/>
          <w:color w:val="auto"/>
          <w:sz w:val="32"/>
          <w:szCs w:val="32"/>
        </w:rPr>
      </w:pPr>
      <w:bookmarkStart w:id="32" w:name="_Toc32722"/>
      <w:bookmarkStart w:id="33" w:name="_Toc396092973"/>
      <w:bookmarkStart w:id="34" w:name="_Toc348009979"/>
      <w:r>
        <w:rPr>
          <w:rFonts w:hint="eastAsia" w:ascii="宋体" w:hAnsi="宋体" w:eastAsia="宋体"/>
          <w:b w:val="0"/>
          <w:color w:val="auto"/>
          <w:sz w:val="32"/>
          <w:szCs w:val="32"/>
        </w:rPr>
        <w:t>投标人须知前附表</w:t>
      </w:r>
      <w:bookmarkEnd w:id="32"/>
      <w:bookmarkEnd w:id="33"/>
      <w:bookmarkEnd w:id="34"/>
    </w:p>
    <w:tbl>
      <w:tblPr>
        <w:tblStyle w:val="36"/>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2410"/>
        <w:gridCol w:w="6014"/>
      </w:tblGrid>
      <w:tr w14:paraId="36753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055" w:type="dxa"/>
            <w:noWrap w:val="0"/>
            <w:vAlign w:val="center"/>
          </w:tcPr>
          <w:p w14:paraId="46055FB7">
            <w:pPr>
              <w:pStyle w:val="18"/>
              <w:jc w:val="center"/>
              <w:rPr>
                <w:rFonts w:hAnsi="宋体"/>
                <w:b/>
                <w:color w:val="auto"/>
                <w:kern w:val="2"/>
                <w:sz w:val="24"/>
                <w:szCs w:val="24"/>
                <w:lang w:val="en-US" w:eastAsia="zh-CN"/>
              </w:rPr>
            </w:pPr>
            <w:r>
              <w:rPr>
                <w:rFonts w:hint="eastAsia" w:hAnsi="宋体"/>
                <w:b/>
                <w:color w:val="auto"/>
                <w:kern w:val="2"/>
                <w:sz w:val="24"/>
                <w:szCs w:val="24"/>
                <w:lang w:val="en-US" w:eastAsia="zh-CN"/>
              </w:rPr>
              <w:t>条款号</w:t>
            </w:r>
          </w:p>
        </w:tc>
        <w:tc>
          <w:tcPr>
            <w:tcW w:w="2410" w:type="dxa"/>
            <w:noWrap w:val="0"/>
            <w:vAlign w:val="center"/>
          </w:tcPr>
          <w:p w14:paraId="5E14FCFE">
            <w:pPr>
              <w:pStyle w:val="18"/>
              <w:jc w:val="center"/>
              <w:rPr>
                <w:rFonts w:hAnsi="宋体"/>
                <w:b/>
                <w:color w:val="auto"/>
                <w:kern w:val="2"/>
                <w:sz w:val="24"/>
                <w:szCs w:val="24"/>
                <w:lang w:val="en-US" w:eastAsia="zh-CN"/>
              </w:rPr>
            </w:pPr>
            <w:r>
              <w:rPr>
                <w:rFonts w:hint="eastAsia" w:hAnsi="宋体"/>
                <w:b/>
                <w:color w:val="auto"/>
                <w:kern w:val="2"/>
                <w:sz w:val="24"/>
                <w:szCs w:val="24"/>
                <w:lang w:val="en-US" w:eastAsia="zh-CN"/>
              </w:rPr>
              <w:t>条 款 名 称</w:t>
            </w:r>
          </w:p>
        </w:tc>
        <w:tc>
          <w:tcPr>
            <w:tcW w:w="6014" w:type="dxa"/>
            <w:noWrap w:val="0"/>
            <w:vAlign w:val="center"/>
          </w:tcPr>
          <w:p w14:paraId="61467957">
            <w:pPr>
              <w:pStyle w:val="18"/>
              <w:jc w:val="center"/>
              <w:rPr>
                <w:rFonts w:hAnsi="宋体"/>
                <w:b/>
                <w:color w:val="auto"/>
                <w:kern w:val="2"/>
                <w:sz w:val="24"/>
                <w:szCs w:val="24"/>
                <w:lang w:val="en-US" w:eastAsia="zh-CN"/>
              </w:rPr>
            </w:pPr>
            <w:r>
              <w:rPr>
                <w:rFonts w:hint="eastAsia" w:hAnsi="宋体"/>
                <w:b/>
                <w:color w:val="auto"/>
                <w:kern w:val="2"/>
                <w:sz w:val="24"/>
                <w:szCs w:val="24"/>
                <w:lang w:val="en-US" w:eastAsia="zh-CN"/>
              </w:rPr>
              <w:t>编 列 内 容</w:t>
            </w:r>
          </w:p>
        </w:tc>
      </w:tr>
      <w:tr w14:paraId="5C52D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1055" w:type="dxa"/>
            <w:vMerge w:val="restart"/>
            <w:noWrap w:val="0"/>
            <w:vAlign w:val="center"/>
          </w:tcPr>
          <w:p w14:paraId="561DAC6F">
            <w:pPr>
              <w:pStyle w:val="18"/>
              <w:jc w:val="center"/>
              <w:rPr>
                <w:rFonts w:hAnsi="宋体"/>
                <w:color w:val="auto"/>
                <w:kern w:val="2"/>
                <w:sz w:val="21"/>
                <w:szCs w:val="21"/>
                <w:lang w:val="en-US" w:eastAsia="zh-CN"/>
              </w:rPr>
            </w:pPr>
            <w:r>
              <w:rPr>
                <w:rFonts w:hint="eastAsia" w:hAnsi="宋体"/>
                <w:color w:val="auto"/>
                <w:kern w:val="2"/>
                <w:sz w:val="21"/>
                <w:szCs w:val="21"/>
                <w:lang w:val="en-US" w:eastAsia="zh-CN"/>
              </w:rPr>
              <w:t>1</w:t>
            </w:r>
          </w:p>
        </w:tc>
        <w:tc>
          <w:tcPr>
            <w:tcW w:w="2410" w:type="dxa"/>
            <w:noWrap w:val="0"/>
            <w:vAlign w:val="center"/>
          </w:tcPr>
          <w:p w14:paraId="3AAE1C4B">
            <w:pPr>
              <w:pStyle w:val="18"/>
              <w:rPr>
                <w:rFonts w:hAnsi="宋体"/>
                <w:color w:val="auto"/>
                <w:kern w:val="2"/>
                <w:sz w:val="21"/>
                <w:szCs w:val="21"/>
                <w:u w:val="single"/>
                <w:lang w:val="en-US" w:eastAsia="zh-CN"/>
              </w:rPr>
            </w:pPr>
            <w:r>
              <w:rPr>
                <w:rFonts w:hint="eastAsia" w:hAnsi="宋体"/>
                <w:bCs/>
                <w:color w:val="auto"/>
                <w:kern w:val="2"/>
                <w:sz w:val="21"/>
                <w:szCs w:val="21"/>
                <w:lang w:val="en-US" w:eastAsia="zh-CN"/>
              </w:rPr>
              <w:t>采 购 人</w:t>
            </w:r>
          </w:p>
        </w:tc>
        <w:tc>
          <w:tcPr>
            <w:tcW w:w="6014" w:type="dxa"/>
            <w:noWrap w:val="0"/>
            <w:vAlign w:val="center"/>
          </w:tcPr>
          <w:p w14:paraId="176B77CF">
            <w:pPr>
              <w:pStyle w:val="18"/>
              <w:rPr>
                <w:rFonts w:hint="eastAsia" w:hAnsi="宋体"/>
                <w:color w:val="auto"/>
                <w:sz w:val="21"/>
                <w:szCs w:val="21"/>
                <w:lang w:val="en-US" w:eastAsia="zh-CN"/>
              </w:rPr>
            </w:pPr>
            <w:r>
              <w:rPr>
                <w:rFonts w:hint="eastAsia" w:hAnsi="宋体"/>
                <w:color w:val="auto"/>
                <w:sz w:val="21"/>
                <w:szCs w:val="21"/>
                <w:lang w:val="en-US" w:eastAsia="zh-CN"/>
              </w:rPr>
              <w:t>怒江傈僳族自治州民族中等专业学校</w:t>
            </w:r>
          </w:p>
        </w:tc>
      </w:tr>
      <w:tr w14:paraId="009A5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jc w:val="center"/>
        </w:trPr>
        <w:tc>
          <w:tcPr>
            <w:tcW w:w="1055" w:type="dxa"/>
            <w:vMerge w:val="continue"/>
            <w:noWrap w:val="0"/>
            <w:vAlign w:val="center"/>
          </w:tcPr>
          <w:p w14:paraId="273D85C9">
            <w:pPr>
              <w:rPr>
                <w:rFonts w:ascii="宋体" w:hAnsi="宋体"/>
                <w:color w:val="auto"/>
                <w:szCs w:val="21"/>
              </w:rPr>
            </w:pPr>
          </w:p>
        </w:tc>
        <w:tc>
          <w:tcPr>
            <w:tcW w:w="2410" w:type="dxa"/>
            <w:noWrap w:val="0"/>
            <w:vAlign w:val="center"/>
          </w:tcPr>
          <w:p w14:paraId="371B2EFB">
            <w:pPr>
              <w:pStyle w:val="18"/>
              <w:rPr>
                <w:rFonts w:hAnsi="宋体"/>
                <w:bCs/>
                <w:color w:val="auto"/>
                <w:kern w:val="2"/>
                <w:sz w:val="21"/>
                <w:szCs w:val="21"/>
                <w:lang w:val="en-US" w:eastAsia="zh-CN"/>
              </w:rPr>
            </w:pPr>
            <w:r>
              <w:rPr>
                <w:rFonts w:hint="eastAsia" w:hAnsi="宋体"/>
                <w:bCs/>
                <w:color w:val="auto"/>
                <w:kern w:val="2"/>
                <w:sz w:val="21"/>
                <w:szCs w:val="21"/>
                <w:lang w:val="en-US" w:eastAsia="zh-CN"/>
              </w:rPr>
              <w:t>采购代理机构</w:t>
            </w:r>
          </w:p>
        </w:tc>
        <w:tc>
          <w:tcPr>
            <w:tcW w:w="6014" w:type="dxa"/>
            <w:noWrap w:val="0"/>
            <w:vAlign w:val="center"/>
          </w:tcPr>
          <w:p w14:paraId="08EBE337">
            <w:pPr>
              <w:pStyle w:val="18"/>
              <w:rPr>
                <w:rFonts w:hint="eastAsia" w:hAnsi="宋体"/>
                <w:color w:val="auto"/>
                <w:sz w:val="21"/>
                <w:szCs w:val="21"/>
                <w:lang w:val="en-US" w:eastAsia="zh-CN"/>
              </w:rPr>
            </w:pPr>
            <w:r>
              <w:rPr>
                <w:rFonts w:hint="eastAsia" w:hAnsi="宋体"/>
                <w:color w:val="auto"/>
                <w:sz w:val="21"/>
                <w:szCs w:val="21"/>
                <w:lang w:val="en-US" w:eastAsia="zh-CN"/>
              </w:rPr>
              <w:t>怒江石月亮招标有限公司</w:t>
            </w:r>
          </w:p>
        </w:tc>
      </w:tr>
      <w:tr w14:paraId="2F767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5" w:hRule="atLeast"/>
          <w:jc w:val="center"/>
        </w:trPr>
        <w:tc>
          <w:tcPr>
            <w:tcW w:w="1055" w:type="dxa"/>
            <w:vMerge w:val="continue"/>
            <w:noWrap w:val="0"/>
            <w:vAlign w:val="center"/>
          </w:tcPr>
          <w:p w14:paraId="38782BEC">
            <w:pPr>
              <w:rPr>
                <w:rFonts w:ascii="宋体" w:hAnsi="宋体"/>
                <w:color w:val="auto"/>
                <w:szCs w:val="21"/>
              </w:rPr>
            </w:pPr>
          </w:p>
        </w:tc>
        <w:tc>
          <w:tcPr>
            <w:tcW w:w="2410" w:type="dxa"/>
            <w:noWrap w:val="0"/>
            <w:vAlign w:val="center"/>
          </w:tcPr>
          <w:p w14:paraId="440ADE00">
            <w:pPr>
              <w:pStyle w:val="18"/>
              <w:rPr>
                <w:rFonts w:hAnsi="宋体"/>
                <w:color w:val="auto"/>
                <w:kern w:val="2"/>
                <w:sz w:val="21"/>
                <w:szCs w:val="21"/>
                <w:lang w:val="en-US" w:eastAsia="zh-CN"/>
              </w:rPr>
            </w:pPr>
            <w:r>
              <w:rPr>
                <w:rFonts w:hint="eastAsia" w:hAnsi="宋体"/>
                <w:color w:val="auto"/>
                <w:kern w:val="2"/>
                <w:sz w:val="21"/>
                <w:szCs w:val="21"/>
                <w:lang w:val="en-US" w:eastAsia="zh-CN"/>
              </w:rPr>
              <w:t>项目名称、招标编号、项目采购预算价</w:t>
            </w:r>
          </w:p>
        </w:tc>
        <w:tc>
          <w:tcPr>
            <w:tcW w:w="6014" w:type="dxa"/>
            <w:noWrap w:val="0"/>
            <w:vAlign w:val="center"/>
          </w:tcPr>
          <w:p w14:paraId="5AD12C7C">
            <w:pPr>
              <w:pStyle w:val="18"/>
              <w:rPr>
                <w:rFonts w:hint="default" w:hAnsi="宋体"/>
                <w:color w:val="auto"/>
                <w:kern w:val="2"/>
                <w:sz w:val="21"/>
                <w:szCs w:val="21"/>
                <w:lang w:val="en-US" w:eastAsia="zh-CN"/>
              </w:rPr>
            </w:pPr>
            <w:r>
              <w:rPr>
                <w:rFonts w:hint="eastAsia" w:hAnsi="宋体"/>
                <w:color w:val="auto"/>
                <w:kern w:val="2"/>
                <w:sz w:val="21"/>
                <w:szCs w:val="21"/>
                <w:lang w:val="en-US" w:eastAsia="zh-CN"/>
              </w:rPr>
              <w:t>项目名称</w:t>
            </w:r>
            <w:r>
              <w:rPr>
                <w:rFonts w:hint="eastAsia" w:hAnsi="宋体"/>
                <w:color w:val="auto"/>
                <w:sz w:val="21"/>
                <w:szCs w:val="21"/>
                <w:lang w:val="en-US" w:eastAsia="zh-CN"/>
              </w:rPr>
              <w:t>：</w:t>
            </w:r>
            <w:r>
              <w:rPr>
                <w:rFonts w:hint="eastAsia" w:hAnsi="宋体"/>
                <w:color w:val="auto"/>
                <w:kern w:val="2"/>
                <w:sz w:val="21"/>
                <w:szCs w:val="21"/>
                <w:lang w:val="en-US" w:eastAsia="zh-CN"/>
              </w:rPr>
              <w:t>怒江职业技术学院民宿数字化实训室项目</w:t>
            </w:r>
          </w:p>
          <w:p w14:paraId="0FD51CAD">
            <w:pPr>
              <w:pStyle w:val="18"/>
              <w:rPr>
                <w:rFonts w:hint="eastAsia" w:ascii="宋体" w:hAnsi="宋体" w:eastAsia="宋体" w:cs="Times New Roman"/>
                <w:color w:val="auto"/>
                <w:sz w:val="21"/>
                <w:szCs w:val="21"/>
                <w:lang w:val="en-US" w:eastAsia="zh-CN"/>
              </w:rPr>
            </w:pPr>
            <w:r>
              <w:rPr>
                <w:rFonts w:hint="eastAsia" w:ascii="宋体" w:hAnsi="宋体" w:eastAsia="宋体" w:cs="Times New Roman"/>
                <w:color w:val="auto"/>
                <w:sz w:val="21"/>
                <w:szCs w:val="21"/>
                <w:lang w:val="en-US" w:eastAsia="zh-CN"/>
              </w:rPr>
              <w:t>项目编号：</w:t>
            </w:r>
            <w:r>
              <w:rPr>
                <w:rFonts w:hint="eastAsia" w:hAnsi="宋体" w:cs="Times New Roman"/>
                <w:color w:val="auto"/>
                <w:sz w:val="21"/>
                <w:szCs w:val="21"/>
                <w:lang w:val="en-US" w:eastAsia="zh-CN"/>
              </w:rPr>
              <w:t>SYLZB2026019</w:t>
            </w:r>
            <w:r>
              <w:rPr>
                <w:rFonts w:hint="eastAsia" w:ascii="宋体" w:hAnsi="宋体" w:eastAsia="宋体" w:cs="Times New Roman"/>
                <w:color w:val="auto"/>
                <w:sz w:val="21"/>
                <w:szCs w:val="21"/>
                <w:lang w:val="en-US" w:eastAsia="zh-CN"/>
              </w:rPr>
              <w:t xml:space="preserve"> </w:t>
            </w:r>
          </w:p>
          <w:p w14:paraId="1B235453">
            <w:pPr>
              <w:pStyle w:val="18"/>
              <w:rPr>
                <w:rFonts w:hint="default" w:hAnsi="宋体" w:eastAsia="宋体"/>
                <w:color w:val="auto"/>
                <w:sz w:val="21"/>
                <w:szCs w:val="21"/>
                <w:lang w:val="en-US" w:eastAsia="zh-CN"/>
              </w:rPr>
            </w:pPr>
            <w:r>
              <w:rPr>
                <w:rFonts w:hint="eastAsia" w:ascii="宋体" w:hAnsi="宋体" w:eastAsia="宋体" w:cs="Times New Roman"/>
                <w:color w:val="auto"/>
                <w:sz w:val="21"/>
                <w:szCs w:val="21"/>
                <w:lang w:val="en-US" w:eastAsia="zh-CN"/>
              </w:rPr>
              <w:t>采购预算价：小写：</w:t>
            </w:r>
            <w:r>
              <w:rPr>
                <w:rFonts w:hint="default" w:ascii="宋体" w:hAnsi="宋体" w:eastAsia="宋体" w:cs="Times New Roman"/>
                <w:color w:val="auto"/>
                <w:sz w:val="21"/>
                <w:szCs w:val="21"/>
                <w:lang w:val="en-US" w:eastAsia="zh-CN"/>
              </w:rPr>
              <w:t>¥</w:t>
            </w:r>
            <w:r>
              <w:rPr>
                <w:rFonts w:hint="eastAsia" w:ascii="宋体" w:hAnsi="宋体" w:eastAsia="宋体" w:cs="Times New Roman"/>
                <w:color w:val="auto"/>
                <w:sz w:val="21"/>
                <w:szCs w:val="21"/>
                <w:lang w:val="en-US" w:eastAsia="zh-CN"/>
              </w:rPr>
              <w:t>1180200.00 元 大写：壹佰壹拾捌万零贰佰元整</w:t>
            </w:r>
          </w:p>
        </w:tc>
      </w:tr>
      <w:tr w14:paraId="50762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055" w:type="dxa"/>
            <w:noWrap w:val="0"/>
            <w:vAlign w:val="center"/>
          </w:tcPr>
          <w:p w14:paraId="228FA035">
            <w:pPr>
              <w:pStyle w:val="18"/>
              <w:jc w:val="center"/>
              <w:rPr>
                <w:rFonts w:hAnsi="宋体"/>
                <w:color w:val="auto"/>
                <w:kern w:val="2"/>
                <w:sz w:val="21"/>
                <w:szCs w:val="21"/>
                <w:lang w:val="en-US" w:eastAsia="zh-CN"/>
              </w:rPr>
            </w:pPr>
            <w:r>
              <w:rPr>
                <w:rFonts w:hint="eastAsia" w:hAnsi="宋体"/>
                <w:color w:val="auto"/>
                <w:kern w:val="2"/>
                <w:sz w:val="21"/>
                <w:szCs w:val="21"/>
                <w:lang w:val="en-US" w:eastAsia="zh-CN"/>
              </w:rPr>
              <w:t>2.1</w:t>
            </w:r>
          </w:p>
        </w:tc>
        <w:tc>
          <w:tcPr>
            <w:tcW w:w="2410" w:type="dxa"/>
            <w:noWrap w:val="0"/>
            <w:vAlign w:val="center"/>
          </w:tcPr>
          <w:p w14:paraId="0F59213F">
            <w:pPr>
              <w:pStyle w:val="18"/>
              <w:rPr>
                <w:rFonts w:hAnsi="宋体"/>
                <w:color w:val="auto"/>
                <w:kern w:val="2"/>
                <w:sz w:val="21"/>
                <w:szCs w:val="21"/>
                <w:lang w:val="en-US" w:eastAsia="zh-CN"/>
              </w:rPr>
            </w:pPr>
            <w:r>
              <w:rPr>
                <w:rFonts w:hint="eastAsia" w:hAnsi="宋体"/>
                <w:color w:val="auto"/>
                <w:kern w:val="2"/>
                <w:sz w:val="21"/>
                <w:szCs w:val="21"/>
                <w:lang w:val="en-US" w:eastAsia="zh-CN"/>
              </w:rPr>
              <w:t>资金来源</w:t>
            </w:r>
          </w:p>
        </w:tc>
        <w:tc>
          <w:tcPr>
            <w:tcW w:w="6014" w:type="dxa"/>
            <w:noWrap w:val="0"/>
            <w:vAlign w:val="center"/>
          </w:tcPr>
          <w:p w14:paraId="47D8B319">
            <w:pPr>
              <w:pStyle w:val="18"/>
              <w:jc w:val="left"/>
              <w:rPr>
                <w:rFonts w:hint="eastAsia" w:hAnsi="宋体"/>
                <w:color w:val="auto"/>
                <w:sz w:val="21"/>
                <w:szCs w:val="21"/>
                <w:lang w:val="en-US" w:eastAsia="zh-CN"/>
              </w:rPr>
            </w:pPr>
            <w:r>
              <w:rPr>
                <w:rFonts w:hint="eastAsia" w:hAnsi="宋体"/>
                <w:color w:val="auto"/>
                <w:sz w:val="21"/>
                <w:szCs w:val="21"/>
                <w:lang w:val="en-US" w:eastAsia="zh-CN"/>
              </w:rPr>
              <w:t>财政拨款</w:t>
            </w:r>
          </w:p>
        </w:tc>
      </w:tr>
      <w:tr w14:paraId="6FED6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055" w:type="dxa"/>
            <w:noWrap w:val="0"/>
            <w:vAlign w:val="center"/>
          </w:tcPr>
          <w:p w14:paraId="637804A2">
            <w:pPr>
              <w:pStyle w:val="18"/>
              <w:jc w:val="center"/>
              <w:rPr>
                <w:rFonts w:hAnsi="宋体"/>
                <w:color w:val="auto"/>
                <w:kern w:val="2"/>
                <w:sz w:val="21"/>
                <w:szCs w:val="21"/>
                <w:lang w:val="en-US" w:eastAsia="zh-CN"/>
              </w:rPr>
            </w:pPr>
            <w:r>
              <w:rPr>
                <w:rFonts w:hint="eastAsia" w:hAnsi="宋体"/>
                <w:color w:val="auto"/>
                <w:kern w:val="2"/>
                <w:sz w:val="21"/>
                <w:szCs w:val="21"/>
                <w:lang w:val="en-US" w:eastAsia="zh-CN"/>
              </w:rPr>
              <w:t>3.1</w:t>
            </w:r>
          </w:p>
        </w:tc>
        <w:tc>
          <w:tcPr>
            <w:tcW w:w="2410" w:type="dxa"/>
            <w:noWrap w:val="0"/>
            <w:vAlign w:val="center"/>
          </w:tcPr>
          <w:p w14:paraId="5AC46E55">
            <w:pPr>
              <w:pStyle w:val="18"/>
              <w:rPr>
                <w:rFonts w:hAnsi="宋体"/>
                <w:color w:val="auto"/>
                <w:kern w:val="2"/>
                <w:sz w:val="21"/>
                <w:szCs w:val="21"/>
                <w:highlight w:val="none"/>
                <w:lang w:val="en-US" w:eastAsia="zh-CN"/>
              </w:rPr>
            </w:pPr>
            <w:r>
              <w:rPr>
                <w:rFonts w:hint="eastAsia" w:hAnsi="宋体"/>
                <w:color w:val="auto"/>
                <w:kern w:val="2"/>
                <w:sz w:val="21"/>
                <w:szCs w:val="21"/>
                <w:highlight w:val="none"/>
                <w:lang w:val="en-US" w:eastAsia="zh-CN"/>
              </w:rPr>
              <w:t>招标范围</w:t>
            </w:r>
          </w:p>
        </w:tc>
        <w:tc>
          <w:tcPr>
            <w:tcW w:w="6014" w:type="dxa"/>
            <w:noWrap w:val="0"/>
            <w:vAlign w:val="center"/>
          </w:tcPr>
          <w:p w14:paraId="24DA1695">
            <w:pPr>
              <w:widowControl/>
              <w:rPr>
                <w:rFonts w:hint="eastAsia" w:hAnsi="宋体" w:cs="Times New Roman"/>
                <w:color w:val="auto"/>
                <w:sz w:val="21"/>
                <w:szCs w:val="21"/>
                <w:highlight w:val="none"/>
                <w:lang w:val="en-US" w:eastAsia="zh-CN"/>
              </w:rPr>
            </w:pPr>
            <w:r>
              <w:rPr>
                <w:rFonts w:hint="eastAsia" w:ascii="宋体" w:hAnsi="宋体" w:cs="Times New Roman"/>
                <w:color w:val="auto"/>
                <w:szCs w:val="21"/>
                <w:highlight w:val="none"/>
                <w:lang w:val="en-US" w:eastAsia="zh-CN"/>
              </w:rPr>
              <w:t>详细内容见第五章采购要求</w:t>
            </w:r>
            <w:r>
              <w:rPr>
                <w:rFonts w:hint="eastAsia" w:hAnsi="宋体" w:cs="Times New Roman"/>
                <w:color w:val="auto"/>
                <w:sz w:val="21"/>
                <w:szCs w:val="21"/>
                <w:highlight w:val="none"/>
                <w:lang w:val="en-US" w:eastAsia="zh-CN"/>
              </w:rPr>
              <w:t>。</w:t>
            </w:r>
          </w:p>
        </w:tc>
      </w:tr>
      <w:tr w14:paraId="6B215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055" w:type="dxa"/>
            <w:noWrap w:val="0"/>
            <w:vAlign w:val="center"/>
          </w:tcPr>
          <w:p w14:paraId="67FAD77F">
            <w:pPr>
              <w:pStyle w:val="18"/>
              <w:jc w:val="center"/>
              <w:rPr>
                <w:rFonts w:hAnsi="宋体"/>
                <w:color w:val="auto"/>
                <w:kern w:val="2"/>
                <w:sz w:val="21"/>
                <w:szCs w:val="21"/>
                <w:lang w:val="en-US" w:eastAsia="zh-CN"/>
              </w:rPr>
            </w:pPr>
            <w:r>
              <w:rPr>
                <w:rFonts w:hint="eastAsia" w:hAnsi="宋体"/>
                <w:color w:val="auto"/>
                <w:kern w:val="2"/>
                <w:sz w:val="21"/>
                <w:szCs w:val="21"/>
                <w:lang w:val="en-US" w:eastAsia="zh-CN"/>
              </w:rPr>
              <w:t>3.2</w:t>
            </w:r>
          </w:p>
        </w:tc>
        <w:tc>
          <w:tcPr>
            <w:tcW w:w="2410" w:type="dxa"/>
            <w:noWrap w:val="0"/>
            <w:vAlign w:val="center"/>
          </w:tcPr>
          <w:p w14:paraId="584FCD39">
            <w:pPr>
              <w:pStyle w:val="18"/>
              <w:rPr>
                <w:rFonts w:hint="eastAsia" w:hAnsi="宋体"/>
                <w:color w:val="auto"/>
                <w:kern w:val="2"/>
                <w:sz w:val="21"/>
                <w:szCs w:val="21"/>
                <w:lang w:val="en-US" w:eastAsia="zh-CN"/>
              </w:rPr>
            </w:pPr>
            <w:r>
              <w:rPr>
                <w:rFonts w:hint="eastAsia" w:hAnsi="宋体"/>
                <w:color w:val="auto"/>
                <w:kern w:val="2"/>
                <w:sz w:val="21"/>
                <w:szCs w:val="21"/>
                <w:lang w:val="en-US" w:eastAsia="zh-CN"/>
              </w:rPr>
              <w:t>服务地点及要求</w:t>
            </w:r>
          </w:p>
        </w:tc>
        <w:tc>
          <w:tcPr>
            <w:tcW w:w="6014" w:type="dxa"/>
            <w:noWrap w:val="0"/>
            <w:vAlign w:val="center"/>
          </w:tcPr>
          <w:p w14:paraId="060FBA35">
            <w:pPr>
              <w:pStyle w:val="18"/>
              <w:rPr>
                <w:rFonts w:hint="default" w:hAnsi="宋体"/>
                <w:color w:val="auto"/>
                <w:kern w:val="2"/>
                <w:sz w:val="21"/>
                <w:szCs w:val="21"/>
                <w:lang w:val="en-US" w:eastAsia="zh-CN"/>
              </w:rPr>
            </w:pPr>
            <w:r>
              <w:rPr>
                <w:rFonts w:hint="eastAsia" w:hAnsi="宋体"/>
                <w:color w:val="auto"/>
                <w:kern w:val="2"/>
                <w:sz w:val="21"/>
                <w:szCs w:val="21"/>
                <w:lang w:val="en-US" w:eastAsia="zh-CN"/>
              </w:rPr>
              <w:t>按合同约定</w:t>
            </w:r>
          </w:p>
        </w:tc>
      </w:tr>
      <w:tr w14:paraId="6399B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8" w:hRule="atLeast"/>
          <w:jc w:val="center"/>
        </w:trPr>
        <w:tc>
          <w:tcPr>
            <w:tcW w:w="1055" w:type="dxa"/>
            <w:noWrap w:val="0"/>
            <w:vAlign w:val="center"/>
          </w:tcPr>
          <w:p w14:paraId="752EB07A">
            <w:pPr>
              <w:pStyle w:val="18"/>
              <w:jc w:val="center"/>
              <w:rPr>
                <w:rFonts w:hAnsi="宋体"/>
                <w:color w:val="auto"/>
                <w:kern w:val="2"/>
                <w:sz w:val="21"/>
                <w:szCs w:val="21"/>
                <w:lang w:val="en-US" w:eastAsia="zh-CN"/>
              </w:rPr>
            </w:pPr>
            <w:r>
              <w:rPr>
                <w:rFonts w:hint="eastAsia" w:hAnsi="宋体"/>
                <w:color w:val="auto"/>
                <w:kern w:val="2"/>
                <w:sz w:val="21"/>
                <w:szCs w:val="21"/>
                <w:lang w:val="en-US" w:eastAsia="zh-CN"/>
              </w:rPr>
              <w:t>4.1</w:t>
            </w:r>
          </w:p>
        </w:tc>
        <w:tc>
          <w:tcPr>
            <w:tcW w:w="2410" w:type="dxa"/>
            <w:noWrap w:val="0"/>
            <w:vAlign w:val="center"/>
          </w:tcPr>
          <w:p w14:paraId="3A98E1E1">
            <w:pPr>
              <w:pStyle w:val="18"/>
              <w:rPr>
                <w:rFonts w:hAnsi="宋体"/>
                <w:color w:val="auto"/>
                <w:kern w:val="2"/>
                <w:sz w:val="21"/>
                <w:szCs w:val="21"/>
                <w:lang w:val="en-US" w:eastAsia="zh-CN"/>
              </w:rPr>
            </w:pPr>
            <w:r>
              <w:rPr>
                <w:rFonts w:hint="eastAsia" w:hAnsi="宋体"/>
                <w:color w:val="auto"/>
                <w:kern w:val="2"/>
                <w:sz w:val="21"/>
                <w:szCs w:val="21"/>
                <w:lang w:val="en-US" w:eastAsia="zh-CN"/>
              </w:rPr>
              <w:t>投标人资格要求</w:t>
            </w:r>
          </w:p>
        </w:tc>
        <w:tc>
          <w:tcPr>
            <w:tcW w:w="6014" w:type="dxa"/>
            <w:noWrap w:val="0"/>
            <w:vAlign w:val="center"/>
          </w:tcPr>
          <w:p w14:paraId="53694F5D">
            <w:pPr>
              <w:widowControl/>
              <w:ind w:firstLine="420" w:firstLineChars="200"/>
              <w:rPr>
                <w:rFonts w:hint="eastAsia" w:ascii="宋体" w:hAnsi="宋体"/>
                <w:color w:val="auto"/>
                <w:kern w:val="0"/>
                <w:szCs w:val="21"/>
              </w:rPr>
            </w:pPr>
            <w:r>
              <w:rPr>
                <w:rFonts w:hint="eastAsia" w:ascii="宋体" w:hAnsi="宋体"/>
                <w:color w:val="auto"/>
                <w:kern w:val="0"/>
                <w:szCs w:val="21"/>
              </w:rPr>
              <w:t>1</w:t>
            </w:r>
            <w:r>
              <w:rPr>
                <w:rFonts w:hint="eastAsia" w:ascii="宋体" w:hAnsi="宋体"/>
                <w:color w:val="auto"/>
                <w:kern w:val="0"/>
                <w:szCs w:val="21"/>
                <w:lang w:val="en-US" w:eastAsia="zh-CN"/>
              </w:rPr>
              <w:t>.</w:t>
            </w:r>
            <w:r>
              <w:rPr>
                <w:rFonts w:hint="eastAsia" w:ascii="宋体" w:hAnsi="宋体"/>
                <w:color w:val="auto"/>
                <w:kern w:val="0"/>
                <w:szCs w:val="21"/>
              </w:rPr>
              <w:t>供应商必须符合《中华人民共和国政府采购法》第二十二条规定的条件：</w:t>
            </w:r>
          </w:p>
          <w:p w14:paraId="0F1AE807">
            <w:pPr>
              <w:widowControl/>
              <w:ind w:firstLine="420" w:firstLineChars="200"/>
              <w:rPr>
                <w:rFonts w:hint="eastAsia" w:ascii="宋体" w:hAnsi="宋体"/>
                <w:b/>
                <w:color w:val="auto"/>
                <w:kern w:val="0"/>
                <w:szCs w:val="21"/>
              </w:rPr>
            </w:pPr>
            <w:r>
              <w:rPr>
                <w:rFonts w:hint="eastAsia" w:ascii="宋体" w:hAnsi="宋体"/>
                <w:color w:val="auto"/>
                <w:kern w:val="0"/>
                <w:szCs w:val="21"/>
              </w:rPr>
              <w:t>（一）具有独立承担民事责任的能力</w:t>
            </w:r>
            <w:r>
              <w:rPr>
                <w:rFonts w:hint="eastAsia" w:ascii="宋体" w:hAnsi="宋体"/>
                <w:b w:val="0"/>
                <w:bCs/>
                <w:color w:val="auto"/>
                <w:kern w:val="0"/>
                <w:szCs w:val="21"/>
              </w:rPr>
              <w:t>；</w:t>
            </w:r>
          </w:p>
          <w:p w14:paraId="4FE54969">
            <w:pPr>
              <w:widowControl/>
              <w:ind w:firstLine="420" w:firstLineChars="200"/>
              <w:rPr>
                <w:rFonts w:hint="eastAsia" w:ascii="宋体" w:hAnsi="宋体" w:cs="Times New Roman"/>
                <w:color w:val="auto"/>
                <w:kern w:val="0"/>
                <w:szCs w:val="21"/>
              </w:rPr>
            </w:pPr>
            <w:r>
              <w:rPr>
                <w:rFonts w:hint="eastAsia" w:ascii="宋体" w:hAnsi="宋体" w:cs="Times New Roman"/>
                <w:color w:val="auto"/>
                <w:kern w:val="0"/>
                <w:szCs w:val="21"/>
              </w:rPr>
              <w:t>（二）具有良好的商业信誉和健全的财务会计制度；</w:t>
            </w:r>
          </w:p>
          <w:p w14:paraId="0D71EA2C">
            <w:pPr>
              <w:widowControl/>
              <w:ind w:firstLine="420" w:firstLineChars="200"/>
              <w:rPr>
                <w:rFonts w:hint="eastAsia" w:ascii="宋体" w:hAnsi="宋体" w:cs="Times New Roman"/>
                <w:color w:val="auto"/>
                <w:kern w:val="0"/>
                <w:szCs w:val="21"/>
              </w:rPr>
            </w:pPr>
            <w:r>
              <w:rPr>
                <w:rFonts w:hint="eastAsia" w:ascii="宋体" w:hAnsi="宋体" w:cs="Times New Roman"/>
                <w:color w:val="auto"/>
                <w:kern w:val="0"/>
                <w:szCs w:val="21"/>
              </w:rPr>
              <w:t>（三）具有履行合同所必需的设备和专业技术能力（提供相关证明材料）；</w:t>
            </w:r>
          </w:p>
          <w:p w14:paraId="3191B974">
            <w:pPr>
              <w:widowControl/>
              <w:ind w:firstLine="420" w:firstLineChars="200"/>
              <w:rPr>
                <w:rFonts w:hint="eastAsia" w:ascii="宋体" w:hAnsi="宋体" w:cs="Times New Roman"/>
                <w:color w:val="auto"/>
                <w:kern w:val="0"/>
                <w:szCs w:val="21"/>
                <w:lang w:val="en-US" w:eastAsia="zh-CN"/>
              </w:rPr>
            </w:pPr>
            <w:r>
              <w:rPr>
                <w:rFonts w:hint="eastAsia" w:ascii="宋体" w:hAnsi="宋体" w:cs="Times New Roman"/>
                <w:color w:val="auto"/>
                <w:kern w:val="0"/>
                <w:szCs w:val="21"/>
              </w:rPr>
              <w:t>（四）有依法缴纳税收和社会保障资金的良好记录；</w:t>
            </w:r>
          </w:p>
          <w:p w14:paraId="0C2647DF">
            <w:pPr>
              <w:widowControl/>
              <w:ind w:firstLine="420" w:firstLineChars="200"/>
              <w:rPr>
                <w:rFonts w:hint="eastAsia" w:ascii="宋体" w:hAnsi="宋体" w:eastAsia="宋体" w:cs="Times New Roman"/>
                <w:color w:val="auto"/>
                <w:kern w:val="0"/>
                <w:szCs w:val="21"/>
              </w:rPr>
            </w:pPr>
            <w:r>
              <w:rPr>
                <w:rFonts w:hint="eastAsia" w:ascii="宋体" w:hAnsi="宋体" w:cs="Times New Roman"/>
                <w:color w:val="auto"/>
                <w:kern w:val="0"/>
                <w:szCs w:val="21"/>
              </w:rPr>
              <w:t>（五）参加政府采购活动前三年内，在经营活动中没有重大违法记录（重大违法记录，是指供应商因违法经营受到刑事处罚或者责令停产停业、吊销许可证或者执照、较大数额罚款等行政处罚）的书面声明；（1）投标人及</w:t>
            </w:r>
            <w:r>
              <w:rPr>
                <w:rFonts w:hint="eastAsia" w:ascii="宋体" w:hAnsi="宋体"/>
                <w:color w:val="auto"/>
                <w:kern w:val="0"/>
                <w:szCs w:val="21"/>
              </w:rPr>
              <w:t>投标人法定代表人不得为“信用中国”网站（www.creditchina.gov.cn）列入失信被执行人、重大税收违法案件当事人名单；（2）投标人不得为“中国政府采购网”网站（http://www.ccgp.gov.cn/）政府采购严重违法失信行为记录名单中被财政部门禁止参加政府采购活动的投标人（处罚决定规定的时间和地域范围内）；（3）投标人不得为“国家企业信用信息公示”网站（http://gsxt.saic.gov.cn/）参加政府采购活动前3年内存在经营活</w:t>
            </w:r>
            <w:r>
              <w:rPr>
                <w:rFonts w:hint="eastAsia" w:ascii="宋体" w:hAnsi="宋体" w:eastAsia="宋体" w:cs="Times New Roman"/>
                <w:color w:val="auto"/>
                <w:kern w:val="0"/>
                <w:szCs w:val="21"/>
              </w:rPr>
              <w:t>动中有重大违法记录的行为。</w:t>
            </w:r>
          </w:p>
          <w:p w14:paraId="5BE9E704">
            <w:pPr>
              <w:widowControl/>
              <w:ind w:firstLine="420" w:firstLineChars="200"/>
              <w:rPr>
                <w:rFonts w:hint="eastAsia" w:ascii="宋体" w:hAnsi="宋体" w:eastAsia="宋体" w:cs="Times New Roman"/>
                <w:color w:val="auto"/>
                <w:kern w:val="0"/>
                <w:szCs w:val="21"/>
              </w:rPr>
            </w:pPr>
            <w:r>
              <w:rPr>
                <w:rFonts w:hint="eastAsia" w:ascii="宋体" w:hAnsi="宋体" w:eastAsia="宋体" w:cs="Times New Roman"/>
                <w:color w:val="auto"/>
                <w:kern w:val="0"/>
                <w:szCs w:val="21"/>
              </w:rPr>
              <w:t>（六）法律、行政法规规定的其他条件。</w:t>
            </w:r>
          </w:p>
          <w:p w14:paraId="07445996">
            <w:pPr>
              <w:ind w:firstLine="420" w:firstLineChars="200"/>
              <w:rPr>
                <w:rFonts w:hint="eastAsia" w:ascii="宋体" w:hAnsi="宋体"/>
                <w:color w:val="auto"/>
                <w:szCs w:val="21"/>
              </w:rPr>
            </w:pPr>
            <w:r>
              <w:rPr>
                <w:rFonts w:hint="eastAsia" w:ascii="宋体" w:hAnsi="宋体"/>
                <w:color w:val="auto"/>
                <w:kern w:val="0"/>
                <w:szCs w:val="21"/>
                <w:lang w:val="en-US" w:eastAsia="zh-CN"/>
              </w:rPr>
              <w:t>2.</w:t>
            </w:r>
            <w:r>
              <w:rPr>
                <w:rFonts w:hint="eastAsia" w:ascii="宋体" w:hAnsi="宋体"/>
                <w:color w:val="auto"/>
                <w:kern w:val="0"/>
                <w:szCs w:val="21"/>
              </w:rPr>
              <w:t>本项目不接受联合体投标</w:t>
            </w:r>
            <w:r>
              <w:rPr>
                <w:rFonts w:hint="eastAsia"/>
                <w:color w:val="auto"/>
                <w:szCs w:val="21"/>
              </w:rPr>
              <w:t>。</w:t>
            </w:r>
          </w:p>
        </w:tc>
      </w:tr>
      <w:tr w14:paraId="37951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1055" w:type="dxa"/>
            <w:noWrap w:val="0"/>
            <w:vAlign w:val="center"/>
          </w:tcPr>
          <w:p w14:paraId="03D750C0">
            <w:pPr>
              <w:pStyle w:val="18"/>
              <w:jc w:val="center"/>
              <w:rPr>
                <w:rFonts w:hAnsi="宋体"/>
                <w:color w:val="auto"/>
                <w:kern w:val="2"/>
                <w:sz w:val="21"/>
                <w:szCs w:val="21"/>
                <w:lang w:val="en-US" w:eastAsia="zh-CN"/>
              </w:rPr>
            </w:pPr>
            <w:r>
              <w:rPr>
                <w:rFonts w:hint="eastAsia" w:hAnsi="宋体"/>
                <w:color w:val="auto"/>
                <w:kern w:val="2"/>
                <w:sz w:val="21"/>
                <w:szCs w:val="21"/>
                <w:lang w:val="en-US" w:eastAsia="zh-CN"/>
              </w:rPr>
              <w:t>4.3</w:t>
            </w:r>
          </w:p>
        </w:tc>
        <w:tc>
          <w:tcPr>
            <w:tcW w:w="2410" w:type="dxa"/>
            <w:noWrap w:val="0"/>
            <w:vAlign w:val="center"/>
          </w:tcPr>
          <w:p w14:paraId="04E4808F">
            <w:pPr>
              <w:pStyle w:val="18"/>
              <w:rPr>
                <w:rFonts w:hAnsi="宋体"/>
                <w:color w:val="auto"/>
                <w:kern w:val="2"/>
                <w:sz w:val="21"/>
                <w:szCs w:val="21"/>
                <w:lang w:val="en-US" w:eastAsia="zh-CN"/>
              </w:rPr>
            </w:pPr>
            <w:r>
              <w:rPr>
                <w:rFonts w:hint="eastAsia" w:hAnsi="宋体"/>
                <w:color w:val="auto"/>
                <w:kern w:val="2"/>
                <w:sz w:val="21"/>
                <w:szCs w:val="21"/>
                <w:lang w:val="en-US" w:eastAsia="zh-CN"/>
              </w:rPr>
              <w:t>是否接受联合体投标</w:t>
            </w:r>
          </w:p>
        </w:tc>
        <w:tc>
          <w:tcPr>
            <w:tcW w:w="6014" w:type="dxa"/>
            <w:noWrap w:val="0"/>
            <w:vAlign w:val="center"/>
          </w:tcPr>
          <w:p w14:paraId="425C7213">
            <w:pPr>
              <w:pStyle w:val="18"/>
              <w:jc w:val="left"/>
              <w:rPr>
                <w:rFonts w:hAnsi="宋体"/>
                <w:color w:val="auto"/>
                <w:kern w:val="2"/>
                <w:sz w:val="21"/>
                <w:szCs w:val="21"/>
                <w:lang w:val="en-US" w:eastAsia="zh-CN"/>
              </w:rPr>
            </w:pPr>
            <w:r>
              <w:rPr>
                <w:rFonts w:hint="eastAsia" w:hAnsi="宋体"/>
                <w:color w:val="auto"/>
                <w:kern w:val="2"/>
                <w:sz w:val="21"/>
                <w:szCs w:val="21"/>
                <w:lang w:val="en-US" w:eastAsia="zh-CN"/>
              </w:rPr>
              <w:t xml:space="preserve">  □接受  </w:t>
            </w:r>
            <w:r>
              <w:rPr>
                <w:rFonts w:hint="eastAsia" w:hAnsi="宋体"/>
                <w:color w:val="auto"/>
                <w:kern w:val="2"/>
                <w:sz w:val="21"/>
                <w:szCs w:val="21"/>
                <w:u w:val="single"/>
                <w:lang w:val="en-US" w:eastAsia="zh-CN"/>
              </w:rPr>
              <w:t>■</w:t>
            </w:r>
            <w:r>
              <w:rPr>
                <w:rFonts w:hint="eastAsia" w:hAnsi="宋体"/>
                <w:color w:val="auto"/>
                <w:kern w:val="2"/>
                <w:sz w:val="21"/>
                <w:szCs w:val="21"/>
                <w:lang w:val="en-US" w:eastAsia="zh-CN"/>
              </w:rPr>
              <w:t xml:space="preserve">不接受  </w:t>
            </w:r>
          </w:p>
        </w:tc>
      </w:tr>
      <w:tr w14:paraId="7F434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5" w:hRule="atLeast"/>
          <w:jc w:val="center"/>
        </w:trPr>
        <w:tc>
          <w:tcPr>
            <w:tcW w:w="1055" w:type="dxa"/>
            <w:noWrap w:val="0"/>
            <w:vAlign w:val="center"/>
          </w:tcPr>
          <w:p w14:paraId="59FDBEA8">
            <w:pPr>
              <w:pStyle w:val="18"/>
              <w:jc w:val="center"/>
              <w:rPr>
                <w:rFonts w:hAnsi="宋体"/>
                <w:color w:val="auto"/>
                <w:kern w:val="2"/>
                <w:sz w:val="21"/>
                <w:szCs w:val="21"/>
                <w:lang w:val="en-US" w:eastAsia="zh-CN"/>
              </w:rPr>
            </w:pPr>
            <w:r>
              <w:rPr>
                <w:rFonts w:hAnsi="宋体"/>
                <w:color w:val="auto"/>
                <w:kern w:val="2"/>
                <w:sz w:val="21"/>
                <w:szCs w:val="21"/>
                <w:lang w:val="en-US" w:eastAsia="zh-CN"/>
              </w:rPr>
              <w:t>13.1</w:t>
            </w:r>
            <w:r>
              <w:rPr>
                <w:rFonts w:hint="eastAsia" w:hAnsi="宋体"/>
                <w:color w:val="auto"/>
                <w:kern w:val="2"/>
                <w:sz w:val="21"/>
                <w:szCs w:val="21"/>
                <w:lang w:val="en-US" w:eastAsia="zh-CN"/>
              </w:rPr>
              <w:t>.5</w:t>
            </w:r>
          </w:p>
        </w:tc>
        <w:tc>
          <w:tcPr>
            <w:tcW w:w="2410" w:type="dxa"/>
            <w:noWrap w:val="0"/>
            <w:vAlign w:val="center"/>
          </w:tcPr>
          <w:p w14:paraId="2603C3E1">
            <w:pPr>
              <w:pStyle w:val="18"/>
              <w:rPr>
                <w:rFonts w:hAnsi="宋体"/>
                <w:color w:val="auto"/>
                <w:kern w:val="2"/>
                <w:sz w:val="21"/>
                <w:szCs w:val="21"/>
                <w:lang w:val="en-US" w:eastAsia="zh-CN"/>
              </w:rPr>
            </w:pPr>
            <w:r>
              <w:rPr>
                <w:rFonts w:hAnsi="宋体"/>
                <w:color w:val="auto"/>
                <w:kern w:val="2"/>
                <w:sz w:val="21"/>
                <w:szCs w:val="21"/>
                <w:lang w:val="en-US" w:eastAsia="zh-CN"/>
              </w:rPr>
              <w:t>构成投标文件的其他资料</w:t>
            </w:r>
          </w:p>
        </w:tc>
        <w:tc>
          <w:tcPr>
            <w:tcW w:w="6014" w:type="dxa"/>
            <w:noWrap w:val="0"/>
            <w:vAlign w:val="center"/>
          </w:tcPr>
          <w:p w14:paraId="26E45C35">
            <w:pPr>
              <w:autoSpaceDE w:val="0"/>
              <w:autoSpaceDN w:val="0"/>
              <w:snapToGrid w:val="0"/>
              <w:textAlignment w:val="bottom"/>
              <w:rPr>
                <w:rFonts w:ascii="宋体" w:hAnsi="宋体"/>
                <w:color w:val="auto"/>
                <w:szCs w:val="21"/>
              </w:rPr>
            </w:pPr>
            <w:r>
              <w:rPr>
                <w:rFonts w:hint="eastAsia" w:ascii="宋体" w:hAnsi="宋体"/>
                <w:color w:val="auto"/>
                <w:szCs w:val="21"/>
              </w:rPr>
              <w:t>1、符合招标文件规定</w:t>
            </w:r>
            <w:r>
              <w:rPr>
                <w:rFonts w:hint="eastAsia" w:ascii="宋体" w:hAnsi="宋体"/>
                <w:color w:val="auto"/>
                <w:szCs w:val="21"/>
                <w:lang w:val="en-US" w:eastAsia="zh-CN"/>
              </w:rPr>
              <w:t>服务要求</w:t>
            </w:r>
            <w:r>
              <w:rPr>
                <w:rFonts w:hint="eastAsia" w:ascii="宋体" w:hAnsi="宋体"/>
                <w:color w:val="auto"/>
                <w:szCs w:val="21"/>
              </w:rPr>
              <w:t>，具有履行合同的专业、技术资格能力；</w:t>
            </w:r>
          </w:p>
          <w:p w14:paraId="3D19DB05">
            <w:pPr>
              <w:autoSpaceDE w:val="0"/>
              <w:autoSpaceDN w:val="0"/>
              <w:snapToGrid w:val="0"/>
              <w:textAlignment w:val="bottom"/>
              <w:rPr>
                <w:rFonts w:hint="eastAsia" w:ascii="宋体" w:hAnsi="宋体"/>
                <w:bCs/>
                <w:color w:val="auto"/>
                <w:szCs w:val="21"/>
              </w:rPr>
            </w:pPr>
            <w:r>
              <w:rPr>
                <w:rFonts w:hint="eastAsia" w:ascii="宋体" w:hAnsi="宋体"/>
                <w:bCs/>
                <w:color w:val="auto"/>
                <w:szCs w:val="21"/>
                <w:lang w:val="en-US" w:eastAsia="zh-CN"/>
              </w:rPr>
              <w:t>2</w:t>
            </w:r>
            <w:r>
              <w:rPr>
                <w:rFonts w:hint="eastAsia" w:ascii="宋体" w:hAnsi="宋体"/>
                <w:bCs/>
                <w:color w:val="auto"/>
                <w:szCs w:val="21"/>
              </w:rPr>
              <w:t>、</w:t>
            </w:r>
            <w:r>
              <w:rPr>
                <w:rFonts w:hint="eastAsia" w:ascii="宋体" w:hAnsi="宋体"/>
                <w:bCs/>
                <w:color w:val="auto"/>
                <w:szCs w:val="21"/>
                <w:lang w:val="en-US" w:eastAsia="zh-CN"/>
              </w:rPr>
              <w:t>项目</w:t>
            </w:r>
            <w:r>
              <w:rPr>
                <w:rFonts w:hint="eastAsia" w:ascii="宋体" w:hAnsi="宋体"/>
                <w:bCs/>
                <w:color w:val="auto"/>
                <w:szCs w:val="21"/>
                <w:lang w:eastAsia="zh-CN"/>
              </w:rPr>
              <w:t>实施方案</w:t>
            </w:r>
            <w:r>
              <w:rPr>
                <w:rFonts w:hint="eastAsia" w:ascii="宋体" w:hAnsi="宋体"/>
                <w:bCs/>
                <w:color w:val="auto"/>
                <w:szCs w:val="21"/>
              </w:rPr>
              <w:t xml:space="preserve"> 、</w:t>
            </w:r>
            <w:r>
              <w:rPr>
                <w:rFonts w:hint="eastAsia" w:ascii="宋体" w:hAnsi="宋体"/>
                <w:bCs/>
                <w:color w:val="auto"/>
                <w:szCs w:val="21"/>
                <w:lang w:val="en-US" w:eastAsia="zh-CN"/>
              </w:rPr>
              <w:t>售后服务</w:t>
            </w:r>
            <w:r>
              <w:rPr>
                <w:rFonts w:hint="eastAsia" w:ascii="宋体" w:hAnsi="宋体"/>
                <w:bCs/>
                <w:color w:val="auto"/>
                <w:szCs w:val="21"/>
              </w:rPr>
              <w:t>方案及承诺</w:t>
            </w:r>
          </w:p>
          <w:p w14:paraId="35591C02">
            <w:pPr>
              <w:autoSpaceDE w:val="0"/>
              <w:autoSpaceDN w:val="0"/>
              <w:snapToGrid w:val="0"/>
              <w:textAlignment w:val="bottom"/>
              <w:rPr>
                <w:rFonts w:ascii="宋体" w:hAnsi="宋体"/>
                <w:bCs/>
                <w:color w:val="auto"/>
                <w:szCs w:val="21"/>
              </w:rPr>
            </w:pPr>
            <w:r>
              <w:rPr>
                <w:rFonts w:hint="eastAsia" w:ascii="宋体" w:hAnsi="宋体"/>
                <w:bCs/>
                <w:color w:val="auto"/>
                <w:szCs w:val="21"/>
              </w:rPr>
              <w:t>4、第五章“技术要求”中要求提供的其他资料；</w:t>
            </w:r>
          </w:p>
          <w:p w14:paraId="4CA24871">
            <w:pPr>
              <w:autoSpaceDE w:val="0"/>
              <w:autoSpaceDN w:val="0"/>
              <w:snapToGrid w:val="0"/>
              <w:textAlignment w:val="bottom"/>
              <w:rPr>
                <w:rFonts w:ascii="宋体" w:hAnsi="宋体"/>
                <w:bCs/>
                <w:color w:val="auto"/>
                <w:szCs w:val="21"/>
              </w:rPr>
            </w:pPr>
            <w:r>
              <w:rPr>
                <w:rFonts w:hint="eastAsia" w:ascii="宋体" w:hAnsi="宋体"/>
                <w:bCs/>
                <w:color w:val="auto"/>
                <w:szCs w:val="21"/>
              </w:rPr>
              <w:t>5、</w:t>
            </w:r>
            <w:r>
              <w:rPr>
                <w:rFonts w:ascii="宋体" w:hAnsi="宋体"/>
                <w:bCs/>
                <w:color w:val="auto"/>
                <w:szCs w:val="21"/>
              </w:rPr>
              <w:t>招标文件中所涉及到的相关资料及证明文件或投标人认为必须提供的其他相关资料。</w:t>
            </w:r>
          </w:p>
        </w:tc>
      </w:tr>
      <w:tr w14:paraId="5E371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055" w:type="dxa"/>
            <w:noWrap w:val="0"/>
            <w:vAlign w:val="center"/>
          </w:tcPr>
          <w:p w14:paraId="2B8F5F69">
            <w:pPr>
              <w:pStyle w:val="18"/>
              <w:jc w:val="center"/>
              <w:rPr>
                <w:rFonts w:hAnsi="宋体"/>
                <w:color w:val="auto"/>
                <w:kern w:val="2"/>
                <w:sz w:val="21"/>
                <w:szCs w:val="21"/>
                <w:lang w:val="en-US" w:eastAsia="zh-CN"/>
              </w:rPr>
            </w:pPr>
            <w:r>
              <w:rPr>
                <w:rFonts w:hint="eastAsia" w:hAnsi="宋体"/>
                <w:color w:val="auto"/>
                <w:kern w:val="2"/>
                <w:sz w:val="21"/>
                <w:szCs w:val="21"/>
                <w:lang w:val="en-US" w:eastAsia="zh-CN"/>
              </w:rPr>
              <w:t>15.7</w:t>
            </w:r>
          </w:p>
        </w:tc>
        <w:tc>
          <w:tcPr>
            <w:tcW w:w="2410" w:type="dxa"/>
            <w:noWrap w:val="0"/>
            <w:vAlign w:val="center"/>
          </w:tcPr>
          <w:p w14:paraId="672D6FDE">
            <w:pPr>
              <w:pStyle w:val="18"/>
              <w:rPr>
                <w:rFonts w:hAnsi="宋体"/>
                <w:color w:val="auto"/>
                <w:kern w:val="2"/>
                <w:sz w:val="21"/>
                <w:szCs w:val="21"/>
                <w:lang w:val="en-US" w:eastAsia="zh-CN"/>
              </w:rPr>
            </w:pPr>
            <w:r>
              <w:rPr>
                <w:rFonts w:hAnsi="宋体"/>
                <w:color w:val="auto"/>
                <w:kern w:val="2"/>
                <w:sz w:val="21"/>
                <w:szCs w:val="21"/>
                <w:lang w:val="en-US" w:eastAsia="zh-CN"/>
              </w:rPr>
              <w:t>技术服务</w:t>
            </w:r>
          </w:p>
        </w:tc>
        <w:tc>
          <w:tcPr>
            <w:tcW w:w="6014" w:type="dxa"/>
            <w:noWrap w:val="0"/>
            <w:vAlign w:val="center"/>
          </w:tcPr>
          <w:p w14:paraId="2A1C0385">
            <w:pPr>
              <w:autoSpaceDE w:val="0"/>
              <w:autoSpaceDN w:val="0"/>
              <w:snapToGrid w:val="0"/>
              <w:textAlignment w:val="bottom"/>
              <w:rPr>
                <w:rFonts w:hint="eastAsia" w:ascii="宋体" w:hAnsi="宋体"/>
                <w:bCs/>
                <w:color w:val="auto"/>
                <w:szCs w:val="21"/>
              </w:rPr>
            </w:pPr>
            <w:r>
              <w:rPr>
                <w:rFonts w:hint="eastAsia" w:ascii="宋体" w:hAnsi="宋体"/>
                <w:color w:val="auto"/>
                <w:szCs w:val="21"/>
                <w:u w:val="single"/>
              </w:rPr>
              <w:t>■</w:t>
            </w:r>
            <w:r>
              <w:rPr>
                <w:rFonts w:hint="eastAsia" w:ascii="宋体" w:hAnsi="宋体"/>
                <w:bCs/>
                <w:color w:val="auto"/>
                <w:szCs w:val="21"/>
              </w:rPr>
              <w:t>要求</w:t>
            </w:r>
          </w:p>
          <w:p w14:paraId="3FAD3161">
            <w:pPr>
              <w:autoSpaceDE w:val="0"/>
              <w:autoSpaceDN w:val="0"/>
              <w:snapToGrid w:val="0"/>
              <w:textAlignment w:val="bottom"/>
              <w:rPr>
                <w:rFonts w:ascii="宋体" w:hAnsi="宋体"/>
                <w:b/>
                <w:color w:val="auto"/>
                <w:szCs w:val="21"/>
              </w:rPr>
            </w:pPr>
            <w:r>
              <w:rPr>
                <w:rFonts w:hint="eastAsia" w:ascii="宋体" w:hAnsi="宋体"/>
                <w:color w:val="auto"/>
                <w:szCs w:val="21"/>
              </w:rPr>
              <w:sym w:font="Wingdings 2" w:char="00A3"/>
            </w:r>
            <w:r>
              <w:rPr>
                <w:rFonts w:hint="eastAsia" w:ascii="宋体" w:hAnsi="宋体"/>
                <w:bCs/>
                <w:color w:val="auto"/>
                <w:szCs w:val="21"/>
              </w:rPr>
              <w:t>不要求</w:t>
            </w:r>
          </w:p>
        </w:tc>
      </w:tr>
      <w:tr w14:paraId="00EB1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055" w:type="dxa"/>
            <w:noWrap w:val="0"/>
            <w:vAlign w:val="center"/>
          </w:tcPr>
          <w:p w14:paraId="054AF7B4">
            <w:pPr>
              <w:pStyle w:val="18"/>
              <w:jc w:val="center"/>
              <w:rPr>
                <w:rFonts w:hAnsi="宋体"/>
                <w:color w:val="auto"/>
                <w:kern w:val="2"/>
                <w:sz w:val="21"/>
                <w:szCs w:val="21"/>
                <w:lang w:val="en-US" w:eastAsia="zh-CN"/>
              </w:rPr>
            </w:pPr>
            <w:r>
              <w:rPr>
                <w:rFonts w:hint="eastAsia" w:hAnsi="宋体"/>
                <w:color w:val="auto"/>
                <w:kern w:val="2"/>
                <w:sz w:val="21"/>
                <w:szCs w:val="21"/>
                <w:lang w:val="en-US" w:eastAsia="zh-CN"/>
              </w:rPr>
              <w:t>17.1</w:t>
            </w:r>
          </w:p>
        </w:tc>
        <w:tc>
          <w:tcPr>
            <w:tcW w:w="2410" w:type="dxa"/>
            <w:noWrap w:val="0"/>
            <w:vAlign w:val="center"/>
          </w:tcPr>
          <w:p w14:paraId="39A3D67D">
            <w:pPr>
              <w:pStyle w:val="18"/>
              <w:rPr>
                <w:rFonts w:hAnsi="宋体"/>
                <w:color w:val="auto"/>
                <w:kern w:val="2"/>
                <w:sz w:val="21"/>
                <w:szCs w:val="21"/>
                <w:lang w:val="en-US" w:eastAsia="zh-CN"/>
              </w:rPr>
            </w:pPr>
            <w:r>
              <w:rPr>
                <w:rFonts w:hint="eastAsia" w:hAnsi="宋体"/>
                <w:color w:val="auto"/>
                <w:kern w:val="2"/>
                <w:sz w:val="21"/>
                <w:szCs w:val="21"/>
                <w:lang w:val="en-US" w:eastAsia="zh-CN"/>
              </w:rPr>
              <w:t>投标文件有效期</w:t>
            </w:r>
          </w:p>
        </w:tc>
        <w:tc>
          <w:tcPr>
            <w:tcW w:w="6014" w:type="dxa"/>
            <w:noWrap w:val="0"/>
            <w:vAlign w:val="center"/>
          </w:tcPr>
          <w:p w14:paraId="63BC0A0F">
            <w:pPr>
              <w:pStyle w:val="18"/>
              <w:rPr>
                <w:rFonts w:hAnsi="宋体"/>
                <w:color w:val="auto"/>
                <w:kern w:val="2"/>
                <w:sz w:val="21"/>
                <w:szCs w:val="21"/>
                <w:lang w:val="en-US" w:eastAsia="zh-CN"/>
              </w:rPr>
            </w:pPr>
            <w:r>
              <w:rPr>
                <w:rFonts w:hint="eastAsia" w:hAnsi="宋体"/>
                <w:color w:val="auto"/>
                <w:kern w:val="2"/>
                <w:sz w:val="21"/>
                <w:szCs w:val="21"/>
                <w:lang w:val="en-US" w:eastAsia="zh-CN"/>
              </w:rPr>
              <w:t>从提交投标文件截止之日起</w:t>
            </w:r>
            <w:r>
              <w:rPr>
                <w:rFonts w:hint="eastAsia" w:hAnsi="宋体"/>
                <w:color w:val="auto"/>
                <w:kern w:val="2"/>
                <w:sz w:val="21"/>
                <w:szCs w:val="21"/>
                <w:u w:val="single"/>
                <w:lang w:val="en-US" w:eastAsia="zh-CN"/>
              </w:rPr>
              <w:t>90</w:t>
            </w:r>
            <w:r>
              <w:rPr>
                <w:rFonts w:hint="eastAsia" w:hAnsi="宋体"/>
                <w:color w:val="auto"/>
                <w:kern w:val="2"/>
                <w:sz w:val="21"/>
                <w:szCs w:val="21"/>
                <w:lang w:val="en-US" w:eastAsia="zh-CN"/>
              </w:rPr>
              <w:t>日历天</w:t>
            </w:r>
          </w:p>
        </w:tc>
      </w:tr>
      <w:tr w14:paraId="4B9ED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0" w:hRule="atLeast"/>
          <w:jc w:val="center"/>
        </w:trPr>
        <w:tc>
          <w:tcPr>
            <w:tcW w:w="1055" w:type="dxa"/>
            <w:noWrap w:val="0"/>
            <w:vAlign w:val="center"/>
          </w:tcPr>
          <w:p w14:paraId="524A7A9D">
            <w:pPr>
              <w:pStyle w:val="18"/>
              <w:jc w:val="center"/>
              <w:rPr>
                <w:rFonts w:hint="default" w:hAnsi="宋体"/>
                <w:color w:val="auto"/>
                <w:kern w:val="2"/>
                <w:sz w:val="21"/>
                <w:szCs w:val="21"/>
                <w:lang w:val="en-US" w:eastAsia="zh-CN"/>
              </w:rPr>
            </w:pPr>
            <w:r>
              <w:rPr>
                <w:rFonts w:hint="eastAsia" w:hAnsi="宋体"/>
                <w:color w:val="auto"/>
                <w:kern w:val="2"/>
                <w:sz w:val="21"/>
                <w:szCs w:val="21"/>
                <w:lang w:val="en-US" w:eastAsia="zh-CN"/>
              </w:rPr>
              <w:t>19.1</w:t>
            </w:r>
          </w:p>
        </w:tc>
        <w:tc>
          <w:tcPr>
            <w:tcW w:w="2410" w:type="dxa"/>
            <w:noWrap w:val="0"/>
            <w:vAlign w:val="center"/>
          </w:tcPr>
          <w:p w14:paraId="1AFA8AB5">
            <w:pPr>
              <w:pStyle w:val="18"/>
              <w:rPr>
                <w:rFonts w:hAnsi="宋体"/>
                <w:color w:val="auto"/>
                <w:kern w:val="2"/>
                <w:sz w:val="21"/>
                <w:szCs w:val="21"/>
                <w:lang w:val="en-US" w:eastAsia="zh-CN"/>
              </w:rPr>
            </w:pPr>
            <w:r>
              <w:rPr>
                <w:rFonts w:hint="eastAsia" w:hAnsi="宋体"/>
                <w:color w:val="auto"/>
                <w:kern w:val="2"/>
                <w:sz w:val="21"/>
                <w:szCs w:val="21"/>
                <w:lang w:val="en-US" w:eastAsia="zh-CN"/>
              </w:rPr>
              <w:t>投标保证金</w:t>
            </w:r>
          </w:p>
        </w:tc>
        <w:tc>
          <w:tcPr>
            <w:tcW w:w="6014" w:type="dxa"/>
            <w:noWrap w:val="0"/>
            <w:vAlign w:val="center"/>
          </w:tcPr>
          <w:p w14:paraId="5C795EAF">
            <w:pPr>
              <w:widowControl/>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投标保证金递交方式：支票、汇票、本票、保函、网银、转账</w:t>
            </w:r>
          </w:p>
          <w:p w14:paraId="06D306F9">
            <w:pPr>
              <w:widowControl/>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投标保证金：</w:t>
            </w:r>
            <w:r>
              <w:rPr>
                <w:rFonts w:hint="eastAsia" w:ascii="宋体" w:hAnsi="宋体"/>
                <w:color w:val="auto"/>
                <w:kern w:val="0"/>
                <w:szCs w:val="21"/>
                <w:lang w:val="en-US" w:eastAsia="zh-CN"/>
              </w:rPr>
              <w:t>5</w:t>
            </w:r>
            <w:r>
              <w:rPr>
                <w:rFonts w:hint="eastAsia" w:ascii="宋体" w:hAnsi="宋体" w:eastAsia="宋体"/>
                <w:color w:val="auto"/>
                <w:kern w:val="0"/>
                <w:szCs w:val="21"/>
                <w:lang w:val="en-US" w:eastAsia="zh-CN"/>
              </w:rPr>
              <w:t>000.00元（人民币：</w:t>
            </w:r>
            <w:r>
              <w:rPr>
                <w:rFonts w:hint="eastAsia" w:ascii="宋体" w:hAnsi="宋体"/>
                <w:color w:val="auto"/>
                <w:kern w:val="0"/>
                <w:szCs w:val="21"/>
                <w:lang w:val="en-US" w:eastAsia="zh-CN"/>
              </w:rPr>
              <w:t>伍仟</w:t>
            </w:r>
            <w:r>
              <w:rPr>
                <w:rFonts w:hint="eastAsia" w:ascii="宋体" w:hAnsi="宋体" w:eastAsia="宋体"/>
                <w:color w:val="auto"/>
                <w:kern w:val="0"/>
                <w:szCs w:val="21"/>
                <w:lang w:val="en-US" w:eastAsia="zh-CN"/>
              </w:rPr>
              <w:t>元整）</w:t>
            </w:r>
          </w:p>
          <w:p w14:paraId="1151458E">
            <w:pPr>
              <w:widowControl/>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户名：怒江石月亮招标有限公司</w:t>
            </w:r>
          </w:p>
          <w:p w14:paraId="28EFC188">
            <w:pPr>
              <w:widowControl/>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 xml:space="preserve">账号：5305 0175 6141 0000 1267 </w:t>
            </w:r>
          </w:p>
          <w:p w14:paraId="7AE180C9">
            <w:pPr>
              <w:widowControl/>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开户银行：中国建设银行怒江分行营业室</w:t>
            </w:r>
          </w:p>
          <w:p w14:paraId="160D8CA3">
            <w:pPr>
              <w:widowControl/>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联系人：唐师</w:t>
            </w:r>
          </w:p>
          <w:p w14:paraId="0BE6858C">
            <w:pPr>
              <w:widowControl/>
              <w:ind w:firstLine="420" w:firstLineChars="200"/>
              <w:rPr>
                <w:rFonts w:hint="default" w:ascii="宋体" w:hAnsi="宋体" w:eastAsia="宋体"/>
                <w:color w:val="auto"/>
                <w:kern w:val="0"/>
                <w:szCs w:val="21"/>
                <w:lang w:val="en-US" w:eastAsia="zh-CN"/>
              </w:rPr>
            </w:pPr>
            <w:r>
              <w:rPr>
                <w:rFonts w:hint="eastAsia" w:ascii="宋体" w:hAnsi="宋体" w:eastAsia="宋体"/>
                <w:color w:val="auto"/>
                <w:kern w:val="0"/>
                <w:szCs w:val="21"/>
                <w:lang w:val="en-US" w:eastAsia="zh-CN"/>
              </w:rPr>
              <w:t>联系电话：0886-6666648</w:t>
            </w:r>
          </w:p>
          <w:p w14:paraId="17ACB291">
            <w:pPr>
              <w:widowControl/>
              <w:ind w:firstLine="420" w:firstLineChars="200"/>
              <w:rPr>
                <w:rFonts w:hint="eastAsia" w:ascii="宋体" w:hAnsi="宋体" w:eastAsia="宋体"/>
                <w:color w:val="auto"/>
                <w:kern w:val="0"/>
                <w:szCs w:val="21"/>
                <w:lang w:val="en-US" w:eastAsia="zh-CN"/>
              </w:rPr>
            </w:pPr>
            <w:r>
              <w:rPr>
                <w:rFonts w:hint="eastAsia" w:ascii="宋体" w:hAnsi="宋体" w:eastAsia="宋体"/>
                <w:color w:val="auto"/>
                <w:kern w:val="0"/>
                <w:szCs w:val="21"/>
                <w:lang w:val="en-US" w:eastAsia="zh-CN"/>
              </w:rPr>
              <w:t>缴纳投标保证金必须从投标人基本账户转至怒江石月亮招标有限公司；</w:t>
            </w:r>
          </w:p>
          <w:p w14:paraId="14300F1B">
            <w:pPr>
              <w:widowControl/>
              <w:ind w:firstLine="420" w:firstLineChars="200"/>
              <w:rPr>
                <w:rFonts w:hint="eastAsia" w:ascii="宋体" w:hAnsi="宋体"/>
                <w:color w:val="auto"/>
                <w:kern w:val="0"/>
                <w:szCs w:val="21"/>
              </w:rPr>
            </w:pPr>
            <w:r>
              <w:rPr>
                <w:rFonts w:hint="eastAsia" w:ascii="宋体" w:hAnsi="宋体" w:eastAsia="宋体"/>
                <w:color w:val="auto"/>
                <w:kern w:val="0"/>
                <w:szCs w:val="21"/>
                <w:lang w:val="en-US" w:eastAsia="zh-CN"/>
              </w:rPr>
              <w:t>转账凭证上备注栏内必须注明项目名称、企业名称，若分标段报价的，还必须注明所报价段名称</w:t>
            </w:r>
            <w:r>
              <w:rPr>
                <w:rFonts w:hint="eastAsia" w:ascii="宋体" w:hAnsi="宋体"/>
                <w:color w:val="auto"/>
                <w:kern w:val="0"/>
                <w:szCs w:val="21"/>
                <w:lang w:val="en-US" w:eastAsia="zh-CN"/>
              </w:rPr>
              <w:t>。</w:t>
            </w:r>
          </w:p>
        </w:tc>
      </w:tr>
      <w:tr w14:paraId="09F2C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055" w:type="dxa"/>
            <w:noWrap w:val="0"/>
            <w:vAlign w:val="center"/>
          </w:tcPr>
          <w:p w14:paraId="19527EAE">
            <w:pPr>
              <w:pStyle w:val="18"/>
              <w:jc w:val="center"/>
              <w:rPr>
                <w:rFonts w:hAnsi="宋体"/>
                <w:color w:val="auto"/>
                <w:kern w:val="2"/>
                <w:sz w:val="21"/>
                <w:szCs w:val="21"/>
                <w:lang w:val="en-US" w:eastAsia="zh-CN"/>
              </w:rPr>
            </w:pPr>
            <w:r>
              <w:rPr>
                <w:rFonts w:hint="eastAsia" w:hAnsi="宋体"/>
                <w:color w:val="auto"/>
                <w:kern w:val="2"/>
                <w:sz w:val="21"/>
                <w:szCs w:val="21"/>
                <w:lang w:val="en-US" w:eastAsia="zh-CN"/>
              </w:rPr>
              <w:t>21.1</w:t>
            </w:r>
          </w:p>
        </w:tc>
        <w:tc>
          <w:tcPr>
            <w:tcW w:w="2410" w:type="dxa"/>
            <w:noWrap w:val="0"/>
            <w:vAlign w:val="center"/>
          </w:tcPr>
          <w:p w14:paraId="6620783B">
            <w:pPr>
              <w:pStyle w:val="18"/>
              <w:rPr>
                <w:rFonts w:hAnsi="宋体"/>
                <w:color w:val="auto"/>
                <w:kern w:val="2"/>
                <w:sz w:val="21"/>
                <w:szCs w:val="21"/>
                <w:lang w:val="en-US" w:eastAsia="zh-CN"/>
              </w:rPr>
            </w:pPr>
            <w:r>
              <w:rPr>
                <w:rFonts w:hint="eastAsia" w:hAnsi="宋体"/>
                <w:color w:val="auto"/>
                <w:kern w:val="2"/>
                <w:sz w:val="21"/>
                <w:szCs w:val="21"/>
                <w:lang w:val="en-US" w:eastAsia="zh-CN"/>
              </w:rPr>
              <w:t>提交投标文件截止时间</w:t>
            </w:r>
          </w:p>
        </w:tc>
        <w:tc>
          <w:tcPr>
            <w:tcW w:w="6014" w:type="dxa"/>
            <w:noWrap w:val="0"/>
            <w:vAlign w:val="center"/>
          </w:tcPr>
          <w:p w14:paraId="5C315094">
            <w:pPr>
              <w:pStyle w:val="18"/>
              <w:rPr>
                <w:rFonts w:hAnsi="宋体"/>
                <w:color w:val="auto"/>
                <w:kern w:val="2"/>
                <w:sz w:val="21"/>
                <w:szCs w:val="21"/>
                <w:lang w:val="en-US" w:eastAsia="zh-CN"/>
              </w:rPr>
            </w:pPr>
            <w:r>
              <w:rPr>
                <w:rFonts w:hint="eastAsia" w:hAnsi="宋体"/>
                <w:color w:val="auto"/>
                <w:kern w:val="2"/>
                <w:sz w:val="21"/>
                <w:szCs w:val="21"/>
                <w:lang w:val="en-US" w:eastAsia="zh-CN"/>
              </w:rPr>
              <w:t>时间：</w:t>
            </w:r>
            <w:r>
              <w:rPr>
                <w:rFonts w:hAnsi="宋体" w:cs="宋体"/>
                <w:color w:val="auto"/>
                <w:sz w:val="21"/>
                <w:szCs w:val="21"/>
                <w:u w:val="single"/>
                <w:lang w:val="en-US" w:eastAsia="zh-CN"/>
              </w:rPr>
              <w:t>20</w:t>
            </w:r>
            <w:r>
              <w:rPr>
                <w:rFonts w:hint="eastAsia" w:hAnsi="宋体" w:cs="宋体"/>
                <w:color w:val="auto"/>
                <w:sz w:val="21"/>
                <w:szCs w:val="21"/>
                <w:u w:val="single"/>
                <w:lang w:val="en-US" w:eastAsia="zh-CN"/>
              </w:rPr>
              <w:t>26</w:t>
            </w:r>
            <w:r>
              <w:rPr>
                <w:rFonts w:hint="eastAsia" w:hAnsi="宋体" w:cs="宋体"/>
                <w:color w:val="auto"/>
                <w:sz w:val="21"/>
                <w:szCs w:val="21"/>
                <w:lang w:val="en-US" w:eastAsia="zh-CN"/>
              </w:rPr>
              <w:t>年</w:t>
            </w:r>
            <w:r>
              <w:rPr>
                <w:rFonts w:hint="eastAsia" w:hAnsi="宋体" w:cs="宋体"/>
                <w:color w:val="auto"/>
                <w:sz w:val="21"/>
                <w:szCs w:val="21"/>
                <w:u w:val="single"/>
                <w:lang w:val="en-US" w:eastAsia="zh-CN"/>
              </w:rPr>
              <w:t>7</w:t>
            </w:r>
            <w:r>
              <w:rPr>
                <w:rFonts w:hint="eastAsia" w:hAnsi="宋体" w:cs="宋体"/>
                <w:color w:val="auto"/>
                <w:sz w:val="21"/>
                <w:szCs w:val="21"/>
                <w:lang w:val="en-US" w:eastAsia="zh-CN"/>
              </w:rPr>
              <w:t>月</w:t>
            </w:r>
            <w:r>
              <w:rPr>
                <w:rFonts w:hint="eastAsia" w:hAnsi="宋体" w:cs="宋体"/>
                <w:color w:val="auto"/>
                <w:sz w:val="21"/>
                <w:szCs w:val="21"/>
                <w:u w:val="single"/>
                <w:lang w:val="en-US" w:eastAsia="zh-CN"/>
              </w:rPr>
              <w:t>7</w:t>
            </w:r>
            <w:r>
              <w:rPr>
                <w:rFonts w:hint="eastAsia" w:hAnsi="宋体" w:cs="宋体"/>
                <w:color w:val="auto"/>
                <w:sz w:val="21"/>
                <w:szCs w:val="21"/>
                <w:lang w:val="en-US" w:eastAsia="zh-CN"/>
              </w:rPr>
              <w:t>日</w:t>
            </w:r>
            <w:r>
              <w:rPr>
                <w:rFonts w:hint="eastAsia" w:ascii="Times New Roman"/>
                <w:color w:val="auto"/>
                <w:kern w:val="2"/>
                <w:sz w:val="21"/>
                <w:szCs w:val="24"/>
                <w:lang w:val="en-US" w:eastAsia="zh-CN"/>
              </w:rPr>
              <w:t>上午09时 00 分</w:t>
            </w:r>
            <w:r>
              <w:rPr>
                <w:rFonts w:hint="eastAsia" w:hAnsi="宋体"/>
                <w:color w:val="auto"/>
                <w:kern w:val="2"/>
                <w:sz w:val="21"/>
                <w:szCs w:val="21"/>
                <w:lang w:val="en-US" w:eastAsia="zh-CN"/>
              </w:rPr>
              <w:t>（北京时间）；</w:t>
            </w:r>
          </w:p>
        </w:tc>
      </w:tr>
      <w:tr w14:paraId="0060A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055" w:type="dxa"/>
            <w:noWrap w:val="0"/>
            <w:vAlign w:val="center"/>
          </w:tcPr>
          <w:p w14:paraId="431CF56A">
            <w:pPr>
              <w:pStyle w:val="18"/>
              <w:jc w:val="center"/>
              <w:rPr>
                <w:rFonts w:hAnsi="宋体"/>
                <w:color w:val="auto"/>
                <w:kern w:val="2"/>
                <w:sz w:val="21"/>
                <w:szCs w:val="21"/>
                <w:lang w:val="en-US" w:eastAsia="zh-CN"/>
              </w:rPr>
            </w:pPr>
            <w:r>
              <w:rPr>
                <w:rFonts w:hint="eastAsia" w:hAnsi="宋体"/>
                <w:color w:val="auto"/>
                <w:kern w:val="2"/>
                <w:sz w:val="21"/>
                <w:szCs w:val="21"/>
                <w:lang w:val="en-US" w:eastAsia="zh-CN"/>
              </w:rPr>
              <w:t>21.2</w:t>
            </w:r>
          </w:p>
        </w:tc>
        <w:tc>
          <w:tcPr>
            <w:tcW w:w="2410" w:type="dxa"/>
            <w:noWrap w:val="0"/>
            <w:vAlign w:val="center"/>
          </w:tcPr>
          <w:p w14:paraId="2AAFE322">
            <w:pPr>
              <w:pStyle w:val="18"/>
              <w:rPr>
                <w:rFonts w:hAnsi="宋体"/>
                <w:color w:val="auto"/>
                <w:kern w:val="2"/>
                <w:sz w:val="21"/>
                <w:szCs w:val="21"/>
                <w:lang w:val="en-US" w:eastAsia="zh-CN"/>
              </w:rPr>
            </w:pPr>
            <w:r>
              <w:rPr>
                <w:rFonts w:hint="eastAsia" w:hAnsi="宋体"/>
                <w:color w:val="auto"/>
                <w:kern w:val="2"/>
                <w:sz w:val="21"/>
                <w:szCs w:val="21"/>
                <w:lang w:val="en-US" w:eastAsia="zh-CN"/>
              </w:rPr>
              <w:t>提交投标文件地点</w:t>
            </w:r>
          </w:p>
        </w:tc>
        <w:tc>
          <w:tcPr>
            <w:tcW w:w="6014" w:type="dxa"/>
            <w:noWrap w:val="0"/>
            <w:vAlign w:val="center"/>
          </w:tcPr>
          <w:p w14:paraId="51234A83">
            <w:pPr>
              <w:pStyle w:val="18"/>
              <w:rPr>
                <w:rFonts w:hAnsi="宋体"/>
                <w:color w:val="auto"/>
                <w:kern w:val="2"/>
                <w:sz w:val="21"/>
                <w:szCs w:val="21"/>
                <w:lang w:val="en-US" w:eastAsia="zh-CN"/>
              </w:rPr>
            </w:pPr>
            <w:r>
              <w:rPr>
                <w:rFonts w:hint="eastAsia" w:hAnsi="宋体"/>
                <w:color w:val="auto"/>
                <w:kern w:val="2"/>
                <w:sz w:val="21"/>
                <w:szCs w:val="21"/>
                <w:lang w:val="en-US" w:eastAsia="zh-CN"/>
              </w:rPr>
              <w:t>地点：</w:t>
            </w:r>
            <w:r>
              <w:rPr>
                <w:rFonts w:hint="eastAsia" w:hAnsi="宋体"/>
                <w:bCs/>
                <w:color w:val="auto"/>
                <w:kern w:val="2"/>
                <w:sz w:val="21"/>
                <w:szCs w:val="21"/>
                <w:u w:val="single"/>
                <w:lang w:val="en-US" w:eastAsia="zh-CN"/>
              </w:rPr>
              <w:t>怒江石月亮招标有限公司（怒江明珠5期4栋商铺S03）</w:t>
            </w:r>
            <w:r>
              <w:rPr>
                <w:rFonts w:hint="eastAsia" w:hAnsi="宋体"/>
                <w:color w:val="auto"/>
                <w:kern w:val="2"/>
                <w:sz w:val="21"/>
                <w:szCs w:val="21"/>
                <w:lang w:val="en-US" w:eastAsia="zh-CN"/>
              </w:rPr>
              <w:t>。</w:t>
            </w:r>
          </w:p>
        </w:tc>
      </w:tr>
      <w:tr w14:paraId="1825C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055" w:type="dxa"/>
            <w:noWrap w:val="0"/>
            <w:vAlign w:val="center"/>
          </w:tcPr>
          <w:p w14:paraId="50F6994B">
            <w:pPr>
              <w:pStyle w:val="18"/>
              <w:jc w:val="center"/>
              <w:rPr>
                <w:rFonts w:hAnsi="宋体"/>
                <w:color w:val="auto"/>
                <w:kern w:val="2"/>
                <w:sz w:val="21"/>
                <w:szCs w:val="21"/>
                <w:lang w:val="en-US" w:eastAsia="zh-CN"/>
              </w:rPr>
            </w:pPr>
            <w:r>
              <w:rPr>
                <w:rFonts w:hint="eastAsia" w:hAnsi="宋体"/>
                <w:color w:val="auto"/>
                <w:kern w:val="2"/>
                <w:sz w:val="21"/>
                <w:szCs w:val="21"/>
                <w:lang w:val="en-US" w:eastAsia="zh-CN"/>
              </w:rPr>
              <w:t>21.3</w:t>
            </w:r>
          </w:p>
        </w:tc>
        <w:tc>
          <w:tcPr>
            <w:tcW w:w="2410" w:type="dxa"/>
            <w:noWrap w:val="0"/>
            <w:vAlign w:val="center"/>
          </w:tcPr>
          <w:p w14:paraId="1A437024">
            <w:pPr>
              <w:pStyle w:val="18"/>
              <w:rPr>
                <w:rFonts w:hAnsi="宋体"/>
                <w:color w:val="auto"/>
                <w:kern w:val="2"/>
                <w:sz w:val="21"/>
                <w:szCs w:val="21"/>
                <w:lang w:val="en-US" w:eastAsia="zh-CN"/>
              </w:rPr>
            </w:pPr>
            <w:r>
              <w:rPr>
                <w:rFonts w:hint="eastAsia" w:hAnsi="宋体"/>
                <w:color w:val="auto"/>
                <w:kern w:val="2"/>
                <w:sz w:val="21"/>
                <w:szCs w:val="21"/>
                <w:lang w:val="en-US" w:eastAsia="zh-CN"/>
              </w:rPr>
              <w:t>投标文件的退还</w:t>
            </w:r>
          </w:p>
        </w:tc>
        <w:tc>
          <w:tcPr>
            <w:tcW w:w="6014" w:type="dxa"/>
            <w:noWrap w:val="0"/>
            <w:vAlign w:val="center"/>
          </w:tcPr>
          <w:p w14:paraId="22B9FD36">
            <w:pPr>
              <w:pStyle w:val="18"/>
              <w:rPr>
                <w:rFonts w:hAnsi="宋体"/>
                <w:color w:val="auto"/>
                <w:kern w:val="2"/>
                <w:sz w:val="21"/>
                <w:szCs w:val="21"/>
                <w:lang w:val="en-US" w:eastAsia="zh-CN"/>
              </w:rPr>
            </w:pPr>
            <w:r>
              <w:rPr>
                <w:rFonts w:hint="eastAsia" w:hAnsi="宋体"/>
                <w:color w:val="auto"/>
                <w:kern w:val="2"/>
                <w:sz w:val="21"/>
                <w:szCs w:val="21"/>
                <w:u w:val="single"/>
                <w:lang w:val="en-US" w:eastAsia="zh-CN"/>
              </w:rPr>
              <w:t>■</w:t>
            </w:r>
            <w:r>
              <w:rPr>
                <w:rFonts w:hint="eastAsia" w:hAnsi="宋体"/>
                <w:color w:val="auto"/>
                <w:kern w:val="2"/>
                <w:sz w:val="21"/>
                <w:szCs w:val="21"/>
                <w:lang w:val="en-US" w:eastAsia="zh-CN"/>
              </w:rPr>
              <w:t>不予退还   □退还</w:t>
            </w:r>
          </w:p>
        </w:tc>
      </w:tr>
      <w:tr w14:paraId="38EDB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jc w:val="center"/>
        </w:trPr>
        <w:tc>
          <w:tcPr>
            <w:tcW w:w="1055" w:type="dxa"/>
            <w:noWrap w:val="0"/>
            <w:vAlign w:val="center"/>
          </w:tcPr>
          <w:p w14:paraId="7120A365">
            <w:pPr>
              <w:pStyle w:val="18"/>
              <w:jc w:val="center"/>
              <w:rPr>
                <w:rFonts w:hAnsi="宋体"/>
                <w:color w:val="auto"/>
                <w:kern w:val="2"/>
                <w:sz w:val="21"/>
                <w:szCs w:val="21"/>
                <w:lang w:val="en-US" w:eastAsia="zh-CN"/>
              </w:rPr>
            </w:pPr>
            <w:r>
              <w:rPr>
                <w:rFonts w:hint="eastAsia" w:hAnsi="宋体"/>
                <w:color w:val="auto"/>
                <w:kern w:val="2"/>
                <w:sz w:val="21"/>
                <w:szCs w:val="21"/>
                <w:lang w:val="en-US" w:eastAsia="zh-CN"/>
              </w:rPr>
              <w:t>22.1</w:t>
            </w:r>
          </w:p>
        </w:tc>
        <w:tc>
          <w:tcPr>
            <w:tcW w:w="2410" w:type="dxa"/>
            <w:noWrap w:val="0"/>
            <w:vAlign w:val="center"/>
          </w:tcPr>
          <w:p w14:paraId="58BF04CA">
            <w:pPr>
              <w:pStyle w:val="18"/>
              <w:rPr>
                <w:rFonts w:hAnsi="宋体"/>
                <w:color w:val="auto"/>
                <w:kern w:val="2"/>
                <w:sz w:val="21"/>
                <w:szCs w:val="21"/>
                <w:lang w:val="en-US" w:eastAsia="zh-CN"/>
              </w:rPr>
            </w:pPr>
            <w:r>
              <w:rPr>
                <w:rFonts w:hint="eastAsia" w:hAnsi="宋体"/>
                <w:color w:val="auto"/>
                <w:kern w:val="2"/>
                <w:sz w:val="21"/>
                <w:szCs w:val="21"/>
                <w:lang w:val="en-US" w:eastAsia="zh-CN"/>
              </w:rPr>
              <w:t>开标时间和地点</w:t>
            </w:r>
          </w:p>
        </w:tc>
        <w:tc>
          <w:tcPr>
            <w:tcW w:w="6014" w:type="dxa"/>
            <w:noWrap w:val="0"/>
            <w:vAlign w:val="center"/>
          </w:tcPr>
          <w:p w14:paraId="6D71A1D0">
            <w:pPr>
              <w:pStyle w:val="18"/>
              <w:rPr>
                <w:rFonts w:hAnsi="宋体"/>
                <w:color w:val="auto"/>
                <w:kern w:val="2"/>
                <w:sz w:val="21"/>
                <w:szCs w:val="21"/>
                <w:lang w:val="en-US" w:eastAsia="zh-CN"/>
              </w:rPr>
            </w:pPr>
            <w:r>
              <w:rPr>
                <w:rFonts w:hint="eastAsia" w:hAnsi="宋体"/>
                <w:color w:val="auto"/>
                <w:kern w:val="2"/>
                <w:sz w:val="21"/>
                <w:szCs w:val="21"/>
                <w:lang w:val="en-US" w:eastAsia="zh-CN"/>
              </w:rPr>
              <w:t>开标时间：</w:t>
            </w:r>
            <w:r>
              <w:rPr>
                <w:rFonts w:hAnsi="宋体" w:cs="宋体"/>
                <w:color w:val="auto"/>
                <w:sz w:val="21"/>
                <w:szCs w:val="21"/>
                <w:u w:val="single"/>
                <w:lang w:val="en-US" w:eastAsia="zh-CN"/>
              </w:rPr>
              <w:t>20</w:t>
            </w:r>
            <w:r>
              <w:rPr>
                <w:rFonts w:hint="eastAsia" w:hAnsi="宋体" w:cs="宋体"/>
                <w:color w:val="auto"/>
                <w:sz w:val="21"/>
                <w:szCs w:val="21"/>
                <w:u w:val="single"/>
                <w:lang w:val="en-US" w:eastAsia="zh-CN"/>
              </w:rPr>
              <w:t>26</w:t>
            </w:r>
            <w:r>
              <w:rPr>
                <w:rFonts w:hint="eastAsia" w:hAnsi="宋体" w:cs="宋体"/>
                <w:color w:val="auto"/>
                <w:sz w:val="21"/>
                <w:szCs w:val="21"/>
                <w:lang w:val="en-US" w:eastAsia="zh-CN"/>
              </w:rPr>
              <w:t>年</w:t>
            </w:r>
            <w:r>
              <w:rPr>
                <w:rFonts w:hint="eastAsia" w:hAnsi="宋体" w:cs="宋体"/>
                <w:color w:val="auto"/>
                <w:sz w:val="21"/>
                <w:szCs w:val="21"/>
                <w:u w:val="single"/>
                <w:lang w:val="en-US" w:eastAsia="zh-CN"/>
              </w:rPr>
              <w:t>7</w:t>
            </w:r>
            <w:r>
              <w:rPr>
                <w:rFonts w:hint="eastAsia" w:hAnsi="宋体" w:cs="宋体"/>
                <w:color w:val="auto"/>
                <w:sz w:val="21"/>
                <w:szCs w:val="21"/>
                <w:lang w:val="en-US" w:eastAsia="zh-CN"/>
              </w:rPr>
              <w:t>月</w:t>
            </w:r>
            <w:r>
              <w:rPr>
                <w:rFonts w:hint="eastAsia" w:hAnsi="宋体" w:cs="宋体"/>
                <w:color w:val="auto"/>
                <w:sz w:val="21"/>
                <w:szCs w:val="21"/>
                <w:u w:val="single"/>
                <w:lang w:val="en-US" w:eastAsia="zh-CN"/>
              </w:rPr>
              <w:t>7</w:t>
            </w:r>
            <w:bookmarkStart w:id="135" w:name="_GoBack"/>
            <w:bookmarkEnd w:id="135"/>
            <w:r>
              <w:rPr>
                <w:rFonts w:hint="eastAsia" w:hAnsi="宋体" w:cs="宋体"/>
                <w:color w:val="auto"/>
                <w:sz w:val="21"/>
                <w:szCs w:val="21"/>
                <w:lang w:val="en-US" w:eastAsia="zh-CN"/>
              </w:rPr>
              <w:t>日</w:t>
            </w:r>
            <w:r>
              <w:rPr>
                <w:rFonts w:hint="eastAsia" w:ascii="Times New Roman"/>
                <w:color w:val="auto"/>
                <w:kern w:val="2"/>
                <w:sz w:val="21"/>
                <w:szCs w:val="24"/>
                <w:lang w:val="en-US" w:eastAsia="zh-CN"/>
              </w:rPr>
              <w:t>上午09时 00 分</w:t>
            </w:r>
            <w:r>
              <w:rPr>
                <w:rFonts w:hint="eastAsia" w:hAnsi="宋体"/>
                <w:color w:val="auto"/>
                <w:kern w:val="2"/>
                <w:sz w:val="21"/>
                <w:szCs w:val="21"/>
                <w:lang w:val="en-US" w:eastAsia="zh-CN"/>
              </w:rPr>
              <w:t>（北京时间）；</w:t>
            </w:r>
          </w:p>
          <w:p w14:paraId="7BE1B309">
            <w:pPr>
              <w:pStyle w:val="18"/>
              <w:ind w:left="1050" w:hanging="1050" w:hangingChars="500"/>
              <w:rPr>
                <w:rFonts w:hAnsi="宋体"/>
                <w:color w:val="auto"/>
                <w:kern w:val="2"/>
                <w:sz w:val="21"/>
                <w:szCs w:val="21"/>
                <w:u w:val="single"/>
                <w:lang w:val="en-US" w:eastAsia="zh-CN"/>
              </w:rPr>
            </w:pPr>
            <w:r>
              <w:rPr>
                <w:rFonts w:hint="eastAsia" w:hAnsi="宋体"/>
                <w:color w:val="auto"/>
                <w:kern w:val="2"/>
                <w:sz w:val="21"/>
                <w:szCs w:val="21"/>
                <w:lang w:val="en-US" w:eastAsia="zh-CN"/>
              </w:rPr>
              <w:t>开标地点：</w:t>
            </w:r>
            <w:r>
              <w:rPr>
                <w:rFonts w:hint="eastAsia" w:hAnsi="宋体"/>
                <w:bCs/>
                <w:color w:val="auto"/>
                <w:kern w:val="2"/>
                <w:sz w:val="21"/>
                <w:szCs w:val="21"/>
                <w:u w:val="single"/>
                <w:lang w:val="en-US" w:eastAsia="zh-CN"/>
              </w:rPr>
              <w:t>怒江石月亮招标有限公司（怒江明珠5期4栋商铺S03）</w:t>
            </w:r>
          </w:p>
        </w:tc>
      </w:tr>
      <w:tr w14:paraId="04F6F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1055" w:type="dxa"/>
            <w:noWrap w:val="0"/>
            <w:vAlign w:val="center"/>
          </w:tcPr>
          <w:p w14:paraId="7A5B268F">
            <w:pPr>
              <w:pStyle w:val="18"/>
              <w:jc w:val="center"/>
              <w:rPr>
                <w:rFonts w:hAnsi="宋体"/>
                <w:color w:val="auto"/>
                <w:kern w:val="2"/>
                <w:sz w:val="21"/>
                <w:szCs w:val="21"/>
                <w:lang w:val="en-US" w:eastAsia="zh-CN"/>
              </w:rPr>
            </w:pPr>
            <w:r>
              <w:rPr>
                <w:rFonts w:hint="eastAsia" w:hAnsi="宋体"/>
                <w:color w:val="auto"/>
                <w:kern w:val="2"/>
                <w:sz w:val="21"/>
                <w:szCs w:val="21"/>
                <w:lang w:val="en-US" w:eastAsia="zh-CN"/>
              </w:rPr>
              <w:t>23.3</w:t>
            </w:r>
          </w:p>
        </w:tc>
        <w:tc>
          <w:tcPr>
            <w:tcW w:w="2410" w:type="dxa"/>
            <w:noWrap w:val="0"/>
            <w:vAlign w:val="center"/>
          </w:tcPr>
          <w:p w14:paraId="499CFD1B">
            <w:pPr>
              <w:pStyle w:val="18"/>
              <w:rPr>
                <w:rFonts w:hAnsi="宋体"/>
                <w:color w:val="auto"/>
                <w:kern w:val="2"/>
                <w:sz w:val="21"/>
                <w:szCs w:val="21"/>
                <w:lang w:val="en-US" w:eastAsia="zh-CN"/>
              </w:rPr>
            </w:pPr>
            <w:r>
              <w:rPr>
                <w:rFonts w:hint="eastAsia" w:hAnsi="宋体"/>
                <w:color w:val="auto"/>
                <w:kern w:val="2"/>
                <w:sz w:val="21"/>
                <w:szCs w:val="21"/>
                <w:lang w:val="en-US" w:eastAsia="zh-CN"/>
              </w:rPr>
              <w:t>评标方法</w:t>
            </w:r>
          </w:p>
        </w:tc>
        <w:tc>
          <w:tcPr>
            <w:tcW w:w="6014" w:type="dxa"/>
            <w:noWrap w:val="0"/>
            <w:vAlign w:val="center"/>
          </w:tcPr>
          <w:p w14:paraId="551BCCE3">
            <w:pPr>
              <w:rPr>
                <w:rFonts w:ascii="宋体" w:hAnsi="宋体"/>
                <w:color w:val="auto"/>
                <w:szCs w:val="21"/>
              </w:rPr>
            </w:pPr>
            <w:r>
              <w:rPr>
                <w:rFonts w:hint="eastAsia" w:ascii="宋体" w:hAnsi="宋体"/>
                <w:color w:val="auto"/>
                <w:szCs w:val="21"/>
              </w:rPr>
              <w:t>□最低评标价法</w:t>
            </w:r>
          </w:p>
          <w:p w14:paraId="72736D94">
            <w:pPr>
              <w:rPr>
                <w:rFonts w:ascii="宋体" w:hAnsi="宋体"/>
                <w:color w:val="auto"/>
                <w:szCs w:val="21"/>
              </w:rPr>
            </w:pPr>
            <w:r>
              <w:rPr>
                <w:rFonts w:hint="eastAsia" w:ascii="宋体" w:hAnsi="宋体"/>
                <w:color w:val="auto"/>
                <w:szCs w:val="21"/>
                <w:u w:val="single"/>
              </w:rPr>
              <w:t>■</w:t>
            </w:r>
            <w:r>
              <w:rPr>
                <w:rFonts w:hint="eastAsia" w:ascii="宋体" w:hAnsi="宋体"/>
                <w:color w:val="auto"/>
                <w:szCs w:val="21"/>
              </w:rPr>
              <w:t>综合评分法</w:t>
            </w:r>
          </w:p>
          <w:p w14:paraId="3876236C">
            <w:pPr>
              <w:rPr>
                <w:rFonts w:ascii="宋体" w:hAnsi="宋体"/>
                <w:color w:val="auto"/>
                <w:szCs w:val="21"/>
              </w:rPr>
            </w:pPr>
            <w:r>
              <w:rPr>
                <w:rFonts w:hint="eastAsia" w:ascii="宋体" w:hAnsi="宋体"/>
                <w:color w:val="auto"/>
                <w:szCs w:val="21"/>
              </w:rPr>
              <w:t>□性价比法</w:t>
            </w:r>
          </w:p>
        </w:tc>
      </w:tr>
      <w:tr w14:paraId="78CB0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1055" w:type="dxa"/>
            <w:noWrap w:val="0"/>
            <w:vAlign w:val="center"/>
          </w:tcPr>
          <w:p w14:paraId="3DD2375C">
            <w:pPr>
              <w:pStyle w:val="18"/>
              <w:jc w:val="center"/>
              <w:rPr>
                <w:rFonts w:hAnsi="宋体"/>
                <w:color w:val="auto"/>
                <w:kern w:val="2"/>
                <w:sz w:val="21"/>
                <w:szCs w:val="21"/>
                <w:lang w:val="en-US" w:eastAsia="zh-CN"/>
              </w:rPr>
            </w:pPr>
            <w:r>
              <w:rPr>
                <w:rFonts w:hint="eastAsia" w:hAnsi="宋体"/>
                <w:color w:val="auto"/>
                <w:kern w:val="2"/>
                <w:sz w:val="21"/>
                <w:szCs w:val="21"/>
                <w:lang w:val="en-US" w:eastAsia="zh-CN"/>
              </w:rPr>
              <w:t>29.1</w:t>
            </w:r>
          </w:p>
        </w:tc>
        <w:tc>
          <w:tcPr>
            <w:tcW w:w="2410" w:type="dxa"/>
            <w:noWrap w:val="0"/>
            <w:vAlign w:val="center"/>
          </w:tcPr>
          <w:p w14:paraId="42FE8F0D">
            <w:pPr>
              <w:pStyle w:val="18"/>
              <w:rPr>
                <w:rFonts w:hAnsi="宋体"/>
                <w:color w:val="auto"/>
                <w:kern w:val="2"/>
                <w:sz w:val="21"/>
                <w:szCs w:val="21"/>
                <w:lang w:val="en-US" w:eastAsia="zh-CN"/>
              </w:rPr>
            </w:pPr>
            <w:r>
              <w:rPr>
                <w:rFonts w:hint="eastAsia" w:hAnsi="宋体"/>
                <w:color w:val="auto"/>
                <w:kern w:val="2"/>
                <w:sz w:val="21"/>
                <w:szCs w:val="21"/>
                <w:lang w:val="en-US" w:eastAsia="zh-CN"/>
              </w:rPr>
              <w:t xml:space="preserve">采购代理服务费 </w:t>
            </w:r>
          </w:p>
        </w:tc>
        <w:tc>
          <w:tcPr>
            <w:tcW w:w="6014" w:type="dxa"/>
            <w:noWrap w:val="0"/>
            <w:vAlign w:val="center"/>
          </w:tcPr>
          <w:p w14:paraId="64C041F3">
            <w:pPr>
              <w:rPr>
                <w:rFonts w:hAnsi="宋体"/>
                <w:color w:val="auto"/>
                <w:szCs w:val="21"/>
              </w:rPr>
            </w:pPr>
            <w:r>
              <w:rPr>
                <w:rFonts w:hint="eastAsia" w:ascii="宋体" w:hAnsi="宋体" w:cs="宋体"/>
                <w:kern w:val="0"/>
                <w:szCs w:val="21"/>
              </w:rPr>
              <w:t>采购代理机构</w:t>
            </w:r>
            <w:r>
              <w:rPr>
                <w:rFonts w:hint="eastAsia" w:ascii="宋体" w:hAnsi="宋体" w:cs="宋体"/>
                <w:kern w:val="0"/>
                <w:szCs w:val="21"/>
                <w:lang w:val="en-US" w:eastAsia="zh-CN"/>
              </w:rPr>
              <w:t>根据关于印发《云南省建设工程招标代理服务收费参考意见》的通知云建招协〔2024〕58号</w:t>
            </w:r>
            <w:r>
              <w:rPr>
                <w:rFonts w:hint="eastAsia" w:ascii="宋体" w:hAnsi="宋体" w:cs="宋体"/>
                <w:kern w:val="0"/>
                <w:szCs w:val="21"/>
                <w:lang w:val="zh-CN" w:eastAsia="zh-CN"/>
              </w:rPr>
              <w:t>，由中标单位承担</w:t>
            </w:r>
            <w:r>
              <w:rPr>
                <w:rFonts w:hint="eastAsia" w:ascii="宋体" w:hAnsi="宋体" w:cs="宋体"/>
                <w:kern w:val="0"/>
                <w:szCs w:val="21"/>
              </w:rPr>
              <w:t>。</w:t>
            </w:r>
            <w:r>
              <w:rPr>
                <w:rFonts w:hint="eastAsia" w:ascii="宋体" w:hAnsi="宋体" w:eastAsia="宋体"/>
                <w:b/>
                <w:bCs/>
                <w:color w:val="auto"/>
                <w:kern w:val="2"/>
                <w:sz w:val="21"/>
                <w:szCs w:val="21"/>
                <w:lang w:val="zh-CN" w:eastAsia="zh-CN"/>
              </w:rPr>
              <w:t>（</w:t>
            </w:r>
            <w:r>
              <w:rPr>
                <w:rFonts w:hint="eastAsia" w:ascii="宋体" w:hAnsi="宋体" w:eastAsia="宋体"/>
                <w:b/>
                <w:bCs/>
                <w:color w:val="auto"/>
                <w:kern w:val="2"/>
                <w:sz w:val="21"/>
                <w:szCs w:val="21"/>
                <w:lang w:val="en-US" w:eastAsia="zh-CN"/>
              </w:rPr>
              <w:t>本项目成交服务费按项目成交金额的 1.5% 收取，由成交供应商承担</w:t>
            </w:r>
            <w:r>
              <w:rPr>
                <w:rFonts w:hint="eastAsia" w:ascii="宋体" w:hAnsi="宋体" w:eastAsia="宋体"/>
                <w:b/>
                <w:bCs/>
                <w:color w:val="auto"/>
                <w:kern w:val="2"/>
                <w:sz w:val="21"/>
                <w:szCs w:val="21"/>
                <w:lang w:val="zh-CN" w:eastAsia="zh-CN"/>
              </w:rPr>
              <w:t>）</w:t>
            </w:r>
          </w:p>
        </w:tc>
      </w:tr>
      <w:tr w14:paraId="169FC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055" w:type="dxa"/>
            <w:noWrap w:val="0"/>
            <w:vAlign w:val="center"/>
          </w:tcPr>
          <w:p w14:paraId="7B709169">
            <w:pPr>
              <w:pStyle w:val="18"/>
              <w:jc w:val="center"/>
              <w:rPr>
                <w:rFonts w:hAnsi="宋体"/>
                <w:color w:val="auto"/>
                <w:kern w:val="2"/>
                <w:sz w:val="21"/>
                <w:szCs w:val="21"/>
                <w:lang w:val="en-US" w:eastAsia="zh-CN"/>
              </w:rPr>
            </w:pPr>
            <w:r>
              <w:rPr>
                <w:rFonts w:hint="eastAsia" w:hAnsi="宋体"/>
                <w:color w:val="auto"/>
                <w:kern w:val="2"/>
                <w:sz w:val="21"/>
                <w:szCs w:val="21"/>
                <w:lang w:val="en-US" w:eastAsia="zh-CN"/>
              </w:rPr>
              <w:t>31.1</w:t>
            </w:r>
          </w:p>
        </w:tc>
        <w:tc>
          <w:tcPr>
            <w:tcW w:w="2410" w:type="dxa"/>
            <w:noWrap w:val="0"/>
            <w:vAlign w:val="center"/>
          </w:tcPr>
          <w:p w14:paraId="4B9589C8">
            <w:pPr>
              <w:pStyle w:val="18"/>
              <w:rPr>
                <w:rFonts w:hAnsi="宋体"/>
                <w:color w:val="auto"/>
                <w:kern w:val="2"/>
                <w:sz w:val="21"/>
                <w:szCs w:val="21"/>
                <w:lang w:val="en-US" w:eastAsia="zh-CN"/>
              </w:rPr>
            </w:pPr>
            <w:r>
              <w:rPr>
                <w:rFonts w:hint="eastAsia" w:hAnsi="宋体"/>
                <w:color w:val="auto"/>
                <w:kern w:val="2"/>
                <w:sz w:val="21"/>
                <w:szCs w:val="21"/>
                <w:lang w:val="en-US" w:eastAsia="zh-CN"/>
              </w:rPr>
              <w:t>备选方案</w:t>
            </w:r>
          </w:p>
        </w:tc>
        <w:tc>
          <w:tcPr>
            <w:tcW w:w="6014" w:type="dxa"/>
            <w:noWrap w:val="0"/>
            <w:vAlign w:val="center"/>
          </w:tcPr>
          <w:p w14:paraId="420CB5A9">
            <w:pPr>
              <w:pStyle w:val="18"/>
              <w:rPr>
                <w:rFonts w:hAnsi="宋体"/>
                <w:color w:val="auto"/>
                <w:kern w:val="2"/>
                <w:sz w:val="21"/>
                <w:szCs w:val="21"/>
                <w:lang w:val="en-US" w:eastAsia="zh-CN"/>
              </w:rPr>
            </w:pPr>
            <w:r>
              <w:rPr>
                <w:rFonts w:hint="eastAsia" w:hAnsi="宋体"/>
                <w:color w:val="auto"/>
                <w:kern w:val="2"/>
                <w:sz w:val="21"/>
                <w:szCs w:val="21"/>
                <w:lang w:val="en-US" w:eastAsia="zh-CN"/>
              </w:rPr>
              <w:t xml:space="preserve">□接受      </w:t>
            </w:r>
            <w:r>
              <w:rPr>
                <w:rFonts w:hint="eastAsia" w:hAnsi="宋体"/>
                <w:color w:val="auto"/>
                <w:kern w:val="2"/>
                <w:sz w:val="21"/>
                <w:szCs w:val="21"/>
                <w:u w:val="single"/>
                <w:lang w:val="en-US" w:eastAsia="zh-CN"/>
              </w:rPr>
              <w:t>■</w:t>
            </w:r>
            <w:r>
              <w:rPr>
                <w:rFonts w:hint="eastAsia" w:hAnsi="宋体"/>
                <w:color w:val="auto"/>
                <w:kern w:val="2"/>
                <w:sz w:val="21"/>
                <w:szCs w:val="21"/>
                <w:lang w:val="en-US" w:eastAsia="zh-CN"/>
              </w:rPr>
              <w:t>不接受</w:t>
            </w:r>
          </w:p>
        </w:tc>
      </w:tr>
      <w:tr w14:paraId="38053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8" w:hRule="atLeast"/>
          <w:jc w:val="center"/>
        </w:trPr>
        <w:tc>
          <w:tcPr>
            <w:tcW w:w="1055" w:type="dxa"/>
            <w:noWrap w:val="0"/>
            <w:vAlign w:val="center"/>
          </w:tcPr>
          <w:p w14:paraId="767C151B">
            <w:pPr>
              <w:pStyle w:val="18"/>
              <w:jc w:val="center"/>
              <w:rPr>
                <w:rFonts w:hAnsi="宋体"/>
                <w:color w:val="auto"/>
                <w:kern w:val="2"/>
                <w:sz w:val="21"/>
                <w:szCs w:val="21"/>
                <w:lang w:val="en-US" w:eastAsia="zh-CN"/>
              </w:rPr>
            </w:pPr>
            <w:r>
              <w:rPr>
                <w:rFonts w:hint="eastAsia" w:hAnsi="宋体"/>
                <w:color w:val="auto"/>
                <w:kern w:val="2"/>
                <w:sz w:val="21"/>
                <w:szCs w:val="21"/>
                <w:lang w:val="en-US" w:eastAsia="zh-CN"/>
              </w:rPr>
              <w:t>31.2</w:t>
            </w:r>
          </w:p>
        </w:tc>
        <w:tc>
          <w:tcPr>
            <w:tcW w:w="8424" w:type="dxa"/>
            <w:gridSpan w:val="2"/>
            <w:noWrap w:val="0"/>
            <w:vAlign w:val="center"/>
          </w:tcPr>
          <w:p w14:paraId="622CB997">
            <w:pPr>
              <w:pStyle w:val="18"/>
              <w:rPr>
                <w:rFonts w:hint="eastAsia" w:hAnsi="宋体"/>
                <w:b/>
                <w:bCs/>
                <w:color w:val="auto"/>
                <w:kern w:val="2"/>
                <w:sz w:val="21"/>
                <w:szCs w:val="21"/>
                <w:lang w:val="en-US" w:eastAsia="zh-CN"/>
              </w:rPr>
            </w:pPr>
            <w:r>
              <w:rPr>
                <w:rFonts w:hint="eastAsia" w:hAnsi="宋体"/>
                <w:b/>
                <w:bCs/>
                <w:color w:val="auto"/>
                <w:kern w:val="2"/>
                <w:sz w:val="21"/>
                <w:szCs w:val="21"/>
                <w:lang w:val="en-US" w:eastAsia="zh-CN"/>
              </w:rPr>
              <w:t>需要补充的其他内容(对于投标人落标原因，本代理机构将不予解释。)</w:t>
            </w:r>
          </w:p>
          <w:p w14:paraId="0B64C1D1">
            <w:pPr>
              <w:pStyle w:val="18"/>
              <w:ind w:firstLine="420" w:firstLineChars="200"/>
              <w:rPr>
                <w:rFonts w:hAnsi="Calibri"/>
                <w:color w:val="auto"/>
                <w:lang w:val="en-US" w:eastAsia="zh-CN"/>
              </w:rPr>
            </w:pPr>
            <w:r>
              <w:rPr>
                <w:rFonts w:hint="eastAsia" w:hAnsi="宋体"/>
                <w:color w:val="auto"/>
                <w:kern w:val="2"/>
                <w:sz w:val="21"/>
                <w:szCs w:val="21"/>
                <w:lang w:val="en-US" w:eastAsia="zh-CN"/>
              </w:rPr>
              <w:t>落实政府采购政策需满足的资格要求：1.扶持中小企业政策：评审时小型、微型企业提供的产品（提供本企业制造的货物、承担的工程或者服务，或者提供其他中小企业制造的货物）价格给予10%的扣除。监狱企业、残疾人福利性单位视同小型和微型企业，其产品在评审时给予相同的价格扣除。执行政策文件：《中华人民共和国中小企业促进法》、《政府采购促进中小企业发展暂行办法》（财库〔2011〕181号）、 《财政部司法部关于政府采购支持监狱企业发展有关问题的通知》（财库[2014]68号）、《财政部民政部中国残疾人联合会关于促进残疾人就业政府采购政策的通知》（财库〔2017〕141号）。</w:t>
            </w:r>
          </w:p>
        </w:tc>
      </w:tr>
      <w:tr w14:paraId="123A9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055" w:type="dxa"/>
            <w:noWrap w:val="0"/>
            <w:vAlign w:val="center"/>
          </w:tcPr>
          <w:p w14:paraId="2A245C01">
            <w:pPr>
              <w:pStyle w:val="18"/>
              <w:jc w:val="center"/>
              <w:rPr>
                <w:rFonts w:hAnsi="宋体"/>
                <w:color w:val="auto"/>
                <w:kern w:val="2"/>
                <w:sz w:val="21"/>
                <w:szCs w:val="21"/>
                <w:lang w:val="en-US" w:eastAsia="zh-CN"/>
              </w:rPr>
            </w:pPr>
            <w:r>
              <w:rPr>
                <w:rFonts w:hint="eastAsia" w:hAnsi="宋体"/>
                <w:color w:val="auto"/>
                <w:kern w:val="2"/>
                <w:sz w:val="21"/>
                <w:szCs w:val="21"/>
                <w:lang w:val="en-US" w:eastAsia="zh-CN"/>
              </w:rPr>
              <w:t>1）</w:t>
            </w:r>
          </w:p>
        </w:tc>
        <w:tc>
          <w:tcPr>
            <w:tcW w:w="8424" w:type="dxa"/>
            <w:gridSpan w:val="2"/>
            <w:noWrap w:val="0"/>
            <w:vAlign w:val="center"/>
          </w:tcPr>
          <w:p w14:paraId="38530502">
            <w:pPr>
              <w:pStyle w:val="18"/>
              <w:rPr>
                <w:rFonts w:hAnsi="宋体"/>
                <w:bCs/>
                <w:color w:val="auto"/>
                <w:kern w:val="2"/>
                <w:sz w:val="21"/>
                <w:szCs w:val="21"/>
                <w:lang w:val="en-US" w:eastAsia="zh-CN"/>
              </w:rPr>
            </w:pPr>
            <w:r>
              <w:rPr>
                <w:rFonts w:hint="eastAsia" w:hAnsi="宋体"/>
                <w:bCs/>
                <w:color w:val="auto"/>
                <w:kern w:val="2"/>
                <w:sz w:val="21"/>
                <w:szCs w:val="21"/>
                <w:lang w:val="en-US" w:eastAsia="zh-CN"/>
              </w:rPr>
              <w:t>本项目不允许分包</w:t>
            </w:r>
          </w:p>
        </w:tc>
      </w:tr>
      <w:tr w14:paraId="4CABE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1055" w:type="dxa"/>
            <w:noWrap w:val="0"/>
            <w:vAlign w:val="center"/>
          </w:tcPr>
          <w:p w14:paraId="4AC4A1D3">
            <w:pPr>
              <w:pStyle w:val="18"/>
              <w:jc w:val="center"/>
              <w:rPr>
                <w:rFonts w:hint="default" w:hAnsi="宋体"/>
                <w:color w:val="auto"/>
                <w:kern w:val="2"/>
                <w:sz w:val="21"/>
                <w:szCs w:val="21"/>
                <w:lang w:val="en-US" w:eastAsia="zh-CN"/>
              </w:rPr>
            </w:pPr>
            <w:r>
              <w:rPr>
                <w:rFonts w:hint="eastAsia" w:hAnsi="宋体"/>
                <w:color w:val="auto"/>
                <w:kern w:val="2"/>
                <w:sz w:val="21"/>
                <w:szCs w:val="21"/>
                <w:lang w:val="en-US" w:eastAsia="zh-CN"/>
              </w:rPr>
              <w:t>2）</w:t>
            </w:r>
          </w:p>
        </w:tc>
        <w:tc>
          <w:tcPr>
            <w:tcW w:w="8424" w:type="dxa"/>
            <w:gridSpan w:val="2"/>
            <w:noWrap w:val="0"/>
            <w:vAlign w:val="center"/>
          </w:tcPr>
          <w:p w14:paraId="784D9A02">
            <w:pPr>
              <w:pStyle w:val="18"/>
              <w:rPr>
                <w:rFonts w:hint="eastAsia" w:hAnsi="宋体"/>
                <w:bCs/>
                <w:color w:val="auto"/>
                <w:kern w:val="2"/>
                <w:sz w:val="21"/>
                <w:szCs w:val="21"/>
                <w:lang w:val="en-US" w:eastAsia="zh-CN"/>
              </w:rPr>
            </w:pPr>
            <w:r>
              <w:rPr>
                <w:rFonts w:hint="eastAsia" w:hAnsi="宋体"/>
                <w:bCs/>
                <w:color w:val="auto"/>
                <w:kern w:val="2"/>
                <w:sz w:val="21"/>
                <w:szCs w:val="21"/>
                <w:lang w:val="en-US" w:eastAsia="zh-CN"/>
              </w:rPr>
              <w:t>履约保证金：履约保证金为成交金额的 5%（方式：保单、保函、保险、现金等均可）。合同签订前缴纳，验收合格后无息退还。</w:t>
            </w:r>
          </w:p>
        </w:tc>
      </w:tr>
    </w:tbl>
    <w:p w14:paraId="43B2E36E">
      <w:pPr>
        <w:rPr>
          <w:rFonts w:hint="eastAsia" w:ascii="宋体" w:hAnsi="宋体"/>
          <w:color w:val="auto"/>
          <w:szCs w:val="21"/>
        </w:rPr>
      </w:pPr>
    </w:p>
    <w:p w14:paraId="4FE38D60">
      <w:pPr>
        <w:pStyle w:val="14"/>
        <w:rPr>
          <w:rFonts w:hint="eastAsia" w:ascii="宋体" w:hAnsi="宋体"/>
          <w:color w:val="auto"/>
          <w:szCs w:val="21"/>
        </w:rPr>
      </w:pPr>
    </w:p>
    <w:p w14:paraId="5E6FDA28">
      <w:pPr>
        <w:rPr>
          <w:rFonts w:hint="eastAsia" w:ascii="宋体" w:hAnsi="宋体"/>
          <w:color w:val="auto"/>
          <w:szCs w:val="21"/>
        </w:rPr>
      </w:pPr>
    </w:p>
    <w:p w14:paraId="00E666DD">
      <w:pPr>
        <w:rPr>
          <w:rFonts w:hint="eastAsia" w:ascii="宋体" w:hAnsi="宋体"/>
          <w:color w:val="auto"/>
          <w:szCs w:val="21"/>
        </w:rPr>
      </w:pPr>
    </w:p>
    <w:p w14:paraId="4B9C4C8A">
      <w:pPr>
        <w:rPr>
          <w:rFonts w:hint="eastAsia" w:ascii="宋体" w:hAnsi="宋体"/>
          <w:color w:val="auto"/>
          <w:szCs w:val="21"/>
        </w:rPr>
      </w:pPr>
    </w:p>
    <w:p w14:paraId="03750750">
      <w:pPr>
        <w:rPr>
          <w:rFonts w:hint="eastAsia" w:ascii="宋体" w:hAnsi="宋体"/>
          <w:color w:val="auto"/>
          <w:szCs w:val="21"/>
        </w:rPr>
      </w:pPr>
    </w:p>
    <w:p w14:paraId="45672187">
      <w:pPr>
        <w:pStyle w:val="3"/>
        <w:numPr>
          <w:ilvl w:val="0"/>
          <w:numId w:val="0"/>
        </w:numPr>
        <w:tabs>
          <w:tab w:val="left" w:pos="1021"/>
        </w:tabs>
        <w:jc w:val="center"/>
        <w:rPr>
          <w:rFonts w:ascii="宋体" w:hAnsi="宋体" w:eastAsia="宋体"/>
          <w:color w:val="auto"/>
          <w:sz w:val="30"/>
          <w:szCs w:val="30"/>
        </w:rPr>
      </w:pPr>
      <w:bookmarkStart w:id="35" w:name="_Toc8958"/>
      <w:r>
        <w:rPr>
          <w:rFonts w:hint="eastAsia" w:ascii="宋体" w:hAnsi="宋体" w:eastAsia="宋体"/>
          <w:color w:val="auto"/>
          <w:sz w:val="30"/>
          <w:szCs w:val="30"/>
        </w:rPr>
        <w:t>一、总  则</w:t>
      </w:r>
      <w:bookmarkEnd w:id="35"/>
    </w:p>
    <w:p w14:paraId="19C842D2">
      <w:pPr>
        <w:pStyle w:val="18"/>
        <w:spacing w:line="360" w:lineRule="auto"/>
        <w:ind w:left="210" w:leftChars="100" w:firstLine="210" w:firstLineChars="100"/>
        <w:jc w:val="left"/>
        <w:rPr>
          <w:rFonts w:hAnsi="宋体"/>
          <w:color w:val="auto"/>
          <w:sz w:val="21"/>
          <w:szCs w:val="21"/>
        </w:rPr>
      </w:pPr>
      <w:r>
        <w:rPr>
          <w:rFonts w:hint="eastAsia" w:hAnsi="宋体"/>
          <w:bCs/>
          <w:color w:val="auto"/>
          <w:sz w:val="21"/>
          <w:szCs w:val="21"/>
        </w:rPr>
        <w:t>1. 采购人、采购代理机构、</w:t>
      </w:r>
      <w:r>
        <w:rPr>
          <w:rFonts w:hint="eastAsia" w:hAnsi="宋体"/>
          <w:color w:val="auto"/>
          <w:sz w:val="21"/>
          <w:szCs w:val="21"/>
          <w:lang w:val="en-US" w:eastAsia="zh-CN"/>
        </w:rPr>
        <w:t>项目名称</w:t>
      </w:r>
      <w:r>
        <w:rPr>
          <w:rFonts w:hint="eastAsia" w:hAnsi="宋体"/>
          <w:color w:val="auto"/>
          <w:sz w:val="21"/>
          <w:szCs w:val="21"/>
        </w:rPr>
        <w:t>及</w:t>
      </w:r>
      <w:r>
        <w:rPr>
          <w:rFonts w:hint="eastAsia" w:hAnsi="宋体"/>
          <w:color w:val="auto"/>
          <w:sz w:val="21"/>
          <w:szCs w:val="21"/>
          <w:lang w:val="en-US" w:eastAsia="zh-CN"/>
        </w:rPr>
        <w:t>项目</w:t>
      </w:r>
      <w:r>
        <w:rPr>
          <w:rFonts w:hint="eastAsia" w:hAnsi="宋体"/>
          <w:color w:val="auto"/>
          <w:sz w:val="21"/>
          <w:szCs w:val="21"/>
        </w:rPr>
        <w:t>编号，详见招标文件“</w:t>
      </w:r>
      <w:r>
        <w:rPr>
          <w:rFonts w:hint="eastAsia" w:hAnsi="宋体"/>
          <w:b/>
          <w:color w:val="auto"/>
          <w:sz w:val="21"/>
          <w:szCs w:val="21"/>
        </w:rPr>
        <w:t>投标人须知前附表</w:t>
      </w:r>
      <w:r>
        <w:rPr>
          <w:rFonts w:hint="eastAsia" w:hAnsi="宋体"/>
          <w:color w:val="auto"/>
          <w:sz w:val="21"/>
          <w:szCs w:val="21"/>
        </w:rPr>
        <w:t>”。</w:t>
      </w:r>
    </w:p>
    <w:p w14:paraId="7DE3753A">
      <w:pPr>
        <w:spacing w:line="360" w:lineRule="auto"/>
        <w:ind w:firstLine="413" w:firstLineChars="196"/>
        <w:jc w:val="left"/>
        <w:rPr>
          <w:rFonts w:ascii="宋体" w:hAnsi="宋体"/>
          <w:b/>
          <w:color w:val="auto"/>
          <w:szCs w:val="21"/>
        </w:rPr>
      </w:pPr>
      <w:r>
        <w:rPr>
          <w:rFonts w:hint="eastAsia" w:ascii="宋体" w:hAnsi="宋体"/>
          <w:b/>
          <w:color w:val="auto"/>
          <w:szCs w:val="21"/>
        </w:rPr>
        <w:t>2. 资金来源</w:t>
      </w:r>
    </w:p>
    <w:p w14:paraId="1795569B">
      <w:pPr>
        <w:spacing w:line="360" w:lineRule="auto"/>
        <w:ind w:firstLine="420" w:firstLineChars="200"/>
        <w:jc w:val="left"/>
        <w:rPr>
          <w:rFonts w:ascii="宋体" w:hAnsi="宋体"/>
          <w:color w:val="auto"/>
          <w:szCs w:val="21"/>
        </w:rPr>
      </w:pPr>
      <w:r>
        <w:rPr>
          <w:rFonts w:hint="eastAsia" w:ascii="宋体" w:hAnsi="宋体"/>
          <w:color w:val="auto"/>
          <w:szCs w:val="21"/>
        </w:rPr>
        <w:t>2.1“</w:t>
      </w:r>
      <w:r>
        <w:rPr>
          <w:rFonts w:hint="eastAsia" w:ascii="宋体" w:hAnsi="宋体"/>
          <w:b/>
          <w:color w:val="auto"/>
          <w:szCs w:val="21"/>
        </w:rPr>
        <w:t>投标人须知前附表</w:t>
      </w:r>
      <w:r>
        <w:rPr>
          <w:rFonts w:hint="eastAsia" w:ascii="宋体" w:hAnsi="宋体"/>
          <w:color w:val="auto"/>
          <w:szCs w:val="21"/>
        </w:rPr>
        <w:t>”中所述的采购人已获得一笔采购资金，用于采购“</w:t>
      </w:r>
      <w:r>
        <w:rPr>
          <w:rFonts w:hint="eastAsia" w:ascii="宋体" w:hAnsi="宋体"/>
          <w:b/>
          <w:color w:val="auto"/>
          <w:szCs w:val="21"/>
          <w:lang w:val="en-US" w:eastAsia="zh-CN"/>
        </w:rPr>
        <w:t>采购</w:t>
      </w:r>
      <w:r>
        <w:rPr>
          <w:rFonts w:hint="eastAsia" w:ascii="宋体" w:hAnsi="宋体"/>
          <w:b/>
          <w:color w:val="auto"/>
          <w:szCs w:val="21"/>
        </w:rPr>
        <w:t>需求及技术要求</w:t>
      </w:r>
      <w:r>
        <w:rPr>
          <w:rFonts w:hint="eastAsia" w:ascii="宋体" w:hAnsi="宋体"/>
          <w:color w:val="auto"/>
          <w:szCs w:val="21"/>
        </w:rPr>
        <w:t>”所列</w:t>
      </w:r>
      <w:r>
        <w:rPr>
          <w:rFonts w:hint="eastAsia" w:ascii="宋体" w:hAnsi="宋体"/>
          <w:color w:val="auto"/>
          <w:szCs w:val="21"/>
          <w:lang w:val="en-US" w:eastAsia="zh-CN"/>
        </w:rPr>
        <w:t>服务</w:t>
      </w:r>
      <w:r>
        <w:rPr>
          <w:rFonts w:hint="eastAsia" w:ascii="宋体" w:hAnsi="宋体"/>
          <w:color w:val="auto"/>
          <w:szCs w:val="21"/>
        </w:rPr>
        <w:t>。</w:t>
      </w:r>
    </w:p>
    <w:p w14:paraId="4B6A552E">
      <w:pPr>
        <w:spacing w:line="360" w:lineRule="auto"/>
        <w:ind w:firstLine="413" w:firstLineChars="196"/>
        <w:jc w:val="left"/>
        <w:rPr>
          <w:rFonts w:ascii="宋体" w:hAnsi="宋体"/>
          <w:b/>
          <w:color w:val="auto"/>
          <w:szCs w:val="21"/>
        </w:rPr>
      </w:pPr>
      <w:r>
        <w:rPr>
          <w:rFonts w:hint="eastAsia" w:ascii="宋体" w:hAnsi="宋体"/>
          <w:b/>
          <w:color w:val="auto"/>
          <w:szCs w:val="21"/>
        </w:rPr>
        <w:t>3. 招标范围</w:t>
      </w:r>
    </w:p>
    <w:p w14:paraId="5365E854">
      <w:pPr>
        <w:spacing w:line="360" w:lineRule="auto"/>
        <w:ind w:firstLine="420" w:firstLineChars="200"/>
        <w:jc w:val="left"/>
        <w:rPr>
          <w:rFonts w:ascii="宋体" w:hAnsi="宋体"/>
          <w:color w:val="auto"/>
          <w:szCs w:val="21"/>
        </w:rPr>
      </w:pPr>
      <w:r>
        <w:rPr>
          <w:rFonts w:hint="eastAsia" w:ascii="宋体" w:hAnsi="宋体"/>
          <w:color w:val="auto"/>
          <w:szCs w:val="21"/>
        </w:rPr>
        <w:t>3.1 本项目招标范围：见“</w:t>
      </w:r>
      <w:r>
        <w:rPr>
          <w:rFonts w:hint="eastAsia" w:ascii="宋体" w:hAnsi="宋体"/>
          <w:b/>
          <w:color w:val="auto"/>
          <w:szCs w:val="21"/>
        </w:rPr>
        <w:t>投标人须知前附表</w:t>
      </w:r>
      <w:r>
        <w:rPr>
          <w:rFonts w:hint="eastAsia" w:ascii="宋体" w:hAnsi="宋体"/>
          <w:color w:val="auto"/>
          <w:szCs w:val="21"/>
        </w:rPr>
        <w:t>”。</w:t>
      </w:r>
    </w:p>
    <w:p w14:paraId="3B10ADC2">
      <w:pPr>
        <w:spacing w:line="360" w:lineRule="auto"/>
        <w:ind w:firstLine="420" w:firstLineChars="200"/>
        <w:jc w:val="left"/>
        <w:rPr>
          <w:rFonts w:ascii="宋体" w:hAnsi="宋体"/>
          <w:color w:val="auto"/>
          <w:szCs w:val="21"/>
        </w:rPr>
      </w:pPr>
      <w:r>
        <w:rPr>
          <w:rFonts w:hint="eastAsia" w:ascii="宋体" w:hAnsi="宋体"/>
          <w:color w:val="auto"/>
          <w:szCs w:val="21"/>
        </w:rPr>
        <w:t>3.2 本项目</w:t>
      </w:r>
      <w:r>
        <w:rPr>
          <w:rFonts w:hint="eastAsia" w:ascii="宋体" w:hAnsi="宋体"/>
          <w:color w:val="auto"/>
          <w:szCs w:val="21"/>
          <w:lang w:val="en-US" w:eastAsia="zh-CN"/>
        </w:rPr>
        <w:t>供货</w:t>
      </w:r>
      <w:r>
        <w:rPr>
          <w:rFonts w:hint="eastAsia" w:ascii="宋体" w:hAnsi="宋体"/>
          <w:color w:val="auto"/>
          <w:szCs w:val="21"/>
        </w:rPr>
        <w:t>期、</w:t>
      </w:r>
      <w:r>
        <w:rPr>
          <w:rFonts w:hint="eastAsia" w:ascii="宋体" w:hAnsi="宋体"/>
          <w:color w:val="auto"/>
          <w:szCs w:val="21"/>
          <w:lang w:val="en-US" w:eastAsia="zh-CN"/>
        </w:rPr>
        <w:t>供货</w:t>
      </w:r>
      <w:r>
        <w:rPr>
          <w:rFonts w:hint="eastAsia" w:ascii="宋体" w:hAnsi="宋体"/>
          <w:color w:val="auto"/>
          <w:szCs w:val="21"/>
        </w:rPr>
        <w:t>地点、见“</w:t>
      </w:r>
      <w:r>
        <w:rPr>
          <w:rFonts w:hint="eastAsia" w:ascii="宋体" w:hAnsi="宋体"/>
          <w:b/>
          <w:color w:val="auto"/>
          <w:szCs w:val="21"/>
        </w:rPr>
        <w:t>投标人须知前附表</w:t>
      </w:r>
      <w:r>
        <w:rPr>
          <w:rFonts w:hint="eastAsia" w:ascii="宋体" w:hAnsi="宋体"/>
          <w:color w:val="auto"/>
          <w:szCs w:val="21"/>
        </w:rPr>
        <w:t>”。</w:t>
      </w:r>
    </w:p>
    <w:p w14:paraId="4244B716">
      <w:pPr>
        <w:spacing w:line="360" w:lineRule="auto"/>
        <w:ind w:firstLine="413" w:firstLineChars="196"/>
        <w:jc w:val="left"/>
        <w:rPr>
          <w:rFonts w:ascii="宋体" w:hAnsi="宋体"/>
          <w:b/>
          <w:color w:val="auto"/>
          <w:szCs w:val="21"/>
        </w:rPr>
      </w:pPr>
      <w:r>
        <w:rPr>
          <w:rFonts w:hint="eastAsia" w:ascii="宋体" w:hAnsi="宋体"/>
          <w:b/>
          <w:color w:val="auto"/>
          <w:szCs w:val="21"/>
        </w:rPr>
        <w:t>4. 合格的投标人</w:t>
      </w:r>
    </w:p>
    <w:p w14:paraId="0EEDC6FE">
      <w:pPr>
        <w:spacing w:line="360" w:lineRule="auto"/>
        <w:ind w:firstLine="420" w:firstLineChars="200"/>
        <w:jc w:val="left"/>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kern w:val="2"/>
          <w:sz w:val="21"/>
          <w:szCs w:val="21"/>
          <w:lang w:val="en-US" w:eastAsia="zh-CN" w:bidi="ar-SA"/>
        </w:rPr>
        <w:t>4.1投标人应符合招标文件“投标人须知前附表”中规定的要求。</w:t>
      </w:r>
    </w:p>
    <w:p w14:paraId="124767C2">
      <w:pPr>
        <w:spacing w:line="360" w:lineRule="auto"/>
        <w:ind w:firstLine="420" w:firstLineChars="200"/>
        <w:jc w:val="left"/>
        <w:rPr>
          <w:rFonts w:hint="eastAsia" w:ascii="宋体" w:hAnsi="宋体" w:eastAsia="宋体" w:cs="Times New Roman"/>
          <w:color w:val="auto"/>
          <w:szCs w:val="21"/>
        </w:rPr>
      </w:pPr>
      <w:r>
        <w:rPr>
          <w:rFonts w:hint="eastAsia" w:ascii="宋体" w:hAnsi="宋体" w:eastAsia="宋体" w:cs="Times New Roman"/>
          <w:color w:val="auto"/>
          <w:szCs w:val="21"/>
          <w:lang w:val="en-US" w:eastAsia="zh-CN"/>
        </w:rPr>
        <w:t>4.2</w:t>
      </w:r>
      <w:r>
        <w:rPr>
          <w:rFonts w:hint="eastAsia" w:ascii="宋体" w:hAnsi="宋体" w:eastAsia="宋体" w:cs="Times New Roman"/>
          <w:color w:val="auto"/>
          <w:szCs w:val="21"/>
        </w:rPr>
        <w:t>供应商必须符合《中华人民共和国政府采购法》第二十二条规定的条件：</w:t>
      </w:r>
    </w:p>
    <w:p w14:paraId="5B8FFF72">
      <w:pPr>
        <w:spacing w:line="360" w:lineRule="auto"/>
        <w:ind w:firstLine="420" w:firstLineChars="200"/>
        <w:jc w:val="left"/>
        <w:rPr>
          <w:rFonts w:hint="eastAsia" w:ascii="宋体" w:hAnsi="宋体" w:eastAsia="宋体" w:cs="Times New Roman"/>
          <w:color w:val="auto"/>
          <w:szCs w:val="21"/>
        </w:rPr>
      </w:pPr>
      <w:r>
        <w:rPr>
          <w:rFonts w:hint="eastAsia" w:ascii="宋体" w:hAnsi="宋体" w:eastAsia="宋体" w:cs="Times New Roman"/>
          <w:color w:val="auto"/>
          <w:szCs w:val="21"/>
        </w:rPr>
        <w:t>（一）具有独立承担民事责任的能力；</w:t>
      </w:r>
    </w:p>
    <w:p w14:paraId="3B890FE6">
      <w:pPr>
        <w:spacing w:line="360" w:lineRule="auto"/>
        <w:ind w:firstLine="420" w:firstLineChars="200"/>
        <w:jc w:val="left"/>
        <w:rPr>
          <w:rFonts w:hint="eastAsia" w:ascii="宋体" w:hAnsi="宋体" w:eastAsia="宋体" w:cs="Times New Roman"/>
          <w:color w:val="auto"/>
          <w:szCs w:val="21"/>
        </w:rPr>
      </w:pPr>
      <w:r>
        <w:rPr>
          <w:rFonts w:hint="eastAsia" w:ascii="宋体" w:hAnsi="宋体" w:eastAsia="宋体" w:cs="Times New Roman"/>
          <w:color w:val="auto"/>
          <w:szCs w:val="21"/>
        </w:rPr>
        <w:t>（二）具有良好的商业信誉和健全的财务会计制度；</w:t>
      </w:r>
    </w:p>
    <w:p w14:paraId="1C4E9FFB">
      <w:pPr>
        <w:spacing w:line="360" w:lineRule="auto"/>
        <w:ind w:firstLine="420" w:firstLineChars="200"/>
        <w:jc w:val="left"/>
        <w:rPr>
          <w:rFonts w:hint="eastAsia" w:ascii="宋体" w:hAnsi="宋体" w:eastAsia="宋体" w:cs="Times New Roman"/>
          <w:color w:val="auto"/>
          <w:szCs w:val="21"/>
        </w:rPr>
      </w:pPr>
      <w:r>
        <w:rPr>
          <w:rFonts w:hint="eastAsia" w:ascii="宋体" w:hAnsi="宋体" w:eastAsia="宋体" w:cs="Times New Roman"/>
          <w:color w:val="auto"/>
          <w:szCs w:val="21"/>
        </w:rPr>
        <w:t>（三）具有履行合同所必需的设备和专业技术能力（提供相关证明材料）；</w:t>
      </w:r>
    </w:p>
    <w:p w14:paraId="5157B6A3">
      <w:pPr>
        <w:spacing w:line="360" w:lineRule="auto"/>
        <w:ind w:firstLine="420" w:firstLineChars="200"/>
        <w:jc w:val="left"/>
        <w:rPr>
          <w:rFonts w:hint="eastAsia" w:ascii="宋体" w:hAnsi="宋体" w:eastAsia="宋体" w:cs="Times New Roman"/>
          <w:color w:val="auto"/>
          <w:szCs w:val="21"/>
        </w:rPr>
      </w:pPr>
      <w:r>
        <w:rPr>
          <w:rFonts w:hint="eastAsia" w:ascii="宋体" w:hAnsi="宋体" w:eastAsia="宋体" w:cs="Times New Roman"/>
          <w:color w:val="auto"/>
          <w:szCs w:val="21"/>
        </w:rPr>
        <w:t>（四）有依法缴纳税收和社会保障资金的良好记录；</w:t>
      </w:r>
    </w:p>
    <w:p w14:paraId="4E19499C">
      <w:pPr>
        <w:spacing w:line="360" w:lineRule="auto"/>
        <w:ind w:firstLine="420" w:firstLineChars="200"/>
        <w:jc w:val="left"/>
        <w:rPr>
          <w:rFonts w:hint="eastAsia" w:ascii="宋体" w:hAnsi="宋体" w:eastAsia="宋体" w:cs="Times New Roman"/>
          <w:color w:val="auto"/>
          <w:szCs w:val="21"/>
        </w:rPr>
      </w:pPr>
      <w:r>
        <w:rPr>
          <w:rFonts w:hint="eastAsia" w:ascii="宋体" w:hAnsi="宋体" w:eastAsia="宋体" w:cs="Times New Roman"/>
          <w:color w:val="auto"/>
          <w:szCs w:val="21"/>
        </w:rPr>
        <w:t>（五）参加政府采购活动前三年内，在经营活动中没有重大违法记录（重大违法记录，是指供应商因违法经营受到刑事处罚或者责令停产停业、吊销许可证或者执照、较大数额罚款等行政处罚）的书面声明；（1）投标人及投标人法定代表人不得为“信用中国”网站（www.creditchina.gov.cn）列入失信被执行人、重大税收违法案件当事人名单；（2）投标人不得为“中国政府采购网”网站（http://www.ccgp.gov.cn/）政府采购严重违法失信行为记录名单中被财政部门禁止参加政府采购活动的投标人（处罚决定规定的时间和地域范围内）；（3）投标人不得为“国家企业信用信息公示”网站（http://gsxt.saic.gov.cn/）参加政府采购活动前3年内存在经营活动中有重大违法记录的行为。</w:t>
      </w:r>
    </w:p>
    <w:p w14:paraId="2369144F">
      <w:pPr>
        <w:spacing w:line="360" w:lineRule="auto"/>
        <w:ind w:firstLine="420" w:firstLineChars="200"/>
        <w:jc w:val="left"/>
        <w:rPr>
          <w:rFonts w:hint="eastAsia" w:ascii="宋体" w:hAnsi="宋体" w:eastAsia="宋体" w:cs="Times New Roman"/>
          <w:color w:val="auto"/>
          <w:szCs w:val="21"/>
        </w:rPr>
      </w:pPr>
      <w:r>
        <w:rPr>
          <w:rFonts w:hint="eastAsia" w:ascii="宋体" w:hAnsi="宋体" w:eastAsia="宋体" w:cs="Times New Roman"/>
          <w:color w:val="auto"/>
          <w:szCs w:val="21"/>
        </w:rPr>
        <w:t>（六）法律、行政法规规定的其他条件。</w:t>
      </w:r>
    </w:p>
    <w:p w14:paraId="16FB5415">
      <w:pPr>
        <w:spacing w:line="360" w:lineRule="auto"/>
        <w:ind w:left="420" w:leftChars="200"/>
        <w:jc w:val="left"/>
        <w:rPr>
          <w:rFonts w:hint="eastAsia"/>
          <w:color w:val="auto"/>
          <w:szCs w:val="21"/>
        </w:rPr>
      </w:pPr>
      <w:r>
        <w:rPr>
          <w:rFonts w:hint="eastAsia" w:ascii="宋体" w:hAnsi="宋体" w:eastAsia="宋体" w:cs="Times New Roman"/>
          <w:color w:val="auto"/>
          <w:szCs w:val="21"/>
          <w:lang w:val="en-US" w:eastAsia="zh-CN"/>
        </w:rPr>
        <w:t>4.</w:t>
      </w:r>
      <w:r>
        <w:rPr>
          <w:rFonts w:hint="eastAsia" w:ascii="宋体" w:hAnsi="宋体"/>
          <w:color w:val="auto"/>
          <w:kern w:val="0"/>
          <w:szCs w:val="21"/>
          <w:lang w:val="en-US" w:eastAsia="zh-CN"/>
        </w:rPr>
        <w:t>3</w:t>
      </w:r>
      <w:r>
        <w:rPr>
          <w:rFonts w:hint="eastAsia" w:ascii="宋体" w:hAnsi="宋体"/>
          <w:color w:val="auto"/>
          <w:kern w:val="0"/>
          <w:szCs w:val="21"/>
        </w:rPr>
        <w:t>本项目不接受联合体投标</w:t>
      </w:r>
      <w:r>
        <w:rPr>
          <w:rFonts w:hint="eastAsia"/>
          <w:color w:val="auto"/>
          <w:szCs w:val="21"/>
        </w:rPr>
        <w:t>。</w:t>
      </w:r>
    </w:p>
    <w:p w14:paraId="742C9827">
      <w:pPr>
        <w:spacing w:line="360" w:lineRule="auto"/>
        <w:ind w:left="420" w:leftChars="200"/>
        <w:jc w:val="left"/>
        <w:rPr>
          <w:rFonts w:hint="eastAsia" w:ascii="宋体" w:hAnsi="宋体" w:eastAsia="宋体" w:cs="Times New Roman"/>
          <w:color w:val="auto"/>
          <w:kern w:val="2"/>
          <w:sz w:val="21"/>
          <w:szCs w:val="21"/>
          <w:lang w:val="en-US" w:eastAsia="zh-CN" w:bidi="ar-SA"/>
        </w:rPr>
      </w:pPr>
      <w:r>
        <w:rPr>
          <w:rFonts w:hint="eastAsia" w:ascii="宋体" w:hAnsi="宋体"/>
          <w:b/>
          <w:color w:val="auto"/>
          <w:szCs w:val="21"/>
        </w:rPr>
        <w:t>5. 投标费用</w:t>
      </w:r>
    </w:p>
    <w:p w14:paraId="47776CAA">
      <w:pPr>
        <w:pStyle w:val="18"/>
        <w:spacing w:line="360" w:lineRule="auto"/>
        <w:ind w:firstLine="420" w:firstLineChars="200"/>
        <w:rPr>
          <w:rFonts w:hAnsi="宋体"/>
          <w:color w:val="auto"/>
          <w:kern w:val="2"/>
          <w:sz w:val="21"/>
          <w:szCs w:val="21"/>
          <w:lang w:val="en-US" w:eastAsia="zh-CN"/>
        </w:rPr>
      </w:pPr>
      <w:r>
        <w:rPr>
          <w:rFonts w:hint="eastAsia" w:hAnsi="宋体"/>
          <w:color w:val="auto"/>
          <w:kern w:val="2"/>
          <w:sz w:val="21"/>
          <w:szCs w:val="21"/>
          <w:lang w:val="en-US" w:eastAsia="zh-CN"/>
        </w:rPr>
        <w:t>5.1不论投标结果如何，投标人均应自行承担</w:t>
      </w:r>
      <w:r>
        <w:rPr>
          <w:rFonts w:hAnsi="宋体"/>
          <w:color w:val="auto"/>
          <w:kern w:val="2"/>
          <w:sz w:val="21"/>
          <w:szCs w:val="21"/>
          <w:lang w:val="en-US" w:eastAsia="zh-CN"/>
        </w:rPr>
        <w:t>所有与准备和参加投标活动有关的全部费用</w:t>
      </w:r>
      <w:r>
        <w:rPr>
          <w:rFonts w:hint="eastAsia" w:hAnsi="宋体"/>
          <w:color w:val="auto"/>
          <w:kern w:val="2"/>
          <w:sz w:val="21"/>
          <w:szCs w:val="21"/>
          <w:lang w:val="en-US" w:eastAsia="zh-CN"/>
        </w:rPr>
        <w:t>。</w:t>
      </w:r>
    </w:p>
    <w:p w14:paraId="22D09921">
      <w:pPr>
        <w:pStyle w:val="18"/>
        <w:spacing w:line="360" w:lineRule="auto"/>
        <w:ind w:firstLine="420" w:firstLineChars="200"/>
        <w:rPr>
          <w:rFonts w:hAnsi="宋体"/>
          <w:color w:val="auto"/>
          <w:kern w:val="2"/>
          <w:sz w:val="21"/>
          <w:szCs w:val="21"/>
          <w:lang w:val="en-US" w:eastAsia="zh-CN"/>
        </w:rPr>
      </w:pPr>
      <w:r>
        <w:rPr>
          <w:rFonts w:hint="eastAsia" w:hAnsi="宋体"/>
          <w:color w:val="auto"/>
          <w:kern w:val="2"/>
          <w:sz w:val="21"/>
          <w:szCs w:val="21"/>
          <w:lang w:val="en-US" w:eastAsia="zh-CN"/>
        </w:rPr>
        <w:t>5.</w:t>
      </w:r>
      <w:r>
        <w:rPr>
          <w:rFonts w:hint="eastAsia" w:ascii="宋体" w:hAnsi="宋体" w:eastAsia="宋体"/>
          <w:color w:val="auto"/>
          <w:kern w:val="2"/>
          <w:sz w:val="21"/>
          <w:szCs w:val="21"/>
          <w:lang w:val="en-US" w:eastAsia="zh-CN"/>
        </w:rPr>
        <w:t>2采购代理机构根据关于印发《云南省建设工程招标代理服务收费参考意见》的通知云建招协〔2024〕58号</w:t>
      </w:r>
      <w:r>
        <w:rPr>
          <w:rFonts w:hint="eastAsia" w:hAnsi="宋体"/>
          <w:color w:val="auto"/>
          <w:kern w:val="2"/>
          <w:sz w:val="21"/>
          <w:szCs w:val="21"/>
          <w:lang w:val="en-US" w:eastAsia="zh-CN"/>
        </w:rPr>
        <w:t>收取</w:t>
      </w:r>
      <w:r>
        <w:rPr>
          <w:rFonts w:hint="eastAsia" w:ascii="宋体" w:hAnsi="宋体" w:eastAsia="宋体"/>
          <w:color w:val="auto"/>
          <w:kern w:val="2"/>
          <w:sz w:val="21"/>
          <w:szCs w:val="21"/>
          <w:lang w:val="zh-CN" w:eastAsia="zh-CN"/>
        </w:rPr>
        <w:t>，</w:t>
      </w:r>
      <w:r>
        <w:rPr>
          <w:rFonts w:hint="eastAsia" w:ascii="宋体" w:hAnsi="宋体" w:eastAsia="宋体"/>
          <w:b/>
          <w:bCs/>
          <w:color w:val="auto"/>
          <w:kern w:val="2"/>
          <w:sz w:val="21"/>
          <w:szCs w:val="21"/>
          <w:lang w:val="zh-CN" w:eastAsia="zh-CN"/>
        </w:rPr>
        <w:t>（</w:t>
      </w:r>
      <w:r>
        <w:rPr>
          <w:rFonts w:hint="eastAsia" w:ascii="宋体" w:hAnsi="宋体" w:eastAsia="宋体"/>
          <w:b/>
          <w:bCs/>
          <w:color w:val="auto"/>
          <w:kern w:val="2"/>
          <w:sz w:val="21"/>
          <w:szCs w:val="21"/>
          <w:lang w:val="en-US" w:eastAsia="zh-CN"/>
        </w:rPr>
        <w:t>本项目成交服务费按项目成交金额的 1.5% 收取，由成交供应商承担</w:t>
      </w:r>
      <w:r>
        <w:rPr>
          <w:rFonts w:hint="eastAsia" w:ascii="宋体" w:hAnsi="宋体" w:eastAsia="宋体"/>
          <w:b/>
          <w:bCs/>
          <w:color w:val="auto"/>
          <w:kern w:val="2"/>
          <w:sz w:val="21"/>
          <w:szCs w:val="21"/>
          <w:lang w:val="zh-CN" w:eastAsia="zh-CN"/>
        </w:rPr>
        <w:t>）</w:t>
      </w:r>
      <w:r>
        <w:rPr>
          <w:rFonts w:hint="eastAsia" w:ascii="宋体" w:hAnsi="宋体" w:eastAsia="宋体"/>
          <w:color w:val="auto"/>
          <w:kern w:val="2"/>
          <w:sz w:val="21"/>
          <w:szCs w:val="21"/>
          <w:lang w:val="en-US" w:eastAsia="zh-CN"/>
        </w:rPr>
        <w:t>。</w:t>
      </w:r>
    </w:p>
    <w:p w14:paraId="48EB7647">
      <w:pPr>
        <w:spacing w:line="360" w:lineRule="auto"/>
        <w:ind w:firstLine="420" w:firstLineChars="200"/>
        <w:jc w:val="left"/>
        <w:rPr>
          <w:color w:val="auto"/>
        </w:rPr>
      </w:pPr>
      <w:r>
        <w:rPr>
          <w:rFonts w:hint="eastAsia" w:ascii="宋体" w:hAnsi="宋体" w:eastAsia="宋体" w:cs="Times New Roman"/>
          <w:color w:val="auto"/>
          <w:szCs w:val="21"/>
        </w:rPr>
        <w:t>以上费用各申请人应考虑在总报价内，采购人不单独支付。</w:t>
      </w:r>
    </w:p>
    <w:p w14:paraId="2A21CB67">
      <w:pPr>
        <w:spacing w:line="360" w:lineRule="auto"/>
        <w:ind w:firstLine="413" w:firstLineChars="196"/>
        <w:jc w:val="left"/>
        <w:rPr>
          <w:rFonts w:ascii="宋体" w:hAnsi="宋体"/>
          <w:b/>
          <w:color w:val="auto"/>
          <w:szCs w:val="21"/>
        </w:rPr>
      </w:pPr>
      <w:r>
        <w:rPr>
          <w:rFonts w:hint="eastAsia" w:ascii="宋体" w:hAnsi="宋体"/>
          <w:b/>
          <w:color w:val="auto"/>
          <w:szCs w:val="21"/>
        </w:rPr>
        <w:t xml:space="preserve">6. </w:t>
      </w:r>
      <w:r>
        <w:rPr>
          <w:rFonts w:ascii="宋体" w:hAnsi="宋体"/>
          <w:b/>
          <w:color w:val="auto"/>
          <w:szCs w:val="21"/>
        </w:rPr>
        <w:t>质疑</w:t>
      </w:r>
    </w:p>
    <w:p w14:paraId="1F0CA21B">
      <w:pPr>
        <w:spacing w:line="360" w:lineRule="auto"/>
        <w:ind w:firstLine="420" w:firstLineChars="200"/>
        <w:jc w:val="left"/>
        <w:rPr>
          <w:rFonts w:hint="eastAsia" w:ascii="宋体" w:hAnsi="宋体"/>
          <w:color w:val="auto"/>
          <w:szCs w:val="21"/>
        </w:rPr>
      </w:pPr>
      <w:r>
        <w:rPr>
          <w:rFonts w:ascii="宋体" w:hAnsi="宋体"/>
          <w:color w:val="auto"/>
          <w:szCs w:val="21"/>
        </w:rPr>
        <w:t xml:space="preserve">6.1 </w:t>
      </w:r>
      <w:r>
        <w:rPr>
          <w:rFonts w:hint="eastAsia" w:ascii="宋体" w:hAnsi="宋体"/>
          <w:color w:val="auto"/>
          <w:szCs w:val="21"/>
        </w:rPr>
        <w:t>投标人</w:t>
      </w:r>
      <w:r>
        <w:rPr>
          <w:rFonts w:ascii="宋体" w:hAnsi="宋体"/>
          <w:color w:val="auto"/>
          <w:szCs w:val="21"/>
        </w:rPr>
        <w:t>认为招标文件、招标过程和中标结果使自己的权益受到损害的，应当在知道或者应知其权益受到损害之日起七个工作日内，以书面形式向下列部门或采购人提出质疑。</w:t>
      </w:r>
      <w:r>
        <w:rPr>
          <w:rFonts w:hint="eastAsia" w:ascii="宋体" w:hAnsi="宋体"/>
          <w:color w:val="auto"/>
          <w:szCs w:val="21"/>
        </w:rPr>
        <w:t>质疑应遵守中华人民共和国财政部第94号令《政府采购供应商投诉处理办法》第三条的规定“政府采购供应商（以下简称供应商）提出质疑和投诉应当坚持依法依规、诚实信用原则”投标人应对此条款以书面形式在投标文件中作出保证，</w:t>
      </w:r>
      <w:r>
        <w:rPr>
          <w:rFonts w:hint="eastAsia" w:ascii="宋体" w:hAnsi="宋体"/>
          <w:color w:val="auto"/>
          <w:szCs w:val="21"/>
          <w:lang w:eastAsia="zh-CN"/>
        </w:rPr>
        <w:t>未做保证的将视为无效投标，</w:t>
      </w:r>
      <w:r>
        <w:rPr>
          <w:rFonts w:hint="eastAsia" w:ascii="宋体" w:hAnsi="宋体"/>
          <w:color w:val="auto"/>
          <w:szCs w:val="21"/>
        </w:rPr>
        <w:t>质疑内容不得含有虚假、恶意成分。当事人对自己提出的主张，有责任提供证据，提出质疑时应同时提交相关证据材料和注明事实的确切来源。提出质疑的供应商（以下简称质疑供应商）应当是参与所质疑项目采购活动的供应商。潜在供应商已依法获取其可质疑的采购文件的，可以对该文件提出质疑；对采购文件提出质疑的，应当在获取采购文件或者采购文件公告期限届满之日起7个工作日内提出；对其他采购环节的质疑期限的起算日为该环节结束后一日。</w:t>
      </w:r>
    </w:p>
    <w:p w14:paraId="58724327">
      <w:pPr>
        <w:spacing w:line="360" w:lineRule="auto"/>
        <w:ind w:firstLine="420" w:firstLineChars="200"/>
        <w:jc w:val="left"/>
        <w:rPr>
          <w:rFonts w:hint="eastAsia" w:ascii="宋体" w:hAnsi="宋体" w:eastAsia="宋体" w:cs="Times New Roman"/>
          <w:color w:val="auto"/>
          <w:szCs w:val="21"/>
          <w:lang w:eastAsia="zh-CN"/>
        </w:rPr>
      </w:pPr>
      <w:r>
        <w:rPr>
          <w:rFonts w:hint="eastAsia" w:ascii="宋体" w:hAnsi="宋体" w:eastAsia="宋体" w:cs="Times New Roman"/>
          <w:color w:val="auto"/>
          <w:szCs w:val="21"/>
        </w:rPr>
        <w:t>受理质疑部门：</w:t>
      </w:r>
      <w:r>
        <w:rPr>
          <w:rFonts w:hint="eastAsia" w:ascii="宋体" w:hAnsi="宋体" w:eastAsia="宋体" w:cs="Times New Roman"/>
          <w:color w:val="auto"/>
          <w:szCs w:val="21"/>
          <w:lang w:eastAsia="zh-CN"/>
        </w:rPr>
        <w:t>怒江石月亮招标有限公司</w:t>
      </w:r>
    </w:p>
    <w:p w14:paraId="562E6FE9">
      <w:pPr>
        <w:spacing w:line="360" w:lineRule="auto"/>
        <w:ind w:firstLine="420" w:firstLineChars="200"/>
        <w:jc w:val="left"/>
        <w:rPr>
          <w:rFonts w:hint="eastAsia" w:ascii="宋体" w:hAnsi="宋体" w:eastAsia="宋体" w:cs="Times New Roman"/>
          <w:color w:val="auto"/>
          <w:szCs w:val="21"/>
        </w:rPr>
      </w:pPr>
      <w:r>
        <w:rPr>
          <w:rFonts w:hint="eastAsia" w:ascii="宋体" w:hAnsi="宋体" w:eastAsia="宋体" w:cs="Times New Roman"/>
          <w:color w:val="auto"/>
          <w:szCs w:val="21"/>
        </w:rPr>
        <w:t>通讯地址：</w:t>
      </w:r>
      <w:r>
        <w:rPr>
          <w:rFonts w:hint="eastAsia" w:ascii="宋体" w:hAnsi="宋体" w:eastAsia="宋体" w:cs="Times New Roman"/>
          <w:color w:val="auto"/>
          <w:szCs w:val="21"/>
          <w:lang w:eastAsia="zh-CN"/>
        </w:rPr>
        <w:t>（</w:t>
      </w:r>
      <w:r>
        <w:rPr>
          <w:rFonts w:hint="eastAsia" w:ascii="宋体" w:hAnsi="宋体" w:eastAsia="宋体" w:cs="Times New Roman"/>
          <w:color w:val="auto"/>
          <w:szCs w:val="21"/>
          <w:lang w:val="en-US" w:eastAsia="zh-CN"/>
        </w:rPr>
        <w:t>怒江明珠5期商铺S03</w:t>
      </w:r>
      <w:r>
        <w:rPr>
          <w:rFonts w:hint="eastAsia" w:ascii="宋体" w:hAnsi="宋体" w:eastAsia="宋体" w:cs="Times New Roman"/>
          <w:color w:val="auto"/>
          <w:szCs w:val="21"/>
          <w:lang w:eastAsia="zh-CN"/>
        </w:rPr>
        <w:t>）</w:t>
      </w:r>
    </w:p>
    <w:p w14:paraId="4F00FBB5">
      <w:pPr>
        <w:spacing w:line="360" w:lineRule="auto"/>
        <w:ind w:firstLine="413" w:firstLineChars="196"/>
        <w:jc w:val="left"/>
        <w:rPr>
          <w:rFonts w:ascii="宋体" w:hAnsi="宋体"/>
          <w:color w:val="auto"/>
          <w:szCs w:val="21"/>
        </w:rPr>
      </w:pPr>
      <w:r>
        <w:rPr>
          <w:rFonts w:hint="eastAsia" w:ascii="宋体" w:hAnsi="宋体"/>
          <w:b/>
          <w:bCs/>
          <w:color w:val="auto"/>
          <w:szCs w:val="21"/>
          <w:u w:val="single"/>
        </w:rPr>
        <w:t>6.2投标人提供的质疑书应符合</w:t>
      </w:r>
      <w:r>
        <w:rPr>
          <w:rFonts w:ascii="宋体" w:hAnsi="宋体"/>
          <w:b/>
          <w:bCs/>
          <w:color w:val="auto"/>
          <w:szCs w:val="21"/>
          <w:u w:val="single"/>
        </w:rPr>
        <w:t>中华人民共和国财政部第</w:t>
      </w:r>
      <w:r>
        <w:rPr>
          <w:rFonts w:hint="eastAsia" w:ascii="宋体" w:hAnsi="宋体"/>
          <w:b/>
          <w:bCs/>
          <w:color w:val="auto"/>
          <w:szCs w:val="21"/>
          <w:u w:val="single"/>
        </w:rPr>
        <w:t>94</w:t>
      </w:r>
      <w:r>
        <w:rPr>
          <w:rFonts w:ascii="宋体" w:hAnsi="宋体"/>
          <w:b/>
          <w:bCs/>
          <w:color w:val="auto"/>
          <w:szCs w:val="21"/>
          <w:u w:val="single"/>
        </w:rPr>
        <w:t>号令</w:t>
      </w:r>
      <w:r>
        <w:rPr>
          <w:rFonts w:hint="eastAsia" w:ascii="宋体" w:hAnsi="宋体"/>
          <w:b/>
          <w:bCs/>
          <w:color w:val="auto"/>
          <w:szCs w:val="21"/>
          <w:u w:val="single"/>
        </w:rPr>
        <w:t>《</w:t>
      </w:r>
      <w:r>
        <w:rPr>
          <w:rFonts w:ascii="宋体" w:hAnsi="宋体"/>
          <w:b/>
          <w:bCs/>
          <w:color w:val="auto"/>
          <w:szCs w:val="21"/>
          <w:u w:val="single"/>
        </w:rPr>
        <w:t>政府采购供应商投诉处理办法</w:t>
      </w:r>
      <w:r>
        <w:rPr>
          <w:rFonts w:hint="eastAsia" w:ascii="宋体" w:hAnsi="宋体"/>
          <w:b/>
          <w:bCs/>
          <w:color w:val="auto"/>
          <w:szCs w:val="21"/>
          <w:u w:val="single"/>
        </w:rPr>
        <w:t>》的规定。</w:t>
      </w:r>
      <w:r>
        <w:rPr>
          <w:rFonts w:hint="eastAsia" w:ascii="宋体" w:hAnsi="宋体"/>
          <w:color w:val="auto"/>
          <w:szCs w:val="21"/>
        </w:rPr>
        <w:t>投标人</w:t>
      </w:r>
      <w:r>
        <w:rPr>
          <w:rFonts w:ascii="宋体" w:hAnsi="宋体"/>
          <w:color w:val="auto"/>
          <w:szCs w:val="21"/>
        </w:rPr>
        <w:t>提供的质疑书（如材料中有外文资料应同时附上中文译本）应当包括以下主要内容：</w:t>
      </w:r>
    </w:p>
    <w:p w14:paraId="6DF091D1">
      <w:pPr>
        <w:spacing w:line="360" w:lineRule="auto"/>
        <w:ind w:firstLine="359" w:firstLineChars="171"/>
        <w:jc w:val="left"/>
        <w:rPr>
          <w:rFonts w:ascii="宋体" w:hAnsi="宋体"/>
          <w:color w:val="auto"/>
          <w:szCs w:val="21"/>
        </w:rPr>
      </w:pPr>
      <w:r>
        <w:rPr>
          <w:rFonts w:ascii="宋体" w:hAnsi="宋体"/>
          <w:color w:val="auto"/>
          <w:szCs w:val="21"/>
        </w:rPr>
        <w:t>（1）质疑</w:t>
      </w:r>
      <w:r>
        <w:rPr>
          <w:rFonts w:hint="eastAsia" w:ascii="宋体" w:hAnsi="宋体"/>
          <w:color w:val="auto"/>
          <w:szCs w:val="21"/>
        </w:rPr>
        <w:t>项目名称</w:t>
      </w:r>
      <w:r>
        <w:rPr>
          <w:rFonts w:ascii="宋体" w:hAnsi="宋体"/>
          <w:color w:val="auto"/>
          <w:szCs w:val="21"/>
        </w:rPr>
        <w:t>；</w:t>
      </w:r>
    </w:p>
    <w:p w14:paraId="02D7AB85">
      <w:pPr>
        <w:spacing w:line="360" w:lineRule="auto"/>
        <w:ind w:firstLine="359" w:firstLineChars="171"/>
        <w:jc w:val="left"/>
        <w:rPr>
          <w:rFonts w:ascii="宋体" w:hAnsi="宋体"/>
          <w:color w:val="auto"/>
          <w:szCs w:val="21"/>
        </w:rPr>
      </w:pPr>
      <w:r>
        <w:rPr>
          <w:rFonts w:ascii="宋体" w:hAnsi="宋体"/>
          <w:color w:val="auto"/>
          <w:szCs w:val="21"/>
        </w:rPr>
        <w:t>（2）质疑理由及事实依据；</w:t>
      </w:r>
    </w:p>
    <w:p w14:paraId="211DEFA5">
      <w:pPr>
        <w:spacing w:line="360" w:lineRule="auto"/>
        <w:ind w:firstLine="359" w:firstLineChars="171"/>
        <w:jc w:val="left"/>
        <w:rPr>
          <w:rFonts w:ascii="宋体" w:hAnsi="宋体"/>
          <w:color w:val="auto"/>
          <w:szCs w:val="21"/>
        </w:rPr>
      </w:pPr>
      <w:r>
        <w:rPr>
          <w:rFonts w:ascii="宋体" w:hAnsi="宋体"/>
          <w:color w:val="auto"/>
          <w:szCs w:val="21"/>
        </w:rPr>
        <w:t>（3）质疑对象；</w:t>
      </w:r>
    </w:p>
    <w:p w14:paraId="4CBB4593">
      <w:pPr>
        <w:spacing w:line="360" w:lineRule="auto"/>
        <w:ind w:firstLine="359" w:firstLineChars="171"/>
        <w:jc w:val="left"/>
        <w:rPr>
          <w:rFonts w:ascii="宋体" w:hAnsi="宋体"/>
          <w:color w:val="auto"/>
          <w:szCs w:val="21"/>
        </w:rPr>
      </w:pPr>
      <w:r>
        <w:rPr>
          <w:rFonts w:ascii="宋体" w:hAnsi="宋体"/>
          <w:color w:val="auto"/>
          <w:szCs w:val="21"/>
        </w:rPr>
        <w:t>（4）联系电话和地址；</w:t>
      </w:r>
    </w:p>
    <w:p w14:paraId="7A0E2B2D">
      <w:pPr>
        <w:spacing w:line="360" w:lineRule="auto"/>
        <w:ind w:firstLine="359" w:firstLineChars="171"/>
        <w:jc w:val="left"/>
        <w:rPr>
          <w:rFonts w:ascii="宋体" w:hAnsi="宋体"/>
          <w:color w:val="auto"/>
          <w:szCs w:val="21"/>
        </w:rPr>
      </w:pPr>
      <w:r>
        <w:rPr>
          <w:rFonts w:ascii="宋体" w:hAnsi="宋体"/>
          <w:color w:val="auto"/>
          <w:szCs w:val="21"/>
        </w:rPr>
        <w:t>（5）质疑的日期；</w:t>
      </w:r>
    </w:p>
    <w:p w14:paraId="2D1ABA08">
      <w:pPr>
        <w:spacing w:line="360" w:lineRule="auto"/>
        <w:ind w:firstLine="359" w:firstLineChars="171"/>
        <w:jc w:val="left"/>
        <w:rPr>
          <w:rFonts w:ascii="宋体" w:hAnsi="宋体"/>
          <w:color w:val="auto"/>
          <w:szCs w:val="21"/>
        </w:rPr>
      </w:pPr>
      <w:r>
        <w:rPr>
          <w:rFonts w:ascii="宋体" w:hAnsi="宋体"/>
          <w:color w:val="auto"/>
          <w:szCs w:val="21"/>
        </w:rPr>
        <w:t>（6）质疑人署名。</w:t>
      </w:r>
    </w:p>
    <w:p w14:paraId="593E3B33">
      <w:pPr>
        <w:spacing w:line="360" w:lineRule="auto"/>
        <w:ind w:firstLine="474" w:firstLineChars="225"/>
        <w:jc w:val="left"/>
        <w:rPr>
          <w:rFonts w:ascii="宋体" w:hAnsi="宋体"/>
          <w:b/>
          <w:bCs/>
          <w:color w:val="auto"/>
          <w:szCs w:val="21"/>
          <w:u w:val="single"/>
        </w:rPr>
      </w:pPr>
      <w:r>
        <w:rPr>
          <w:rFonts w:ascii="宋体" w:hAnsi="宋体"/>
          <w:b/>
          <w:bCs/>
          <w:color w:val="auto"/>
          <w:szCs w:val="21"/>
          <w:u w:val="single"/>
        </w:rPr>
        <w:t>质疑书实行实名制</w:t>
      </w:r>
      <w:r>
        <w:rPr>
          <w:rFonts w:hint="eastAsia" w:ascii="宋体" w:hAnsi="宋体"/>
          <w:b/>
          <w:bCs/>
          <w:color w:val="auto"/>
          <w:szCs w:val="21"/>
          <w:u w:val="single"/>
        </w:rPr>
        <w:t>，并提交</w:t>
      </w:r>
      <w:r>
        <w:rPr>
          <w:rFonts w:ascii="宋体" w:hAnsi="宋体"/>
          <w:b/>
          <w:bCs/>
          <w:color w:val="auto"/>
          <w:szCs w:val="21"/>
          <w:u w:val="single"/>
        </w:rPr>
        <w:t>由</w:t>
      </w:r>
      <w:r>
        <w:rPr>
          <w:rFonts w:hint="eastAsia" w:ascii="宋体" w:hAnsi="宋体"/>
          <w:b/>
          <w:bCs/>
          <w:color w:val="auto"/>
          <w:szCs w:val="21"/>
          <w:u w:val="single"/>
        </w:rPr>
        <w:t>法定代表人</w:t>
      </w:r>
      <w:r>
        <w:rPr>
          <w:rFonts w:ascii="宋体" w:hAnsi="宋体"/>
          <w:b/>
          <w:bCs/>
          <w:color w:val="auto"/>
          <w:szCs w:val="21"/>
          <w:u w:val="single"/>
        </w:rPr>
        <w:t>签字</w:t>
      </w:r>
      <w:r>
        <w:rPr>
          <w:rFonts w:hint="eastAsia" w:ascii="宋体" w:hAnsi="宋体"/>
          <w:b/>
          <w:bCs/>
          <w:color w:val="auto"/>
          <w:szCs w:val="21"/>
          <w:u w:val="single"/>
        </w:rPr>
        <w:t>且</w:t>
      </w:r>
      <w:r>
        <w:rPr>
          <w:rFonts w:ascii="宋体" w:hAnsi="宋体"/>
          <w:b/>
          <w:bCs/>
          <w:color w:val="auto"/>
          <w:szCs w:val="21"/>
          <w:u w:val="single"/>
        </w:rPr>
        <w:t>盖</w:t>
      </w:r>
      <w:r>
        <w:rPr>
          <w:rFonts w:hint="eastAsia" w:ascii="宋体" w:hAnsi="宋体"/>
          <w:b/>
          <w:bCs/>
          <w:color w:val="auto"/>
          <w:szCs w:val="21"/>
          <w:u w:val="single"/>
        </w:rPr>
        <w:t>单位</w:t>
      </w:r>
      <w:r>
        <w:rPr>
          <w:rFonts w:ascii="宋体" w:hAnsi="宋体"/>
          <w:b/>
          <w:bCs/>
          <w:color w:val="auto"/>
          <w:szCs w:val="21"/>
          <w:u w:val="single"/>
        </w:rPr>
        <w:t>章</w:t>
      </w:r>
      <w:r>
        <w:rPr>
          <w:rFonts w:hint="eastAsia" w:ascii="宋体" w:hAnsi="宋体"/>
          <w:b/>
          <w:bCs/>
          <w:color w:val="auto"/>
          <w:szCs w:val="21"/>
          <w:u w:val="single"/>
        </w:rPr>
        <w:t>的原件</w:t>
      </w:r>
      <w:r>
        <w:rPr>
          <w:rFonts w:ascii="宋体" w:hAnsi="宋体"/>
          <w:b/>
          <w:bCs/>
          <w:color w:val="auto"/>
          <w:szCs w:val="21"/>
          <w:u w:val="single"/>
        </w:rPr>
        <w:t>。</w:t>
      </w:r>
    </w:p>
    <w:p w14:paraId="663F7A14">
      <w:pPr>
        <w:spacing w:line="360" w:lineRule="auto"/>
        <w:ind w:firstLine="420" w:firstLineChars="200"/>
        <w:jc w:val="left"/>
        <w:rPr>
          <w:rFonts w:ascii="宋体" w:hAnsi="宋体"/>
          <w:color w:val="auto"/>
          <w:szCs w:val="21"/>
        </w:rPr>
      </w:pPr>
      <w:r>
        <w:rPr>
          <w:rFonts w:hint="eastAsia" w:ascii="宋体" w:hAnsi="宋体"/>
          <w:color w:val="auto"/>
          <w:szCs w:val="21"/>
        </w:rPr>
        <w:t>6.3</w:t>
      </w:r>
      <w:r>
        <w:rPr>
          <w:rFonts w:ascii="宋体" w:hAnsi="宋体"/>
          <w:color w:val="auto"/>
          <w:szCs w:val="21"/>
        </w:rPr>
        <w:t>采购人、采购代理机构将在收到</w:t>
      </w:r>
      <w:r>
        <w:rPr>
          <w:rFonts w:hint="eastAsia" w:ascii="宋体" w:hAnsi="宋体"/>
          <w:color w:val="auto"/>
          <w:szCs w:val="21"/>
        </w:rPr>
        <w:t>投标人</w:t>
      </w:r>
      <w:r>
        <w:rPr>
          <w:rFonts w:ascii="宋体" w:hAnsi="宋体"/>
          <w:color w:val="auto"/>
          <w:szCs w:val="21"/>
        </w:rPr>
        <w:t>的书面质疑后七个工作日内</w:t>
      </w:r>
      <w:r>
        <w:rPr>
          <w:rFonts w:hint="eastAsia" w:ascii="宋体" w:hAnsi="宋体"/>
          <w:color w:val="auto"/>
          <w:szCs w:val="21"/>
        </w:rPr>
        <w:t>作</w:t>
      </w:r>
      <w:r>
        <w:rPr>
          <w:rFonts w:ascii="宋体" w:hAnsi="宋体"/>
          <w:color w:val="auto"/>
          <w:szCs w:val="21"/>
        </w:rPr>
        <w:t>出答复，但答复的内容不涉及商业秘密。</w:t>
      </w:r>
    </w:p>
    <w:p w14:paraId="4F6F556E">
      <w:pPr>
        <w:spacing w:line="360" w:lineRule="auto"/>
        <w:ind w:firstLine="420" w:firstLineChars="200"/>
        <w:jc w:val="left"/>
        <w:rPr>
          <w:rFonts w:hint="eastAsia" w:ascii="宋体" w:hAnsi="宋体"/>
          <w:color w:val="auto"/>
          <w:szCs w:val="21"/>
        </w:rPr>
      </w:pPr>
      <w:r>
        <w:rPr>
          <w:rFonts w:hint="eastAsia" w:ascii="宋体" w:hAnsi="宋体"/>
          <w:color w:val="auto"/>
          <w:szCs w:val="21"/>
        </w:rPr>
        <w:t>6.4参与政府采购活动的投标人对评审过程或者结果提出质疑的，采购人或采购代理机构可以组织原评标委员会协助处理质疑事项，并依据评标委员会出具的意见进行答复。质疑答复导致中标或成交结果改变的，采购人或采购代理机构应当将相关情况报财政部门备案。</w:t>
      </w:r>
    </w:p>
    <w:p w14:paraId="3B02BAE8">
      <w:pPr>
        <w:spacing w:line="360" w:lineRule="auto"/>
        <w:ind w:firstLine="420" w:firstLineChars="200"/>
        <w:jc w:val="left"/>
        <w:rPr>
          <w:rFonts w:hint="eastAsia" w:ascii="宋体" w:hAnsi="宋体" w:cs="宋体"/>
          <w:color w:val="auto"/>
        </w:rPr>
      </w:pPr>
      <w:r>
        <w:rPr>
          <w:rFonts w:ascii="宋体" w:hAnsi="宋体" w:cs="宋体"/>
          <w:color w:val="auto"/>
        </w:rPr>
        <w:t>6.5</w:t>
      </w:r>
      <w:r>
        <w:rPr>
          <w:rFonts w:hint="eastAsia" w:ascii="宋体" w:hAnsi="宋体" w:cs="宋体"/>
          <w:color w:val="auto"/>
        </w:rPr>
        <w:t>投标人对招标文件的质疑，必须在投标截止时间前七个工作日内提出质疑，如不足</w:t>
      </w:r>
      <w:r>
        <w:rPr>
          <w:rFonts w:ascii="宋体" w:hAnsi="宋体" w:cs="宋体"/>
          <w:color w:val="auto"/>
        </w:rPr>
        <w:t>7</w:t>
      </w:r>
      <w:r>
        <w:rPr>
          <w:rFonts w:hint="eastAsia" w:ascii="宋体" w:hAnsi="宋体" w:cs="宋体"/>
          <w:color w:val="auto"/>
        </w:rPr>
        <w:t>个工作日提出的质疑为无效质疑，采购人和采购代理机构可以不予置理。</w:t>
      </w:r>
    </w:p>
    <w:p w14:paraId="698A4C2F">
      <w:pPr>
        <w:spacing w:line="360" w:lineRule="auto"/>
        <w:jc w:val="left"/>
        <w:rPr>
          <w:rFonts w:ascii="宋体" w:hAnsi="宋体"/>
          <w:b/>
          <w:color w:val="auto"/>
          <w:szCs w:val="21"/>
        </w:rPr>
      </w:pPr>
      <w:bookmarkStart w:id="36" w:name="_Toc321836357"/>
      <w:r>
        <w:rPr>
          <w:rFonts w:hint="eastAsia" w:ascii="宋体" w:hAnsi="宋体"/>
          <w:b/>
          <w:color w:val="auto"/>
          <w:szCs w:val="21"/>
        </w:rPr>
        <w:t>7.</w:t>
      </w:r>
      <w:r>
        <w:rPr>
          <w:rFonts w:ascii="宋体" w:hAnsi="宋体"/>
          <w:b/>
          <w:color w:val="auto"/>
          <w:szCs w:val="21"/>
        </w:rPr>
        <w:t>投诉</w:t>
      </w:r>
      <w:bookmarkEnd w:id="36"/>
    </w:p>
    <w:p w14:paraId="44D5BC62">
      <w:pPr>
        <w:ind w:firstLine="420" w:firstLineChars="200"/>
        <w:rPr>
          <w:rFonts w:ascii="宋体" w:hAnsi="宋体"/>
          <w:color w:val="auto"/>
          <w:szCs w:val="21"/>
        </w:rPr>
      </w:pPr>
      <w:r>
        <w:rPr>
          <w:rFonts w:ascii="宋体" w:hAnsi="宋体"/>
          <w:color w:val="auto"/>
          <w:szCs w:val="21"/>
        </w:rPr>
        <w:t>投诉必须首先经过质疑程序。质疑</w:t>
      </w:r>
      <w:r>
        <w:rPr>
          <w:rFonts w:hint="eastAsia" w:ascii="宋体" w:hAnsi="宋体"/>
          <w:color w:val="auto"/>
          <w:szCs w:val="21"/>
        </w:rPr>
        <w:t>人</w:t>
      </w:r>
      <w:r>
        <w:rPr>
          <w:rFonts w:ascii="宋体" w:hAnsi="宋体"/>
          <w:color w:val="auto"/>
          <w:szCs w:val="21"/>
        </w:rPr>
        <w:t>对采购人、采购代理机构的答复不满意，或者采购人、采购代理机构未在规定的时间内做出答复的，可以在答复期满后十五个工作日内书面向</w:t>
      </w:r>
      <w:r>
        <w:rPr>
          <w:rFonts w:hint="eastAsia" w:ascii="宋体" w:hAnsi="宋体"/>
          <w:color w:val="auto"/>
          <w:szCs w:val="21"/>
        </w:rPr>
        <w:t>同</w:t>
      </w:r>
      <w:r>
        <w:rPr>
          <w:rFonts w:ascii="宋体" w:hAnsi="宋体"/>
          <w:color w:val="auto"/>
          <w:szCs w:val="21"/>
        </w:rPr>
        <w:t>级财政部门</w:t>
      </w:r>
      <w:r>
        <w:rPr>
          <w:rFonts w:hint="eastAsia" w:ascii="宋体" w:hAnsi="宋体"/>
          <w:color w:val="auto"/>
          <w:szCs w:val="21"/>
        </w:rPr>
        <w:t>提出</w:t>
      </w:r>
      <w:r>
        <w:rPr>
          <w:rFonts w:ascii="宋体" w:hAnsi="宋体"/>
          <w:color w:val="auto"/>
          <w:szCs w:val="21"/>
        </w:rPr>
        <w:t>投诉。</w:t>
      </w:r>
    </w:p>
    <w:p w14:paraId="7E276220">
      <w:pPr>
        <w:pStyle w:val="3"/>
        <w:numPr>
          <w:ilvl w:val="0"/>
          <w:numId w:val="0"/>
        </w:numPr>
        <w:tabs>
          <w:tab w:val="left" w:pos="1021"/>
        </w:tabs>
        <w:spacing w:before="0"/>
        <w:ind w:left="425"/>
        <w:jc w:val="center"/>
        <w:rPr>
          <w:rFonts w:ascii="宋体" w:hAnsi="宋体" w:eastAsia="宋体"/>
          <w:color w:val="auto"/>
          <w:sz w:val="21"/>
          <w:szCs w:val="21"/>
        </w:rPr>
      </w:pPr>
      <w:bookmarkStart w:id="37" w:name="_Toc26482"/>
      <w:bookmarkStart w:id="38" w:name="_Toc545"/>
      <w:r>
        <w:rPr>
          <w:rFonts w:hint="eastAsia" w:ascii="宋体" w:hAnsi="宋体" w:eastAsia="宋体" w:cs="宋体"/>
          <w:color w:val="auto"/>
          <w:sz w:val="21"/>
          <w:szCs w:val="21"/>
        </w:rPr>
        <w:t>二、招标文件</w:t>
      </w:r>
      <w:bookmarkEnd w:id="37"/>
      <w:bookmarkEnd w:id="38"/>
    </w:p>
    <w:p w14:paraId="0CEBE3C3">
      <w:pPr>
        <w:pStyle w:val="18"/>
        <w:spacing w:line="360" w:lineRule="auto"/>
        <w:rPr>
          <w:rFonts w:hAnsi="宋体"/>
          <w:b/>
          <w:bCs/>
          <w:color w:val="auto"/>
          <w:sz w:val="21"/>
          <w:szCs w:val="21"/>
        </w:rPr>
      </w:pPr>
      <w:r>
        <w:rPr>
          <w:rFonts w:hAnsi="宋体"/>
          <w:b/>
          <w:bCs/>
          <w:color w:val="auto"/>
          <w:sz w:val="21"/>
          <w:szCs w:val="21"/>
        </w:rPr>
        <w:t xml:space="preserve">8. </w:t>
      </w:r>
      <w:r>
        <w:rPr>
          <w:rFonts w:hint="eastAsia" w:hAnsi="宋体"/>
          <w:b/>
          <w:bCs/>
          <w:color w:val="auto"/>
          <w:sz w:val="21"/>
          <w:szCs w:val="21"/>
        </w:rPr>
        <w:t>招标文件构成</w:t>
      </w:r>
    </w:p>
    <w:p w14:paraId="76506C62">
      <w:pPr>
        <w:spacing w:line="360" w:lineRule="auto"/>
        <w:jc w:val="left"/>
        <w:rPr>
          <w:rFonts w:ascii="宋体"/>
          <w:color w:val="auto"/>
        </w:rPr>
      </w:pPr>
      <w:r>
        <w:rPr>
          <w:rFonts w:ascii="宋体" w:hAnsi="宋体" w:cs="宋体"/>
          <w:color w:val="auto"/>
        </w:rPr>
        <w:t>8.1</w:t>
      </w:r>
      <w:r>
        <w:rPr>
          <w:rFonts w:hint="eastAsia" w:ascii="宋体" w:hAnsi="宋体" w:cs="宋体"/>
          <w:color w:val="auto"/>
        </w:rPr>
        <w:t>要求提供的</w:t>
      </w:r>
      <w:r>
        <w:rPr>
          <w:rFonts w:hint="eastAsia" w:ascii="宋体" w:hAnsi="宋体"/>
          <w:color w:val="auto"/>
          <w:szCs w:val="21"/>
          <w:lang w:val="en-US" w:eastAsia="zh-CN"/>
        </w:rPr>
        <w:t>服务</w:t>
      </w:r>
      <w:r>
        <w:rPr>
          <w:rFonts w:hint="eastAsia" w:ascii="宋体" w:hAnsi="宋体" w:cs="宋体"/>
          <w:color w:val="auto"/>
        </w:rPr>
        <w:t>、采购过程及合同条款在招标文件中均有说明，招标文件共六章，各章的内容如下：</w:t>
      </w:r>
    </w:p>
    <w:p w14:paraId="5D7FDF28">
      <w:pPr>
        <w:spacing w:line="360" w:lineRule="auto"/>
        <w:ind w:firstLine="630" w:firstLineChars="300"/>
        <w:jc w:val="left"/>
        <w:rPr>
          <w:rFonts w:ascii="宋体"/>
          <w:color w:val="auto"/>
        </w:rPr>
      </w:pPr>
      <w:r>
        <w:rPr>
          <w:rFonts w:hint="eastAsia" w:ascii="宋体" w:hAnsi="宋体" w:cs="宋体"/>
          <w:color w:val="auto"/>
        </w:rPr>
        <w:t>第一章</w:t>
      </w:r>
      <w:r>
        <w:rPr>
          <w:rFonts w:ascii="宋体" w:hAnsi="宋体" w:cs="宋体"/>
          <w:color w:val="auto"/>
        </w:rPr>
        <w:t xml:space="preserve">  </w:t>
      </w:r>
      <w:r>
        <w:rPr>
          <w:rFonts w:hint="eastAsia" w:ascii="宋体" w:hAnsi="宋体" w:cs="宋体"/>
          <w:color w:val="auto"/>
        </w:rPr>
        <w:t>招标公告</w:t>
      </w:r>
    </w:p>
    <w:p w14:paraId="1CFFBC4B">
      <w:pPr>
        <w:pStyle w:val="18"/>
        <w:spacing w:line="360" w:lineRule="auto"/>
        <w:rPr>
          <w:rFonts w:hAnsi="宋体"/>
          <w:color w:val="auto"/>
          <w:sz w:val="21"/>
          <w:szCs w:val="21"/>
        </w:rPr>
      </w:pPr>
      <w:r>
        <w:rPr>
          <w:rFonts w:hAnsi="宋体"/>
          <w:color w:val="auto"/>
          <w:sz w:val="21"/>
          <w:szCs w:val="21"/>
        </w:rPr>
        <w:t xml:space="preserve">      </w:t>
      </w:r>
      <w:r>
        <w:rPr>
          <w:rFonts w:hint="eastAsia" w:hAnsi="宋体"/>
          <w:color w:val="auto"/>
          <w:sz w:val="21"/>
          <w:szCs w:val="21"/>
        </w:rPr>
        <w:t>第二章</w:t>
      </w:r>
      <w:r>
        <w:rPr>
          <w:rFonts w:hAnsi="宋体"/>
          <w:color w:val="auto"/>
          <w:sz w:val="21"/>
          <w:szCs w:val="21"/>
        </w:rPr>
        <w:t xml:space="preserve">  </w:t>
      </w:r>
      <w:r>
        <w:rPr>
          <w:rFonts w:hint="eastAsia" w:hAnsi="宋体"/>
          <w:color w:val="auto"/>
          <w:sz w:val="21"/>
          <w:szCs w:val="21"/>
        </w:rPr>
        <w:t>投标人须知</w:t>
      </w:r>
    </w:p>
    <w:p w14:paraId="1F51C379">
      <w:pPr>
        <w:pStyle w:val="18"/>
        <w:spacing w:line="360" w:lineRule="auto"/>
        <w:rPr>
          <w:rFonts w:hAnsi="宋体"/>
          <w:color w:val="auto"/>
          <w:sz w:val="21"/>
          <w:szCs w:val="21"/>
        </w:rPr>
      </w:pPr>
      <w:r>
        <w:rPr>
          <w:rFonts w:hAnsi="宋体"/>
          <w:color w:val="auto"/>
          <w:sz w:val="21"/>
          <w:szCs w:val="21"/>
        </w:rPr>
        <w:t xml:space="preserve">      </w:t>
      </w:r>
      <w:r>
        <w:rPr>
          <w:rFonts w:hint="eastAsia" w:hAnsi="宋体"/>
          <w:color w:val="auto"/>
          <w:sz w:val="21"/>
          <w:szCs w:val="21"/>
        </w:rPr>
        <w:t>第三章</w:t>
      </w:r>
      <w:r>
        <w:rPr>
          <w:rFonts w:hAnsi="宋体"/>
          <w:color w:val="auto"/>
          <w:sz w:val="21"/>
          <w:szCs w:val="21"/>
        </w:rPr>
        <w:t xml:space="preserve">  </w:t>
      </w:r>
      <w:r>
        <w:rPr>
          <w:rFonts w:hint="eastAsia" w:hAnsi="宋体"/>
          <w:color w:val="auto"/>
          <w:sz w:val="21"/>
          <w:szCs w:val="21"/>
        </w:rPr>
        <w:t>合同书样式及主要条款</w:t>
      </w:r>
    </w:p>
    <w:p w14:paraId="44B4FD4C">
      <w:pPr>
        <w:pStyle w:val="18"/>
        <w:spacing w:line="360" w:lineRule="auto"/>
        <w:ind w:firstLine="630" w:firstLineChars="300"/>
        <w:rPr>
          <w:rFonts w:hAnsi="宋体"/>
          <w:color w:val="auto"/>
          <w:sz w:val="21"/>
          <w:szCs w:val="21"/>
        </w:rPr>
      </w:pPr>
      <w:r>
        <w:rPr>
          <w:rFonts w:hint="eastAsia" w:hAnsi="宋体"/>
          <w:color w:val="auto"/>
          <w:sz w:val="21"/>
          <w:szCs w:val="21"/>
        </w:rPr>
        <w:t>第四章</w:t>
      </w:r>
      <w:r>
        <w:rPr>
          <w:rFonts w:hAnsi="宋体"/>
          <w:color w:val="auto"/>
          <w:sz w:val="21"/>
          <w:szCs w:val="21"/>
        </w:rPr>
        <w:t xml:space="preserve">  </w:t>
      </w:r>
      <w:r>
        <w:rPr>
          <w:rFonts w:hint="eastAsia" w:hAnsi="宋体"/>
          <w:color w:val="auto"/>
          <w:sz w:val="21"/>
          <w:szCs w:val="21"/>
        </w:rPr>
        <w:t>投标文件格式</w:t>
      </w:r>
    </w:p>
    <w:p w14:paraId="51472D15">
      <w:pPr>
        <w:pStyle w:val="18"/>
        <w:spacing w:line="360" w:lineRule="auto"/>
        <w:rPr>
          <w:rFonts w:hAnsi="宋体"/>
          <w:color w:val="auto"/>
          <w:sz w:val="21"/>
          <w:szCs w:val="21"/>
        </w:rPr>
      </w:pPr>
      <w:r>
        <w:rPr>
          <w:rFonts w:hAnsi="宋体"/>
          <w:color w:val="auto"/>
          <w:sz w:val="21"/>
          <w:szCs w:val="21"/>
        </w:rPr>
        <w:t xml:space="preserve">      </w:t>
      </w:r>
      <w:r>
        <w:rPr>
          <w:rFonts w:hint="eastAsia" w:hAnsi="宋体"/>
          <w:color w:val="auto"/>
          <w:sz w:val="21"/>
          <w:szCs w:val="21"/>
        </w:rPr>
        <w:t>第五章</w:t>
      </w:r>
      <w:r>
        <w:rPr>
          <w:rFonts w:hAnsi="宋体"/>
          <w:color w:val="auto"/>
          <w:sz w:val="21"/>
          <w:szCs w:val="21"/>
        </w:rPr>
        <w:t xml:space="preserve">  </w:t>
      </w:r>
      <w:r>
        <w:rPr>
          <w:rFonts w:hint="eastAsia" w:ascii="宋体" w:hAnsi="宋体"/>
          <w:color w:val="auto"/>
          <w:szCs w:val="21"/>
          <w:lang w:val="en-US" w:eastAsia="zh-CN"/>
        </w:rPr>
        <w:t>服务</w:t>
      </w:r>
      <w:r>
        <w:rPr>
          <w:rFonts w:hint="eastAsia" w:hAnsi="宋体"/>
          <w:color w:val="auto"/>
          <w:sz w:val="21"/>
          <w:szCs w:val="21"/>
        </w:rPr>
        <w:t>需求及技术要求</w:t>
      </w:r>
    </w:p>
    <w:p w14:paraId="374A4016">
      <w:pPr>
        <w:pStyle w:val="18"/>
        <w:spacing w:line="360" w:lineRule="auto"/>
        <w:ind w:firstLine="630" w:firstLineChars="300"/>
        <w:rPr>
          <w:rFonts w:hAnsi="宋体"/>
          <w:color w:val="auto"/>
          <w:sz w:val="21"/>
          <w:szCs w:val="21"/>
        </w:rPr>
      </w:pPr>
      <w:r>
        <w:rPr>
          <w:rFonts w:hint="eastAsia" w:hAnsi="宋体"/>
          <w:color w:val="auto"/>
          <w:sz w:val="21"/>
          <w:szCs w:val="21"/>
        </w:rPr>
        <w:t>第六章</w:t>
      </w:r>
      <w:r>
        <w:rPr>
          <w:rFonts w:hAnsi="宋体"/>
          <w:color w:val="auto"/>
          <w:sz w:val="21"/>
          <w:szCs w:val="21"/>
        </w:rPr>
        <w:t xml:space="preserve">  </w:t>
      </w:r>
      <w:r>
        <w:rPr>
          <w:rFonts w:hint="eastAsia" w:hAnsi="宋体"/>
          <w:color w:val="auto"/>
          <w:sz w:val="21"/>
          <w:szCs w:val="21"/>
        </w:rPr>
        <w:t>评标方法</w:t>
      </w:r>
    </w:p>
    <w:p w14:paraId="0B9C6A4D">
      <w:pPr>
        <w:pStyle w:val="18"/>
        <w:spacing w:line="360" w:lineRule="auto"/>
        <w:rPr>
          <w:rFonts w:hAnsi="宋体"/>
          <w:b/>
          <w:bCs/>
          <w:color w:val="auto"/>
          <w:sz w:val="21"/>
          <w:szCs w:val="21"/>
        </w:rPr>
      </w:pPr>
      <w:r>
        <w:rPr>
          <w:rFonts w:hAnsi="宋体"/>
          <w:b/>
          <w:bCs/>
          <w:color w:val="auto"/>
          <w:sz w:val="21"/>
          <w:szCs w:val="21"/>
        </w:rPr>
        <w:t xml:space="preserve">9. </w:t>
      </w:r>
      <w:r>
        <w:rPr>
          <w:rFonts w:hint="eastAsia" w:hAnsi="宋体"/>
          <w:b/>
          <w:bCs/>
          <w:color w:val="auto"/>
          <w:sz w:val="21"/>
          <w:szCs w:val="21"/>
        </w:rPr>
        <w:t>招标文件的澄清</w:t>
      </w:r>
    </w:p>
    <w:p w14:paraId="01B3046F">
      <w:pPr>
        <w:spacing w:line="360" w:lineRule="auto"/>
        <w:jc w:val="left"/>
        <w:rPr>
          <w:rFonts w:ascii="宋体"/>
          <w:color w:val="auto"/>
        </w:rPr>
      </w:pPr>
      <w:r>
        <w:rPr>
          <w:rFonts w:ascii="宋体" w:hAnsi="宋体" w:cs="宋体"/>
          <w:color w:val="auto"/>
        </w:rPr>
        <w:t>9.1</w:t>
      </w:r>
      <w:r>
        <w:rPr>
          <w:rFonts w:hint="eastAsia" w:ascii="宋体" w:hAnsi="宋体" w:cs="宋体"/>
          <w:color w:val="auto"/>
        </w:rPr>
        <w:t>投标人应认真核查招标文件，如有疑问的，投标人可以在</w:t>
      </w:r>
      <w:r>
        <w:rPr>
          <w:rFonts w:ascii="宋体" w:hAnsi="宋体" w:cs="宋体"/>
          <w:color w:val="auto"/>
        </w:rPr>
        <w:t xml:space="preserve"> </w:t>
      </w:r>
      <w:r>
        <w:rPr>
          <w:rFonts w:hint="eastAsia" w:ascii="宋体" w:hAnsi="宋体" w:cs="宋体"/>
          <w:color w:val="auto"/>
        </w:rPr>
        <w:t>“</w:t>
      </w:r>
      <w:r>
        <w:rPr>
          <w:rFonts w:hint="eastAsia" w:ascii="宋体" w:hAnsi="宋体" w:cs="宋体"/>
          <w:b/>
          <w:bCs/>
          <w:color w:val="auto"/>
        </w:rPr>
        <w:t>投标人须知前附表</w:t>
      </w:r>
      <w:r>
        <w:rPr>
          <w:rFonts w:hint="eastAsia" w:ascii="宋体" w:hAnsi="宋体" w:cs="宋体"/>
          <w:color w:val="auto"/>
        </w:rPr>
        <w:t>”规定截止时间前以澄清函形式（加盖单位章）要求采购人澄清，截止时间后送达的澄清要求不予接受。</w:t>
      </w:r>
    </w:p>
    <w:p w14:paraId="24228DFB">
      <w:pPr>
        <w:spacing w:line="360" w:lineRule="auto"/>
        <w:jc w:val="left"/>
        <w:rPr>
          <w:rFonts w:ascii="宋体"/>
          <w:color w:val="auto"/>
        </w:rPr>
      </w:pPr>
      <w:r>
        <w:rPr>
          <w:rFonts w:ascii="宋体" w:hAnsi="宋体" w:cs="宋体"/>
          <w:color w:val="auto"/>
        </w:rPr>
        <w:t>9.2</w:t>
      </w:r>
      <w:r>
        <w:rPr>
          <w:rFonts w:hint="eastAsia" w:ascii="宋体" w:hAnsi="宋体" w:cs="宋体"/>
          <w:color w:val="auto"/>
        </w:rPr>
        <w:t>采购代理机构将以书面形式答复所有购买招标文件的投标人（答复中不包含问题的来源）要求澄清的问题，其他澄清方式为无效。</w:t>
      </w:r>
    </w:p>
    <w:p w14:paraId="47E5F903">
      <w:pPr>
        <w:pStyle w:val="18"/>
        <w:spacing w:line="360" w:lineRule="auto"/>
        <w:rPr>
          <w:rFonts w:hAnsi="宋体"/>
          <w:b/>
          <w:bCs/>
          <w:color w:val="auto"/>
          <w:sz w:val="21"/>
          <w:szCs w:val="21"/>
        </w:rPr>
      </w:pPr>
      <w:r>
        <w:rPr>
          <w:rFonts w:hAnsi="宋体"/>
          <w:b/>
          <w:bCs/>
          <w:color w:val="auto"/>
          <w:sz w:val="21"/>
          <w:szCs w:val="21"/>
        </w:rPr>
        <w:t xml:space="preserve">10. </w:t>
      </w:r>
      <w:r>
        <w:rPr>
          <w:rFonts w:hint="eastAsia" w:hAnsi="宋体"/>
          <w:b/>
          <w:bCs/>
          <w:color w:val="auto"/>
          <w:sz w:val="21"/>
          <w:szCs w:val="21"/>
        </w:rPr>
        <w:t>招标文件的澄清或者修改</w:t>
      </w:r>
    </w:p>
    <w:p w14:paraId="1A922322">
      <w:pPr>
        <w:spacing w:line="360" w:lineRule="auto"/>
        <w:jc w:val="left"/>
        <w:rPr>
          <w:rFonts w:ascii="宋体"/>
          <w:color w:val="auto"/>
        </w:rPr>
      </w:pPr>
      <w:r>
        <w:rPr>
          <w:rFonts w:ascii="宋体" w:hAnsi="宋体" w:cs="宋体"/>
          <w:color w:val="auto"/>
        </w:rPr>
        <w:t>10.1</w:t>
      </w:r>
      <w:r>
        <w:rPr>
          <w:rFonts w:hint="eastAsia" w:ascii="宋体" w:hAnsi="宋体" w:cs="宋体"/>
          <w:color w:val="auto"/>
        </w:rPr>
        <w:t>采购代理机构对已发出的招标文件进行必要澄清或者修改的，于招标文件要求提交投标文件截止时间十五日前，在财政部门指定的政府采购信息发布媒体上发布更正公告，并以书面形式通知所有购买招标文件的投标人。该澄清或者修改的内容为招标文件的组成部分。</w:t>
      </w:r>
    </w:p>
    <w:p w14:paraId="3C88FD08">
      <w:pPr>
        <w:spacing w:line="360" w:lineRule="auto"/>
        <w:jc w:val="left"/>
        <w:rPr>
          <w:rFonts w:ascii="宋体"/>
          <w:color w:val="auto"/>
        </w:rPr>
      </w:pPr>
      <w:r>
        <w:rPr>
          <w:rFonts w:ascii="宋体" w:hAnsi="宋体" w:cs="宋体"/>
          <w:color w:val="auto"/>
        </w:rPr>
        <w:t>10.2</w:t>
      </w:r>
      <w:r>
        <w:rPr>
          <w:rFonts w:hint="eastAsia" w:ascii="宋体" w:hAnsi="宋体" w:cs="宋体"/>
          <w:color w:val="auto"/>
        </w:rPr>
        <w:t>采购代理机构和采购单位可以视采购具体情况，延长投标截止时间和开标时间，但至少在招标文件要求提交投标文件的截止时间三日前，将变更时间书面通知所有购买招标文件的投标人，并在财政部门指定的政府采购信息发布媒体上发布变更公告。</w:t>
      </w:r>
    </w:p>
    <w:p w14:paraId="1FAC7292">
      <w:pPr>
        <w:pStyle w:val="3"/>
        <w:numPr>
          <w:ilvl w:val="0"/>
          <w:numId w:val="0"/>
        </w:numPr>
        <w:tabs>
          <w:tab w:val="left" w:pos="1021"/>
        </w:tabs>
        <w:ind w:left="425"/>
        <w:jc w:val="center"/>
        <w:rPr>
          <w:rFonts w:ascii="宋体" w:hAnsi="宋体" w:eastAsia="宋体"/>
          <w:color w:val="auto"/>
          <w:sz w:val="21"/>
          <w:szCs w:val="21"/>
        </w:rPr>
      </w:pPr>
      <w:bookmarkStart w:id="39" w:name="_Toc5983"/>
      <w:bookmarkStart w:id="40" w:name="_Toc21163"/>
      <w:r>
        <w:rPr>
          <w:rFonts w:hint="eastAsia" w:ascii="宋体" w:hAnsi="宋体" w:eastAsia="宋体"/>
          <w:color w:val="auto"/>
          <w:sz w:val="21"/>
          <w:szCs w:val="21"/>
        </w:rPr>
        <w:t>三、投标文件</w:t>
      </w:r>
      <w:bookmarkEnd w:id="39"/>
      <w:bookmarkEnd w:id="40"/>
    </w:p>
    <w:p w14:paraId="4D2F57FE">
      <w:pPr>
        <w:spacing w:line="360" w:lineRule="auto"/>
        <w:jc w:val="left"/>
        <w:rPr>
          <w:rFonts w:ascii="宋体" w:hAnsi="宋体"/>
          <w:b/>
          <w:color w:val="auto"/>
          <w:szCs w:val="21"/>
        </w:rPr>
      </w:pPr>
      <w:r>
        <w:rPr>
          <w:rFonts w:hint="eastAsia" w:ascii="宋体" w:hAnsi="宋体"/>
          <w:b/>
          <w:color w:val="auto"/>
          <w:szCs w:val="21"/>
        </w:rPr>
        <w:t>11. 投标文件编写注意事项</w:t>
      </w:r>
    </w:p>
    <w:p w14:paraId="17E31C12">
      <w:pPr>
        <w:spacing w:line="360" w:lineRule="auto"/>
        <w:jc w:val="left"/>
        <w:rPr>
          <w:rFonts w:ascii="宋体" w:hAnsi="宋体"/>
          <w:color w:val="auto"/>
          <w:szCs w:val="21"/>
        </w:rPr>
      </w:pPr>
      <w:r>
        <w:rPr>
          <w:rFonts w:hint="eastAsia" w:ascii="宋体" w:hAnsi="宋体"/>
          <w:color w:val="auto"/>
          <w:szCs w:val="21"/>
        </w:rPr>
        <w:t>11.1投标人应仔细阅读招标文件，在完全了解采购的内容、技术性能要求(详见“</w:t>
      </w:r>
      <w:r>
        <w:rPr>
          <w:rFonts w:hint="eastAsia" w:ascii="宋体" w:hAnsi="宋体"/>
          <w:b/>
          <w:color w:val="auto"/>
          <w:szCs w:val="21"/>
        </w:rPr>
        <w:t>货物需求及技术要求”</w:t>
      </w:r>
      <w:r>
        <w:rPr>
          <w:rFonts w:hint="eastAsia" w:ascii="宋体" w:hAnsi="宋体"/>
          <w:color w:val="auto"/>
          <w:szCs w:val="21"/>
        </w:rPr>
        <w:t>)和商务条件后，编写投标文件。投标文件必须响应招标文件的实质性要求和条件。</w:t>
      </w:r>
    </w:p>
    <w:p w14:paraId="72B97FAE">
      <w:pPr>
        <w:spacing w:line="360" w:lineRule="auto"/>
        <w:jc w:val="left"/>
        <w:rPr>
          <w:rFonts w:ascii="宋体" w:hAnsi="宋体"/>
          <w:color w:val="auto"/>
          <w:szCs w:val="21"/>
        </w:rPr>
      </w:pPr>
      <w:r>
        <w:rPr>
          <w:rFonts w:hint="eastAsia" w:ascii="宋体" w:hAnsi="宋体"/>
          <w:color w:val="auto"/>
          <w:szCs w:val="21"/>
        </w:rPr>
        <w:t>11.2 对招标文件提出的实质性要求和条件作出响应是指：投标人必须对招标文件中的实质性要求和条件的内容作出满足或者优于原要求和条件的承诺，并提供相应的证明材料。</w:t>
      </w:r>
    </w:p>
    <w:p w14:paraId="052BE944">
      <w:pPr>
        <w:spacing w:line="360" w:lineRule="auto"/>
        <w:jc w:val="left"/>
        <w:rPr>
          <w:rFonts w:ascii="宋体" w:hAnsi="宋体"/>
          <w:b/>
          <w:color w:val="auto"/>
          <w:szCs w:val="21"/>
        </w:rPr>
      </w:pPr>
      <w:r>
        <w:rPr>
          <w:rFonts w:hint="eastAsia" w:ascii="宋体" w:hAnsi="宋体"/>
          <w:b/>
          <w:color w:val="auto"/>
          <w:szCs w:val="21"/>
        </w:rPr>
        <w:t>12. 投标的语言及计量单位</w:t>
      </w:r>
    </w:p>
    <w:p w14:paraId="6DA338EA">
      <w:pPr>
        <w:spacing w:line="360" w:lineRule="auto"/>
        <w:jc w:val="left"/>
        <w:rPr>
          <w:rFonts w:ascii="宋体" w:hAnsi="宋体"/>
          <w:color w:val="auto"/>
          <w:szCs w:val="21"/>
        </w:rPr>
      </w:pPr>
      <w:r>
        <w:rPr>
          <w:rFonts w:hint="eastAsia" w:ascii="宋体" w:hAnsi="宋体"/>
          <w:color w:val="auto"/>
          <w:szCs w:val="21"/>
        </w:rPr>
        <w:t>12.1投标人的投标文件以及投标人与采购代理机构就有关投标的所有来往函电统一使用中文（特别规定除外）。</w:t>
      </w:r>
    </w:p>
    <w:p w14:paraId="0CC76210">
      <w:pPr>
        <w:spacing w:line="360" w:lineRule="auto"/>
        <w:jc w:val="left"/>
        <w:rPr>
          <w:rFonts w:ascii="宋体" w:hAnsi="宋体"/>
          <w:color w:val="auto"/>
          <w:szCs w:val="21"/>
        </w:rPr>
      </w:pPr>
      <w:r>
        <w:rPr>
          <w:rFonts w:hint="eastAsia" w:ascii="宋体" w:hAnsi="宋体"/>
          <w:color w:val="auto"/>
          <w:szCs w:val="21"/>
        </w:rPr>
        <w:t>12.2投标文件中使用的计量单位除招标文件中有特殊规定外，一律使用中国法定计量单位。</w:t>
      </w:r>
    </w:p>
    <w:p w14:paraId="218A55F6">
      <w:pPr>
        <w:spacing w:line="360" w:lineRule="auto"/>
        <w:jc w:val="left"/>
        <w:rPr>
          <w:rFonts w:ascii="宋体" w:hAnsi="宋体"/>
          <w:b/>
          <w:color w:val="auto"/>
          <w:szCs w:val="21"/>
        </w:rPr>
      </w:pPr>
      <w:r>
        <w:rPr>
          <w:rFonts w:hint="eastAsia" w:ascii="宋体" w:hAnsi="宋体"/>
          <w:b/>
          <w:color w:val="auto"/>
          <w:szCs w:val="21"/>
        </w:rPr>
        <w:t>13. 投标文件构成</w:t>
      </w:r>
    </w:p>
    <w:p w14:paraId="6CAC0132">
      <w:pPr>
        <w:spacing w:line="360" w:lineRule="auto"/>
        <w:jc w:val="left"/>
        <w:rPr>
          <w:rFonts w:ascii="宋体" w:hAnsi="宋体"/>
          <w:color w:val="auto"/>
          <w:szCs w:val="21"/>
        </w:rPr>
      </w:pPr>
      <w:r>
        <w:rPr>
          <w:rFonts w:hint="eastAsia" w:ascii="宋体" w:hAnsi="宋体"/>
          <w:color w:val="auto"/>
          <w:szCs w:val="21"/>
        </w:rPr>
        <w:t>13.1投标人编写的投标文件应按第四章“投标文件格式”要求填写。有关文件的提交如未特别注明需提供原件的，可提供复印件。</w:t>
      </w:r>
    </w:p>
    <w:p w14:paraId="4A9DE8F0">
      <w:pPr>
        <w:spacing w:line="360" w:lineRule="auto"/>
        <w:jc w:val="left"/>
        <w:rPr>
          <w:rFonts w:ascii="宋体" w:hAnsi="宋体"/>
          <w:b/>
          <w:color w:val="auto"/>
          <w:szCs w:val="21"/>
        </w:rPr>
      </w:pPr>
      <w:r>
        <w:rPr>
          <w:rFonts w:hint="eastAsia" w:ascii="宋体" w:hAnsi="宋体"/>
          <w:b/>
          <w:color w:val="auto"/>
          <w:szCs w:val="21"/>
        </w:rPr>
        <w:t>14. 投标文件的格式要求</w:t>
      </w:r>
    </w:p>
    <w:p w14:paraId="7561A1FE">
      <w:pPr>
        <w:pStyle w:val="18"/>
        <w:tabs>
          <w:tab w:val="left" w:pos="3030"/>
        </w:tabs>
        <w:spacing w:line="360" w:lineRule="auto"/>
        <w:rPr>
          <w:rFonts w:hAnsi="宋体"/>
          <w:bCs/>
          <w:color w:val="auto"/>
          <w:szCs w:val="21"/>
        </w:rPr>
      </w:pPr>
      <w:r>
        <w:rPr>
          <w:rFonts w:hint="eastAsia" w:hAnsi="宋体"/>
          <w:color w:val="auto"/>
          <w:kern w:val="2"/>
          <w:sz w:val="21"/>
          <w:szCs w:val="21"/>
          <w:lang w:val="en-US" w:eastAsia="zh-CN"/>
        </w:rPr>
        <w:t>14.1投标人应按第四章</w:t>
      </w:r>
      <w:r>
        <w:rPr>
          <w:rFonts w:hint="eastAsia" w:hAnsi="宋体"/>
          <w:b/>
          <w:bCs/>
          <w:color w:val="auto"/>
          <w:kern w:val="2"/>
          <w:sz w:val="21"/>
          <w:szCs w:val="21"/>
          <w:lang w:val="en-US" w:eastAsia="zh-CN"/>
        </w:rPr>
        <w:t>“投标文件格式”</w:t>
      </w:r>
      <w:r>
        <w:rPr>
          <w:rFonts w:hint="eastAsia" w:hAnsi="宋体"/>
          <w:color w:val="auto"/>
          <w:kern w:val="2"/>
          <w:sz w:val="21"/>
          <w:szCs w:val="21"/>
          <w:lang w:val="en-US" w:eastAsia="zh-CN"/>
        </w:rPr>
        <w:t>提供的格式完整地填写。</w:t>
      </w:r>
    </w:p>
    <w:p w14:paraId="4E259434">
      <w:pPr>
        <w:spacing w:line="360" w:lineRule="auto"/>
        <w:jc w:val="left"/>
        <w:rPr>
          <w:rFonts w:ascii="宋体" w:hAnsi="宋体"/>
          <w:b/>
          <w:color w:val="auto"/>
          <w:szCs w:val="21"/>
        </w:rPr>
      </w:pPr>
      <w:r>
        <w:rPr>
          <w:rFonts w:hint="eastAsia" w:ascii="宋体" w:hAnsi="宋体"/>
          <w:b/>
          <w:color w:val="auto"/>
          <w:szCs w:val="21"/>
        </w:rPr>
        <w:t>15. 投标报价</w:t>
      </w:r>
    </w:p>
    <w:p w14:paraId="28B1AFF4">
      <w:pPr>
        <w:pStyle w:val="18"/>
        <w:spacing w:line="360" w:lineRule="auto"/>
        <w:rPr>
          <w:rFonts w:hAnsi="宋体"/>
          <w:color w:val="auto"/>
          <w:szCs w:val="21"/>
        </w:rPr>
      </w:pPr>
      <w:r>
        <w:rPr>
          <w:rFonts w:hint="eastAsia" w:hAnsi="宋体"/>
          <w:color w:val="auto"/>
          <w:kern w:val="2"/>
          <w:sz w:val="21"/>
          <w:szCs w:val="21"/>
          <w:lang w:val="en-US" w:eastAsia="zh-CN"/>
        </w:rPr>
        <w:t>15.1投标人须就</w:t>
      </w:r>
      <w:r>
        <w:rPr>
          <w:rFonts w:hint="eastAsia" w:hAnsi="宋体"/>
          <w:b/>
          <w:bCs/>
          <w:color w:val="auto"/>
          <w:kern w:val="2"/>
          <w:sz w:val="21"/>
          <w:szCs w:val="21"/>
          <w:lang w:val="en-US" w:eastAsia="zh-CN"/>
        </w:rPr>
        <w:t>“服务需求及技术要求”</w:t>
      </w:r>
      <w:r>
        <w:rPr>
          <w:rFonts w:hint="eastAsia" w:hAnsi="宋体"/>
          <w:color w:val="auto"/>
          <w:kern w:val="2"/>
          <w:sz w:val="21"/>
          <w:szCs w:val="21"/>
          <w:lang w:val="en-US" w:eastAsia="zh-CN"/>
        </w:rPr>
        <w:t>中的</w:t>
      </w:r>
      <w:r>
        <w:rPr>
          <w:rFonts w:hint="eastAsia" w:hAnsi="宋体"/>
          <w:b/>
          <w:bCs/>
          <w:color w:val="auto"/>
          <w:kern w:val="2"/>
          <w:sz w:val="21"/>
          <w:szCs w:val="21"/>
          <w:lang w:val="en-US" w:eastAsia="zh-CN"/>
        </w:rPr>
        <w:t>所投包服务内容作完整唯一报价</w:t>
      </w:r>
      <w:r>
        <w:rPr>
          <w:rFonts w:hint="eastAsia" w:hAnsi="宋体"/>
          <w:color w:val="auto"/>
          <w:kern w:val="2"/>
          <w:sz w:val="21"/>
          <w:szCs w:val="21"/>
          <w:lang w:val="en-US" w:eastAsia="zh-CN"/>
        </w:rPr>
        <w:t>。</w:t>
      </w:r>
    </w:p>
    <w:p w14:paraId="7E7CE7E1">
      <w:pPr>
        <w:pStyle w:val="18"/>
        <w:spacing w:line="360" w:lineRule="auto"/>
        <w:rPr>
          <w:rFonts w:hAnsi="宋体"/>
          <w:color w:val="auto"/>
          <w:kern w:val="2"/>
          <w:sz w:val="21"/>
          <w:szCs w:val="21"/>
          <w:lang w:val="en-US" w:eastAsia="zh-CN"/>
        </w:rPr>
      </w:pPr>
      <w:r>
        <w:rPr>
          <w:rFonts w:hint="eastAsia" w:hAnsi="宋体"/>
          <w:color w:val="auto"/>
          <w:kern w:val="2"/>
          <w:sz w:val="21"/>
          <w:szCs w:val="21"/>
          <w:lang w:val="en-US" w:eastAsia="zh-CN"/>
        </w:rPr>
        <w:t>15.2</w:t>
      </w:r>
      <w:r>
        <w:rPr>
          <w:rFonts w:hAnsi="宋体"/>
          <w:color w:val="auto"/>
          <w:kern w:val="2"/>
          <w:sz w:val="21"/>
          <w:szCs w:val="21"/>
          <w:lang w:val="en-US" w:eastAsia="zh-CN"/>
        </w:rPr>
        <w:t>投标人应依据招标文件的要求及有关资料，按国家或行业现行技术经济标准、定额及规范，自行测算出满足招标要求的投标货物的竞争性报价。</w:t>
      </w:r>
      <w:r>
        <w:rPr>
          <w:rFonts w:hAnsi="宋体"/>
          <w:b/>
          <w:bCs/>
          <w:color w:val="auto"/>
          <w:kern w:val="2"/>
          <w:sz w:val="21"/>
          <w:szCs w:val="21"/>
          <w:lang w:val="en-US" w:eastAsia="zh-CN"/>
        </w:rPr>
        <w:t>投标报价</w:t>
      </w:r>
      <w:r>
        <w:rPr>
          <w:rFonts w:hAnsi="宋体"/>
          <w:color w:val="auto"/>
          <w:kern w:val="2"/>
          <w:sz w:val="21"/>
          <w:szCs w:val="21"/>
          <w:lang w:val="en-US" w:eastAsia="zh-CN"/>
        </w:rPr>
        <w:t>包括但不仅限于货物的出厂价、运杂费，投标人技术服务费，</w:t>
      </w:r>
      <w:r>
        <w:rPr>
          <w:rFonts w:hint="eastAsia" w:hAnsi="宋体"/>
          <w:color w:val="auto"/>
          <w:kern w:val="2"/>
          <w:sz w:val="21"/>
          <w:szCs w:val="21"/>
          <w:lang w:val="en-US" w:eastAsia="zh-CN"/>
        </w:rPr>
        <w:t>安装调试费、</w:t>
      </w:r>
      <w:r>
        <w:rPr>
          <w:rFonts w:hAnsi="宋体"/>
          <w:color w:val="auto"/>
          <w:kern w:val="2"/>
          <w:sz w:val="21"/>
          <w:szCs w:val="21"/>
          <w:lang w:val="en-US" w:eastAsia="zh-CN"/>
        </w:rPr>
        <w:t>保证期内缺陷的修复补救费用，市场价格变化的风险费用、利润、税金等的总和，该报价应</w:t>
      </w:r>
      <w:r>
        <w:rPr>
          <w:rFonts w:hint="eastAsia" w:hAnsi="宋体"/>
          <w:color w:val="auto"/>
          <w:kern w:val="2"/>
          <w:sz w:val="21"/>
          <w:szCs w:val="21"/>
          <w:lang w:val="en-US" w:eastAsia="zh-CN"/>
        </w:rPr>
        <w:t>考虑市场风险、政策性风险、汇率风险等因素，</w:t>
      </w:r>
      <w:r>
        <w:rPr>
          <w:rFonts w:hAnsi="宋体"/>
          <w:color w:val="auto"/>
          <w:kern w:val="2"/>
          <w:sz w:val="21"/>
          <w:szCs w:val="21"/>
          <w:lang w:val="en-US" w:eastAsia="zh-CN"/>
        </w:rPr>
        <w:t>并能保证投标人完成履行合同所需的</w:t>
      </w:r>
      <w:r>
        <w:rPr>
          <w:rFonts w:hint="eastAsia" w:hAnsi="宋体"/>
          <w:color w:val="auto"/>
          <w:kern w:val="2"/>
          <w:sz w:val="21"/>
          <w:szCs w:val="21"/>
          <w:lang w:val="en-US" w:eastAsia="zh-CN"/>
        </w:rPr>
        <w:t>全部</w:t>
      </w:r>
      <w:r>
        <w:rPr>
          <w:rFonts w:hAnsi="宋体"/>
          <w:color w:val="auto"/>
          <w:kern w:val="2"/>
          <w:sz w:val="21"/>
          <w:szCs w:val="21"/>
          <w:lang w:val="en-US" w:eastAsia="zh-CN"/>
        </w:rPr>
        <w:t>工作</w:t>
      </w:r>
      <w:r>
        <w:rPr>
          <w:rFonts w:hint="eastAsia" w:hAnsi="宋体"/>
          <w:color w:val="auto"/>
          <w:kern w:val="2"/>
          <w:sz w:val="21"/>
          <w:szCs w:val="21"/>
          <w:lang w:val="en-US" w:eastAsia="zh-CN"/>
        </w:rPr>
        <w:t>，</w:t>
      </w:r>
      <w:r>
        <w:rPr>
          <w:rFonts w:hAnsi="宋体"/>
          <w:color w:val="auto"/>
          <w:kern w:val="2"/>
          <w:sz w:val="21"/>
          <w:szCs w:val="21"/>
          <w:lang w:val="en-US" w:eastAsia="zh-CN"/>
        </w:rPr>
        <w:t>此价格在合同</w:t>
      </w:r>
      <w:r>
        <w:rPr>
          <w:rFonts w:hint="eastAsia" w:hAnsi="宋体"/>
          <w:color w:val="auto"/>
          <w:kern w:val="2"/>
          <w:sz w:val="21"/>
          <w:szCs w:val="21"/>
          <w:lang w:val="en-US" w:eastAsia="zh-CN"/>
        </w:rPr>
        <w:t>签订后</w:t>
      </w:r>
      <w:r>
        <w:rPr>
          <w:rFonts w:hAnsi="宋体"/>
          <w:color w:val="auto"/>
          <w:kern w:val="2"/>
          <w:sz w:val="21"/>
          <w:szCs w:val="21"/>
          <w:lang w:val="en-US" w:eastAsia="zh-CN"/>
        </w:rPr>
        <w:t>将不</w:t>
      </w:r>
      <w:r>
        <w:rPr>
          <w:rFonts w:hint="eastAsia" w:hAnsi="宋体"/>
          <w:color w:val="auto"/>
          <w:kern w:val="2"/>
          <w:sz w:val="21"/>
          <w:szCs w:val="21"/>
          <w:lang w:val="en-US" w:eastAsia="zh-CN"/>
        </w:rPr>
        <w:t>作</w:t>
      </w:r>
      <w:r>
        <w:rPr>
          <w:rFonts w:hAnsi="宋体"/>
          <w:color w:val="auto"/>
          <w:kern w:val="2"/>
          <w:sz w:val="21"/>
          <w:szCs w:val="21"/>
          <w:lang w:val="en-US" w:eastAsia="zh-CN"/>
        </w:rPr>
        <w:t>调整</w:t>
      </w:r>
      <w:r>
        <w:rPr>
          <w:rFonts w:hint="eastAsia" w:hAnsi="宋体"/>
          <w:color w:val="auto"/>
          <w:kern w:val="2"/>
          <w:sz w:val="21"/>
          <w:szCs w:val="21"/>
          <w:lang w:val="en-US" w:eastAsia="zh-CN"/>
        </w:rPr>
        <w:t>，投标供应商不得哄抬报价或低价倾销，否则将被拒绝</w:t>
      </w:r>
      <w:r>
        <w:rPr>
          <w:rFonts w:hAnsi="宋体"/>
          <w:color w:val="auto"/>
          <w:kern w:val="2"/>
          <w:sz w:val="21"/>
          <w:szCs w:val="21"/>
          <w:lang w:val="en-US" w:eastAsia="zh-CN"/>
        </w:rPr>
        <w:t>。</w:t>
      </w:r>
    </w:p>
    <w:p w14:paraId="50DE06AD">
      <w:pPr>
        <w:spacing w:line="360" w:lineRule="auto"/>
        <w:jc w:val="left"/>
        <w:rPr>
          <w:rFonts w:ascii="宋体" w:hAnsi="宋体"/>
          <w:b/>
          <w:color w:val="auto"/>
          <w:szCs w:val="21"/>
        </w:rPr>
      </w:pPr>
      <w:r>
        <w:rPr>
          <w:rFonts w:hint="eastAsia" w:ascii="宋体" w:hAnsi="宋体"/>
          <w:b/>
          <w:color w:val="auto"/>
          <w:szCs w:val="21"/>
        </w:rPr>
        <w:t>16. 投标货币</w:t>
      </w:r>
    </w:p>
    <w:p w14:paraId="1322315A">
      <w:pPr>
        <w:pStyle w:val="18"/>
        <w:spacing w:line="360" w:lineRule="auto"/>
        <w:rPr>
          <w:rFonts w:hint="eastAsia" w:hAnsi="宋体"/>
          <w:color w:val="auto"/>
          <w:kern w:val="2"/>
          <w:sz w:val="21"/>
          <w:szCs w:val="21"/>
          <w:lang w:val="en-US" w:eastAsia="zh-CN"/>
        </w:rPr>
      </w:pPr>
      <w:r>
        <w:rPr>
          <w:rFonts w:hint="eastAsia" w:hAnsi="宋体"/>
          <w:color w:val="auto"/>
          <w:kern w:val="2"/>
          <w:sz w:val="21"/>
          <w:szCs w:val="21"/>
          <w:lang w:val="en-US" w:eastAsia="zh-CN"/>
        </w:rPr>
        <w:t>16.1投标以人民币报价。</w:t>
      </w:r>
    </w:p>
    <w:p w14:paraId="23E0BA95">
      <w:pPr>
        <w:spacing w:line="360" w:lineRule="auto"/>
        <w:jc w:val="left"/>
        <w:rPr>
          <w:rFonts w:ascii="宋体" w:hAnsi="宋体"/>
          <w:b/>
          <w:color w:val="auto"/>
          <w:szCs w:val="21"/>
        </w:rPr>
      </w:pPr>
      <w:r>
        <w:rPr>
          <w:rFonts w:hint="eastAsia" w:ascii="宋体" w:hAnsi="宋体"/>
          <w:b/>
          <w:color w:val="auto"/>
          <w:szCs w:val="21"/>
        </w:rPr>
        <w:t>17. 投标文件有效期</w:t>
      </w:r>
    </w:p>
    <w:p w14:paraId="206D6E74">
      <w:pPr>
        <w:pStyle w:val="18"/>
        <w:spacing w:line="360" w:lineRule="auto"/>
        <w:ind w:left="630" w:hanging="630" w:hangingChars="300"/>
        <w:rPr>
          <w:rFonts w:hAnsi="宋体"/>
          <w:color w:val="auto"/>
          <w:szCs w:val="21"/>
        </w:rPr>
      </w:pPr>
      <w:r>
        <w:rPr>
          <w:rFonts w:hint="eastAsia" w:hAnsi="宋体"/>
          <w:color w:val="auto"/>
          <w:kern w:val="2"/>
          <w:sz w:val="21"/>
          <w:szCs w:val="21"/>
          <w:lang w:val="en-US" w:eastAsia="zh-CN"/>
        </w:rPr>
        <w:t>17.1</w:t>
      </w:r>
      <w:r>
        <w:rPr>
          <w:rFonts w:hAnsi="宋体"/>
          <w:color w:val="auto"/>
          <w:kern w:val="2"/>
          <w:sz w:val="22"/>
          <w:szCs w:val="22"/>
          <w:lang w:val="en-US" w:eastAsia="zh-CN"/>
        </w:rPr>
        <w:t>在</w:t>
      </w:r>
      <w:r>
        <w:rPr>
          <w:rFonts w:hAnsi="宋体"/>
          <w:color w:val="auto"/>
          <w:sz w:val="21"/>
          <w:szCs w:val="22"/>
        </w:rPr>
        <w:t>“</w:t>
      </w:r>
      <w:r>
        <w:rPr>
          <w:rFonts w:hAnsi="宋体"/>
          <w:b/>
          <w:bCs/>
          <w:color w:val="auto"/>
          <w:sz w:val="21"/>
          <w:szCs w:val="22"/>
        </w:rPr>
        <w:t>投标人须知前附表</w:t>
      </w:r>
      <w:r>
        <w:rPr>
          <w:rFonts w:hAnsi="宋体"/>
          <w:color w:val="auto"/>
          <w:sz w:val="21"/>
          <w:szCs w:val="22"/>
        </w:rPr>
        <w:t>”</w:t>
      </w:r>
      <w:r>
        <w:rPr>
          <w:rFonts w:hAnsi="宋体"/>
          <w:color w:val="auto"/>
          <w:kern w:val="2"/>
          <w:sz w:val="21"/>
          <w:szCs w:val="21"/>
          <w:lang w:val="en-US" w:eastAsia="zh-CN"/>
        </w:rPr>
        <w:t>规定的投标有效期内，投标人不得要求撤销或修改其投标文件。</w:t>
      </w:r>
    </w:p>
    <w:p w14:paraId="761810A4">
      <w:pPr>
        <w:spacing w:line="360" w:lineRule="auto"/>
        <w:jc w:val="left"/>
        <w:rPr>
          <w:rFonts w:ascii="宋体" w:hAnsi="宋体"/>
          <w:color w:val="auto"/>
          <w:szCs w:val="21"/>
        </w:rPr>
      </w:pPr>
      <w:r>
        <w:rPr>
          <w:rFonts w:hint="eastAsia" w:ascii="宋体" w:hAnsi="宋体"/>
          <w:color w:val="auto"/>
          <w:szCs w:val="21"/>
        </w:rPr>
        <w:t>17.2在</w:t>
      </w:r>
      <w:r>
        <w:rPr>
          <w:rFonts w:ascii="宋体" w:hAnsi="宋体"/>
          <w:color w:val="auto"/>
          <w:szCs w:val="21"/>
        </w:rPr>
        <w:t>特殊情况需要延长投标有效期的，</w:t>
      </w:r>
      <w:r>
        <w:rPr>
          <w:rFonts w:hint="eastAsia" w:ascii="宋体" w:hAnsi="宋体"/>
          <w:color w:val="auto"/>
          <w:szCs w:val="21"/>
        </w:rPr>
        <w:t>采购人</w:t>
      </w:r>
      <w:r>
        <w:rPr>
          <w:rFonts w:ascii="宋体" w:hAnsi="宋体"/>
          <w:color w:val="auto"/>
          <w:szCs w:val="21"/>
        </w:rPr>
        <w:t>以书面形式通知所有投标人延长投标有效期。投标人同意延长的，应相应延长其投标保证金的有效期，但不得要求或被允许修改或撤销其投标文件；投标人拒绝延长的，其投标</w:t>
      </w:r>
      <w:r>
        <w:rPr>
          <w:rFonts w:hint="eastAsia" w:ascii="宋体" w:hAnsi="宋体"/>
          <w:color w:val="auto"/>
          <w:szCs w:val="21"/>
        </w:rPr>
        <w:t>文件</w:t>
      </w:r>
      <w:r>
        <w:rPr>
          <w:rFonts w:ascii="宋体" w:hAnsi="宋体"/>
          <w:color w:val="auto"/>
          <w:szCs w:val="21"/>
        </w:rPr>
        <w:t>失效，但投标人有权收回其投标保证金。</w:t>
      </w:r>
    </w:p>
    <w:p w14:paraId="1D355E11">
      <w:pPr>
        <w:spacing w:line="360" w:lineRule="auto"/>
        <w:jc w:val="left"/>
        <w:rPr>
          <w:rFonts w:ascii="宋体" w:hAnsi="宋体"/>
          <w:b/>
          <w:color w:val="auto"/>
          <w:szCs w:val="21"/>
        </w:rPr>
      </w:pPr>
      <w:r>
        <w:rPr>
          <w:rFonts w:hint="eastAsia" w:ascii="宋体" w:hAnsi="宋体"/>
          <w:b/>
          <w:color w:val="auto"/>
          <w:szCs w:val="21"/>
        </w:rPr>
        <w:t>18. 投标文件的编制</w:t>
      </w:r>
    </w:p>
    <w:p w14:paraId="53FD3705">
      <w:pPr>
        <w:autoSpaceDE w:val="0"/>
        <w:autoSpaceDN w:val="0"/>
        <w:adjustRightInd w:val="0"/>
        <w:spacing w:line="460" w:lineRule="exact"/>
        <w:ind w:firstLine="420" w:firstLineChars="200"/>
        <w:rPr>
          <w:rFonts w:hint="eastAsia" w:ascii="宋体" w:hAnsi="宋体"/>
          <w:szCs w:val="21"/>
        </w:rPr>
      </w:pPr>
      <w:r>
        <w:rPr>
          <w:rFonts w:hint="eastAsia" w:ascii="宋体" w:hAnsi="宋体"/>
          <w:szCs w:val="21"/>
        </w:rPr>
        <w:t>18.1电子版投标文件需按招标文件要求编辑，并</w:t>
      </w:r>
      <w:r>
        <w:rPr>
          <w:rFonts w:hint="eastAsia" w:ascii="宋体" w:hAnsi="宋体" w:cs="宋体"/>
          <w:spacing w:val="6"/>
          <w:kern w:val="0"/>
          <w:sz w:val="24"/>
        </w:rPr>
        <w:t>由</w:t>
      </w:r>
      <w:r>
        <w:rPr>
          <w:rFonts w:hint="eastAsia" w:ascii="宋体" w:hAnsi="宋体"/>
          <w:szCs w:val="21"/>
        </w:rPr>
        <w:t>投标人的法定代表人签字要求盖章处应盖单位章，还应对投标文件加盖骑缝章，未按要求签字盖章的投标人将视为未通过符合性评审的未响应其它招标文件中规定的实质性内容的全套投标文件应无涂改和行间插字，将视为</w:t>
      </w:r>
      <w:r>
        <w:rPr>
          <w:rFonts w:hint="eastAsia" w:hAnsi="宋体"/>
          <w:szCs w:val="21"/>
        </w:rPr>
        <w:t>其投标无效。</w:t>
      </w:r>
      <w:r>
        <w:rPr>
          <w:rFonts w:hint="eastAsia" w:ascii="宋体" w:hAnsi="宋体"/>
          <w:szCs w:val="21"/>
        </w:rPr>
        <w:t>若确需改动时，应保证所作修改清晰明确，修改处应由法定代表人小签证明。</w:t>
      </w:r>
    </w:p>
    <w:p w14:paraId="0BEEA983">
      <w:pPr>
        <w:pStyle w:val="18"/>
        <w:spacing w:line="360" w:lineRule="auto"/>
        <w:ind w:firstLine="420" w:firstLineChars="200"/>
        <w:rPr>
          <w:rFonts w:hAnsi="宋体"/>
          <w:szCs w:val="21"/>
        </w:rPr>
      </w:pPr>
      <w:r>
        <w:rPr>
          <w:rFonts w:hint="eastAsia" w:hAnsi="宋体"/>
          <w:kern w:val="2"/>
          <w:sz w:val="21"/>
          <w:szCs w:val="21"/>
        </w:rPr>
        <w:t>18.2投标文件应尽量避免涂改、行间插字或删除。如果出现上述情况，改动之处应加盖电子单位公章或由投标人的法定代表人加盖电子私章确认。</w:t>
      </w:r>
    </w:p>
    <w:p w14:paraId="2F111DB0">
      <w:pPr>
        <w:spacing w:line="360" w:lineRule="auto"/>
        <w:ind w:firstLine="420" w:firstLineChars="200"/>
        <w:jc w:val="left"/>
        <w:rPr>
          <w:rFonts w:ascii="宋体" w:hAnsi="宋体"/>
          <w:szCs w:val="21"/>
        </w:rPr>
      </w:pPr>
      <w:r>
        <w:rPr>
          <w:rFonts w:hint="eastAsia" w:ascii="宋体" w:hAnsi="宋体"/>
          <w:szCs w:val="21"/>
        </w:rPr>
        <w:t>18.3关键内容字迹潦草、表达不清、未按要求填写而导致非唯一理解，视为未实质性响应招标文件的投标文件。</w:t>
      </w:r>
    </w:p>
    <w:p w14:paraId="1B42080A">
      <w:pPr>
        <w:spacing w:line="360" w:lineRule="auto"/>
        <w:ind w:firstLine="420" w:firstLineChars="200"/>
        <w:jc w:val="left"/>
        <w:rPr>
          <w:rFonts w:ascii="宋体" w:hAnsi="宋体"/>
          <w:szCs w:val="21"/>
        </w:rPr>
      </w:pPr>
      <w:r>
        <w:rPr>
          <w:rFonts w:hint="eastAsia" w:ascii="宋体" w:hAnsi="宋体"/>
          <w:szCs w:val="21"/>
        </w:rPr>
        <w:t>18.4投标文件中提</w:t>
      </w:r>
      <w:r>
        <w:rPr>
          <w:rFonts w:hint="eastAsia" w:ascii="宋体" w:hAnsi="宋体"/>
          <w:bCs/>
          <w:szCs w:val="21"/>
        </w:rPr>
        <w:t>供的资料（包括复印件），内容必须清晰可辨，若内容模糊，无法辨识，均视为未提供。</w:t>
      </w:r>
    </w:p>
    <w:p w14:paraId="32084CA1">
      <w:pPr>
        <w:autoSpaceDE w:val="0"/>
        <w:autoSpaceDN w:val="0"/>
        <w:adjustRightInd w:val="0"/>
        <w:spacing w:line="460" w:lineRule="exact"/>
        <w:ind w:firstLine="420" w:firstLineChars="200"/>
        <w:rPr>
          <w:rFonts w:hint="eastAsia" w:ascii="宋体" w:hAnsi="宋体"/>
          <w:szCs w:val="21"/>
        </w:rPr>
      </w:pPr>
      <w:r>
        <w:rPr>
          <w:rFonts w:hint="eastAsia" w:ascii="宋体" w:hAnsi="宋体"/>
          <w:szCs w:val="21"/>
        </w:rPr>
        <w:t>18.5电子投标文件需由投标人的法定代表人按要求在规定处签字盖章，全套投标文件应无涂改和行间插字。若确需改动时，应保证所作修改清晰明确，修改处应由法定代表人电子私章签字证明否则将视为无效。</w:t>
      </w:r>
    </w:p>
    <w:p w14:paraId="7B7EF95B">
      <w:pPr>
        <w:pStyle w:val="18"/>
        <w:spacing w:line="360" w:lineRule="auto"/>
        <w:ind w:left="359" w:leftChars="171"/>
        <w:rPr>
          <w:rFonts w:hint="eastAsia" w:hAnsi="宋体"/>
          <w:color w:val="auto"/>
          <w:kern w:val="2"/>
          <w:sz w:val="21"/>
          <w:szCs w:val="21"/>
          <w:lang w:val="en-US" w:eastAsia="zh-CN"/>
        </w:rPr>
      </w:pPr>
      <w:r>
        <w:rPr>
          <w:rFonts w:hint="eastAsia" w:hAnsi="宋体"/>
          <w:kern w:val="2"/>
          <w:sz w:val="21"/>
          <w:szCs w:val="21"/>
        </w:rPr>
        <w:t>18.6投标文件应按</w:t>
      </w:r>
      <w:r>
        <w:rPr>
          <w:rFonts w:hint="eastAsia" w:hAnsi="宋体"/>
          <w:b/>
          <w:bCs/>
          <w:kern w:val="2"/>
          <w:sz w:val="21"/>
          <w:szCs w:val="21"/>
        </w:rPr>
        <w:t>“投标人须知前附表”</w:t>
      </w:r>
      <w:r>
        <w:rPr>
          <w:rFonts w:hint="eastAsia" w:hAnsi="宋体"/>
          <w:kern w:val="2"/>
          <w:sz w:val="21"/>
          <w:szCs w:val="21"/>
        </w:rPr>
        <w:t>中规定的数量准备投标文件正本和副本</w:t>
      </w:r>
      <w:r>
        <w:rPr>
          <w:rFonts w:hint="eastAsia" w:hAnsi="宋体"/>
          <w:color w:val="auto"/>
          <w:kern w:val="2"/>
          <w:sz w:val="21"/>
          <w:szCs w:val="21"/>
          <w:lang w:val="en-US" w:eastAsia="zh-CN"/>
        </w:rPr>
        <w:t>。</w:t>
      </w:r>
    </w:p>
    <w:p w14:paraId="7B2A9925">
      <w:pPr>
        <w:spacing w:line="360" w:lineRule="auto"/>
        <w:jc w:val="left"/>
        <w:rPr>
          <w:rFonts w:ascii="宋体" w:hAnsi="宋体"/>
          <w:b/>
          <w:color w:val="auto"/>
          <w:szCs w:val="21"/>
        </w:rPr>
      </w:pPr>
      <w:r>
        <w:rPr>
          <w:rFonts w:hint="eastAsia" w:ascii="宋体" w:hAnsi="宋体"/>
          <w:b/>
          <w:color w:val="auto"/>
          <w:szCs w:val="21"/>
        </w:rPr>
        <w:t>19. 投标保证金</w:t>
      </w:r>
    </w:p>
    <w:p w14:paraId="1DBFFA8E">
      <w:pPr>
        <w:pStyle w:val="18"/>
        <w:spacing w:line="360" w:lineRule="auto"/>
        <w:ind w:left="359" w:leftChars="171"/>
        <w:rPr>
          <w:rFonts w:hint="eastAsia" w:hAnsi="宋体"/>
          <w:color w:val="auto"/>
          <w:kern w:val="2"/>
          <w:sz w:val="21"/>
          <w:szCs w:val="21"/>
          <w:lang w:val="en-US" w:eastAsia="zh-CN"/>
        </w:rPr>
      </w:pPr>
      <w:r>
        <w:rPr>
          <w:rFonts w:hint="eastAsia" w:hAnsi="宋体"/>
          <w:color w:val="auto"/>
          <w:kern w:val="2"/>
          <w:sz w:val="21"/>
          <w:szCs w:val="21"/>
          <w:lang w:val="en-US" w:eastAsia="zh-CN"/>
        </w:rPr>
        <w:t>19.1投标保证金为人民币。投标人应在提交投标文件截止时间以前按</w:t>
      </w:r>
      <w:r>
        <w:rPr>
          <w:rFonts w:hint="eastAsia" w:hAnsi="宋体"/>
          <w:b/>
          <w:bCs/>
          <w:color w:val="auto"/>
          <w:kern w:val="2"/>
          <w:sz w:val="21"/>
          <w:szCs w:val="21"/>
          <w:lang w:val="en-US" w:eastAsia="zh-CN"/>
        </w:rPr>
        <w:t>“投标人须知前附表”</w:t>
      </w:r>
      <w:r>
        <w:rPr>
          <w:rFonts w:hint="eastAsia" w:hAnsi="宋体"/>
          <w:color w:val="auto"/>
          <w:kern w:val="2"/>
          <w:sz w:val="21"/>
          <w:szCs w:val="21"/>
          <w:lang w:val="en-US" w:eastAsia="zh-CN"/>
        </w:rPr>
        <w:t>规定的金额交至指定账户，并在规定的时间内保持有效。</w:t>
      </w:r>
    </w:p>
    <w:p w14:paraId="5DF4ABA6">
      <w:pPr>
        <w:pStyle w:val="18"/>
        <w:spacing w:line="360" w:lineRule="auto"/>
        <w:ind w:left="359" w:leftChars="171"/>
        <w:rPr>
          <w:rFonts w:hint="eastAsia" w:hAnsi="宋体"/>
          <w:color w:val="auto"/>
          <w:kern w:val="2"/>
          <w:sz w:val="21"/>
          <w:szCs w:val="21"/>
          <w:lang w:val="en-US" w:eastAsia="zh-CN"/>
        </w:rPr>
      </w:pPr>
      <w:r>
        <w:rPr>
          <w:rFonts w:hint="eastAsia" w:hAnsi="宋体"/>
          <w:color w:val="auto"/>
          <w:kern w:val="2"/>
          <w:sz w:val="21"/>
          <w:szCs w:val="21"/>
          <w:lang w:val="en-US" w:eastAsia="zh-CN"/>
        </w:rPr>
        <w:t>19.2投标保证金形式：投标保证金应按</w:t>
      </w:r>
      <w:r>
        <w:rPr>
          <w:rFonts w:hint="eastAsia" w:hAnsi="宋体"/>
          <w:b/>
          <w:bCs/>
          <w:color w:val="auto"/>
          <w:kern w:val="2"/>
          <w:sz w:val="21"/>
          <w:szCs w:val="21"/>
          <w:lang w:val="en-US" w:eastAsia="zh-CN"/>
        </w:rPr>
        <w:t>“投标人须知前附表”</w:t>
      </w:r>
      <w:r>
        <w:rPr>
          <w:rFonts w:hint="eastAsia" w:hAnsi="宋体"/>
          <w:color w:val="auto"/>
          <w:kern w:val="2"/>
          <w:sz w:val="21"/>
          <w:szCs w:val="21"/>
          <w:lang w:val="en-US" w:eastAsia="zh-CN"/>
        </w:rPr>
        <w:t>规定的形式提交。</w:t>
      </w:r>
    </w:p>
    <w:p w14:paraId="241B5636">
      <w:pPr>
        <w:pStyle w:val="18"/>
        <w:spacing w:line="360" w:lineRule="auto"/>
        <w:ind w:left="359" w:leftChars="171"/>
        <w:rPr>
          <w:rFonts w:hint="eastAsia" w:hAnsi="宋体"/>
          <w:color w:val="auto"/>
          <w:kern w:val="2"/>
          <w:sz w:val="21"/>
          <w:szCs w:val="21"/>
          <w:lang w:val="en-US" w:eastAsia="zh-CN"/>
        </w:rPr>
      </w:pPr>
      <w:r>
        <w:rPr>
          <w:rFonts w:hint="eastAsia" w:hAnsi="宋体"/>
          <w:color w:val="auto"/>
          <w:kern w:val="2"/>
          <w:sz w:val="21"/>
          <w:szCs w:val="21"/>
          <w:lang w:val="en-US" w:eastAsia="zh-CN"/>
        </w:rPr>
        <w:t>19.3 投标保证金的退回只以网上银行转账的方式进行。</w:t>
      </w:r>
    </w:p>
    <w:p w14:paraId="7E96955F">
      <w:pPr>
        <w:pStyle w:val="18"/>
        <w:spacing w:line="360" w:lineRule="auto"/>
        <w:ind w:left="359" w:leftChars="171"/>
        <w:rPr>
          <w:rFonts w:hint="eastAsia" w:hAnsi="宋体"/>
          <w:color w:val="auto"/>
          <w:kern w:val="2"/>
          <w:sz w:val="21"/>
          <w:szCs w:val="21"/>
          <w:lang w:val="en-US" w:eastAsia="zh-CN"/>
        </w:rPr>
      </w:pPr>
      <w:r>
        <w:rPr>
          <w:rFonts w:hint="eastAsia" w:hAnsi="宋体"/>
          <w:color w:val="auto"/>
          <w:kern w:val="2"/>
          <w:sz w:val="21"/>
          <w:szCs w:val="21"/>
          <w:lang w:val="en-US" w:eastAsia="zh-CN"/>
        </w:rPr>
        <w:t>19.4 办理缴纳投标保证金手续时，请务必在银行进账单或电汇单的用途栏或空白栏上注明项目名称或项目编号。</w:t>
      </w:r>
    </w:p>
    <w:p w14:paraId="00C92D13">
      <w:pPr>
        <w:pStyle w:val="18"/>
        <w:spacing w:line="360" w:lineRule="auto"/>
        <w:ind w:left="359" w:leftChars="171"/>
        <w:rPr>
          <w:rFonts w:hint="eastAsia" w:hAnsi="宋体"/>
          <w:color w:val="auto"/>
          <w:kern w:val="2"/>
          <w:sz w:val="21"/>
          <w:szCs w:val="21"/>
          <w:lang w:val="en-US" w:eastAsia="zh-CN"/>
        </w:rPr>
      </w:pPr>
      <w:r>
        <w:rPr>
          <w:rFonts w:hint="eastAsia" w:hAnsi="宋体"/>
          <w:color w:val="auto"/>
          <w:kern w:val="2"/>
          <w:sz w:val="21"/>
          <w:szCs w:val="21"/>
          <w:lang w:val="en-US" w:eastAsia="zh-CN"/>
        </w:rPr>
        <w:t>19.5未中标人应在中标公告发出后五个工作日内到采购代理机构办理退还保证金手续；中标人应在签订合同后五个工作日内到采购代理机构办理退还保证金手续。</w:t>
      </w:r>
    </w:p>
    <w:p w14:paraId="18E998B3">
      <w:pPr>
        <w:pStyle w:val="18"/>
        <w:spacing w:line="360" w:lineRule="auto"/>
        <w:ind w:left="359" w:leftChars="171"/>
        <w:rPr>
          <w:rFonts w:hint="eastAsia" w:hAnsi="宋体"/>
          <w:color w:val="auto"/>
          <w:kern w:val="2"/>
          <w:sz w:val="21"/>
          <w:szCs w:val="21"/>
          <w:lang w:val="en-US" w:eastAsia="zh-CN"/>
        </w:rPr>
      </w:pPr>
      <w:r>
        <w:rPr>
          <w:rFonts w:hint="eastAsia" w:hAnsi="宋体"/>
          <w:color w:val="auto"/>
          <w:kern w:val="2"/>
          <w:sz w:val="21"/>
          <w:szCs w:val="21"/>
          <w:lang w:val="en-US" w:eastAsia="zh-CN"/>
        </w:rPr>
        <w:t>19.6下列情况发生时，投标保证金将不予退还</w:t>
      </w:r>
    </w:p>
    <w:p w14:paraId="7AB3B156">
      <w:pPr>
        <w:pStyle w:val="18"/>
        <w:spacing w:line="360" w:lineRule="auto"/>
        <w:ind w:left="359" w:leftChars="171"/>
        <w:rPr>
          <w:rFonts w:hint="eastAsia" w:hAnsi="宋体"/>
          <w:color w:val="auto"/>
          <w:kern w:val="2"/>
          <w:sz w:val="21"/>
          <w:szCs w:val="21"/>
          <w:lang w:val="en-US" w:eastAsia="zh-CN"/>
        </w:rPr>
      </w:pPr>
      <w:r>
        <w:rPr>
          <w:rFonts w:hint="eastAsia" w:hAnsi="宋体"/>
          <w:color w:val="auto"/>
          <w:kern w:val="2"/>
          <w:sz w:val="21"/>
          <w:szCs w:val="21"/>
          <w:lang w:val="en-US" w:eastAsia="zh-CN"/>
        </w:rPr>
        <w:t>（1）投标人在投标有效期内要求撤回投标的；</w:t>
      </w:r>
    </w:p>
    <w:p w14:paraId="30F7ED1F">
      <w:pPr>
        <w:spacing w:line="360" w:lineRule="auto"/>
        <w:ind w:firstLine="315" w:firstLineChars="150"/>
        <w:rPr>
          <w:rFonts w:ascii="宋体" w:hAnsi="宋体"/>
          <w:color w:val="auto"/>
          <w:szCs w:val="21"/>
        </w:rPr>
      </w:pPr>
      <w:r>
        <w:rPr>
          <w:rFonts w:hint="eastAsia" w:ascii="宋体" w:hAnsi="宋体"/>
          <w:color w:val="auto"/>
          <w:szCs w:val="21"/>
        </w:rPr>
        <w:t>（2）中标人中标后无正当理由不与采购人签订合同的；</w:t>
      </w:r>
    </w:p>
    <w:p w14:paraId="3844F8F8">
      <w:pPr>
        <w:spacing w:line="360" w:lineRule="auto"/>
        <w:ind w:firstLine="315" w:firstLineChars="150"/>
        <w:rPr>
          <w:rFonts w:ascii="宋体" w:hAnsi="宋体"/>
          <w:color w:val="auto"/>
          <w:szCs w:val="21"/>
        </w:rPr>
      </w:pPr>
      <w:r>
        <w:rPr>
          <w:rFonts w:hint="eastAsia" w:ascii="宋体" w:hAnsi="宋体"/>
          <w:color w:val="auto"/>
          <w:szCs w:val="21"/>
        </w:rPr>
        <w:t>（3）中标人将中标项目转让给他人，或者在投标文件中未说明，且未经采购人同意，将中标项目分包给他人的；</w:t>
      </w:r>
    </w:p>
    <w:p w14:paraId="0D9FABE7">
      <w:pPr>
        <w:pStyle w:val="18"/>
        <w:spacing w:line="360" w:lineRule="auto"/>
        <w:ind w:left="359" w:leftChars="171"/>
        <w:rPr>
          <w:rFonts w:hint="eastAsia" w:hAnsi="宋体"/>
          <w:color w:val="auto"/>
          <w:kern w:val="2"/>
          <w:sz w:val="21"/>
          <w:szCs w:val="21"/>
          <w:lang w:val="en-US" w:eastAsia="zh-CN"/>
        </w:rPr>
      </w:pPr>
      <w:r>
        <w:rPr>
          <w:rFonts w:hint="eastAsia" w:hAnsi="宋体"/>
          <w:color w:val="auto"/>
          <w:kern w:val="2"/>
          <w:sz w:val="21"/>
          <w:szCs w:val="21"/>
          <w:lang w:val="en-US" w:eastAsia="zh-CN"/>
        </w:rPr>
        <w:t>（4）中标人拒绝履行合同义务的。</w:t>
      </w:r>
    </w:p>
    <w:p w14:paraId="729C8252">
      <w:pPr>
        <w:pStyle w:val="18"/>
        <w:spacing w:line="360" w:lineRule="auto"/>
        <w:rPr>
          <w:rFonts w:hint="eastAsia" w:hAnsi="宋体"/>
          <w:color w:val="auto"/>
          <w:kern w:val="2"/>
          <w:sz w:val="21"/>
          <w:szCs w:val="21"/>
          <w:lang w:val="en-US" w:eastAsia="zh-CN"/>
        </w:rPr>
      </w:pPr>
      <w:r>
        <w:rPr>
          <w:rFonts w:hint="eastAsia" w:hAnsi="宋体"/>
          <w:color w:val="auto"/>
          <w:kern w:val="2"/>
          <w:sz w:val="21"/>
          <w:szCs w:val="21"/>
          <w:lang w:val="en-US" w:eastAsia="zh-CN"/>
        </w:rPr>
        <w:t xml:space="preserve">    （5）未能按照5.2条向中标人收取代理服务费及其他相关费用等。</w:t>
      </w:r>
    </w:p>
    <w:p w14:paraId="7707BF75">
      <w:pPr>
        <w:pStyle w:val="3"/>
        <w:numPr>
          <w:ilvl w:val="0"/>
          <w:numId w:val="0"/>
        </w:numPr>
        <w:tabs>
          <w:tab w:val="left" w:pos="1021"/>
        </w:tabs>
        <w:spacing w:before="0"/>
        <w:ind w:left="425"/>
        <w:jc w:val="center"/>
        <w:rPr>
          <w:rFonts w:ascii="宋体" w:hAnsi="宋体" w:eastAsia="宋体"/>
          <w:color w:val="auto"/>
          <w:sz w:val="21"/>
          <w:szCs w:val="21"/>
        </w:rPr>
      </w:pPr>
      <w:bookmarkStart w:id="41" w:name="_Toc14896"/>
      <w:bookmarkStart w:id="42" w:name="_Toc1980"/>
      <w:r>
        <w:rPr>
          <w:rFonts w:hint="eastAsia" w:ascii="宋体" w:hAnsi="宋体" w:eastAsia="宋体" w:cs="宋体"/>
          <w:color w:val="auto"/>
          <w:sz w:val="21"/>
          <w:szCs w:val="21"/>
        </w:rPr>
        <w:t>四、投标文件的提交</w:t>
      </w:r>
      <w:bookmarkEnd w:id="41"/>
      <w:bookmarkEnd w:id="42"/>
    </w:p>
    <w:p w14:paraId="1817B6D6">
      <w:pPr>
        <w:pStyle w:val="18"/>
        <w:spacing w:line="360" w:lineRule="auto"/>
        <w:rPr>
          <w:rFonts w:hAnsi="宋体"/>
          <w:b/>
          <w:bCs/>
          <w:color w:val="auto"/>
          <w:sz w:val="21"/>
          <w:szCs w:val="21"/>
        </w:rPr>
      </w:pPr>
      <w:r>
        <w:rPr>
          <w:rFonts w:hAnsi="宋体"/>
          <w:b/>
          <w:bCs/>
          <w:color w:val="auto"/>
          <w:sz w:val="21"/>
          <w:szCs w:val="21"/>
        </w:rPr>
        <w:t xml:space="preserve">20. </w:t>
      </w:r>
      <w:r>
        <w:rPr>
          <w:rFonts w:hint="eastAsia" w:hAnsi="宋体"/>
          <w:b/>
          <w:bCs/>
          <w:color w:val="auto"/>
          <w:sz w:val="21"/>
          <w:szCs w:val="21"/>
        </w:rPr>
        <w:t>投标文件的密封与标记</w:t>
      </w:r>
    </w:p>
    <w:p w14:paraId="50B3FDB6">
      <w:pPr>
        <w:spacing w:line="360" w:lineRule="auto"/>
        <w:ind w:firstLine="420" w:firstLineChars="200"/>
        <w:rPr>
          <w:rFonts w:hint="eastAsia" w:ascii="宋体" w:cs="宋体"/>
        </w:rPr>
      </w:pPr>
      <w:r>
        <w:rPr>
          <w:rFonts w:hint="eastAsia" w:ascii="宋体" w:hAnsi="宋体" w:cs="宋体"/>
        </w:rPr>
        <w:t>1、投标人应按“投标人须知前附表”中规定的要求提交响应文件；</w:t>
      </w:r>
    </w:p>
    <w:p w14:paraId="652A0F75">
      <w:pPr>
        <w:spacing w:line="360" w:lineRule="auto"/>
        <w:ind w:firstLine="420" w:firstLineChars="200"/>
        <w:rPr>
          <w:rFonts w:hint="eastAsia" w:ascii="宋体" w:hAnsi="宋体" w:cs="宋体"/>
        </w:rPr>
      </w:pPr>
      <w:r>
        <w:rPr>
          <w:rFonts w:hint="eastAsia" w:ascii="宋体" w:hAnsi="宋体" w:cs="宋体"/>
        </w:rPr>
        <w:t>2、电子化投标文件必须通过</w:t>
      </w:r>
      <w:r>
        <w:rPr>
          <w:rFonts w:hint="eastAsia" w:ascii="宋体" w:hAnsi="宋体" w:cs="宋体"/>
          <w:lang w:eastAsia="zh-CN"/>
        </w:rPr>
        <w:t>“</w:t>
      </w:r>
      <w:r>
        <w:rPr>
          <w:rFonts w:hint="eastAsia" w:ascii="宋体" w:hAnsi="宋体" w:cs="宋体"/>
          <w:lang w:val="en-US" w:eastAsia="zh-CN"/>
        </w:rPr>
        <w:t>政采云</w:t>
      </w:r>
      <w:r>
        <w:rPr>
          <w:rFonts w:hint="eastAsia" w:ascii="宋体" w:hAnsi="宋体" w:cs="宋体"/>
          <w:lang w:eastAsia="zh-CN"/>
        </w:rPr>
        <w:t>”</w:t>
      </w:r>
      <w:r>
        <w:rPr>
          <w:rFonts w:hint="eastAsia" w:ascii="宋体" w:hAnsi="宋体" w:cs="宋体"/>
        </w:rPr>
        <w:t>投标文件编制系统编制，并通过</w:t>
      </w:r>
      <w:r>
        <w:rPr>
          <w:rFonts w:hint="eastAsia" w:ascii="宋体" w:hAnsi="宋体" w:cs="宋体"/>
          <w:lang w:eastAsia="zh-CN"/>
        </w:rPr>
        <w:t>“</w:t>
      </w:r>
      <w:r>
        <w:rPr>
          <w:rFonts w:hint="eastAsia" w:ascii="宋体" w:hAnsi="宋体" w:cs="宋体"/>
          <w:lang w:val="en-US" w:eastAsia="zh-CN"/>
        </w:rPr>
        <w:t>政采云</w:t>
      </w:r>
      <w:r>
        <w:rPr>
          <w:rFonts w:hint="eastAsia" w:ascii="宋体" w:hAnsi="宋体" w:cs="宋体"/>
          <w:lang w:eastAsia="zh-CN"/>
        </w:rPr>
        <w:t>”</w:t>
      </w:r>
      <w:r>
        <w:rPr>
          <w:rFonts w:hint="eastAsia" w:ascii="宋体" w:hAnsi="宋体" w:cs="宋体"/>
          <w:lang w:val="en-US" w:eastAsia="zh-CN"/>
        </w:rPr>
        <w:t>平台</w:t>
      </w:r>
      <w:r>
        <w:rPr>
          <w:rFonts w:hint="eastAsia" w:ascii="宋体" w:hAnsi="宋体" w:cs="宋体"/>
        </w:rPr>
        <w:t>递交投标文件。</w:t>
      </w:r>
    </w:p>
    <w:p w14:paraId="1A618512">
      <w:pPr>
        <w:pStyle w:val="18"/>
        <w:spacing w:line="440" w:lineRule="exact"/>
        <w:ind w:firstLine="420" w:firstLineChars="200"/>
        <w:rPr>
          <w:rFonts w:hint="eastAsia" w:hAnsi="宋体" w:cs="宋体"/>
          <w:kern w:val="2"/>
          <w:sz w:val="21"/>
          <w:szCs w:val="24"/>
        </w:rPr>
      </w:pPr>
      <w:r>
        <w:rPr>
          <w:rFonts w:hint="eastAsia" w:hAnsi="宋体" w:cs="宋体"/>
          <w:kern w:val="2"/>
          <w:sz w:val="21"/>
          <w:szCs w:val="24"/>
        </w:rPr>
        <w:t>3、网上递交网址为（</w:t>
      </w:r>
      <w:r>
        <w:rPr>
          <w:rFonts w:hint="eastAsia" w:ascii="Times New Roman" w:hAnsi="Times New Roman" w:eastAsia="宋体" w:cs="Times New Roman"/>
          <w:sz w:val="24"/>
        </w:rPr>
        <w:t>https://www.zcygov.cn</w:t>
      </w:r>
      <w:r>
        <w:rPr>
          <w:rFonts w:hint="eastAsia" w:hAnsi="宋体" w:cs="宋体"/>
          <w:kern w:val="2"/>
          <w:sz w:val="21"/>
          <w:szCs w:val="24"/>
        </w:rPr>
        <w:t>），投标人须在投标文件提交截止时间前完成所有投标文件的上传，网上确认电子签名，投标文件提交截止时间前未完成投标文件传输的，视为未按要求提交。</w:t>
      </w:r>
    </w:p>
    <w:p w14:paraId="1B74D8A6">
      <w:pPr>
        <w:pStyle w:val="18"/>
        <w:spacing w:line="440" w:lineRule="exact"/>
        <w:ind w:firstLine="420" w:firstLineChars="200"/>
        <w:rPr>
          <w:rFonts w:hint="eastAsia" w:hAnsi="宋体" w:cs="宋体"/>
          <w:color w:val="auto"/>
          <w:kern w:val="2"/>
          <w:sz w:val="21"/>
          <w:szCs w:val="24"/>
          <w:lang w:val="en-US" w:eastAsia="zh-CN"/>
        </w:rPr>
      </w:pPr>
      <w:r>
        <w:rPr>
          <w:rFonts w:hint="eastAsia" w:hAnsi="宋体" w:cs="宋体"/>
          <w:kern w:val="2"/>
          <w:sz w:val="21"/>
          <w:szCs w:val="24"/>
        </w:rPr>
        <w:t>注：建议投标人上传完成后，将已上传的投标文件重新下载下来，用对应类型的编制工具或标书查看工具进行解密查看，确保上传的文件可以正常解密打开</w:t>
      </w:r>
      <w:r>
        <w:rPr>
          <w:rFonts w:hint="eastAsia" w:hAnsi="宋体" w:cs="宋体"/>
          <w:color w:val="auto"/>
          <w:kern w:val="2"/>
          <w:sz w:val="21"/>
          <w:szCs w:val="24"/>
          <w:lang w:val="en-US" w:eastAsia="zh-CN"/>
        </w:rPr>
        <w:t>。</w:t>
      </w:r>
    </w:p>
    <w:p w14:paraId="33F260E7">
      <w:pPr>
        <w:pStyle w:val="18"/>
        <w:spacing w:line="360" w:lineRule="auto"/>
        <w:ind w:left="632" w:hanging="632" w:hangingChars="300"/>
        <w:rPr>
          <w:rFonts w:hAnsi="宋体"/>
          <w:color w:val="auto"/>
          <w:sz w:val="21"/>
          <w:szCs w:val="21"/>
        </w:rPr>
      </w:pPr>
      <w:r>
        <w:rPr>
          <w:rFonts w:hAnsi="宋体"/>
          <w:b/>
          <w:bCs/>
          <w:color w:val="auto"/>
          <w:sz w:val="21"/>
          <w:szCs w:val="21"/>
        </w:rPr>
        <w:t>20.1</w:t>
      </w:r>
      <w:r>
        <w:rPr>
          <w:rFonts w:hint="eastAsia" w:hAnsi="宋体"/>
          <w:b/>
          <w:bCs/>
          <w:color w:val="auto"/>
          <w:sz w:val="21"/>
          <w:szCs w:val="21"/>
        </w:rPr>
        <w:t>投标人在提交投标文件时，未密封或密封不完好的，采购人不予接收</w:t>
      </w:r>
      <w:r>
        <w:rPr>
          <w:rFonts w:hint="eastAsia" w:hAnsi="宋体"/>
          <w:color w:val="auto"/>
          <w:sz w:val="21"/>
          <w:szCs w:val="21"/>
        </w:rPr>
        <w:t>。</w:t>
      </w:r>
    </w:p>
    <w:p w14:paraId="12F83F3F">
      <w:pPr>
        <w:pStyle w:val="18"/>
        <w:spacing w:line="360" w:lineRule="auto"/>
        <w:ind w:left="1"/>
        <w:rPr>
          <w:rFonts w:hAnsi="宋体"/>
          <w:color w:val="auto"/>
          <w:sz w:val="21"/>
          <w:szCs w:val="21"/>
        </w:rPr>
      </w:pPr>
      <w:r>
        <w:rPr>
          <w:rFonts w:hAnsi="宋体"/>
          <w:b/>
          <w:bCs/>
          <w:color w:val="auto"/>
          <w:sz w:val="21"/>
          <w:szCs w:val="21"/>
        </w:rPr>
        <w:t>20.2</w:t>
      </w:r>
      <w:r>
        <w:rPr>
          <w:rFonts w:hint="eastAsia" w:hAnsi="宋体"/>
          <w:color w:val="auto"/>
          <w:sz w:val="21"/>
          <w:szCs w:val="21"/>
        </w:rPr>
        <w:t>投标人在投标截止时间前，可以对所递交的投标文件进行补充、修改或者撤回，并书面通知采购人。补充、修改的内容应当按招标文件要求签署、盖章，并作为投标文件的组成部分。</w:t>
      </w:r>
    </w:p>
    <w:p w14:paraId="553D2933">
      <w:pPr>
        <w:spacing w:line="360" w:lineRule="auto"/>
        <w:jc w:val="left"/>
        <w:rPr>
          <w:rFonts w:ascii="宋体"/>
          <w:b/>
          <w:bCs/>
          <w:color w:val="auto"/>
        </w:rPr>
      </w:pPr>
      <w:r>
        <w:rPr>
          <w:rFonts w:ascii="宋体" w:hAnsi="宋体" w:cs="宋体"/>
          <w:b/>
          <w:bCs/>
          <w:color w:val="auto"/>
        </w:rPr>
        <w:t xml:space="preserve">21. </w:t>
      </w:r>
      <w:r>
        <w:rPr>
          <w:rFonts w:hint="eastAsia" w:ascii="宋体" w:hAnsi="宋体" w:cs="宋体"/>
          <w:b/>
          <w:bCs/>
          <w:color w:val="auto"/>
        </w:rPr>
        <w:t>提交投标文件截止时间和地点</w:t>
      </w:r>
    </w:p>
    <w:p w14:paraId="6450B388">
      <w:pPr>
        <w:pStyle w:val="18"/>
        <w:spacing w:line="360" w:lineRule="auto"/>
        <w:ind w:left="-2" w:leftChars="-5" w:hanging="8" w:hangingChars="4"/>
        <w:rPr>
          <w:rFonts w:hAnsi="宋体"/>
          <w:b/>
          <w:bCs/>
          <w:color w:val="auto"/>
          <w:sz w:val="21"/>
          <w:szCs w:val="21"/>
        </w:rPr>
      </w:pPr>
      <w:r>
        <w:rPr>
          <w:rFonts w:hAnsi="宋体"/>
          <w:color w:val="auto"/>
          <w:sz w:val="21"/>
          <w:szCs w:val="21"/>
        </w:rPr>
        <w:t>21.1</w:t>
      </w:r>
      <w:r>
        <w:rPr>
          <w:rFonts w:hint="eastAsia" w:hAnsi="宋体"/>
          <w:color w:val="auto"/>
          <w:sz w:val="21"/>
          <w:szCs w:val="21"/>
        </w:rPr>
        <w:t>投标文件的提交不得迟于“</w:t>
      </w:r>
      <w:r>
        <w:rPr>
          <w:rFonts w:hint="eastAsia" w:hAnsi="宋体"/>
          <w:b/>
          <w:bCs/>
          <w:color w:val="auto"/>
          <w:sz w:val="21"/>
          <w:szCs w:val="21"/>
        </w:rPr>
        <w:t>投标人须知前附表</w:t>
      </w:r>
      <w:r>
        <w:rPr>
          <w:rFonts w:hint="eastAsia" w:hAnsi="宋体"/>
          <w:color w:val="auto"/>
          <w:sz w:val="21"/>
          <w:szCs w:val="21"/>
        </w:rPr>
        <w:t>”规定的提交投标文件截止时间。</w:t>
      </w:r>
      <w:r>
        <w:rPr>
          <w:rFonts w:hint="eastAsia" w:hAnsi="宋体"/>
          <w:b/>
          <w:bCs/>
          <w:color w:val="auto"/>
          <w:sz w:val="21"/>
          <w:szCs w:val="21"/>
        </w:rPr>
        <w:t>逾期送达的投标文件，采购人不予接收。</w:t>
      </w:r>
    </w:p>
    <w:p w14:paraId="70EED48B">
      <w:pPr>
        <w:pStyle w:val="18"/>
        <w:spacing w:line="360" w:lineRule="auto"/>
        <w:ind w:left="630" w:hanging="630" w:hangingChars="300"/>
        <w:rPr>
          <w:rFonts w:hAnsi="宋体"/>
          <w:color w:val="auto"/>
          <w:sz w:val="21"/>
          <w:szCs w:val="21"/>
        </w:rPr>
      </w:pPr>
      <w:r>
        <w:rPr>
          <w:rFonts w:hAnsi="宋体"/>
          <w:color w:val="auto"/>
          <w:sz w:val="21"/>
          <w:szCs w:val="21"/>
        </w:rPr>
        <w:t>21.2</w:t>
      </w:r>
      <w:r>
        <w:rPr>
          <w:rFonts w:hint="eastAsia" w:hAnsi="宋体"/>
          <w:color w:val="auto"/>
          <w:sz w:val="21"/>
          <w:szCs w:val="21"/>
        </w:rPr>
        <w:t>投标人必须在规定时间内将投标文件提交到“</w:t>
      </w:r>
      <w:r>
        <w:rPr>
          <w:rFonts w:hint="eastAsia" w:hAnsi="宋体"/>
          <w:b/>
          <w:bCs/>
          <w:color w:val="auto"/>
          <w:sz w:val="21"/>
          <w:szCs w:val="21"/>
        </w:rPr>
        <w:t>投标人须知前附表</w:t>
      </w:r>
      <w:r>
        <w:rPr>
          <w:rFonts w:hint="eastAsia" w:hAnsi="宋体"/>
          <w:color w:val="auto"/>
          <w:sz w:val="21"/>
          <w:szCs w:val="21"/>
        </w:rPr>
        <w:t>”规定的地点。</w:t>
      </w:r>
    </w:p>
    <w:p w14:paraId="0B8B309A">
      <w:pPr>
        <w:spacing w:line="360" w:lineRule="auto"/>
        <w:jc w:val="left"/>
        <w:rPr>
          <w:rFonts w:ascii="宋体"/>
          <w:color w:val="auto"/>
          <w:highlight w:val="magenta"/>
        </w:rPr>
      </w:pPr>
      <w:r>
        <w:rPr>
          <w:rFonts w:ascii="宋体" w:hAnsi="宋体" w:cs="宋体"/>
          <w:color w:val="auto"/>
        </w:rPr>
        <w:t xml:space="preserve">21.3 </w:t>
      </w:r>
      <w:r>
        <w:rPr>
          <w:rFonts w:hint="eastAsia" w:ascii="宋体" w:hAnsi="宋体" w:cs="宋体"/>
          <w:color w:val="auto"/>
        </w:rPr>
        <w:t>除</w:t>
      </w:r>
      <w:r>
        <w:rPr>
          <w:rFonts w:hint="eastAsia" w:ascii="宋体" w:cs="宋体"/>
          <w:color w:val="auto"/>
        </w:rPr>
        <w:t>“</w:t>
      </w:r>
      <w:r>
        <w:rPr>
          <w:rFonts w:hint="eastAsia" w:ascii="宋体" w:hAnsi="宋体" w:cs="宋体"/>
          <w:b/>
          <w:bCs/>
          <w:color w:val="auto"/>
        </w:rPr>
        <w:t>投标人须知前附表</w:t>
      </w:r>
      <w:r>
        <w:rPr>
          <w:rFonts w:hint="eastAsia" w:ascii="宋体" w:cs="宋体"/>
          <w:color w:val="auto"/>
        </w:rPr>
        <w:t>”</w:t>
      </w:r>
      <w:r>
        <w:rPr>
          <w:rFonts w:hint="eastAsia" w:ascii="宋体" w:hAnsi="宋体" w:cs="宋体"/>
          <w:color w:val="auto"/>
        </w:rPr>
        <w:t>另有规定外，投标人所递交的投标文件不予退还。</w:t>
      </w:r>
    </w:p>
    <w:p w14:paraId="74A018D5">
      <w:pPr>
        <w:pStyle w:val="3"/>
        <w:numPr>
          <w:ilvl w:val="0"/>
          <w:numId w:val="0"/>
        </w:numPr>
        <w:tabs>
          <w:tab w:val="left" w:pos="1021"/>
        </w:tabs>
        <w:spacing w:before="0"/>
        <w:ind w:left="425"/>
        <w:jc w:val="center"/>
        <w:rPr>
          <w:rFonts w:ascii="宋体" w:hAnsi="宋体" w:eastAsia="宋体"/>
          <w:color w:val="auto"/>
          <w:sz w:val="21"/>
          <w:szCs w:val="21"/>
        </w:rPr>
      </w:pPr>
      <w:bookmarkStart w:id="43" w:name="_Toc31395"/>
      <w:bookmarkStart w:id="44" w:name="_Toc12077"/>
      <w:r>
        <w:rPr>
          <w:rFonts w:hint="eastAsia" w:ascii="宋体" w:hAnsi="宋体" w:eastAsia="宋体" w:cs="宋体"/>
          <w:color w:val="auto"/>
          <w:sz w:val="21"/>
          <w:szCs w:val="21"/>
        </w:rPr>
        <w:t>五、开标与评标</w:t>
      </w:r>
      <w:bookmarkEnd w:id="43"/>
      <w:bookmarkEnd w:id="44"/>
    </w:p>
    <w:p w14:paraId="3342DDD5">
      <w:pPr>
        <w:spacing w:line="360" w:lineRule="auto"/>
        <w:jc w:val="left"/>
        <w:rPr>
          <w:rFonts w:ascii="宋体"/>
          <w:b/>
          <w:bCs/>
          <w:color w:val="auto"/>
        </w:rPr>
      </w:pPr>
      <w:r>
        <w:rPr>
          <w:rFonts w:ascii="宋体" w:hAnsi="宋体" w:cs="宋体"/>
          <w:b/>
          <w:bCs/>
          <w:color w:val="auto"/>
        </w:rPr>
        <w:t xml:space="preserve">22. </w:t>
      </w:r>
      <w:r>
        <w:rPr>
          <w:rFonts w:hint="eastAsia" w:ascii="宋体" w:hAnsi="宋体" w:cs="宋体"/>
          <w:b/>
          <w:bCs/>
          <w:color w:val="auto"/>
        </w:rPr>
        <w:t>开标</w:t>
      </w:r>
    </w:p>
    <w:p w14:paraId="051A8F12">
      <w:pPr>
        <w:pStyle w:val="18"/>
        <w:spacing w:line="360" w:lineRule="auto"/>
        <w:rPr>
          <w:rFonts w:hAnsi="宋体"/>
          <w:color w:val="auto"/>
          <w:sz w:val="21"/>
          <w:szCs w:val="21"/>
        </w:rPr>
      </w:pPr>
      <w:r>
        <w:rPr>
          <w:rFonts w:hAnsi="宋体"/>
          <w:color w:val="auto"/>
          <w:sz w:val="21"/>
          <w:szCs w:val="21"/>
        </w:rPr>
        <w:t>22.1</w:t>
      </w:r>
      <w:r>
        <w:rPr>
          <w:rFonts w:hint="eastAsia" w:hAnsi="宋体"/>
          <w:color w:val="auto"/>
          <w:sz w:val="21"/>
          <w:szCs w:val="21"/>
        </w:rPr>
        <w:t>采购代理机构将在“</w:t>
      </w:r>
      <w:r>
        <w:rPr>
          <w:rFonts w:hint="eastAsia" w:hAnsi="宋体"/>
          <w:b/>
          <w:bCs/>
          <w:color w:val="auto"/>
          <w:sz w:val="21"/>
          <w:szCs w:val="21"/>
        </w:rPr>
        <w:t>投标人须知前附表</w:t>
      </w:r>
      <w:r>
        <w:rPr>
          <w:rFonts w:hint="eastAsia" w:hAnsi="宋体"/>
          <w:color w:val="auto"/>
          <w:sz w:val="21"/>
          <w:szCs w:val="21"/>
        </w:rPr>
        <w:t>”规定的时间和地点进行开标，</w:t>
      </w:r>
      <w:r>
        <w:rPr>
          <w:rFonts w:hint="eastAsia" w:hAnsi="宋体"/>
          <w:b/>
          <w:bCs/>
          <w:color w:val="auto"/>
          <w:sz w:val="21"/>
          <w:szCs w:val="21"/>
        </w:rPr>
        <w:t>如投标人未</w:t>
      </w:r>
      <w:r>
        <w:rPr>
          <w:rFonts w:hint="eastAsia" w:hAnsi="宋体"/>
          <w:b/>
          <w:bCs/>
          <w:color w:val="auto"/>
          <w:sz w:val="21"/>
          <w:szCs w:val="21"/>
          <w:lang w:val="en-US" w:eastAsia="zh-CN"/>
        </w:rPr>
        <w:t>按要求操作</w:t>
      </w:r>
      <w:r>
        <w:rPr>
          <w:rFonts w:hint="eastAsia" w:hAnsi="宋体"/>
          <w:b/>
          <w:bCs/>
          <w:color w:val="auto"/>
          <w:sz w:val="21"/>
          <w:szCs w:val="21"/>
        </w:rPr>
        <w:t>开标会</w:t>
      </w:r>
      <w:r>
        <w:rPr>
          <w:rFonts w:hint="eastAsia" w:hAnsi="宋体"/>
          <w:b/>
          <w:bCs/>
          <w:color w:val="auto"/>
          <w:sz w:val="21"/>
          <w:szCs w:val="21"/>
          <w:lang w:val="en-US" w:eastAsia="zh-CN"/>
        </w:rPr>
        <w:t>议流程</w:t>
      </w:r>
      <w:r>
        <w:rPr>
          <w:rFonts w:hint="eastAsia" w:hAnsi="宋体"/>
          <w:b/>
          <w:bCs/>
          <w:color w:val="auto"/>
          <w:sz w:val="21"/>
          <w:szCs w:val="21"/>
        </w:rPr>
        <w:t>，由此产生的后果由投标人自行负责</w:t>
      </w:r>
      <w:r>
        <w:rPr>
          <w:rFonts w:hint="eastAsia" w:hAnsi="宋体"/>
          <w:color w:val="auto"/>
          <w:sz w:val="21"/>
          <w:szCs w:val="21"/>
        </w:rPr>
        <w:t>。</w:t>
      </w:r>
    </w:p>
    <w:p w14:paraId="5B1DC212">
      <w:pPr>
        <w:spacing w:line="360" w:lineRule="auto"/>
        <w:jc w:val="left"/>
        <w:rPr>
          <w:rFonts w:ascii="宋体"/>
          <w:color w:val="auto"/>
        </w:rPr>
      </w:pPr>
      <w:r>
        <w:rPr>
          <w:rFonts w:ascii="宋体" w:hAnsi="宋体" w:cs="宋体"/>
          <w:color w:val="auto"/>
        </w:rPr>
        <w:t>22.2</w:t>
      </w:r>
      <w:r>
        <w:rPr>
          <w:rFonts w:hint="eastAsia" w:ascii="宋体" w:hAnsi="宋体" w:cs="宋体"/>
          <w:color w:val="auto"/>
        </w:rPr>
        <w:t>投标截止时间结束后参加投标的投标人不足三家的，停止开标。</w:t>
      </w:r>
    </w:p>
    <w:p w14:paraId="465CCE56">
      <w:pPr>
        <w:pStyle w:val="18"/>
        <w:spacing w:line="360" w:lineRule="auto"/>
        <w:rPr>
          <w:rFonts w:hAnsi="宋体"/>
          <w:color w:val="auto"/>
          <w:sz w:val="21"/>
          <w:szCs w:val="21"/>
        </w:rPr>
      </w:pPr>
      <w:r>
        <w:rPr>
          <w:rFonts w:hAnsi="宋体"/>
          <w:color w:val="auto"/>
          <w:sz w:val="21"/>
          <w:szCs w:val="21"/>
        </w:rPr>
        <w:t>22.3</w:t>
      </w:r>
      <w:r>
        <w:rPr>
          <w:rFonts w:hint="eastAsia" w:hAnsi="宋体"/>
          <w:color w:val="auto"/>
          <w:sz w:val="21"/>
          <w:szCs w:val="21"/>
        </w:rPr>
        <w:t>开标程序：</w:t>
      </w:r>
    </w:p>
    <w:p w14:paraId="55063903">
      <w:pPr>
        <w:spacing w:line="360" w:lineRule="auto"/>
        <w:ind w:firstLine="420" w:firstLineChars="200"/>
        <w:jc w:val="left"/>
        <w:rPr>
          <w:rFonts w:hint="eastAsia" w:ascii="宋体"/>
        </w:rPr>
      </w:pPr>
      <w:r>
        <w:rPr>
          <w:rFonts w:hint="eastAsia" w:ascii="宋体" w:hAnsi="宋体" w:cs="宋体"/>
        </w:rPr>
        <w:t>开标通过</w:t>
      </w:r>
      <w:r>
        <w:rPr>
          <w:rFonts w:hint="eastAsia" w:ascii="宋体" w:hAnsi="宋体" w:eastAsia="宋体" w:cs="宋体"/>
          <w:lang w:eastAsia="zh-CN"/>
        </w:rPr>
        <w:t>“</w:t>
      </w:r>
      <w:r>
        <w:rPr>
          <w:rFonts w:hint="eastAsia" w:ascii="宋体" w:hAnsi="宋体" w:eastAsia="宋体" w:cs="宋体"/>
          <w:lang w:val="en-US" w:eastAsia="zh-CN"/>
        </w:rPr>
        <w:t>政采云</w:t>
      </w:r>
      <w:r>
        <w:rPr>
          <w:rFonts w:hint="eastAsia" w:ascii="宋体" w:hAnsi="宋体" w:eastAsia="宋体" w:cs="宋体"/>
          <w:lang w:eastAsia="zh-CN"/>
        </w:rPr>
        <w:t>”</w:t>
      </w:r>
      <w:r>
        <w:rPr>
          <w:rFonts w:hint="eastAsia" w:ascii="宋体" w:hAnsi="宋体" w:eastAsia="宋体" w:cs="宋体"/>
        </w:rPr>
        <w:t>开</w:t>
      </w:r>
      <w:r>
        <w:rPr>
          <w:rFonts w:hint="eastAsia" w:ascii="宋体" w:hAnsi="宋体" w:cs="宋体"/>
        </w:rPr>
        <w:t>标系统进行。</w:t>
      </w:r>
    </w:p>
    <w:p w14:paraId="07E12A49">
      <w:pPr>
        <w:spacing w:line="360" w:lineRule="auto"/>
        <w:jc w:val="left"/>
        <w:rPr>
          <w:rFonts w:ascii="宋体"/>
        </w:rPr>
      </w:pPr>
      <w:r>
        <w:rPr>
          <w:rFonts w:hint="eastAsia" w:ascii="宋体" w:hAnsi="宋体" w:cs="宋体"/>
        </w:rPr>
        <w:t>开标程序：</w:t>
      </w:r>
    </w:p>
    <w:p w14:paraId="195832DA">
      <w:pPr>
        <w:spacing w:line="360" w:lineRule="auto"/>
        <w:ind w:firstLine="420" w:firstLineChars="200"/>
        <w:jc w:val="left"/>
        <w:rPr>
          <w:rFonts w:ascii="宋体"/>
        </w:rPr>
      </w:pPr>
      <w:r>
        <w:rPr>
          <w:rFonts w:hint="eastAsia" w:ascii="宋体" w:hAnsi="宋体" w:cs="宋体"/>
        </w:rPr>
        <w:t>开标会由代理机构主持，主持人宣布开标会议开始；</w:t>
      </w:r>
    </w:p>
    <w:p w14:paraId="3A41049D">
      <w:pPr>
        <w:spacing w:line="360" w:lineRule="auto"/>
        <w:ind w:firstLine="420" w:firstLineChars="200"/>
        <w:jc w:val="left"/>
        <w:rPr>
          <w:rFonts w:hint="eastAsia" w:ascii="宋体"/>
        </w:rPr>
      </w:pPr>
      <w:r>
        <w:rPr>
          <w:rFonts w:hint="eastAsia" w:ascii="宋体" w:hAnsi="宋体" w:cs="宋体"/>
        </w:rPr>
        <w:t>介绍参加开标会的人员名单；</w:t>
      </w:r>
    </w:p>
    <w:p w14:paraId="5C83A55C">
      <w:pPr>
        <w:spacing w:line="360" w:lineRule="auto"/>
        <w:ind w:firstLine="420" w:firstLineChars="200"/>
        <w:jc w:val="left"/>
        <w:rPr>
          <w:rFonts w:hint="eastAsia" w:ascii="宋体"/>
        </w:rPr>
      </w:pPr>
      <w:r>
        <w:rPr>
          <w:rFonts w:hint="eastAsia" w:ascii="宋体" w:hAnsi="宋体" w:cs="宋体"/>
        </w:rPr>
        <w:t>投标人对投标文件进行远程解密；</w:t>
      </w:r>
    </w:p>
    <w:p w14:paraId="0F4EE17F">
      <w:pPr>
        <w:spacing w:line="360" w:lineRule="auto"/>
        <w:ind w:firstLine="420" w:firstLineChars="200"/>
        <w:jc w:val="left"/>
        <w:rPr>
          <w:rFonts w:ascii="宋体"/>
        </w:rPr>
      </w:pPr>
      <w:r>
        <w:rPr>
          <w:rFonts w:hint="eastAsia" w:ascii="宋体" w:hAnsi="宋体" w:cs="宋体"/>
        </w:rPr>
        <w:t>唱标：唱标通过</w:t>
      </w:r>
      <w:r>
        <w:rPr>
          <w:rFonts w:hint="eastAsia" w:ascii="宋体" w:hAnsi="宋体" w:eastAsia="宋体" w:cs="宋体"/>
          <w:lang w:eastAsia="zh-CN"/>
        </w:rPr>
        <w:t>“</w:t>
      </w:r>
      <w:r>
        <w:rPr>
          <w:rFonts w:hint="eastAsia" w:ascii="宋体" w:hAnsi="宋体" w:eastAsia="宋体" w:cs="宋体"/>
          <w:lang w:val="en-US" w:eastAsia="zh-CN"/>
        </w:rPr>
        <w:t>政采云</w:t>
      </w:r>
      <w:r>
        <w:rPr>
          <w:rFonts w:hint="eastAsia" w:ascii="宋体" w:hAnsi="宋体" w:eastAsia="宋体" w:cs="宋体"/>
          <w:lang w:eastAsia="zh-CN"/>
        </w:rPr>
        <w:t>”</w:t>
      </w:r>
      <w:r>
        <w:rPr>
          <w:rFonts w:hint="eastAsia" w:ascii="宋体" w:hAnsi="宋体" w:cs="宋体"/>
        </w:rPr>
        <w:t>开标系统进行。</w:t>
      </w:r>
    </w:p>
    <w:p w14:paraId="5F2A3F3F">
      <w:pPr>
        <w:spacing w:line="360" w:lineRule="auto"/>
        <w:ind w:firstLine="420" w:firstLineChars="200"/>
        <w:jc w:val="left"/>
        <w:rPr>
          <w:rFonts w:ascii="宋体"/>
        </w:rPr>
      </w:pPr>
      <w:r>
        <w:rPr>
          <w:rFonts w:hint="eastAsia" w:ascii="宋体" w:hAnsi="宋体" w:cs="宋体"/>
        </w:rPr>
        <w:t>需要对电子投标文件进行唱标的，由唱标人宣读投标人在其响应文件中承诺的投标报价、交货期限等以及招标代理机构认为有必要宣读的其他内容。唱标顺序随机选取；</w:t>
      </w:r>
    </w:p>
    <w:p w14:paraId="14D788EF">
      <w:pPr>
        <w:pStyle w:val="18"/>
        <w:spacing w:line="360" w:lineRule="auto"/>
        <w:ind w:firstLine="420" w:firstLineChars="200"/>
        <w:rPr>
          <w:rFonts w:hAnsi="宋体"/>
          <w:sz w:val="21"/>
          <w:szCs w:val="21"/>
        </w:rPr>
      </w:pPr>
      <w:r>
        <w:rPr>
          <w:rFonts w:hint="eastAsia" w:hAnsi="宋体"/>
          <w:sz w:val="21"/>
          <w:szCs w:val="21"/>
        </w:rPr>
        <w:t>宣布评标期间的有关事项；</w:t>
      </w:r>
    </w:p>
    <w:p w14:paraId="3BA7512E">
      <w:pPr>
        <w:pStyle w:val="18"/>
        <w:spacing w:line="360" w:lineRule="auto"/>
        <w:ind w:firstLine="420" w:firstLineChars="200"/>
        <w:rPr>
          <w:rFonts w:hAnsi="宋体"/>
          <w:color w:val="auto"/>
          <w:sz w:val="21"/>
          <w:szCs w:val="21"/>
        </w:rPr>
      </w:pPr>
      <w:r>
        <w:rPr>
          <w:rFonts w:hint="eastAsia" w:hAnsi="宋体"/>
          <w:sz w:val="21"/>
          <w:szCs w:val="21"/>
        </w:rPr>
        <w:t>开标会议结束</w:t>
      </w:r>
      <w:r>
        <w:rPr>
          <w:rFonts w:hint="eastAsia" w:hAnsi="宋体"/>
          <w:color w:val="auto"/>
          <w:sz w:val="21"/>
          <w:szCs w:val="21"/>
        </w:rPr>
        <w:t>。</w:t>
      </w:r>
    </w:p>
    <w:p w14:paraId="52DED631">
      <w:pPr>
        <w:pStyle w:val="18"/>
        <w:spacing w:line="360" w:lineRule="auto"/>
        <w:ind w:left="630" w:hanging="630" w:hangingChars="300"/>
        <w:rPr>
          <w:rFonts w:hAnsi="宋体"/>
          <w:color w:val="auto"/>
          <w:sz w:val="21"/>
          <w:szCs w:val="21"/>
        </w:rPr>
      </w:pPr>
      <w:r>
        <w:rPr>
          <w:rFonts w:hAnsi="宋体"/>
          <w:color w:val="auto"/>
          <w:sz w:val="21"/>
          <w:szCs w:val="21"/>
        </w:rPr>
        <w:t>22.4</w:t>
      </w:r>
      <w:r>
        <w:rPr>
          <w:rFonts w:hint="eastAsia" w:hAnsi="宋体"/>
          <w:color w:val="auto"/>
          <w:sz w:val="21"/>
          <w:szCs w:val="21"/>
        </w:rPr>
        <w:t>开标工作人员将做开标记录，投标人对唱标结果签字确认。</w:t>
      </w:r>
    </w:p>
    <w:p w14:paraId="63A3231E">
      <w:pPr>
        <w:pStyle w:val="18"/>
        <w:spacing w:line="360" w:lineRule="auto"/>
        <w:ind w:left="630" w:hanging="630" w:hangingChars="300"/>
        <w:rPr>
          <w:rFonts w:hAnsi="宋体"/>
          <w:color w:val="auto"/>
          <w:sz w:val="21"/>
          <w:szCs w:val="21"/>
        </w:rPr>
      </w:pPr>
      <w:r>
        <w:rPr>
          <w:rFonts w:hAnsi="宋体"/>
          <w:color w:val="auto"/>
          <w:sz w:val="21"/>
          <w:szCs w:val="21"/>
        </w:rPr>
        <w:t xml:space="preserve">22.5 </w:t>
      </w:r>
      <w:r>
        <w:rPr>
          <w:rFonts w:hint="eastAsia" w:hAnsi="宋体"/>
          <w:color w:val="auto"/>
          <w:sz w:val="21"/>
          <w:szCs w:val="21"/>
        </w:rPr>
        <w:t>投标人对开标有异议的，应当在开标现场提出，采购人应当当场作出答复，并制作记录。</w:t>
      </w:r>
    </w:p>
    <w:p w14:paraId="1B1E7AE0">
      <w:pPr>
        <w:spacing w:line="360" w:lineRule="auto"/>
        <w:jc w:val="left"/>
        <w:rPr>
          <w:rFonts w:ascii="宋体"/>
          <w:b/>
          <w:bCs/>
          <w:color w:val="auto"/>
        </w:rPr>
      </w:pPr>
      <w:r>
        <w:rPr>
          <w:rFonts w:ascii="宋体" w:hAnsi="宋体" w:cs="宋体"/>
          <w:b/>
          <w:bCs/>
          <w:color w:val="auto"/>
        </w:rPr>
        <w:t xml:space="preserve">23. </w:t>
      </w:r>
      <w:r>
        <w:rPr>
          <w:rFonts w:hint="eastAsia" w:ascii="宋体" w:hAnsi="宋体" w:cs="宋体"/>
          <w:b/>
          <w:bCs/>
          <w:color w:val="auto"/>
        </w:rPr>
        <w:t>评标</w:t>
      </w:r>
    </w:p>
    <w:p w14:paraId="30CAD65B">
      <w:pPr>
        <w:spacing w:line="360" w:lineRule="auto"/>
        <w:jc w:val="left"/>
        <w:rPr>
          <w:rFonts w:ascii="宋体"/>
          <w:color w:val="auto"/>
        </w:rPr>
      </w:pPr>
      <w:r>
        <w:rPr>
          <w:rFonts w:ascii="宋体" w:hAnsi="宋体" w:cs="宋体"/>
          <w:color w:val="auto"/>
        </w:rPr>
        <w:t>23.1</w:t>
      </w:r>
      <w:r>
        <w:rPr>
          <w:rFonts w:hint="eastAsia" w:ascii="宋体" w:hAnsi="宋体" w:cs="宋体"/>
        </w:rPr>
        <w:t>评标由依法组建的评委会小组负责。评标通过</w:t>
      </w:r>
      <w:r>
        <w:rPr>
          <w:rFonts w:hint="eastAsia" w:ascii="宋体" w:hAnsi="宋体"/>
          <w:bCs/>
          <w:szCs w:val="21"/>
          <w:lang w:eastAsia="zh-CN"/>
        </w:rPr>
        <w:t>“</w:t>
      </w:r>
      <w:r>
        <w:rPr>
          <w:rFonts w:hint="eastAsia" w:ascii="宋体" w:hAnsi="宋体"/>
          <w:bCs/>
          <w:szCs w:val="21"/>
          <w:lang w:val="en-US" w:eastAsia="zh-CN"/>
        </w:rPr>
        <w:t>政采云</w:t>
      </w:r>
      <w:r>
        <w:rPr>
          <w:rFonts w:hint="eastAsia" w:ascii="宋体" w:hAnsi="宋体"/>
          <w:bCs/>
          <w:szCs w:val="21"/>
          <w:lang w:eastAsia="zh-CN"/>
        </w:rPr>
        <w:t>”</w:t>
      </w:r>
      <w:r>
        <w:rPr>
          <w:rFonts w:hint="eastAsia" w:ascii="宋体" w:hAnsi="宋体" w:cs="宋体"/>
        </w:rPr>
        <w:t>评标系统进行，评标小组由熟悉相关业务的技术、经济等方面的专家4人及采购人代表1人共5人以上单数组成。其中，技术、经济等方面的专家不得少于成员总数的三分之二，开标结束后有</w:t>
      </w:r>
      <w:r>
        <w:rPr>
          <w:rFonts w:ascii="宋体" w:hAnsi="宋体" w:cs="宋体"/>
        </w:rPr>
        <w:t>3</w:t>
      </w:r>
      <w:r>
        <w:rPr>
          <w:rFonts w:hint="eastAsia" w:ascii="宋体" w:hAnsi="宋体" w:cs="宋体"/>
        </w:rPr>
        <w:t>家以上的有效供应商，方可组织评标</w:t>
      </w:r>
      <w:r>
        <w:rPr>
          <w:rFonts w:hint="eastAsia" w:ascii="宋体" w:hAnsi="宋体" w:cs="宋体"/>
          <w:color w:val="auto"/>
        </w:rPr>
        <w:t>。</w:t>
      </w:r>
    </w:p>
    <w:p w14:paraId="5A578E7E">
      <w:pPr>
        <w:pStyle w:val="18"/>
        <w:spacing w:line="360" w:lineRule="auto"/>
        <w:rPr>
          <w:rFonts w:hAnsi="宋体"/>
          <w:color w:val="auto"/>
          <w:sz w:val="21"/>
          <w:szCs w:val="21"/>
        </w:rPr>
      </w:pPr>
      <w:r>
        <w:rPr>
          <w:rFonts w:hAnsi="宋体"/>
          <w:color w:val="auto"/>
          <w:sz w:val="21"/>
          <w:szCs w:val="21"/>
        </w:rPr>
        <w:t>23.2</w:t>
      </w:r>
      <w:r>
        <w:rPr>
          <w:rFonts w:hint="eastAsia" w:hAnsi="宋体"/>
          <w:color w:val="auto"/>
          <w:sz w:val="21"/>
          <w:szCs w:val="21"/>
        </w:rPr>
        <w:t>评标原则及方法</w:t>
      </w:r>
    </w:p>
    <w:p w14:paraId="21F2C19A">
      <w:pPr>
        <w:spacing w:line="360" w:lineRule="auto"/>
        <w:jc w:val="left"/>
        <w:rPr>
          <w:rFonts w:ascii="宋体"/>
          <w:color w:val="auto"/>
        </w:rPr>
      </w:pPr>
      <w:r>
        <w:rPr>
          <w:rFonts w:ascii="宋体" w:hAnsi="宋体" w:cs="宋体"/>
          <w:color w:val="auto"/>
        </w:rPr>
        <w:t xml:space="preserve">    </w:t>
      </w:r>
      <w:r>
        <w:rPr>
          <w:rFonts w:hint="eastAsia" w:ascii="宋体" w:hAnsi="宋体" w:cs="宋体"/>
          <w:color w:val="auto"/>
        </w:rPr>
        <w:t>评标活动遵循公平、公正、科学和择优的原则。</w:t>
      </w:r>
    </w:p>
    <w:p w14:paraId="667EFA04">
      <w:pPr>
        <w:pStyle w:val="18"/>
        <w:spacing w:line="360" w:lineRule="auto"/>
        <w:ind w:left="630" w:hanging="630" w:hangingChars="300"/>
        <w:rPr>
          <w:rFonts w:hAnsi="宋体"/>
          <w:color w:val="auto"/>
          <w:sz w:val="21"/>
          <w:szCs w:val="21"/>
        </w:rPr>
      </w:pPr>
      <w:r>
        <w:rPr>
          <w:rFonts w:hAnsi="宋体"/>
          <w:color w:val="auto"/>
          <w:sz w:val="21"/>
          <w:szCs w:val="21"/>
        </w:rPr>
        <w:t>23.3</w:t>
      </w:r>
      <w:r>
        <w:rPr>
          <w:rFonts w:hint="eastAsia" w:hAnsi="宋体"/>
          <w:color w:val="auto"/>
          <w:sz w:val="21"/>
          <w:szCs w:val="21"/>
        </w:rPr>
        <w:t>评标方法</w:t>
      </w:r>
    </w:p>
    <w:p w14:paraId="45CE5C2B">
      <w:pPr>
        <w:spacing w:line="360" w:lineRule="auto"/>
        <w:ind w:firstLine="472" w:firstLineChars="225"/>
        <w:jc w:val="left"/>
        <w:rPr>
          <w:rFonts w:ascii="宋体"/>
          <w:color w:val="auto"/>
        </w:rPr>
      </w:pPr>
      <w:r>
        <w:rPr>
          <w:rFonts w:hint="eastAsia" w:ascii="宋体" w:hAnsi="宋体" w:cs="宋体"/>
          <w:color w:val="auto"/>
        </w:rPr>
        <w:t>本项目按“</w:t>
      </w:r>
      <w:r>
        <w:rPr>
          <w:rFonts w:hint="eastAsia" w:ascii="宋体" w:hAnsi="宋体" w:cs="宋体"/>
          <w:b/>
          <w:bCs/>
          <w:color w:val="auto"/>
        </w:rPr>
        <w:t>投标人须知前附表</w:t>
      </w:r>
      <w:r>
        <w:rPr>
          <w:rFonts w:hint="eastAsia" w:ascii="宋体" w:hAnsi="宋体" w:cs="宋体"/>
          <w:color w:val="auto"/>
        </w:rPr>
        <w:t>”规定的评标方法评标。在评标中，不得改变招标文件中规定的评标标准、方法和中标条件。第六章“</w:t>
      </w:r>
      <w:r>
        <w:rPr>
          <w:rFonts w:hint="eastAsia" w:ascii="宋体" w:hAnsi="宋体" w:cs="宋体"/>
          <w:b/>
          <w:bCs/>
          <w:color w:val="auto"/>
        </w:rPr>
        <w:t>评标方法</w:t>
      </w:r>
      <w:r>
        <w:rPr>
          <w:rFonts w:hint="eastAsia" w:ascii="宋体" w:hAnsi="宋体" w:cs="宋体"/>
          <w:color w:val="auto"/>
        </w:rPr>
        <w:t>”没有规定的评审因素和标准，不作为评标依据。</w:t>
      </w:r>
    </w:p>
    <w:p w14:paraId="7246A28A">
      <w:pPr>
        <w:spacing w:line="360" w:lineRule="auto"/>
        <w:rPr>
          <w:rFonts w:ascii="宋体"/>
          <w:color w:val="auto"/>
        </w:rPr>
      </w:pPr>
      <w:r>
        <w:rPr>
          <w:rFonts w:ascii="宋体" w:hAnsi="宋体" w:cs="宋体"/>
          <w:color w:val="auto"/>
        </w:rPr>
        <w:t>23.4</w:t>
      </w:r>
      <w:r>
        <w:rPr>
          <w:rFonts w:hint="eastAsia" w:ascii="宋体" w:hAnsi="宋体" w:cs="宋体"/>
          <w:color w:val="auto"/>
        </w:rPr>
        <w:t>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15B9EF40">
      <w:pPr>
        <w:pStyle w:val="18"/>
        <w:spacing w:line="360" w:lineRule="auto"/>
        <w:rPr>
          <w:rFonts w:hAnsi="宋体"/>
          <w:color w:val="auto"/>
          <w:sz w:val="21"/>
          <w:szCs w:val="21"/>
        </w:rPr>
      </w:pPr>
      <w:r>
        <w:rPr>
          <w:rFonts w:hAnsi="宋体"/>
          <w:color w:val="auto"/>
          <w:sz w:val="21"/>
          <w:szCs w:val="21"/>
        </w:rPr>
        <w:t xml:space="preserve">24. </w:t>
      </w:r>
      <w:r>
        <w:rPr>
          <w:rFonts w:hint="eastAsia" w:hAnsi="宋体"/>
          <w:b/>
          <w:bCs/>
          <w:color w:val="auto"/>
          <w:sz w:val="21"/>
          <w:szCs w:val="21"/>
        </w:rPr>
        <w:t>在招标采购中，出现下列情形之一的，应予废标：</w:t>
      </w:r>
    </w:p>
    <w:p w14:paraId="51F8A942">
      <w:pPr>
        <w:pStyle w:val="18"/>
        <w:spacing w:line="360" w:lineRule="auto"/>
        <w:ind w:left="718" w:leftChars="342"/>
        <w:rPr>
          <w:rFonts w:hAnsi="宋体"/>
          <w:b/>
          <w:bCs/>
          <w:color w:val="auto"/>
          <w:sz w:val="21"/>
          <w:szCs w:val="21"/>
        </w:rPr>
      </w:pPr>
      <w:r>
        <w:rPr>
          <w:rFonts w:hAnsi="宋体"/>
          <w:b/>
          <w:bCs/>
          <w:color w:val="auto"/>
          <w:sz w:val="21"/>
          <w:szCs w:val="21"/>
        </w:rPr>
        <w:t>(1)</w:t>
      </w:r>
      <w:r>
        <w:rPr>
          <w:rFonts w:hint="eastAsia" w:hAnsi="宋体"/>
          <w:b/>
          <w:bCs/>
          <w:color w:val="auto"/>
          <w:sz w:val="21"/>
          <w:szCs w:val="21"/>
        </w:rPr>
        <w:t>符合专业条件的供应商或者对招标文件作实质响应的供应商不足</w:t>
      </w:r>
      <w:r>
        <w:rPr>
          <w:rFonts w:hAnsi="宋体"/>
          <w:b/>
          <w:bCs/>
          <w:color w:val="auto"/>
          <w:sz w:val="21"/>
          <w:szCs w:val="21"/>
        </w:rPr>
        <w:t>3</w:t>
      </w:r>
      <w:r>
        <w:rPr>
          <w:rFonts w:hint="eastAsia" w:hAnsi="宋体"/>
          <w:b/>
          <w:bCs/>
          <w:color w:val="auto"/>
          <w:sz w:val="21"/>
          <w:szCs w:val="21"/>
        </w:rPr>
        <w:t>家的；</w:t>
      </w:r>
    </w:p>
    <w:p w14:paraId="6069D1FD">
      <w:pPr>
        <w:pStyle w:val="18"/>
        <w:spacing w:line="360" w:lineRule="auto"/>
        <w:ind w:left="718" w:leftChars="342"/>
        <w:rPr>
          <w:rFonts w:hAnsi="宋体"/>
          <w:b/>
          <w:bCs/>
          <w:color w:val="auto"/>
          <w:sz w:val="21"/>
          <w:szCs w:val="21"/>
        </w:rPr>
      </w:pPr>
      <w:r>
        <w:rPr>
          <w:rFonts w:hAnsi="宋体"/>
          <w:b/>
          <w:bCs/>
          <w:color w:val="auto"/>
          <w:sz w:val="21"/>
          <w:szCs w:val="21"/>
        </w:rPr>
        <w:t>(2)</w:t>
      </w:r>
      <w:r>
        <w:rPr>
          <w:rFonts w:hint="eastAsia" w:hAnsi="宋体"/>
          <w:b/>
          <w:bCs/>
          <w:color w:val="auto"/>
          <w:sz w:val="21"/>
          <w:szCs w:val="21"/>
        </w:rPr>
        <w:t>出现影响采购公正的违法、违规行为的；</w:t>
      </w:r>
    </w:p>
    <w:p w14:paraId="1FBACB16">
      <w:pPr>
        <w:pStyle w:val="18"/>
        <w:spacing w:line="360" w:lineRule="auto"/>
        <w:ind w:left="718" w:leftChars="342"/>
        <w:rPr>
          <w:rFonts w:hAnsi="宋体"/>
          <w:b/>
          <w:bCs/>
          <w:color w:val="auto"/>
          <w:sz w:val="21"/>
          <w:szCs w:val="21"/>
        </w:rPr>
      </w:pPr>
      <w:r>
        <w:rPr>
          <w:rFonts w:hAnsi="宋体"/>
          <w:b/>
          <w:bCs/>
          <w:color w:val="auto"/>
          <w:sz w:val="21"/>
          <w:szCs w:val="21"/>
        </w:rPr>
        <w:t>(3)</w:t>
      </w:r>
      <w:r>
        <w:rPr>
          <w:rFonts w:hint="eastAsia" w:hAnsi="宋体"/>
          <w:b/>
          <w:bCs/>
          <w:color w:val="auto"/>
          <w:sz w:val="21"/>
          <w:szCs w:val="21"/>
        </w:rPr>
        <w:t>因重大变故，采购任务取消的。</w:t>
      </w:r>
    </w:p>
    <w:p w14:paraId="0A1B48C3">
      <w:pPr>
        <w:pStyle w:val="18"/>
        <w:spacing w:line="360" w:lineRule="auto"/>
        <w:rPr>
          <w:rFonts w:hAnsi="宋体"/>
          <w:b/>
          <w:bCs/>
          <w:color w:val="auto"/>
          <w:sz w:val="21"/>
          <w:szCs w:val="21"/>
        </w:rPr>
      </w:pPr>
      <w:r>
        <w:rPr>
          <w:rFonts w:hAnsi="宋体"/>
          <w:color w:val="auto"/>
          <w:sz w:val="21"/>
          <w:szCs w:val="21"/>
        </w:rPr>
        <w:t xml:space="preserve">    </w:t>
      </w:r>
      <w:r>
        <w:rPr>
          <w:rFonts w:hint="eastAsia" w:hAnsi="宋体"/>
          <w:b/>
          <w:bCs/>
          <w:color w:val="auto"/>
          <w:sz w:val="21"/>
          <w:szCs w:val="21"/>
        </w:rPr>
        <w:t>废标后，采购人应当将废标理由通知所有投标人。</w:t>
      </w:r>
    </w:p>
    <w:p w14:paraId="5F2C724C">
      <w:pPr>
        <w:pStyle w:val="3"/>
        <w:numPr>
          <w:ilvl w:val="0"/>
          <w:numId w:val="0"/>
        </w:numPr>
        <w:tabs>
          <w:tab w:val="left" w:pos="1021"/>
        </w:tabs>
        <w:spacing w:before="0"/>
        <w:ind w:left="425"/>
        <w:jc w:val="center"/>
        <w:rPr>
          <w:rFonts w:ascii="宋体" w:hAnsi="宋体" w:eastAsia="宋体"/>
          <w:color w:val="auto"/>
          <w:sz w:val="21"/>
          <w:szCs w:val="21"/>
        </w:rPr>
      </w:pPr>
      <w:bookmarkStart w:id="45" w:name="_Toc15493"/>
      <w:bookmarkStart w:id="46" w:name="_Toc13009"/>
      <w:bookmarkStart w:id="47" w:name="_Toc29918"/>
      <w:r>
        <w:rPr>
          <w:rFonts w:hint="eastAsia" w:ascii="宋体" w:hAnsi="宋体" w:eastAsia="宋体" w:cs="宋体"/>
          <w:color w:val="auto"/>
          <w:sz w:val="21"/>
          <w:szCs w:val="21"/>
        </w:rPr>
        <w:t>六、中标结果</w:t>
      </w:r>
      <w:bookmarkEnd w:id="45"/>
      <w:bookmarkEnd w:id="46"/>
      <w:bookmarkEnd w:id="47"/>
    </w:p>
    <w:p w14:paraId="7BB66467">
      <w:pPr>
        <w:pStyle w:val="18"/>
        <w:spacing w:line="360" w:lineRule="auto"/>
        <w:rPr>
          <w:rFonts w:hAnsi="宋体"/>
          <w:b/>
          <w:bCs/>
          <w:color w:val="auto"/>
          <w:sz w:val="21"/>
          <w:szCs w:val="21"/>
        </w:rPr>
      </w:pPr>
      <w:r>
        <w:rPr>
          <w:rFonts w:hAnsi="宋体"/>
          <w:b/>
          <w:bCs/>
          <w:color w:val="auto"/>
          <w:sz w:val="21"/>
          <w:szCs w:val="21"/>
        </w:rPr>
        <w:t xml:space="preserve">25. </w:t>
      </w:r>
      <w:r>
        <w:rPr>
          <w:rFonts w:hint="eastAsia" w:hAnsi="宋体"/>
          <w:b/>
          <w:bCs/>
          <w:color w:val="auto"/>
          <w:sz w:val="21"/>
          <w:szCs w:val="21"/>
        </w:rPr>
        <w:t>中标人的确定</w:t>
      </w:r>
    </w:p>
    <w:p w14:paraId="56C1CCB5">
      <w:pPr>
        <w:spacing w:line="360" w:lineRule="auto"/>
        <w:rPr>
          <w:rFonts w:ascii="宋体"/>
          <w:color w:val="auto"/>
        </w:rPr>
      </w:pPr>
      <w:r>
        <w:rPr>
          <w:rFonts w:ascii="宋体" w:hAnsi="宋体" w:cs="宋体"/>
          <w:color w:val="auto"/>
        </w:rPr>
        <w:t>25.1</w:t>
      </w:r>
      <w:r>
        <w:rPr>
          <w:rFonts w:hint="eastAsia" w:ascii="宋体" w:hAnsi="宋体" w:cs="宋体"/>
          <w:color w:val="auto"/>
        </w:rPr>
        <w:t>采购代理机构应当在评标结束后五个工作日内将评标报告送采购人确认。</w:t>
      </w:r>
    </w:p>
    <w:p w14:paraId="059F214B">
      <w:pPr>
        <w:pStyle w:val="18"/>
        <w:spacing w:line="360" w:lineRule="auto"/>
        <w:rPr>
          <w:rFonts w:hAnsi="宋体"/>
          <w:color w:val="auto"/>
          <w:sz w:val="21"/>
          <w:szCs w:val="21"/>
        </w:rPr>
      </w:pPr>
      <w:r>
        <w:rPr>
          <w:rFonts w:hAnsi="宋体"/>
          <w:color w:val="auto"/>
          <w:sz w:val="21"/>
          <w:szCs w:val="21"/>
        </w:rPr>
        <w:t>25.2</w:t>
      </w:r>
      <w:r>
        <w:rPr>
          <w:rFonts w:hint="eastAsia" w:hAnsi="宋体"/>
          <w:color w:val="auto"/>
          <w:sz w:val="21"/>
          <w:szCs w:val="21"/>
        </w:rPr>
        <w:t>采购人应当在收到评标报告后五个工作日内，按照评标报告中推荐的中标人顺序确定中标人。</w:t>
      </w:r>
    </w:p>
    <w:p w14:paraId="60126A6A">
      <w:pPr>
        <w:spacing w:line="360" w:lineRule="auto"/>
        <w:rPr>
          <w:rFonts w:ascii="宋体"/>
          <w:color w:val="auto"/>
        </w:rPr>
      </w:pPr>
      <w:r>
        <w:rPr>
          <w:rFonts w:ascii="宋体" w:hAnsi="宋体" w:cs="宋体"/>
          <w:color w:val="auto"/>
        </w:rPr>
        <w:t>25.3</w:t>
      </w:r>
      <w:r>
        <w:rPr>
          <w:rFonts w:hint="eastAsia" w:ascii="宋体" w:hAnsi="宋体" w:cs="宋体"/>
          <w:color w:val="auto"/>
        </w:rPr>
        <w:t>中标人确定后，中标结果应当在财政部门指定的政府采购信息发布媒体上公告。公告内容应当包括招标项目、中标供应商名单、评标委员会成员名单、招标采购单位的名称和电话。</w:t>
      </w:r>
    </w:p>
    <w:p w14:paraId="65F223EB">
      <w:pPr>
        <w:pStyle w:val="18"/>
        <w:spacing w:line="360" w:lineRule="auto"/>
        <w:rPr>
          <w:rFonts w:hAnsi="宋体"/>
          <w:b/>
          <w:bCs/>
          <w:color w:val="auto"/>
          <w:sz w:val="21"/>
          <w:szCs w:val="21"/>
        </w:rPr>
      </w:pPr>
      <w:r>
        <w:rPr>
          <w:rFonts w:hAnsi="宋体"/>
          <w:b/>
          <w:bCs/>
          <w:color w:val="auto"/>
          <w:sz w:val="21"/>
          <w:szCs w:val="21"/>
        </w:rPr>
        <w:t xml:space="preserve">26. </w:t>
      </w:r>
      <w:r>
        <w:rPr>
          <w:rFonts w:hint="eastAsia" w:hAnsi="宋体"/>
          <w:b/>
          <w:bCs/>
          <w:color w:val="auto"/>
          <w:sz w:val="21"/>
          <w:szCs w:val="21"/>
        </w:rPr>
        <w:t>中标通知书</w:t>
      </w:r>
    </w:p>
    <w:p w14:paraId="6A46FF4B">
      <w:pPr>
        <w:pStyle w:val="18"/>
        <w:spacing w:line="360" w:lineRule="auto"/>
        <w:rPr>
          <w:rFonts w:hAnsi="宋体"/>
          <w:color w:val="auto"/>
          <w:sz w:val="21"/>
          <w:szCs w:val="21"/>
        </w:rPr>
      </w:pPr>
      <w:r>
        <w:rPr>
          <w:rFonts w:hAnsi="宋体"/>
          <w:color w:val="auto"/>
          <w:sz w:val="21"/>
          <w:szCs w:val="21"/>
        </w:rPr>
        <w:t>26.1</w:t>
      </w:r>
      <w:r>
        <w:rPr>
          <w:rFonts w:hint="eastAsia" w:hAnsi="宋体"/>
          <w:color w:val="auto"/>
          <w:sz w:val="21"/>
          <w:szCs w:val="21"/>
        </w:rPr>
        <w:t>中标人确定后，中标结果由采购代理机构在财政部门指定的政府采购信息发布媒体上公告</w:t>
      </w:r>
      <w:r>
        <w:rPr>
          <w:rFonts w:hAnsi="宋体"/>
          <w:color w:val="auto"/>
          <w:sz w:val="21"/>
          <w:szCs w:val="21"/>
        </w:rPr>
        <w:t>,</w:t>
      </w:r>
      <w:r>
        <w:rPr>
          <w:rFonts w:hint="eastAsia" w:hAnsi="宋体"/>
          <w:color w:val="auto"/>
          <w:sz w:val="21"/>
          <w:szCs w:val="21"/>
        </w:rPr>
        <w:t>同时向中标人发出中标通知书，向未中标人发出招标结果通知书。</w:t>
      </w:r>
    </w:p>
    <w:p w14:paraId="34F5BCB6">
      <w:pPr>
        <w:pStyle w:val="18"/>
        <w:spacing w:line="360" w:lineRule="auto"/>
        <w:rPr>
          <w:rFonts w:hAnsi="宋体"/>
          <w:color w:val="auto"/>
          <w:sz w:val="21"/>
          <w:szCs w:val="21"/>
        </w:rPr>
      </w:pPr>
      <w:r>
        <w:rPr>
          <w:rFonts w:hAnsi="宋体"/>
          <w:color w:val="auto"/>
          <w:sz w:val="21"/>
          <w:szCs w:val="21"/>
        </w:rPr>
        <w:t>26.2</w:t>
      </w:r>
      <w:r>
        <w:rPr>
          <w:rFonts w:hint="eastAsia" w:hAnsi="宋体"/>
          <w:color w:val="auto"/>
          <w:sz w:val="21"/>
          <w:szCs w:val="21"/>
        </w:rPr>
        <w:t>中标通知书是合同的一个组成部分。</w:t>
      </w:r>
    </w:p>
    <w:p w14:paraId="1B2B4809">
      <w:pPr>
        <w:pStyle w:val="18"/>
        <w:spacing w:line="360" w:lineRule="auto"/>
        <w:rPr>
          <w:rFonts w:hAnsi="宋体"/>
          <w:b/>
          <w:bCs/>
          <w:color w:val="auto"/>
          <w:sz w:val="21"/>
          <w:szCs w:val="21"/>
        </w:rPr>
      </w:pPr>
      <w:r>
        <w:rPr>
          <w:rFonts w:hAnsi="宋体"/>
          <w:b/>
          <w:bCs/>
          <w:color w:val="auto"/>
          <w:sz w:val="21"/>
          <w:szCs w:val="21"/>
        </w:rPr>
        <w:t xml:space="preserve">27. </w:t>
      </w:r>
      <w:r>
        <w:rPr>
          <w:rFonts w:hint="eastAsia" w:hAnsi="宋体"/>
          <w:b/>
          <w:bCs/>
          <w:color w:val="auto"/>
          <w:sz w:val="21"/>
          <w:szCs w:val="21"/>
        </w:rPr>
        <w:t>签订合同</w:t>
      </w:r>
    </w:p>
    <w:p w14:paraId="1798399A">
      <w:pPr>
        <w:pStyle w:val="18"/>
        <w:spacing w:line="360" w:lineRule="auto"/>
        <w:rPr>
          <w:rFonts w:hAnsi="宋体"/>
          <w:color w:val="auto"/>
          <w:sz w:val="21"/>
          <w:szCs w:val="21"/>
        </w:rPr>
      </w:pPr>
      <w:r>
        <w:rPr>
          <w:rFonts w:hAnsi="宋体"/>
          <w:color w:val="auto"/>
          <w:sz w:val="21"/>
          <w:szCs w:val="21"/>
        </w:rPr>
        <w:t>27.1</w:t>
      </w:r>
      <w:r>
        <w:rPr>
          <w:rFonts w:hint="eastAsia" w:hAnsi="宋体"/>
          <w:color w:val="auto"/>
          <w:sz w:val="21"/>
          <w:szCs w:val="21"/>
        </w:rPr>
        <w:t>采购人与中标人应当在中标通知书发出之日起三十日内，按照采购文件确定的事项签订政府采购合同。</w:t>
      </w:r>
    </w:p>
    <w:p w14:paraId="60C752EB">
      <w:pPr>
        <w:pStyle w:val="18"/>
        <w:spacing w:line="360" w:lineRule="auto"/>
        <w:rPr>
          <w:rFonts w:hAnsi="宋体"/>
          <w:color w:val="auto"/>
          <w:sz w:val="21"/>
          <w:szCs w:val="21"/>
        </w:rPr>
      </w:pPr>
      <w:r>
        <w:rPr>
          <w:rFonts w:hAnsi="宋体"/>
          <w:color w:val="auto"/>
          <w:sz w:val="21"/>
          <w:szCs w:val="21"/>
        </w:rPr>
        <w:t>27.2</w:t>
      </w:r>
      <w:r>
        <w:rPr>
          <w:rFonts w:hint="eastAsia" w:hAnsi="宋体"/>
          <w:color w:val="auto"/>
          <w:sz w:val="21"/>
          <w:szCs w:val="21"/>
        </w:rPr>
        <w:t>中标人因不可抗力或者自身原因不能履行政府采购合同的，采购人可以与排位在中标人之后第一位的中标候选人签订政府采购合同，以此类推；也可以重新招标。</w:t>
      </w:r>
    </w:p>
    <w:p w14:paraId="3329A44C">
      <w:pPr>
        <w:pStyle w:val="18"/>
        <w:spacing w:line="360" w:lineRule="auto"/>
        <w:rPr>
          <w:rFonts w:hAnsi="宋体"/>
          <w:color w:val="auto"/>
          <w:sz w:val="21"/>
          <w:szCs w:val="21"/>
        </w:rPr>
      </w:pPr>
      <w:r>
        <w:rPr>
          <w:rFonts w:hAnsi="宋体"/>
          <w:color w:val="auto"/>
          <w:sz w:val="21"/>
          <w:szCs w:val="21"/>
        </w:rPr>
        <w:t>27.3</w:t>
      </w:r>
      <w:r>
        <w:rPr>
          <w:rFonts w:hint="eastAsia" w:hAnsi="宋体"/>
          <w:color w:val="auto"/>
          <w:sz w:val="21"/>
          <w:szCs w:val="21"/>
        </w:rPr>
        <w:t>政府采购合同履行中，采购人需追加与合同标的相同的货物的，在不改变合同其他条款的前提下，可以与中标人协商签订补充合同，但所有补充合同的采购金额不得超过原合同采购金额的百分之十。</w:t>
      </w:r>
    </w:p>
    <w:p w14:paraId="460F7E5C">
      <w:pPr>
        <w:pStyle w:val="18"/>
        <w:spacing w:line="440" w:lineRule="exact"/>
        <w:jc w:val="center"/>
        <w:outlineLvl w:val="0"/>
        <w:rPr>
          <w:rFonts w:hint="eastAsia" w:hAnsi="宋体" w:cs="宋体"/>
          <w:b/>
          <w:bCs/>
          <w:color w:val="auto"/>
          <w:sz w:val="21"/>
          <w:szCs w:val="21"/>
          <w:lang w:val="en-US" w:eastAsia="zh-CN"/>
        </w:rPr>
      </w:pPr>
      <w:bookmarkStart w:id="48" w:name="_Toc24748"/>
      <w:bookmarkStart w:id="49" w:name="_Toc140985684"/>
      <w:bookmarkStart w:id="50" w:name="_Toc32745"/>
      <w:bookmarkStart w:id="51" w:name="_Toc13147"/>
      <w:r>
        <w:rPr>
          <w:rFonts w:hint="eastAsia" w:hAnsi="宋体" w:cs="宋体"/>
          <w:b/>
          <w:bCs/>
          <w:color w:val="auto"/>
          <w:sz w:val="21"/>
          <w:szCs w:val="21"/>
          <w:lang w:val="en-US" w:eastAsia="zh-CN"/>
        </w:rPr>
        <w:t>七、定  标</w:t>
      </w:r>
      <w:bookmarkEnd w:id="48"/>
      <w:bookmarkEnd w:id="49"/>
      <w:bookmarkEnd w:id="50"/>
      <w:bookmarkEnd w:id="51"/>
    </w:p>
    <w:p w14:paraId="249C943D">
      <w:pPr>
        <w:pStyle w:val="18"/>
        <w:spacing w:line="440" w:lineRule="exact"/>
        <w:outlineLvl w:val="1"/>
        <w:rPr>
          <w:rFonts w:hint="eastAsia"/>
          <w:b/>
          <w:color w:val="auto"/>
          <w:sz w:val="24"/>
          <w:szCs w:val="24"/>
        </w:rPr>
      </w:pPr>
      <w:bookmarkStart w:id="52" w:name="_Toc17095"/>
      <w:bookmarkStart w:id="53" w:name="_Toc23009"/>
      <w:bookmarkStart w:id="54" w:name="_Toc1749"/>
      <w:bookmarkStart w:id="55" w:name="_Toc6363"/>
      <w:bookmarkStart w:id="56" w:name="_Toc140985685"/>
      <w:r>
        <w:rPr>
          <w:rFonts w:hint="eastAsia"/>
          <w:b/>
          <w:color w:val="auto"/>
          <w:sz w:val="24"/>
          <w:szCs w:val="24"/>
          <w:lang w:val="en-US" w:eastAsia="zh-CN"/>
        </w:rPr>
        <w:t>29</w:t>
      </w:r>
      <w:r>
        <w:rPr>
          <w:rFonts w:hint="eastAsia"/>
          <w:b/>
          <w:color w:val="auto"/>
          <w:sz w:val="24"/>
          <w:szCs w:val="24"/>
        </w:rPr>
        <w:t>. 定标准则</w:t>
      </w:r>
      <w:bookmarkEnd w:id="52"/>
      <w:bookmarkEnd w:id="53"/>
      <w:bookmarkEnd w:id="54"/>
      <w:bookmarkEnd w:id="55"/>
      <w:bookmarkEnd w:id="56"/>
      <w:r>
        <w:rPr>
          <w:rFonts w:hint="eastAsia"/>
          <w:b/>
          <w:color w:val="auto"/>
          <w:sz w:val="24"/>
          <w:szCs w:val="24"/>
        </w:rPr>
        <w:t xml:space="preserve"> </w:t>
      </w:r>
    </w:p>
    <w:p w14:paraId="6E236590">
      <w:pPr>
        <w:spacing w:line="440" w:lineRule="exact"/>
        <w:ind w:firstLine="420" w:firstLineChars="200"/>
        <w:rPr>
          <w:rFonts w:hint="eastAsia" w:hAnsi="宋体"/>
          <w:color w:val="auto"/>
          <w:szCs w:val="21"/>
        </w:rPr>
      </w:pPr>
      <w:r>
        <w:rPr>
          <w:rFonts w:hint="eastAsia" w:hAnsi="宋体"/>
          <w:color w:val="auto"/>
          <w:szCs w:val="21"/>
        </w:rPr>
        <w:t xml:space="preserve">29.1 根据第30条规定对各投标供应商的投标文件进行综合评估后，将选择评审后得分排名第一的投标供应商为第一中标投标供应商。   </w:t>
      </w:r>
    </w:p>
    <w:p w14:paraId="4C759DB1">
      <w:pPr>
        <w:spacing w:line="440" w:lineRule="exact"/>
        <w:ind w:firstLine="420" w:firstLineChars="200"/>
        <w:rPr>
          <w:rFonts w:hAnsi="宋体"/>
          <w:color w:val="auto"/>
          <w:szCs w:val="21"/>
        </w:rPr>
      </w:pPr>
      <w:r>
        <w:rPr>
          <w:rFonts w:hint="eastAsia" w:hAnsi="宋体"/>
          <w:color w:val="auto"/>
          <w:szCs w:val="21"/>
        </w:rPr>
        <w:t>29.2</w:t>
      </w:r>
      <w:r>
        <w:rPr>
          <w:rFonts w:hAnsi="宋体"/>
          <w:color w:val="auto"/>
          <w:szCs w:val="21"/>
        </w:rPr>
        <w:t xml:space="preserve">排名第一的中标投标供应商放弃中标、因不可抗力提出不能履行合同，招标人可以确定排名第二的中标投标供应商为中标投标供应商。 </w:t>
      </w:r>
    </w:p>
    <w:p w14:paraId="47E52EE8">
      <w:pPr>
        <w:spacing w:line="440" w:lineRule="exact"/>
        <w:ind w:firstLine="420" w:firstLineChars="200"/>
        <w:rPr>
          <w:rFonts w:hint="eastAsia" w:hAnsi="宋体"/>
          <w:color w:val="auto"/>
          <w:szCs w:val="21"/>
        </w:rPr>
      </w:pPr>
      <w:r>
        <w:rPr>
          <w:rFonts w:hint="eastAsia" w:hAnsi="宋体"/>
          <w:color w:val="auto"/>
          <w:szCs w:val="21"/>
        </w:rPr>
        <w:t>29.3</w:t>
      </w:r>
      <w:r>
        <w:rPr>
          <w:rFonts w:hAnsi="宋体"/>
          <w:color w:val="auto"/>
          <w:szCs w:val="21"/>
        </w:rPr>
        <w:t>排名第二的中标投标供应商因前款规定的同样原因不能签订合同的，招标人可以确定排名第三的中标投标供应商为中标投标供应商。</w:t>
      </w:r>
    </w:p>
    <w:p w14:paraId="16334150">
      <w:pPr>
        <w:spacing w:line="440" w:lineRule="exact"/>
        <w:ind w:firstLine="420" w:firstLineChars="200"/>
        <w:rPr>
          <w:rFonts w:hint="eastAsia" w:hAnsi="宋体"/>
          <w:color w:val="auto"/>
          <w:szCs w:val="21"/>
        </w:rPr>
      </w:pPr>
      <w:r>
        <w:rPr>
          <w:rFonts w:hint="eastAsia" w:hAnsi="宋体"/>
          <w:color w:val="auto"/>
          <w:szCs w:val="21"/>
        </w:rPr>
        <w:t>29.4招标人不能保证最低报价的投标供应商最终中标，也不对未中标的投标供应商作任何解释和说明。</w:t>
      </w:r>
    </w:p>
    <w:p w14:paraId="4083EA2E">
      <w:pPr>
        <w:pStyle w:val="3"/>
        <w:numPr>
          <w:ilvl w:val="0"/>
          <w:numId w:val="0"/>
        </w:numPr>
        <w:tabs>
          <w:tab w:val="left" w:pos="1021"/>
        </w:tabs>
        <w:spacing w:before="0"/>
        <w:jc w:val="center"/>
        <w:rPr>
          <w:rFonts w:ascii="宋体" w:hAnsi="宋体" w:eastAsia="宋体"/>
          <w:color w:val="auto"/>
          <w:sz w:val="21"/>
          <w:szCs w:val="21"/>
        </w:rPr>
      </w:pPr>
      <w:bookmarkStart w:id="57" w:name="_Toc23593"/>
      <w:bookmarkStart w:id="58" w:name="_Toc27742"/>
      <w:bookmarkStart w:id="59" w:name="_Toc32543"/>
      <w:r>
        <w:rPr>
          <w:rFonts w:hint="eastAsia" w:ascii="宋体" w:hAnsi="宋体" w:eastAsia="宋体" w:cs="宋体"/>
          <w:color w:val="auto"/>
          <w:sz w:val="21"/>
          <w:szCs w:val="21"/>
          <w:lang w:eastAsia="zh-CN"/>
        </w:rPr>
        <w:t>八</w:t>
      </w:r>
      <w:r>
        <w:rPr>
          <w:rFonts w:hint="eastAsia" w:ascii="宋体" w:hAnsi="宋体" w:eastAsia="宋体" w:cs="宋体"/>
          <w:color w:val="auto"/>
          <w:sz w:val="21"/>
          <w:szCs w:val="21"/>
        </w:rPr>
        <w:t>、其他事项</w:t>
      </w:r>
      <w:bookmarkEnd w:id="57"/>
      <w:bookmarkEnd w:id="58"/>
      <w:bookmarkEnd w:id="59"/>
    </w:p>
    <w:p w14:paraId="3E327361">
      <w:pPr>
        <w:pStyle w:val="18"/>
        <w:spacing w:line="360" w:lineRule="auto"/>
        <w:rPr>
          <w:rFonts w:hAnsi="宋体"/>
          <w:b/>
          <w:bCs/>
          <w:color w:val="auto"/>
          <w:sz w:val="21"/>
          <w:szCs w:val="21"/>
        </w:rPr>
      </w:pPr>
      <w:r>
        <w:rPr>
          <w:rFonts w:hint="eastAsia" w:hAnsi="宋体"/>
          <w:b/>
          <w:bCs/>
          <w:color w:val="auto"/>
          <w:sz w:val="21"/>
          <w:szCs w:val="21"/>
          <w:lang w:val="en-US" w:eastAsia="zh-CN"/>
        </w:rPr>
        <w:t>30</w:t>
      </w:r>
      <w:r>
        <w:rPr>
          <w:rFonts w:hAnsi="宋体"/>
          <w:b/>
          <w:bCs/>
          <w:color w:val="auto"/>
          <w:sz w:val="21"/>
          <w:szCs w:val="21"/>
        </w:rPr>
        <w:t xml:space="preserve">. </w:t>
      </w:r>
      <w:r>
        <w:rPr>
          <w:rFonts w:hint="eastAsia" w:hAnsi="宋体"/>
          <w:b/>
          <w:bCs/>
          <w:color w:val="auto"/>
          <w:sz w:val="21"/>
          <w:szCs w:val="21"/>
        </w:rPr>
        <w:t>采购代理服务费</w:t>
      </w:r>
    </w:p>
    <w:p w14:paraId="4D7CA90C">
      <w:pPr>
        <w:pStyle w:val="18"/>
        <w:spacing w:line="360" w:lineRule="auto"/>
        <w:rPr>
          <w:rFonts w:hAnsi="宋体"/>
          <w:color w:val="auto"/>
          <w:sz w:val="21"/>
          <w:szCs w:val="21"/>
        </w:rPr>
      </w:pPr>
      <w:r>
        <w:rPr>
          <w:rFonts w:hint="eastAsia" w:hAnsi="宋体"/>
          <w:color w:val="auto"/>
          <w:sz w:val="21"/>
          <w:szCs w:val="21"/>
          <w:lang w:val="en-US" w:eastAsia="zh-CN"/>
        </w:rPr>
        <w:t>30</w:t>
      </w:r>
      <w:r>
        <w:rPr>
          <w:rFonts w:hAnsi="宋体"/>
          <w:color w:val="auto"/>
          <w:sz w:val="21"/>
          <w:szCs w:val="21"/>
        </w:rPr>
        <w:t>.1</w:t>
      </w:r>
      <w:r>
        <w:rPr>
          <w:rFonts w:hint="eastAsia" w:hAnsi="宋体"/>
          <w:color w:val="auto"/>
          <w:sz w:val="21"/>
          <w:szCs w:val="21"/>
        </w:rPr>
        <w:t>采购代理服务费向中标人收取，收取标准详见“</w:t>
      </w:r>
      <w:r>
        <w:rPr>
          <w:rFonts w:hint="eastAsia" w:hAnsi="宋体"/>
          <w:b/>
          <w:bCs/>
          <w:color w:val="auto"/>
          <w:sz w:val="21"/>
          <w:szCs w:val="21"/>
        </w:rPr>
        <w:t>投标人须知前附表</w:t>
      </w:r>
      <w:r>
        <w:rPr>
          <w:rFonts w:hint="eastAsia" w:hAnsi="宋体"/>
          <w:color w:val="auto"/>
          <w:sz w:val="21"/>
          <w:szCs w:val="21"/>
        </w:rPr>
        <w:t>”。</w:t>
      </w:r>
    </w:p>
    <w:p w14:paraId="71E1ED84">
      <w:pPr>
        <w:pStyle w:val="18"/>
        <w:spacing w:line="360" w:lineRule="auto"/>
        <w:rPr>
          <w:rFonts w:hAnsi="宋体"/>
          <w:color w:val="auto"/>
          <w:sz w:val="21"/>
          <w:szCs w:val="21"/>
        </w:rPr>
      </w:pPr>
      <w:r>
        <w:rPr>
          <w:rFonts w:hint="eastAsia" w:hAnsi="宋体"/>
          <w:color w:val="auto"/>
          <w:sz w:val="21"/>
          <w:szCs w:val="21"/>
          <w:lang w:val="en-US" w:eastAsia="zh-CN"/>
        </w:rPr>
        <w:t>30</w:t>
      </w:r>
      <w:r>
        <w:rPr>
          <w:rFonts w:hAnsi="宋体"/>
          <w:color w:val="auto"/>
          <w:sz w:val="21"/>
          <w:szCs w:val="21"/>
        </w:rPr>
        <w:t>.2</w:t>
      </w:r>
      <w:r>
        <w:rPr>
          <w:rFonts w:hint="eastAsia" w:hAnsi="宋体"/>
          <w:color w:val="auto"/>
          <w:sz w:val="21"/>
          <w:szCs w:val="21"/>
        </w:rPr>
        <w:t>中标人应在接受“</w:t>
      </w:r>
      <w:r>
        <w:rPr>
          <w:rFonts w:hint="eastAsia" w:hAnsi="宋体"/>
          <w:b/>
          <w:bCs/>
          <w:color w:val="auto"/>
          <w:sz w:val="21"/>
          <w:szCs w:val="21"/>
        </w:rPr>
        <w:t>中标通知书</w:t>
      </w:r>
      <w:r>
        <w:rPr>
          <w:rFonts w:hint="eastAsia" w:hAnsi="宋体"/>
          <w:color w:val="auto"/>
          <w:sz w:val="21"/>
          <w:szCs w:val="21"/>
        </w:rPr>
        <w:t>”前向采购代理机构一次付清代理服务费及相关费用。</w:t>
      </w:r>
    </w:p>
    <w:p w14:paraId="31020BCD">
      <w:pPr>
        <w:pStyle w:val="18"/>
        <w:spacing w:line="360" w:lineRule="auto"/>
        <w:rPr>
          <w:rFonts w:hAnsi="宋体"/>
          <w:b/>
          <w:bCs/>
          <w:color w:val="auto"/>
          <w:sz w:val="21"/>
          <w:szCs w:val="21"/>
        </w:rPr>
      </w:pPr>
      <w:r>
        <w:rPr>
          <w:rFonts w:hint="eastAsia" w:hAnsi="宋体"/>
          <w:color w:val="auto"/>
          <w:sz w:val="21"/>
          <w:szCs w:val="21"/>
          <w:lang w:val="en-US" w:eastAsia="zh-CN"/>
        </w:rPr>
        <w:t>31</w:t>
      </w:r>
      <w:r>
        <w:rPr>
          <w:rFonts w:hAnsi="宋体"/>
          <w:b/>
          <w:bCs/>
          <w:color w:val="auto"/>
          <w:sz w:val="21"/>
          <w:szCs w:val="21"/>
        </w:rPr>
        <w:t xml:space="preserve"> </w:t>
      </w:r>
      <w:r>
        <w:rPr>
          <w:rFonts w:hint="eastAsia" w:hAnsi="宋体"/>
          <w:b/>
          <w:bCs/>
          <w:color w:val="auto"/>
          <w:sz w:val="21"/>
          <w:szCs w:val="21"/>
        </w:rPr>
        <w:t>招标文件编制依据</w:t>
      </w:r>
    </w:p>
    <w:p w14:paraId="2E6A4B34">
      <w:pPr>
        <w:pStyle w:val="18"/>
        <w:spacing w:line="360" w:lineRule="auto"/>
        <w:rPr>
          <w:rFonts w:hAnsi="宋体"/>
          <w:color w:val="auto"/>
          <w:sz w:val="21"/>
          <w:szCs w:val="21"/>
        </w:rPr>
      </w:pPr>
      <w:r>
        <w:rPr>
          <w:rFonts w:hAnsi="宋体"/>
          <w:color w:val="auto"/>
          <w:sz w:val="21"/>
          <w:szCs w:val="21"/>
        </w:rPr>
        <w:t>3</w:t>
      </w:r>
      <w:r>
        <w:rPr>
          <w:rFonts w:hint="eastAsia" w:hAnsi="宋体"/>
          <w:color w:val="auto"/>
          <w:sz w:val="21"/>
          <w:szCs w:val="21"/>
          <w:lang w:val="en-US" w:eastAsia="zh-CN"/>
        </w:rPr>
        <w:t>1.1</w:t>
      </w:r>
      <w:r>
        <w:rPr>
          <w:rFonts w:hint="eastAsia" w:hAnsi="宋体"/>
          <w:color w:val="auto"/>
          <w:sz w:val="21"/>
          <w:szCs w:val="21"/>
        </w:rPr>
        <w:t>本招标文件根据《中华人民共和国政府采购法实施条例》及相关法律法规编制。</w:t>
      </w:r>
    </w:p>
    <w:p w14:paraId="7F746F35">
      <w:pPr>
        <w:pStyle w:val="18"/>
        <w:spacing w:line="360" w:lineRule="auto"/>
        <w:rPr>
          <w:rFonts w:hAnsi="宋体"/>
          <w:b/>
          <w:bCs/>
          <w:color w:val="auto"/>
          <w:sz w:val="21"/>
          <w:szCs w:val="21"/>
        </w:rPr>
      </w:pPr>
      <w:r>
        <w:rPr>
          <w:rFonts w:hAnsi="宋体"/>
          <w:b/>
          <w:bCs/>
          <w:color w:val="auto"/>
          <w:sz w:val="21"/>
          <w:szCs w:val="21"/>
        </w:rPr>
        <w:t>3</w:t>
      </w:r>
      <w:r>
        <w:rPr>
          <w:rFonts w:hint="eastAsia" w:hAnsi="宋体"/>
          <w:b/>
          <w:bCs/>
          <w:color w:val="auto"/>
          <w:sz w:val="21"/>
          <w:szCs w:val="21"/>
          <w:lang w:val="en-US" w:eastAsia="zh-CN"/>
        </w:rPr>
        <w:t>2</w:t>
      </w:r>
      <w:r>
        <w:rPr>
          <w:rFonts w:hAnsi="宋体"/>
          <w:b/>
          <w:bCs/>
          <w:color w:val="auto"/>
          <w:sz w:val="21"/>
          <w:szCs w:val="21"/>
        </w:rPr>
        <w:t>.</w:t>
      </w:r>
      <w:r>
        <w:rPr>
          <w:rFonts w:hint="eastAsia" w:hAnsi="宋体"/>
          <w:b/>
          <w:bCs/>
          <w:color w:val="auto"/>
          <w:sz w:val="21"/>
          <w:szCs w:val="21"/>
        </w:rPr>
        <w:t>需要补充的其他内容</w:t>
      </w:r>
    </w:p>
    <w:p w14:paraId="7836CF4B">
      <w:pPr>
        <w:pStyle w:val="18"/>
        <w:tabs>
          <w:tab w:val="left" w:pos="2552"/>
        </w:tabs>
        <w:spacing w:line="360" w:lineRule="auto"/>
        <w:rPr>
          <w:rFonts w:hint="eastAsia" w:hAnsi="宋体"/>
          <w:color w:val="auto"/>
          <w:sz w:val="21"/>
          <w:szCs w:val="21"/>
        </w:rPr>
      </w:pPr>
      <w:r>
        <w:rPr>
          <w:rFonts w:hAnsi="宋体"/>
          <w:color w:val="auto"/>
          <w:sz w:val="21"/>
          <w:szCs w:val="21"/>
        </w:rPr>
        <w:t>3</w:t>
      </w:r>
      <w:r>
        <w:rPr>
          <w:rFonts w:hint="eastAsia" w:hAnsi="宋体"/>
          <w:color w:val="auto"/>
          <w:sz w:val="21"/>
          <w:szCs w:val="21"/>
          <w:lang w:val="en-US" w:eastAsia="zh-CN"/>
        </w:rPr>
        <w:t>2</w:t>
      </w:r>
      <w:r>
        <w:rPr>
          <w:rFonts w:hAnsi="宋体"/>
          <w:color w:val="auto"/>
          <w:sz w:val="21"/>
          <w:szCs w:val="21"/>
        </w:rPr>
        <w:t xml:space="preserve">.1 </w:t>
      </w:r>
      <w:r>
        <w:rPr>
          <w:rFonts w:hint="eastAsia" w:hAnsi="宋体"/>
          <w:color w:val="auto"/>
          <w:sz w:val="21"/>
          <w:szCs w:val="21"/>
        </w:rPr>
        <w:t>“</w:t>
      </w:r>
      <w:r>
        <w:rPr>
          <w:rFonts w:hint="eastAsia" w:hAnsi="宋体"/>
          <w:b/>
          <w:bCs/>
          <w:color w:val="auto"/>
          <w:sz w:val="21"/>
          <w:szCs w:val="21"/>
        </w:rPr>
        <w:t>投标人须知前附表</w:t>
      </w:r>
      <w:r>
        <w:rPr>
          <w:rFonts w:hint="eastAsia" w:hAnsi="宋体"/>
          <w:color w:val="auto"/>
          <w:sz w:val="21"/>
          <w:szCs w:val="21"/>
        </w:rPr>
        <w:t>”中若规定可以接受备选方案的，投标人在投标文件中只能提供一个备选方案，并注明主选方案，且备选方案的投标价格不得高于主选方案。凡提供两个以上备选方案或未注明主选方案的，该投标</w:t>
      </w:r>
      <w:r>
        <w:rPr>
          <w:rFonts w:hint="eastAsia" w:hAnsi="宋体"/>
          <w:color w:val="auto"/>
          <w:sz w:val="21"/>
          <w:szCs w:val="21"/>
          <w:lang w:val="en-US" w:eastAsia="zh-CN"/>
        </w:rPr>
        <w:t>文件</w:t>
      </w:r>
      <w:r>
        <w:rPr>
          <w:rFonts w:hint="eastAsia" w:hAnsi="宋体"/>
          <w:color w:val="auto"/>
          <w:sz w:val="21"/>
          <w:szCs w:val="21"/>
        </w:rPr>
        <w:t>将被视为未实质性响应招标文件要求</w:t>
      </w:r>
      <w:r>
        <w:rPr>
          <w:rFonts w:hint="eastAsia" w:hAnsi="宋体"/>
          <w:color w:val="auto"/>
          <w:sz w:val="21"/>
          <w:szCs w:val="21"/>
          <w:lang w:eastAsia="zh-CN"/>
        </w:rPr>
        <w:t>，</w:t>
      </w:r>
      <w:r>
        <w:rPr>
          <w:rFonts w:hint="eastAsia" w:hAnsi="宋体"/>
          <w:color w:val="auto"/>
          <w:sz w:val="21"/>
          <w:szCs w:val="21"/>
        </w:rPr>
        <w:t>评标委员会在对有备选方案的投标人进行评审时，应当以主选方案为准进行评审，如考虑备选方案的，备选方案必须实质性响应招标文件要求。</w:t>
      </w:r>
    </w:p>
    <w:p w14:paraId="36047F3F">
      <w:pPr>
        <w:pStyle w:val="18"/>
        <w:tabs>
          <w:tab w:val="left" w:pos="2552"/>
        </w:tabs>
        <w:spacing w:line="360" w:lineRule="auto"/>
        <w:rPr>
          <w:rFonts w:hint="eastAsia" w:hAnsi="宋体"/>
          <w:color w:val="auto"/>
          <w:sz w:val="21"/>
          <w:szCs w:val="21"/>
          <w:lang w:eastAsia="zh-CN"/>
        </w:rPr>
      </w:pPr>
      <w:r>
        <w:rPr>
          <w:rFonts w:hAnsi="宋体"/>
          <w:color w:val="auto"/>
          <w:sz w:val="21"/>
          <w:szCs w:val="21"/>
        </w:rPr>
        <w:t>3</w:t>
      </w:r>
      <w:r>
        <w:rPr>
          <w:rFonts w:hint="eastAsia" w:hAnsi="宋体"/>
          <w:color w:val="auto"/>
          <w:sz w:val="21"/>
          <w:szCs w:val="21"/>
          <w:lang w:val="en-US" w:eastAsia="zh-CN"/>
        </w:rPr>
        <w:t>2</w:t>
      </w:r>
      <w:r>
        <w:rPr>
          <w:rFonts w:hAnsi="宋体"/>
          <w:color w:val="auto"/>
          <w:sz w:val="21"/>
          <w:szCs w:val="21"/>
        </w:rPr>
        <w:t>.</w:t>
      </w:r>
      <w:r>
        <w:rPr>
          <w:rFonts w:hint="eastAsia" w:hAnsi="宋体"/>
          <w:color w:val="auto"/>
          <w:sz w:val="21"/>
          <w:szCs w:val="21"/>
          <w:lang w:val="en-US" w:eastAsia="zh-CN"/>
        </w:rPr>
        <w:t>2</w:t>
      </w:r>
      <w:r>
        <w:rPr>
          <w:rFonts w:hint="eastAsia" w:hAnsi="宋体"/>
          <w:color w:val="auto"/>
          <w:sz w:val="21"/>
          <w:szCs w:val="21"/>
        </w:rPr>
        <w:t>其它需要补充的</w:t>
      </w:r>
      <w:r>
        <w:rPr>
          <w:rFonts w:hint="eastAsia" w:hAnsi="宋体"/>
          <w:color w:val="auto"/>
          <w:sz w:val="21"/>
          <w:szCs w:val="21"/>
          <w:lang w:val="en-US" w:eastAsia="zh-CN"/>
        </w:rPr>
        <w:t xml:space="preserve"> 你把</w:t>
      </w:r>
      <w:r>
        <w:rPr>
          <w:rFonts w:hint="eastAsia" w:hAnsi="宋体"/>
          <w:color w:val="auto"/>
          <w:sz w:val="21"/>
          <w:szCs w:val="21"/>
        </w:rPr>
        <w:t>其他内容：见“</w:t>
      </w:r>
      <w:r>
        <w:rPr>
          <w:rFonts w:hint="eastAsia" w:hAnsi="宋体"/>
          <w:b/>
          <w:bCs/>
          <w:color w:val="auto"/>
          <w:sz w:val="21"/>
          <w:szCs w:val="21"/>
        </w:rPr>
        <w:t>投标人须知前附表</w:t>
      </w:r>
      <w:r>
        <w:rPr>
          <w:rFonts w:hint="eastAsia" w:hAnsi="宋体"/>
          <w:color w:val="auto"/>
          <w:sz w:val="21"/>
          <w:szCs w:val="21"/>
        </w:rPr>
        <w:t>”</w:t>
      </w:r>
      <w:r>
        <w:rPr>
          <w:rFonts w:hint="eastAsia" w:hAnsi="宋体"/>
          <w:color w:val="auto"/>
          <w:sz w:val="21"/>
          <w:szCs w:val="21"/>
          <w:lang w:eastAsia="zh-CN"/>
        </w:rPr>
        <w:t>。</w:t>
      </w:r>
    </w:p>
    <w:p w14:paraId="445CA615">
      <w:pPr>
        <w:pStyle w:val="14"/>
        <w:rPr>
          <w:rFonts w:hint="eastAsia" w:hAnsi="宋体"/>
          <w:color w:val="auto"/>
          <w:sz w:val="21"/>
          <w:szCs w:val="21"/>
        </w:rPr>
      </w:pPr>
    </w:p>
    <w:p w14:paraId="70D91CE6">
      <w:pPr>
        <w:pStyle w:val="14"/>
        <w:rPr>
          <w:rFonts w:hint="eastAsia" w:hAnsi="宋体"/>
          <w:color w:val="auto"/>
          <w:sz w:val="21"/>
          <w:szCs w:val="21"/>
        </w:rPr>
      </w:pPr>
    </w:p>
    <w:p w14:paraId="7A89CFC1">
      <w:pPr>
        <w:rPr>
          <w:rFonts w:hint="eastAsia" w:hAnsi="宋体"/>
          <w:color w:val="auto"/>
          <w:sz w:val="21"/>
          <w:szCs w:val="21"/>
        </w:rPr>
      </w:pPr>
    </w:p>
    <w:p w14:paraId="62CA04BF">
      <w:pPr>
        <w:rPr>
          <w:rFonts w:hint="eastAsia" w:hAnsi="宋体"/>
          <w:color w:val="auto"/>
          <w:sz w:val="21"/>
          <w:szCs w:val="21"/>
        </w:rPr>
      </w:pPr>
    </w:p>
    <w:p w14:paraId="70DEA8CD">
      <w:pPr>
        <w:rPr>
          <w:rFonts w:hint="eastAsia" w:hAnsi="宋体"/>
          <w:color w:val="auto"/>
          <w:sz w:val="21"/>
          <w:szCs w:val="21"/>
        </w:rPr>
      </w:pPr>
    </w:p>
    <w:p w14:paraId="22F409F1">
      <w:pPr>
        <w:rPr>
          <w:rFonts w:hint="eastAsia" w:hAnsi="宋体"/>
          <w:color w:val="auto"/>
          <w:sz w:val="21"/>
          <w:szCs w:val="21"/>
        </w:rPr>
      </w:pPr>
    </w:p>
    <w:p w14:paraId="37BA4551">
      <w:pPr>
        <w:rPr>
          <w:rFonts w:hint="eastAsia" w:hAnsi="宋体"/>
          <w:color w:val="auto"/>
          <w:sz w:val="21"/>
          <w:szCs w:val="21"/>
        </w:rPr>
      </w:pPr>
    </w:p>
    <w:p w14:paraId="1239FCB7">
      <w:pPr>
        <w:rPr>
          <w:rFonts w:hint="eastAsia" w:hAnsi="宋体"/>
          <w:color w:val="auto"/>
          <w:sz w:val="21"/>
          <w:szCs w:val="21"/>
        </w:rPr>
      </w:pPr>
    </w:p>
    <w:p w14:paraId="3834497D">
      <w:pPr>
        <w:rPr>
          <w:rFonts w:hint="eastAsia" w:hAnsi="宋体"/>
          <w:color w:val="auto"/>
          <w:sz w:val="21"/>
          <w:szCs w:val="21"/>
        </w:rPr>
      </w:pPr>
    </w:p>
    <w:p w14:paraId="16BC8734">
      <w:pPr>
        <w:pStyle w:val="14"/>
        <w:rPr>
          <w:rFonts w:hint="eastAsia" w:hAnsi="宋体"/>
          <w:color w:val="auto"/>
          <w:sz w:val="21"/>
          <w:szCs w:val="21"/>
        </w:rPr>
      </w:pPr>
    </w:p>
    <w:p w14:paraId="4DFBAB63">
      <w:pPr>
        <w:rPr>
          <w:rFonts w:hint="eastAsia" w:ascii="宋体" w:hAnsi="宋体"/>
          <w:color w:val="auto"/>
          <w:szCs w:val="21"/>
        </w:rPr>
      </w:pPr>
    </w:p>
    <w:p w14:paraId="76324D88">
      <w:pPr>
        <w:rPr>
          <w:rFonts w:hint="eastAsia" w:ascii="宋体" w:hAnsi="宋体"/>
          <w:color w:val="auto"/>
          <w:szCs w:val="21"/>
        </w:rPr>
      </w:pPr>
    </w:p>
    <w:p w14:paraId="776D6E25">
      <w:pPr>
        <w:rPr>
          <w:rFonts w:hint="eastAsia" w:ascii="宋体" w:hAnsi="宋体"/>
          <w:color w:val="auto"/>
          <w:szCs w:val="21"/>
        </w:rPr>
      </w:pPr>
    </w:p>
    <w:p w14:paraId="51D45D50">
      <w:pPr>
        <w:rPr>
          <w:rFonts w:hint="eastAsia" w:ascii="宋体" w:hAnsi="宋体"/>
          <w:color w:val="auto"/>
          <w:szCs w:val="21"/>
        </w:rPr>
      </w:pPr>
    </w:p>
    <w:p w14:paraId="791C3F57">
      <w:pPr>
        <w:rPr>
          <w:rFonts w:hint="eastAsia" w:ascii="宋体" w:hAnsi="宋体"/>
          <w:color w:val="auto"/>
          <w:szCs w:val="21"/>
        </w:rPr>
      </w:pPr>
    </w:p>
    <w:p w14:paraId="36AABCA8">
      <w:pPr>
        <w:rPr>
          <w:rFonts w:hint="eastAsia" w:ascii="宋体" w:hAnsi="宋体"/>
          <w:color w:val="auto"/>
          <w:szCs w:val="21"/>
        </w:rPr>
      </w:pPr>
    </w:p>
    <w:p w14:paraId="12231C37">
      <w:pPr>
        <w:rPr>
          <w:rFonts w:hint="eastAsia" w:ascii="宋体" w:hAnsi="宋体"/>
          <w:color w:val="auto"/>
          <w:szCs w:val="21"/>
        </w:rPr>
      </w:pPr>
    </w:p>
    <w:p w14:paraId="0A38FA52">
      <w:pPr>
        <w:pStyle w:val="2"/>
        <w:numPr>
          <w:ilvl w:val="0"/>
          <w:numId w:val="0"/>
        </w:numPr>
        <w:jc w:val="center"/>
        <w:rPr>
          <w:rFonts w:ascii="宋体" w:hAnsi="宋体" w:eastAsia="宋体"/>
          <w:b w:val="0"/>
          <w:color w:val="auto"/>
          <w:sz w:val="36"/>
        </w:rPr>
      </w:pPr>
      <w:bookmarkStart w:id="60" w:name="_Toc213141090"/>
      <w:bookmarkStart w:id="61" w:name="_Toc17879"/>
      <w:r>
        <w:rPr>
          <w:rFonts w:ascii="宋体" w:hAnsi="宋体" w:eastAsia="宋体"/>
          <w:b w:val="0"/>
          <w:color w:val="auto"/>
          <w:sz w:val="36"/>
        </w:rPr>
        <w:t>第三章 合同书样式及主要条款</w:t>
      </w:r>
      <w:bookmarkEnd w:id="60"/>
      <w:bookmarkEnd w:id="61"/>
    </w:p>
    <w:p w14:paraId="717C3C9D">
      <w:pPr>
        <w:pStyle w:val="2"/>
        <w:numPr>
          <w:ilvl w:val="0"/>
          <w:numId w:val="0"/>
        </w:numPr>
        <w:jc w:val="center"/>
        <w:rPr>
          <w:rFonts w:ascii="宋体" w:hAnsi="宋体" w:eastAsia="宋体"/>
          <w:b w:val="0"/>
          <w:color w:val="auto"/>
          <w:szCs w:val="28"/>
        </w:rPr>
      </w:pPr>
      <w:bookmarkStart w:id="62" w:name="_Toc213141091"/>
      <w:bookmarkStart w:id="63" w:name="_Toc396092982"/>
      <w:bookmarkStart w:id="64" w:name="_Toc250"/>
      <w:r>
        <w:rPr>
          <w:rFonts w:ascii="宋体" w:hAnsi="宋体" w:eastAsia="宋体"/>
          <w:b w:val="0"/>
          <w:color w:val="auto"/>
          <w:szCs w:val="28"/>
        </w:rPr>
        <w:t>合同条款前附表</w:t>
      </w:r>
      <w:bookmarkEnd w:id="62"/>
      <w:bookmarkEnd w:id="63"/>
      <w:r>
        <w:rPr>
          <w:rFonts w:hint="eastAsia" w:ascii="宋体" w:hAnsi="宋体" w:eastAsia="宋体"/>
          <w:b w:val="0"/>
          <w:color w:val="auto"/>
          <w:szCs w:val="28"/>
          <w:lang w:eastAsia="zh-CN"/>
        </w:rPr>
        <w:t>（仅供参考）</w:t>
      </w:r>
      <w:bookmarkEnd w:id="64"/>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7819"/>
      </w:tblGrid>
      <w:tr w14:paraId="1044D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122" w:type="dxa"/>
            <w:noWrap w:val="0"/>
            <w:vAlign w:val="center"/>
          </w:tcPr>
          <w:p w14:paraId="7EBA198F">
            <w:pPr>
              <w:pStyle w:val="18"/>
              <w:spacing w:line="360" w:lineRule="auto"/>
              <w:ind w:firstLine="211" w:firstLineChars="100"/>
              <w:rPr>
                <w:rFonts w:hAnsi="宋体"/>
                <w:b/>
                <w:bCs/>
                <w:color w:val="auto"/>
                <w:kern w:val="2"/>
                <w:sz w:val="21"/>
                <w:szCs w:val="21"/>
                <w:lang w:val="en-US" w:eastAsia="zh-CN"/>
              </w:rPr>
            </w:pPr>
            <w:r>
              <w:rPr>
                <w:rFonts w:hint="eastAsia" w:hAnsi="宋体"/>
                <w:b/>
                <w:bCs/>
                <w:color w:val="auto"/>
                <w:kern w:val="2"/>
                <w:sz w:val="21"/>
                <w:szCs w:val="21"/>
                <w:lang w:val="en-US" w:eastAsia="zh-CN"/>
              </w:rPr>
              <w:t>序号</w:t>
            </w:r>
          </w:p>
        </w:tc>
        <w:tc>
          <w:tcPr>
            <w:tcW w:w="7819" w:type="dxa"/>
            <w:noWrap w:val="0"/>
            <w:vAlign w:val="center"/>
          </w:tcPr>
          <w:p w14:paraId="64971F20">
            <w:pPr>
              <w:pStyle w:val="18"/>
              <w:spacing w:line="360" w:lineRule="auto"/>
              <w:ind w:firstLine="211" w:firstLineChars="100"/>
              <w:jc w:val="center"/>
              <w:rPr>
                <w:rFonts w:hAnsi="宋体"/>
                <w:b/>
                <w:bCs/>
                <w:color w:val="auto"/>
                <w:kern w:val="2"/>
                <w:sz w:val="21"/>
                <w:szCs w:val="21"/>
                <w:lang w:val="en-US" w:eastAsia="zh-CN"/>
              </w:rPr>
            </w:pPr>
            <w:r>
              <w:rPr>
                <w:rFonts w:hint="eastAsia" w:hAnsi="宋体"/>
                <w:b/>
                <w:bCs/>
                <w:color w:val="auto"/>
                <w:kern w:val="2"/>
                <w:sz w:val="21"/>
                <w:szCs w:val="21"/>
                <w:lang w:val="en-US" w:eastAsia="zh-CN"/>
              </w:rPr>
              <w:t>内      容</w:t>
            </w:r>
          </w:p>
        </w:tc>
      </w:tr>
      <w:tr w14:paraId="3774B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1122" w:type="dxa"/>
            <w:noWrap w:val="0"/>
            <w:vAlign w:val="center"/>
          </w:tcPr>
          <w:p w14:paraId="173DFA01">
            <w:pPr>
              <w:pStyle w:val="18"/>
              <w:spacing w:line="360" w:lineRule="auto"/>
              <w:ind w:firstLine="210" w:firstLineChars="100"/>
              <w:rPr>
                <w:rFonts w:hAnsi="宋体"/>
                <w:color w:val="auto"/>
                <w:kern w:val="2"/>
                <w:sz w:val="21"/>
                <w:szCs w:val="21"/>
                <w:lang w:val="en-US" w:eastAsia="zh-CN"/>
              </w:rPr>
            </w:pPr>
            <w:r>
              <w:rPr>
                <w:rFonts w:hint="eastAsia" w:hAnsi="宋体"/>
                <w:color w:val="auto"/>
                <w:kern w:val="2"/>
                <w:sz w:val="21"/>
                <w:szCs w:val="21"/>
                <w:lang w:val="en-US" w:eastAsia="zh-CN"/>
              </w:rPr>
              <w:t xml:space="preserve"> 1</w:t>
            </w:r>
          </w:p>
        </w:tc>
        <w:tc>
          <w:tcPr>
            <w:tcW w:w="7819" w:type="dxa"/>
            <w:noWrap w:val="0"/>
            <w:vAlign w:val="center"/>
          </w:tcPr>
          <w:p w14:paraId="22889FDC">
            <w:pPr>
              <w:widowControl/>
              <w:rPr>
                <w:rFonts w:hAnsi="宋体"/>
                <w:color w:val="auto"/>
                <w:szCs w:val="21"/>
              </w:rPr>
            </w:pPr>
            <w:r>
              <w:rPr>
                <w:rFonts w:hint="eastAsia" w:ascii="宋体" w:hAnsi="宋体"/>
                <w:color w:val="auto"/>
                <w:szCs w:val="21"/>
                <w:lang w:val="en-US" w:eastAsia="zh-CN"/>
              </w:rPr>
              <w:t>供货</w:t>
            </w:r>
            <w:r>
              <w:rPr>
                <w:rFonts w:hint="eastAsia" w:ascii="宋体" w:hAnsi="宋体"/>
                <w:color w:val="auto"/>
                <w:szCs w:val="21"/>
                <w:highlight w:val="none"/>
              </w:rPr>
              <w:t>地点：</w:t>
            </w:r>
            <w:r>
              <w:rPr>
                <w:rFonts w:hint="eastAsia" w:ascii="宋体" w:hAnsi="宋体"/>
                <w:color w:val="auto"/>
                <w:szCs w:val="21"/>
                <w:highlight w:val="none"/>
                <w:lang w:val="en-US" w:eastAsia="zh-CN"/>
              </w:rPr>
              <w:t>采购人指定地点</w:t>
            </w:r>
            <w:r>
              <w:rPr>
                <w:rFonts w:hint="eastAsia" w:ascii="宋体" w:hAnsi="宋体"/>
                <w:color w:val="auto"/>
                <w:szCs w:val="21"/>
                <w:highlight w:val="none"/>
              </w:rPr>
              <w:t xml:space="preserve"> </w:t>
            </w:r>
          </w:p>
        </w:tc>
      </w:tr>
      <w:tr w14:paraId="55CE3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1122" w:type="dxa"/>
            <w:noWrap w:val="0"/>
            <w:vAlign w:val="center"/>
          </w:tcPr>
          <w:p w14:paraId="34AAA5CC">
            <w:pPr>
              <w:pStyle w:val="18"/>
              <w:spacing w:line="360" w:lineRule="auto"/>
              <w:ind w:firstLine="210" w:firstLineChars="100"/>
              <w:rPr>
                <w:rFonts w:hAnsi="宋体"/>
                <w:color w:val="auto"/>
                <w:kern w:val="2"/>
                <w:sz w:val="21"/>
                <w:szCs w:val="21"/>
                <w:lang w:val="en-US" w:eastAsia="zh-CN"/>
              </w:rPr>
            </w:pPr>
            <w:r>
              <w:rPr>
                <w:rFonts w:hint="eastAsia" w:hAnsi="宋体"/>
                <w:color w:val="auto"/>
                <w:kern w:val="2"/>
                <w:sz w:val="21"/>
                <w:szCs w:val="21"/>
                <w:lang w:val="en-US" w:eastAsia="zh-CN"/>
              </w:rPr>
              <w:t>2</w:t>
            </w:r>
          </w:p>
        </w:tc>
        <w:tc>
          <w:tcPr>
            <w:tcW w:w="7819" w:type="dxa"/>
            <w:noWrap w:val="0"/>
            <w:vAlign w:val="center"/>
          </w:tcPr>
          <w:p w14:paraId="19D32887">
            <w:pPr>
              <w:pStyle w:val="18"/>
              <w:spacing w:line="360" w:lineRule="auto"/>
              <w:rPr>
                <w:rFonts w:hAnsi="宋体"/>
                <w:color w:val="auto"/>
                <w:kern w:val="2"/>
                <w:sz w:val="21"/>
                <w:szCs w:val="21"/>
                <w:lang w:val="en-US" w:eastAsia="zh-CN"/>
              </w:rPr>
            </w:pPr>
            <w:r>
              <w:rPr>
                <w:rFonts w:hint="eastAsia" w:hAnsi="宋体"/>
                <w:color w:val="auto"/>
                <w:kern w:val="2"/>
                <w:sz w:val="21"/>
                <w:szCs w:val="21"/>
                <w:lang w:val="en-US" w:eastAsia="zh-CN"/>
              </w:rPr>
              <w:t>履约保证金：</w:t>
            </w:r>
            <w:r>
              <w:rPr>
                <w:rFonts w:hint="eastAsia" w:hAnsi="宋体"/>
                <w:bCs/>
                <w:color w:val="auto"/>
                <w:kern w:val="2"/>
                <w:sz w:val="21"/>
                <w:szCs w:val="21"/>
                <w:lang w:val="en-US" w:eastAsia="zh-CN"/>
              </w:rPr>
              <w:t>履约保证金为成交金额的 5%（方式：保单、保函、保险、现金等均可）。合同签订前缴纳，验收合格后无息退还。</w:t>
            </w:r>
          </w:p>
        </w:tc>
      </w:tr>
      <w:tr w14:paraId="47E11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122" w:type="dxa"/>
            <w:noWrap w:val="0"/>
            <w:vAlign w:val="center"/>
          </w:tcPr>
          <w:p w14:paraId="0899292A">
            <w:pPr>
              <w:pStyle w:val="18"/>
              <w:spacing w:line="360" w:lineRule="auto"/>
              <w:ind w:firstLine="210" w:firstLineChars="100"/>
              <w:rPr>
                <w:rFonts w:hint="eastAsia" w:hAnsi="宋体"/>
                <w:color w:val="auto"/>
                <w:kern w:val="2"/>
                <w:sz w:val="21"/>
                <w:szCs w:val="21"/>
                <w:lang w:val="en-US" w:eastAsia="zh-CN"/>
              </w:rPr>
            </w:pPr>
            <w:r>
              <w:rPr>
                <w:rFonts w:hint="eastAsia" w:hAnsi="宋体"/>
                <w:color w:val="auto"/>
                <w:kern w:val="2"/>
                <w:sz w:val="21"/>
                <w:szCs w:val="21"/>
                <w:lang w:val="en-US" w:eastAsia="zh-CN"/>
              </w:rPr>
              <w:t>3</w:t>
            </w:r>
          </w:p>
        </w:tc>
        <w:tc>
          <w:tcPr>
            <w:tcW w:w="7819" w:type="dxa"/>
            <w:noWrap w:val="0"/>
            <w:vAlign w:val="center"/>
          </w:tcPr>
          <w:p w14:paraId="0140D464">
            <w:pPr>
              <w:pStyle w:val="18"/>
              <w:spacing w:line="360" w:lineRule="auto"/>
              <w:rPr>
                <w:rFonts w:hint="eastAsia" w:hAnsi="宋体"/>
                <w:color w:val="auto"/>
                <w:kern w:val="2"/>
                <w:sz w:val="21"/>
                <w:szCs w:val="21"/>
                <w:lang w:val="en-US" w:eastAsia="zh-CN"/>
              </w:rPr>
            </w:pPr>
            <w:r>
              <w:rPr>
                <w:rFonts w:hint="eastAsia" w:hAnsi="宋体"/>
                <w:color w:val="auto"/>
                <w:kern w:val="2"/>
                <w:sz w:val="21"/>
                <w:szCs w:val="21"/>
                <w:lang w:val="en-US" w:eastAsia="zh-CN"/>
              </w:rPr>
              <w:t>供货期：按合同约定</w:t>
            </w:r>
          </w:p>
        </w:tc>
      </w:tr>
    </w:tbl>
    <w:p w14:paraId="3B7155B8">
      <w:pPr>
        <w:rPr>
          <w:rFonts w:ascii="宋体" w:hAnsi="宋体"/>
          <w:color w:val="auto"/>
        </w:rPr>
      </w:pPr>
    </w:p>
    <w:p w14:paraId="636D02C9">
      <w:pPr>
        <w:spacing w:line="360" w:lineRule="auto"/>
        <w:rPr>
          <w:rFonts w:hint="eastAsia" w:ascii="宋体" w:hAnsi="宋体"/>
          <w:b/>
          <w:bCs/>
          <w:color w:val="auto"/>
          <w:szCs w:val="21"/>
        </w:rPr>
      </w:pPr>
      <w:r>
        <w:rPr>
          <w:rFonts w:hint="eastAsia" w:ascii="宋体" w:hAnsi="宋体"/>
          <w:b/>
          <w:bCs/>
          <w:color w:val="auto"/>
          <w:szCs w:val="21"/>
        </w:rPr>
        <w:t xml:space="preserve">   </w:t>
      </w:r>
    </w:p>
    <w:p w14:paraId="507C3DDE">
      <w:pPr>
        <w:rPr>
          <w:rFonts w:ascii="宋体" w:hAnsi="宋体"/>
          <w:b/>
          <w:bCs/>
          <w:color w:val="auto"/>
        </w:rPr>
      </w:pPr>
    </w:p>
    <w:p w14:paraId="22CD62E1">
      <w:pPr>
        <w:rPr>
          <w:rFonts w:ascii="宋体" w:hAnsi="宋体"/>
          <w:bCs/>
          <w:color w:val="auto"/>
          <w:sz w:val="24"/>
        </w:rPr>
      </w:pPr>
    </w:p>
    <w:p w14:paraId="4C59699B">
      <w:pPr>
        <w:spacing w:line="360" w:lineRule="auto"/>
        <w:rPr>
          <w:rFonts w:ascii="宋体" w:hAnsi="宋体"/>
          <w:color w:val="auto"/>
          <w:sz w:val="44"/>
        </w:rPr>
      </w:pPr>
    </w:p>
    <w:p w14:paraId="24550A77">
      <w:pPr>
        <w:spacing w:line="360" w:lineRule="auto"/>
        <w:rPr>
          <w:rFonts w:ascii="宋体" w:hAnsi="宋体"/>
          <w:color w:val="auto"/>
          <w:sz w:val="44"/>
        </w:rPr>
      </w:pPr>
    </w:p>
    <w:p w14:paraId="1221B417">
      <w:pPr>
        <w:pStyle w:val="14"/>
        <w:rPr>
          <w:rFonts w:ascii="宋体" w:hAnsi="宋体"/>
          <w:color w:val="auto"/>
        </w:rPr>
      </w:pPr>
    </w:p>
    <w:p w14:paraId="126B3976">
      <w:pPr>
        <w:pStyle w:val="14"/>
        <w:rPr>
          <w:rFonts w:ascii="宋体" w:hAnsi="宋体"/>
          <w:color w:val="auto"/>
        </w:rPr>
      </w:pPr>
    </w:p>
    <w:p w14:paraId="18904CF1">
      <w:pPr>
        <w:pStyle w:val="14"/>
        <w:rPr>
          <w:rFonts w:ascii="宋体" w:hAnsi="宋体"/>
          <w:color w:val="auto"/>
        </w:rPr>
      </w:pPr>
    </w:p>
    <w:p w14:paraId="64D7B9CF">
      <w:pPr>
        <w:pStyle w:val="14"/>
        <w:rPr>
          <w:rFonts w:ascii="宋体" w:hAnsi="宋体"/>
          <w:color w:val="auto"/>
        </w:rPr>
      </w:pPr>
    </w:p>
    <w:p w14:paraId="1C869289">
      <w:pPr>
        <w:pStyle w:val="14"/>
        <w:rPr>
          <w:rFonts w:ascii="宋体" w:hAnsi="宋体"/>
          <w:color w:val="auto"/>
        </w:rPr>
      </w:pPr>
    </w:p>
    <w:p w14:paraId="443B0624">
      <w:pPr>
        <w:pStyle w:val="14"/>
        <w:rPr>
          <w:rFonts w:ascii="宋体" w:hAnsi="宋体"/>
          <w:color w:val="auto"/>
        </w:rPr>
      </w:pPr>
    </w:p>
    <w:p w14:paraId="1BE8B501">
      <w:pPr>
        <w:pStyle w:val="14"/>
        <w:rPr>
          <w:rFonts w:ascii="宋体" w:hAnsi="宋体"/>
          <w:color w:val="auto"/>
        </w:rPr>
      </w:pPr>
    </w:p>
    <w:p w14:paraId="11D8C745">
      <w:pPr>
        <w:rPr>
          <w:rFonts w:ascii="宋体" w:hAnsi="宋体"/>
          <w:color w:val="auto"/>
        </w:rPr>
      </w:pPr>
    </w:p>
    <w:p w14:paraId="4E4F633C">
      <w:pPr>
        <w:pStyle w:val="14"/>
      </w:pPr>
    </w:p>
    <w:p w14:paraId="53056E7E">
      <w:pPr>
        <w:pStyle w:val="14"/>
        <w:rPr>
          <w:rFonts w:ascii="宋体" w:hAnsi="宋体"/>
          <w:color w:val="auto"/>
        </w:rPr>
      </w:pPr>
    </w:p>
    <w:p w14:paraId="2A98C7A8">
      <w:pPr>
        <w:rPr>
          <w:color w:val="auto"/>
        </w:rPr>
      </w:pPr>
    </w:p>
    <w:p w14:paraId="78E6EEDA">
      <w:pPr>
        <w:rPr>
          <w:color w:val="auto"/>
        </w:rPr>
      </w:pPr>
    </w:p>
    <w:p w14:paraId="5B233C65">
      <w:pPr>
        <w:rPr>
          <w:color w:val="auto"/>
        </w:rPr>
      </w:pPr>
    </w:p>
    <w:p w14:paraId="53025CB4">
      <w:pPr>
        <w:rPr>
          <w:color w:val="auto"/>
        </w:rPr>
      </w:pPr>
    </w:p>
    <w:p w14:paraId="6FB0C2BD">
      <w:pPr>
        <w:rPr>
          <w:color w:val="auto"/>
        </w:rPr>
      </w:pPr>
    </w:p>
    <w:p w14:paraId="5BED1423">
      <w:pPr>
        <w:rPr>
          <w:color w:val="auto"/>
        </w:rPr>
      </w:pPr>
    </w:p>
    <w:p w14:paraId="5B6B447F">
      <w:pPr>
        <w:rPr>
          <w:color w:val="auto"/>
        </w:rPr>
      </w:pPr>
    </w:p>
    <w:p w14:paraId="5F7BDA9D">
      <w:pPr>
        <w:pStyle w:val="14"/>
        <w:rPr>
          <w:rFonts w:ascii="宋体" w:hAnsi="宋体"/>
          <w:color w:val="auto"/>
        </w:rPr>
      </w:pPr>
    </w:p>
    <w:tbl>
      <w:tblPr>
        <w:tblStyle w:val="36"/>
        <w:tblW w:w="0" w:type="auto"/>
        <w:jc w:val="center"/>
        <w:tblLayout w:type="fixed"/>
        <w:tblCellMar>
          <w:top w:w="0" w:type="dxa"/>
          <w:left w:w="0" w:type="dxa"/>
          <w:bottom w:w="0" w:type="dxa"/>
          <w:right w:w="0" w:type="dxa"/>
        </w:tblCellMar>
      </w:tblPr>
      <w:tblGrid>
        <w:gridCol w:w="9750"/>
      </w:tblGrid>
      <w:tr w14:paraId="0D6EC24A">
        <w:tblPrEx>
          <w:tblCellMar>
            <w:top w:w="0" w:type="dxa"/>
            <w:left w:w="0" w:type="dxa"/>
            <w:bottom w:w="0" w:type="dxa"/>
            <w:right w:w="0" w:type="dxa"/>
          </w:tblCellMar>
        </w:tblPrEx>
        <w:trPr>
          <w:jc w:val="center"/>
        </w:trPr>
        <w:tc>
          <w:tcPr>
            <w:tcW w:w="9750" w:type="dxa"/>
            <w:noWrap w:val="0"/>
            <w:vAlign w:val="center"/>
          </w:tcPr>
          <w:p w14:paraId="4D431FAA">
            <w:pPr>
              <w:tabs>
                <w:tab w:val="left" w:pos="1590"/>
                <w:tab w:val="left" w:pos="3409"/>
                <w:tab w:val="left" w:pos="4847"/>
                <w:tab w:val="left" w:pos="5711"/>
                <w:tab w:val="left" w:pos="7020"/>
                <w:tab w:val="left" w:pos="7891"/>
              </w:tabs>
              <w:rPr>
                <w:rFonts w:ascii="宋体" w:hAnsi="宋体" w:cs="Tahoma"/>
                <w:color w:val="auto"/>
                <w:szCs w:val="18"/>
              </w:rPr>
            </w:pPr>
            <w:r>
              <w:rPr>
                <w:rFonts w:hint="eastAsia" w:ascii="宋体" w:hAnsi="宋体" w:cs="Tahoma"/>
                <w:color w:val="auto"/>
              </w:rPr>
              <w:t xml:space="preserve">合同编号： </w:t>
            </w:r>
            <w:r>
              <w:rPr>
                <w:rFonts w:ascii="宋体" w:hAnsi="宋体" w:cs="Tahoma"/>
                <w:color w:val="auto"/>
              </w:rPr>
              <w:t xml:space="preserve">    </w:t>
            </w:r>
            <w:r>
              <w:rPr>
                <w:rFonts w:hint="eastAsia" w:ascii="宋体" w:hAnsi="宋体" w:cs="Tahoma"/>
                <w:color w:val="auto"/>
              </w:rPr>
              <w:t xml:space="preserve">                  合同自编号： </w:t>
            </w:r>
            <w:r>
              <w:rPr>
                <w:rFonts w:hint="eastAsia" w:ascii="宋体" w:hAnsi="宋体" w:cs="Tahoma"/>
                <w:color w:val="auto"/>
              </w:rPr>
              <w:tab/>
            </w:r>
            <w:r>
              <w:rPr>
                <w:rFonts w:hint="eastAsia" w:ascii="宋体" w:hAnsi="宋体" w:cs="Tahoma"/>
                <w:color w:val="auto"/>
              </w:rPr>
              <w:tab/>
            </w:r>
            <w:r>
              <w:rPr>
                <w:rFonts w:hint="eastAsia" w:ascii="宋体" w:hAnsi="宋体" w:cs="Tahoma"/>
                <w:color w:val="auto"/>
              </w:rPr>
              <w:t xml:space="preserve">项目编号： </w:t>
            </w:r>
          </w:p>
        </w:tc>
      </w:tr>
    </w:tbl>
    <w:p w14:paraId="02CBBC66">
      <w:pPr>
        <w:spacing w:after="240"/>
        <w:jc w:val="center"/>
        <w:rPr>
          <w:rFonts w:hint="eastAsia" w:ascii="宋体" w:hAnsi="宋体" w:eastAsia="宋体" w:cs="Tahoma"/>
          <w:color w:val="auto"/>
          <w:lang w:eastAsia="zh-CN"/>
        </w:rPr>
      </w:pPr>
      <w:r>
        <w:rPr>
          <w:rFonts w:hint="eastAsia" w:ascii="宋体" w:hAnsi="宋体" w:cs="Tahoma"/>
          <w:color w:val="auto"/>
        </w:rPr>
        <w:t>●本合同须加盖甲乙双方骑缝章有效</w:t>
      </w:r>
    </w:p>
    <w:p w14:paraId="336DAB5C">
      <w:pPr>
        <w:pStyle w:val="14"/>
        <w:rPr>
          <w:rFonts w:hint="eastAsia"/>
          <w:color w:val="auto"/>
          <w:lang w:eastAsia="zh-CN"/>
        </w:rPr>
      </w:pPr>
    </w:p>
    <w:p w14:paraId="57023D01">
      <w:pPr>
        <w:spacing w:line="360" w:lineRule="auto"/>
        <w:ind w:firstLine="690" w:firstLineChars="177"/>
        <w:jc w:val="center"/>
        <w:rPr>
          <w:rFonts w:hint="eastAsia" w:ascii="宋体" w:hAnsi="宋体" w:eastAsia="宋体" w:cs="Tahoma"/>
          <w:color w:val="auto"/>
          <w:sz w:val="39"/>
          <w:szCs w:val="39"/>
          <w:lang w:eastAsia="zh-CN"/>
        </w:rPr>
      </w:pPr>
      <w:r>
        <w:rPr>
          <w:rFonts w:hint="eastAsia" w:ascii="宋体" w:hAnsi="宋体" w:cs="Tahoma"/>
          <w:color w:val="auto"/>
          <w:sz w:val="39"/>
          <w:szCs w:val="39"/>
        </w:rPr>
        <w:t>云南省省级政府采购</w:t>
      </w:r>
    </w:p>
    <w:p w14:paraId="0AC722F9">
      <w:pPr>
        <w:pStyle w:val="14"/>
        <w:rPr>
          <w:rFonts w:hint="eastAsia"/>
          <w:color w:val="auto"/>
          <w:lang w:eastAsia="zh-CN"/>
        </w:rPr>
      </w:pPr>
    </w:p>
    <w:p w14:paraId="0F6A212F">
      <w:pPr>
        <w:spacing w:after="240"/>
        <w:jc w:val="center"/>
        <w:rPr>
          <w:rFonts w:hint="eastAsia" w:ascii="宋体" w:hAnsi="宋体" w:cs="Tahoma"/>
          <w:color w:val="auto"/>
          <w:sz w:val="33"/>
          <w:szCs w:val="33"/>
        </w:rPr>
      </w:pPr>
      <w:r>
        <w:rPr>
          <w:rFonts w:hint="eastAsia" w:ascii="宋体" w:hAnsi="宋体" w:cs="Tahoma"/>
          <w:color w:val="auto"/>
          <w:sz w:val="33"/>
          <w:szCs w:val="33"/>
        </w:rPr>
        <w:t>（委托采购）</w:t>
      </w:r>
    </w:p>
    <w:p w14:paraId="7D7C82C7">
      <w:pPr>
        <w:spacing w:after="240"/>
        <w:jc w:val="center"/>
        <w:rPr>
          <w:rFonts w:hint="eastAsia" w:ascii="宋体" w:hAnsi="宋体" w:eastAsia="宋体" w:cs="Tahoma"/>
          <w:color w:val="auto"/>
          <w:sz w:val="33"/>
          <w:szCs w:val="33"/>
          <w:lang w:eastAsia="zh-CN"/>
        </w:rPr>
      </w:pPr>
      <w:r>
        <w:rPr>
          <w:rFonts w:hint="eastAsia" w:ascii="宋体" w:hAnsi="宋体" w:cs="Tahoma"/>
          <w:color w:val="auto"/>
          <w:sz w:val="33"/>
          <w:szCs w:val="33"/>
        </w:rPr>
        <w:t>范本</w:t>
      </w:r>
    </w:p>
    <w:p w14:paraId="4EE953D2">
      <w:pPr>
        <w:pStyle w:val="14"/>
        <w:rPr>
          <w:rFonts w:hint="eastAsia"/>
          <w:color w:val="auto"/>
          <w:lang w:eastAsia="zh-CN"/>
        </w:rPr>
      </w:pPr>
    </w:p>
    <w:p w14:paraId="66FEF204">
      <w:pPr>
        <w:spacing w:after="240"/>
        <w:jc w:val="center"/>
        <w:rPr>
          <w:rFonts w:ascii="宋体" w:hAnsi="宋体" w:cs="Tahoma"/>
          <w:color w:val="auto"/>
          <w:sz w:val="18"/>
          <w:szCs w:val="18"/>
        </w:rPr>
      </w:pPr>
      <w:r>
        <w:rPr>
          <w:rFonts w:hint="eastAsia" w:ascii="宋体" w:hAnsi="宋体" w:cs="Tahoma"/>
          <w:color w:val="auto"/>
          <w:sz w:val="63"/>
          <w:szCs w:val="63"/>
        </w:rPr>
        <w:t>合</w:t>
      </w:r>
    </w:p>
    <w:p w14:paraId="4FD1C42F">
      <w:pPr>
        <w:spacing w:after="240"/>
        <w:jc w:val="center"/>
        <w:rPr>
          <w:rFonts w:ascii="宋体" w:hAnsi="宋体" w:cs="Tahoma"/>
          <w:color w:val="auto"/>
          <w:sz w:val="18"/>
          <w:szCs w:val="18"/>
        </w:rPr>
      </w:pPr>
      <w:r>
        <w:rPr>
          <w:rFonts w:hint="eastAsia" w:ascii="宋体" w:hAnsi="宋体" w:cs="Tahoma"/>
          <w:color w:val="auto"/>
          <w:sz w:val="63"/>
          <w:szCs w:val="63"/>
        </w:rPr>
        <w:t>同</w:t>
      </w:r>
    </w:p>
    <w:p w14:paraId="4A56B34C">
      <w:pPr>
        <w:spacing w:after="240"/>
        <w:jc w:val="center"/>
        <w:rPr>
          <w:rFonts w:hint="eastAsia" w:ascii="宋体" w:hAnsi="宋体" w:eastAsia="宋体" w:cs="Tahoma"/>
          <w:color w:val="auto"/>
          <w:sz w:val="63"/>
          <w:szCs w:val="63"/>
          <w:lang w:eastAsia="zh-CN"/>
        </w:rPr>
      </w:pPr>
      <w:r>
        <w:rPr>
          <w:rFonts w:hint="eastAsia" w:ascii="宋体" w:hAnsi="宋体" w:cs="Tahoma"/>
          <w:color w:val="auto"/>
          <w:sz w:val="63"/>
          <w:szCs w:val="63"/>
        </w:rPr>
        <w:t>书</w:t>
      </w:r>
    </w:p>
    <w:p w14:paraId="0487485B">
      <w:pPr>
        <w:pStyle w:val="14"/>
        <w:rPr>
          <w:rFonts w:hint="eastAsia"/>
          <w:color w:val="auto"/>
          <w:lang w:eastAsia="zh-CN"/>
        </w:rPr>
      </w:pPr>
    </w:p>
    <w:p w14:paraId="33D15DA6">
      <w:pPr>
        <w:spacing w:after="240"/>
        <w:jc w:val="center"/>
        <w:rPr>
          <w:rFonts w:hint="eastAsia" w:ascii="宋体" w:hAnsi="宋体" w:eastAsia="宋体" w:cs="Tahoma"/>
          <w:b/>
          <w:bCs/>
          <w:color w:val="auto"/>
          <w:sz w:val="27"/>
          <w:szCs w:val="27"/>
          <w:lang w:eastAsia="zh-CN"/>
        </w:rPr>
      </w:pPr>
      <w:r>
        <w:rPr>
          <w:rFonts w:hint="eastAsia" w:ascii="宋体" w:hAnsi="宋体" w:cs="Tahoma"/>
          <w:b/>
          <w:bCs/>
          <w:color w:val="auto"/>
          <w:sz w:val="27"/>
          <w:szCs w:val="27"/>
        </w:rPr>
        <w:t>签订地点:云南省怒江州</w:t>
      </w:r>
    </w:p>
    <w:p w14:paraId="40184194">
      <w:pPr>
        <w:pStyle w:val="14"/>
        <w:rPr>
          <w:rFonts w:hint="eastAsia"/>
          <w:color w:val="auto"/>
          <w:lang w:eastAsia="zh-CN"/>
        </w:rPr>
      </w:pPr>
    </w:p>
    <w:p w14:paraId="7478C785">
      <w:pPr>
        <w:spacing w:after="240"/>
        <w:jc w:val="center"/>
        <w:rPr>
          <w:rFonts w:hint="eastAsia" w:ascii="宋体" w:hAnsi="宋体" w:eastAsia="宋体" w:cs="Tahoma"/>
          <w:b/>
          <w:bCs/>
          <w:color w:val="auto"/>
          <w:sz w:val="27"/>
          <w:szCs w:val="27"/>
          <w:lang w:eastAsia="zh-CN"/>
        </w:rPr>
      </w:pPr>
      <w:r>
        <w:rPr>
          <w:rFonts w:hint="eastAsia" w:ascii="宋体" w:hAnsi="宋体" w:cs="Tahoma"/>
          <w:b/>
          <w:bCs/>
          <w:color w:val="auto"/>
          <w:sz w:val="27"/>
          <w:szCs w:val="27"/>
        </w:rPr>
        <w:t xml:space="preserve">签订日期:    年　 月　日 </w:t>
      </w:r>
    </w:p>
    <w:p w14:paraId="2F83523E">
      <w:pPr>
        <w:pStyle w:val="14"/>
        <w:rPr>
          <w:rFonts w:hint="eastAsia"/>
          <w:color w:val="auto"/>
          <w:lang w:eastAsia="zh-CN"/>
        </w:rPr>
      </w:pPr>
    </w:p>
    <w:p w14:paraId="3387284C">
      <w:pPr>
        <w:pStyle w:val="34"/>
        <w:jc w:val="center"/>
        <w:rPr>
          <w:rFonts w:hint="eastAsia" w:ascii="宋体" w:hAnsi="宋体" w:eastAsia="宋体" w:cs="Tahoma"/>
          <w:b/>
          <w:bCs/>
          <w:color w:val="auto"/>
          <w:sz w:val="27"/>
          <w:szCs w:val="27"/>
        </w:rPr>
      </w:pPr>
      <w:r>
        <w:rPr>
          <w:rFonts w:hint="eastAsia" w:ascii="宋体" w:hAnsi="宋体" w:eastAsia="宋体" w:cs="Tahoma"/>
          <w:b/>
          <w:bCs/>
          <w:color w:val="auto"/>
          <w:sz w:val="27"/>
          <w:szCs w:val="27"/>
        </w:rPr>
        <w:t xml:space="preserve">云南省财政厅　制 </w:t>
      </w:r>
    </w:p>
    <w:p w14:paraId="773D0B58">
      <w:pPr>
        <w:spacing w:line="420" w:lineRule="exact"/>
        <w:rPr>
          <w:rFonts w:hint="eastAsia" w:ascii="宋体" w:hAnsi="宋体" w:cs="宋体"/>
          <w:b/>
          <w:bCs/>
          <w:color w:val="auto"/>
          <w:sz w:val="36"/>
        </w:rPr>
      </w:pPr>
    </w:p>
    <w:p w14:paraId="6770D29B">
      <w:pPr>
        <w:pStyle w:val="2"/>
        <w:numPr>
          <w:ilvl w:val="0"/>
          <w:numId w:val="0"/>
        </w:numPr>
        <w:ind w:leftChars="0"/>
        <w:rPr>
          <w:rFonts w:hint="eastAsia"/>
          <w:color w:val="auto"/>
        </w:rPr>
      </w:pPr>
    </w:p>
    <w:p w14:paraId="35CE1296">
      <w:pPr>
        <w:rPr>
          <w:rFonts w:hint="eastAsia"/>
          <w:color w:val="auto"/>
        </w:rPr>
      </w:pPr>
    </w:p>
    <w:p w14:paraId="75963AE6">
      <w:pPr>
        <w:rPr>
          <w:rFonts w:hint="eastAsia"/>
          <w:color w:val="auto"/>
        </w:rPr>
      </w:pPr>
    </w:p>
    <w:p w14:paraId="306420DE">
      <w:pPr>
        <w:spacing w:line="420" w:lineRule="exact"/>
        <w:ind w:left="-284"/>
        <w:jc w:val="center"/>
        <w:rPr>
          <w:rFonts w:hint="eastAsia" w:ascii="仿宋" w:hAnsi="仿宋" w:eastAsia="仿宋"/>
          <w:b/>
          <w:color w:val="auto"/>
          <w:sz w:val="28"/>
        </w:rPr>
      </w:pPr>
      <w:r>
        <w:rPr>
          <w:rFonts w:hint="eastAsia" w:ascii="仿宋" w:hAnsi="仿宋" w:eastAsia="仿宋"/>
          <w:b/>
          <w:color w:val="auto"/>
          <w:sz w:val="28"/>
        </w:rPr>
        <w:t>（此合同仅供参考，但最终签订合同不得变更采购内容、合同价款、供货时间及地点、付款方式等实质性条款）</w:t>
      </w:r>
    </w:p>
    <w:p w14:paraId="11E02169">
      <w:pPr>
        <w:pStyle w:val="14"/>
        <w:rPr>
          <w:color w:val="auto"/>
          <w:sz w:val="2"/>
          <w:highlight w:val="none"/>
        </w:rPr>
      </w:pPr>
    </w:p>
    <w:p w14:paraId="604273C4">
      <w:pPr>
        <w:pStyle w:val="14"/>
        <w:spacing w:line="20" w:lineRule="exact"/>
        <w:ind w:left="821"/>
        <w:rPr>
          <w:color w:val="auto"/>
          <w:sz w:val="2"/>
          <w:highlight w:val="none"/>
        </w:rPr>
      </w:pPr>
    </w:p>
    <w:p w14:paraId="03D7230B">
      <w:pPr>
        <w:spacing w:before="94"/>
        <w:rPr>
          <w:color w:val="auto"/>
          <w:sz w:val="24"/>
          <w:highlight w:val="none"/>
        </w:rPr>
      </w:pPr>
      <w:r>
        <w:rPr>
          <w:color w:val="auto"/>
          <w:sz w:val="24"/>
          <w:highlight w:val="none"/>
        </w:rPr>
        <w:t xml:space="preserve">甲方（采购人单位章）名 称：  </w:t>
      </w:r>
    </w:p>
    <w:p w14:paraId="59A5A4D8">
      <w:pPr>
        <w:pStyle w:val="14"/>
        <w:spacing w:before="7"/>
        <w:rPr>
          <w:color w:val="auto"/>
          <w:sz w:val="33"/>
          <w:highlight w:val="none"/>
        </w:rPr>
      </w:pPr>
    </w:p>
    <w:p w14:paraId="3AC7DA7C">
      <w:pPr>
        <w:spacing w:line="386" w:lineRule="auto"/>
        <w:ind w:right="6706"/>
        <w:rPr>
          <w:color w:val="auto"/>
          <w:sz w:val="24"/>
          <w:highlight w:val="none"/>
        </w:rPr>
      </w:pPr>
      <w:r>
        <w:rPr>
          <w:color w:val="auto"/>
          <w:sz w:val="24"/>
          <w:highlight w:val="none"/>
        </w:rPr>
        <w:t>地       址 ：</w:t>
      </w:r>
    </w:p>
    <w:p w14:paraId="2B9FC085">
      <w:pPr>
        <w:spacing w:line="386" w:lineRule="auto"/>
        <w:ind w:right="6706"/>
        <w:rPr>
          <w:color w:val="auto"/>
          <w:sz w:val="24"/>
          <w:highlight w:val="none"/>
        </w:rPr>
      </w:pPr>
      <w:r>
        <w:rPr>
          <w:color w:val="auto"/>
          <w:sz w:val="24"/>
          <w:highlight w:val="none"/>
        </w:rPr>
        <w:t xml:space="preserve"> 邮 编 ： </w:t>
      </w:r>
    </w:p>
    <w:p w14:paraId="3475AB65">
      <w:pPr>
        <w:spacing w:before="1" w:line="388" w:lineRule="auto"/>
        <w:ind w:right="5627"/>
        <w:rPr>
          <w:color w:val="auto"/>
          <w:sz w:val="24"/>
          <w:highlight w:val="none"/>
        </w:rPr>
      </w:pPr>
      <w:r>
        <w:rPr>
          <w:color w:val="auto"/>
          <w:sz w:val="24"/>
          <w:highlight w:val="none"/>
        </w:rPr>
        <w:t>法定代表人或委托代理人：</w:t>
      </w:r>
    </w:p>
    <w:p w14:paraId="439B74C6">
      <w:pPr>
        <w:spacing w:before="1" w:line="388" w:lineRule="auto"/>
        <w:ind w:right="5627"/>
        <w:rPr>
          <w:color w:val="auto"/>
          <w:sz w:val="24"/>
          <w:highlight w:val="none"/>
        </w:rPr>
      </w:pPr>
      <w:r>
        <w:rPr>
          <w:color w:val="auto"/>
          <w:sz w:val="24"/>
          <w:highlight w:val="none"/>
        </w:rPr>
        <w:t xml:space="preserve"> 项目（技术）负责人： </w:t>
      </w:r>
    </w:p>
    <w:p w14:paraId="7EED4255">
      <w:pPr>
        <w:spacing w:line="388" w:lineRule="auto"/>
        <w:ind w:right="6826"/>
        <w:rPr>
          <w:color w:val="auto"/>
          <w:sz w:val="24"/>
          <w:highlight w:val="none"/>
        </w:rPr>
      </w:pPr>
      <w:r>
        <w:rPr>
          <w:color w:val="auto"/>
          <w:sz w:val="24"/>
          <w:highlight w:val="none"/>
        </w:rPr>
        <w:t>电      话 ：</w:t>
      </w:r>
    </w:p>
    <w:p w14:paraId="03A9DDAD">
      <w:pPr>
        <w:spacing w:line="388" w:lineRule="auto"/>
        <w:ind w:right="6826"/>
        <w:rPr>
          <w:color w:val="auto"/>
          <w:sz w:val="24"/>
          <w:highlight w:val="none"/>
        </w:rPr>
      </w:pPr>
      <w:r>
        <w:rPr>
          <w:color w:val="auto"/>
          <w:sz w:val="24"/>
          <w:highlight w:val="none"/>
        </w:rPr>
        <w:t xml:space="preserve"> 开 户 银 行 ：</w:t>
      </w:r>
    </w:p>
    <w:p w14:paraId="6982065E">
      <w:pPr>
        <w:spacing w:line="388" w:lineRule="auto"/>
        <w:ind w:right="6826"/>
        <w:rPr>
          <w:color w:val="auto"/>
          <w:sz w:val="24"/>
          <w:highlight w:val="none"/>
        </w:rPr>
      </w:pPr>
      <w:r>
        <w:rPr>
          <w:color w:val="auto"/>
          <w:sz w:val="24"/>
          <w:highlight w:val="none"/>
        </w:rPr>
        <w:t xml:space="preserve"> 账       号 ： </w:t>
      </w:r>
    </w:p>
    <w:p w14:paraId="4DD693F7">
      <w:pPr>
        <w:pStyle w:val="14"/>
        <w:spacing w:before="3"/>
        <w:rPr>
          <w:color w:val="auto"/>
          <w:sz w:val="18"/>
          <w:highlight w:val="none"/>
        </w:rPr>
      </w:pPr>
    </w:p>
    <w:p w14:paraId="0461E465">
      <w:pPr>
        <w:spacing w:line="386" w:lineRule="auto"/>
        <w:ind w:right="5207"/>
        <w:rPr>
          <w:color w:val="auto"/>
          <w:sz w:val="24"/>
          <w:highlight w:val="none"/>
        </w:rPr>
      </w:pPr>
      <w:r>
        <w:rPr>
          <w:color w:val="auto"/>
          <w:sz w:val="24"/>
          <w:highlight w:val="none"/>
        </w:rPr>
        <w:t>乙方（供应商单位章）名 称：</w:t>
      </w:r>
    </w:p>
    <w:p w14:paraId="6C93AAF6">
      <w:pPr>
        <w:spacing w:line="386" w:lineRule="auto"/>
        <w:ind w:right="5207"/>
        <w:rPr>
          <w:color w:val="auto"/>
          <w:sz w:val="24"/>
          <w:highlight w:val="none"/>
        </w:rPr>
      </w:pPr>
      <w:r>
        <w:rPr>
          <w:color w:val="auto"/>
          <w:sz w:val="24"/>
          <w:highlight w:val="none"/>
        </w:rPr>
        <w:t xml:space="preserve">地 址 ： </w:t>
      </w:r>
    </w:p>
    <w:p w14:paraId="0556F920">
      <w:pPr>
        <w:spacing w:before="1" w:line="388" w:lineRule="auto"/>
        <w:ind w:right="6826"/>
        <w:rPr>
          <w:color w:val="auto"/>
          <w:sz w:val="24"/>
          <w:highlight w:val="none"/>
        </w:rPr>
      </w:pPr>
      <w:r>
        <w:rPr>
          <w:color w:val="auto"/>
          <w:sz w:val="24"/>
          <w:highlight w:val="none"/>
        </w:rPr>
        <w:t>邮      编 ：</w:t>
      </w:r>
    </w:p>
    <w:p w14:paraId="0679C8F0">
      <w:pPr>
        <w:spacing w:before="1" w:line="388" w:lineRule="auto"/>
        <w:ind w:right="6826"/>
        <w:rPr>
          <w:color w:val="auto"/>
          <w:sz w:val="24"/>
          <w:highlight w:val="none"/>
        </w:rPr>
      </w:pPr>
      <w:r>
        <w:rPr>
          <w:color w:val="auto"/>
          <w:sz w:val="24"/>
          <w:highlight w:val="none"/>
        </w:rPr>
        <w:t xml:space="preserve"> 法定代表人： </w:t>
      </w:r>
    </w:p>
    <w:p w14:paraId="32A50DEE">
      <w:pPr>
        <w:spacing w:line="388" w:lineRule="auto"/>
        <w:ind w:right="5027"/>
        <w:rPr>
          <w:color w:val="auto"/>
          <w:sz w:val="24"/>
          <w:highlight w:val="none"/>
        </w:rPr>
      </w:pPr>
      <w:r>
        <w:rPr>
          <w:color w:val="auto"/>
          <w:sz w:val="24"/>
          <w:highlight w:val="none"/>
        </w:rPr>
        <w:t xml:space="preserve">委 托 代 理 人 ：   </w:t>
      </w:r>
    </w:p>
    <w:p w14:paraId="1E0E4528">
      <w:pPr>
        <w:spacing w:line="388" w:lineRule="auto"/>
        <w:ind w:right="5027"/>
        <w:rPr>
          <w:color w:val="auto"/>
          <w:sz w:val="24"/>
          <w:highlight w:val="none"/>
        </w:rPr>
      </w:pPr>
      <w:r>
        <w:rPr>
          <w:color w:val="auto"/>
          <w:sz w:val="24"/>
          <w:highlight w:val="none"/>
        </w:rPr>
        <w:t>电 话 ：</w:t>
      </w:r>
    </w:p>
    <w:p w14:paraId="79BAE3B3">
      <w:pPr>
        <w:spacing w:line="388" w:lineRule="auto"/>
        <w:ind w:right="5027"/>
        <w:rPr>
          <w:color w:val="auto"/>
          <w:sz w:val="24"/>
          <w:highlight w:val="none"/>
        </w:rPr>
      </w:pPr>
      <w:r>
        <w:rPr>
          <w:color w:val="auto"/>
          <w:sz w:val="24"/>
          <w:highlight w:val="none"/>
        </w:rPr>
        <w:t xml:space="preserve"> 开 户 银行： </w:t>
      </w:r>
    </w:p>
    <w:p w14:paraId="68FE335D">
      <w:pPr>
        <w:spacing w:line="305" w:lineRule="exact"/>
        <w:rPr>
          <w:color w:val="auto"/>
          <w:sz w:val="24"/>
          <w:highlight w:val="none"/>
        </w:rPr>
      </w:pPr>
      <w:r>
        <w:rPr>
          <w:color w:val="auto"/>
          <w:sz w:val="24"/>
          <w:highlight w:val="none"/>
        </w:rPr>
        <w:t xml:space="preserve">账 号 ： </w:t>
      </w:r>
    </w:p>
    <w:p w14:paraId="65C40611">
      <w:pPr>
        <w:pStyle w:val="14"/>
        <w:rPr>
          <w:color w:val="auto"/>
          <w:sz w:val="20"/>
          <w:highlight w:val="none"/>
        </w:rPr>
      </w:pPr>
    </w:p>
    <w:p w14:paraId="4D805778">
      <w:pPr>
        <w:pStyle w:val="14"/>
        <w:spacing w:before="2"/>
        <w:rPr>
          <w:color w:val="auto"/>
          <w:sz w:val="28"/>
          <w:highlight w:val="none"/>
        </w:rPr>
      </w:pPr>
    </w:p>
    <w:p w14:paraId="423A7B32">
      <w:pPr>
        <w:spacing w:before="66" w:line="386" w:lineRule="auto"/>
        <w:ind w:right="2027"/>
        <w:rPr>
          <w:color w:val="auto"/>
          <w:sz w:val="24"/>
          <w:highlight w:val="none"/>
        </w:rPr>
      </w:pPr>
      <w:r>
        <w:rPr>
          <w:color w:val="auto"/>
          <w:sz w:val="24"/>
          <w:highlight w:val="none"/>
        </w:rPr>
        <w:t>丙方（鉴证方单位章）名        称：</w:t>
      </w:r>
    </w:p>
    <w:p w14:paraId="4062A478">
      <w:pPr>
        <w:spacing w:before="66" w:line="386" w:lineRule="auto"/>
        <w:ind w:right="2027"/>
        <w:rPr>
          <w:color w:val="auto"/>
          <w:sz w:val="24"/>
          <w:highlight w:val="none"/>
        </w:rPr>
      </w:pPr>
      <w:r>
        <w:rPr>
          <w:color w:val="auto"/>
          <w:sz w:val="24"/>
          <w:highlight w:val="none"/>
        </w:rPr>
        <w:t>地 址：</w:t>
      </w:r>
    </w:p>
    <w:p w14:paraId="33E8903E">
      <w:pPr>
        <w:spacing w:before="2" w:line="388" w:lineRule="auto"/>
        <w:ind w:right="6106"/>
        <w:rPr>
          <w:color w:val="auto"/>
          <w:sz w:val="24"/>
          <w:highlight w:val="none"/>
        </w:rPr>
      </w:pPr>
      <w:r>
        <w:rPr>
          <w:color w:val="auto"/>
          <w:sz w:val="24"/>
          <w:highlight w:val="none"/>
        </w:rPr>
        <w:t>邮      编 ：</w:t>
      </w:r>
    </w:p>
    <w:p w14:paraId="3F10CBA6">
      <w:pPr>
        <w:spacing w:before="2" w:line="388" w:lineRule="auto"/>
        <w:ind w:right="6106"/>
        <w:rPr>
          <w:color w:val="auto"/>
          <w:sz w:val="24"/>
          <w:highlight w:val="none"/>
        </w:rPr>
      </w:pPr>
      <w:r>
        <w:rPr>
          <w:color w:val="auto"/>
          <w:sz w:val="24"/>
          <w:highlight w:val="none"/>
        </w:rPr>
        <w:t xml:space="preserve"> 法定代表人： </w:t>
      </w:r>
    </w:p>
    <w:p w14:paraId="147D3972">
      <w:pPr>
        <w:spacing w:line="388" w:lineRule="auto"/>
        <w:ind w:right="6826"/>
        <w:rPr>
          <w:color w:val="auto"/>
          <w:sz w:val="24"/>
          <w:highlight w:val="none"/>
        </w:rPr>
      </w:pPr>
      <w:r>
        <w:rPr>
          <w:color w:val="auto"/>
          <w:sz w:val="24"/>
          <w:highlight w:val="none"/>
        </w:rPr>
        <w:t xml:space="preserve">或委托代理人： </w:t>
      </w:r>
    </w:p>
    <w:p w14:paraId="743270AD">
      <w:pPr>
        <w:spacing w:line="388" w:lineRule="auto"/>
        <w:ind w:right="6826"/>
        <w:rPr>
          <w:color w:val="auto"/>
          <w:sz w:val="24"/>
          <w:highlight w:val="none"/>
        </w:rPr>
      </w:pPr>
      <w:r>
        <w:rPr>
          <w:color w:val="auto"/>
          <w:sz w:val="24"/>
          <w:highlight w:val="none"/>
        </w:rPr>
        <w:t xml:space="preserve">经 办 人 ： </w:t>
      </w:r>
    </w:p>
    <w:p w14:paraId="1371CB62">
      <w:pPr>
        <w:spacing w:line="305" w:lineRule="exact"/>
        <w:rPr>
          <w:color w:val="auto"/>
          <w:sz w:val="24"/>
          <w:highlight w:val="none"/>
        </w:rPr>
      </w:pPr>
      <w:r>
        <w:rPr>
          <w:color w:val="auto"/>
          <w:sz w:val="24"/>
          <w:highlight w:val="none"/>
        </w:rPr>
        <w:t>电 话 ：</w:t>
      </w:r>
    </w:p>
    <w:p w14:paraId="1F4EF440">
      <w:pPr>
        <w:spacing w:before="186" w:line="386" w:lineRule="auto"/>
        <w:ind w:right="2747"/>
        <w:rPr>
          <w:color w:val="auto"/>
          <w:sz w:val="24"/>
          <w:highlight w:val="none"/>
        </w:rPr>
      </w:pPr>
      <w:r>
        <w:rPr>
          <w:color w:val="auto"/>
          <w:sz w:val="24"/>
          <w:highlight w:val="none"/>
        </w:rPr>
        <w:t>开户银行：</w:t>
      </w:r>
    </w:p>
    <w:p w14:paraId="66F1BDFE">
      <w:pPr>
        <w:spacing w:before="186" w:line="386" w:lineRule="auto"/>
        <w:ind w:right="2747"/>
        <w:rPr>
          <w:color w:val="auto"/>
          <w:sz w:val="24"/>
          <w:highlight w:val="none"/>
        </w:rPr>
        <w:sectPr>
          <w:footerReference r:id="rId8" w:type="default"/>
          <w:pgSz w:w="11910" w:h="16840"/>
          <w:pgMar w:top="1219" w:right="1134" w:bottom="1060" w:left="1134" w:header="748" w:footer="867" w:gutter="0"/>
          <w:cols w:space="720" w:num="1"/>
        </w:sectPr>
      </w:pPr>
      <w:r>
        <w:rPr>
          <w:color w:val="auto"/>
          <w:sz w:val="24"/>
          <w:highlight w:val="none"/>
        </w:rPr>
        <w:t>账号：</w:t>
      </w:r>
    </w:p>
    <w:p w14:paraId="15C7572E">
      <w:pPr>
        <w:keepNext w:val="0"/>
        <w:keepLines w:val="0"/>
        <w:pageBreakBefore w:val="0"/>
        <w:widowControl w:val="0"/>
        <w:shd w:val="clear" w:color="auto" w:fill="FFFFFF"/>
        <w:kinsoku/>
        <w:wordWrap/>
        <w:overflowPunct/>
        <w:bidi w:val="0"/>
        <w:snapToGrid w:val="0"/>
        <w:spacing w:line="460" w:lineRule="exact"/>
        <w:ind w:firstLine="480" w:firstLineChars="200"/>
        <w:rPr>
          <w:rFonts w:ascii="宋体" w:hAnsi="宋体" w:cs="宋体"/>
          <w:color w:val="000000"/>
          <w:sz w:val="24"/>
        </w:rPr>
      </w:pPr>
      <w:bookmarkStart w:id="65" w:name="_Toc366141979"/>
      <w:bookmarkStart w:id="66" w:name="_Toc216450608"/>
      <w:bookmarkStart w:id="67" w:name="_Toc189793244"/>
      <w:r>
        <w:rPr>
          <w:rFonts w:hint="eastAsia" w:ascii="宋体" w:hAnsi="宋体" w:cs="宋体"/>
          <w:color w:val="000000"/>
          <w:sz w:val="24"/>
        </w:rPr>
        <w:t>甲乙双方根据</w:t>
      </w:r>
      <w:r>
        <w:rPr>
          <w:rFonts w:hint="eastAsia" w:ascii="宋体" w:hAnsi="宋体" w:cs="宋体"/>
          <w:b/>
          <w:bCs/>
          <w:color w:val="000000"/>
          <w:sz w:val="24"/>
          <w:lang w:eastAsia="zh-CN"/>
        </w:rPr>
        <w:t>怒江职业技术学院民宿数字化实训室项目</w:t>
      </w:r>
      <w:r>
        <w:rPr>
          <w:rFonts w:hint="eastAsia" w:ascii="宋体" w:hAnsi="宋体" w:cs="宋体"/>
          <w:color w:val="000000"/>
          <w:sz w:val="24"/>
        </w:rPr>
        <w:t>进行的采购结果，经双方协商达成一致，签订以下合同内容：</w:t>
      </w:r>
    </w:p>
    <w:p w14:paraId="6C966DEF">
      <w:pPr>
        <w:keepNext w:val="0"/>
        <w:keepLines w:val="0"/>
        <w:pageBreakBefore w:val="0"/>
        <w:widowControl w:val="0"/>
        <w:kinsoku/>
        <w:wordWrap/>
        <w:overflowPunct/>
        <w:bidi w:val="0"/>
        <w:spacing w:line="600" w:lineRule="exact"/>
        <w:ind w:firstLine="480" w:firstLineChars="200"/>
        <w:rPr>
          <w:rFonts w:hint="eastAsia" w:ascii="宋体" w:hAnsi="宋体" w:cs="宋体"/>
          <w:color w:val="000000"/>
          <w:sz w:val="24"/>
        </w:rPr>
      </w:pPr>
      <w:r>
        <w:rPr>
          <w:rFonts w:hint="eastAsia" w:ascii="宋体" w:hAnsi="宋体" w:cs="宋体"/>
          <w:color w:val="000000"/>
          <w:sz w:val="24"/>
        </w:rPr>
        <w:t>一、项目内容：</w:t>
      </w:r>
    </w:p>
    <w:p w14:paraId="122861A3">
      <w:pPr>
        <w:keepNext w:val="0"/>
        <w:keepLines w:val="0"/>
        <w:pageBreakBefore w:val="0"/>
        <w:widowControl w:val="0"/>
        <w:kinsoku/>
        <w:wordWrap/>
        <w:overflowPunct/>
        <w:bidi w:val="0"/>
        <w:spacing w:line="600" w:lineRule="exact"/>
        <w:ind w:firstLine="480" w:firstLineChars="200"/>
        <w:rPr>
          <w:rFonts w:hint="default" w:ascii="宋体" w:hAnsi="宋体" w:eastAsia="宋体" w:cs="宋体"/>
          <w:color w:val="000000"/>
          <w:sz w:val="24"/>
          <w:u w:val="none"/>
          <w:lang w:val="en-US" w:eastAsia="zh-CN"/>
        </w:rPr>
      </w:pPr>
      <w:r>
        <w:rPr>
          <w:rFonts w:hint="eastAsia" w:ascii="宋体" w:hAnsi="宋体" w:cs="宋体"/>
          <w:color w:val="000000"/>
          <w:sz w:val="24"/>
          <w:u w:val="none"/>
        </w:rPr>
        <w:t xml:space="preserve"> </w:t>
      </w:r>
      <w:r>
        <w:rPr>
          <w:rFonts w:hint="eastAsia" w:ascii="宋体" w:hAnsi="宋体" w:cs="宋体"/>
          <w:color w:val="000000"/>
          <w:sz w:val="24"/>
          <w:u w:val="none"/>
          <w:lang w:val="en-US" w:eastAsia="zh-CN"/>
        </w:rPr>
        <w:t xml:space="preserve"> （</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   </w:t>
      </w:r>
    </w:p>
    <w:p w14:paraId="55AF24DB">
      <w:pPr>
        <w:keepNext w:val="0"/>
        <w:keepLines w:val="0"/>
        <w:pageBreakBefore w:val="0"/>
        <w:widowControl w:val="0"/>
        <w:kinsoku/>
        <w:wordWrap/>
        <w:overflowPunct/>
        <w:bidi w:val="0"/>
        <w:spacing w:line="600" w:lineRule="exact"/>
        <w:ind w:firstLine="480" w:firstLineChars="200"/>
        <w:rPr>
          <w:rFonts w:hint="eastAsia" w:ascii="宋体" w:hAnsi="宋体" w:cs="宋体"/>
          <w:color w:val="000000"/>
          <w:sz w:val="24"/>
        </w:rPr>
      </w:pPr>
      <w:r>
        <w:rPr>
          <w:rFonts w:hint="eastAsia" w:ascii="宋体" w:hAnsi="宋体" w:cs="宋体"/>
          <w:color w:val="000000"/>
          <w:sz w:val="24"/>
        </w:rPr>
        <w:t>二、合同总价</w:t>
      </w:r>
    </w:p>
    <w:p w14:paraId="319FC170">
      <w:pPr>
        <w:keepNext w:val="0"/>
        <w:keepLines w:val="0"/>
        <w:pageBreakBefore w:val="0"/>
        <w:widowControl w:val="0"/>
        <w:kinsoku/>
        <w:wordWrap/>
        <w:overflowPunct/>
        <w:bidi w:val="0"/>
        <w:spacing w:line="600" w:lineRule="exact"/>
        <w:ind w:firstLine="480" w:firstLineChars="200"/>
        <w:rPr>
          <w:rFonts w:hint="eastAsia" w:ascii="宋体" w:hAnsi="宋体" w:cs="宋体"/>
          <w:color w:val="000000"/>
          <w:sz w:val="24"/>
          <w:u w:val="single"/>
          <w:lang w:val="zh-CN"/>
        </w:rPr>
      </w:pPr>
      <w:r>
        <w:rPr>
          <w:rFonts w:hint="eastAsia" w:ascii="宋体" w:hAnsi="宋体" w:cs="宋体"/>
          <w:color w:val="000000"/>
          <w:sz w:val="24"/>
          <w:lang w:val="zh-CN"/>
        </w:rPr>
        <w:t>人民币小写：</w:t>
      </w:r>
      <w:r>
        <w:rPr>
          <w:rFonts w:hint="eastAsia" w:ascii="宋体" w:hAnsi="宋体" w:cs="宋体"/>
          <w:color w:val="000000"/>
          <w:sz w:val="24"/>
          <w:u w:val="none"/>
          <w:lang w:val="en-US" w:eastAsia="zh-CN"/>
        </w:rPr>
        <w:t>（</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w:t>
      </w:r>
      <w:r>
        <w:rPr>
          <w:rFonts w:hint="eastAsia" w:ascii="宋体" w:hAnsi="宋体" w:cs="宋体"/>
          <w:color w:val="000000"/>
          <w:sz w:val="24"/>
          <w:u w:val="single"/>
          <w:lang w:val="zh-CN"/>
        </w:rPr>
        <w:t xml:space="preserve">                                                    </w:t>
      </w:r>
    </w:p>
    <w:p w14:paraId="2005B4F4">
      <w:pPr>
        <w:keepNext w:val="0"/>
        <w:keepLines w:val="0"/>
        <w:pageBreakBefore w:val="0"/>
        <w:widowControl w:val="0"/>
        <w:kinsoku/>
        <w:wordWrap/>
        <w:overflowPunct/>
        <w:bidi w:val="0"/>
        <w:spacing w:line="600" w:lineRule="exact"/>
        <w:ind w:firstLine="1200" w:firstLineChars="500"/>
        <w:rPr>
          <w:rFonts w:hint="eastAsia" w:ascii="宋体" w:hAnsi="宋体" w:cs="宋体"/>
          <w:b/>
          <w:bCs/>
          <w:color w:val="000000"/>
          <w:sz w:val="24"/>
          <w:u w:val="single"/>
        </w:rPr>
      </w:pPr>
      <w:r>
        <w:rPr>
          <w:rFonts w:hint="eastAsia" w:ascii="宋体" w:hAnsi="宋体" w:cs="宋体"/>
          <w:color w:val="000000"/>
          <w:sz w:val="24"/>
          <w:lang w:val="zh-CN"/>
        </w:rPr>
        <w:t>大写：</w:t>
      </w:r>
      <w:r>
        <w:rPr>
          <w:rFonts w:hint="eastAsia" w:ascii="宋体" w:hAnsi="宋体" w:cs="宋体"/>
          <w:color w:val="000000"/>
          <w:sz w:val="24"/>
          <w:u w:val="none"/>
          <w:lang w:val="en-US" w:eastAsia="zh-CN"/>
        </w:rPr>
        <w:t>（</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w:t>
      </w:r>
      <w:r>
        <w:rPr>
          <w:rFonts w:hint="eastAsia" w:ascii="宋体" w:hAnsi="宋体" w:cs="宋体"/>
          <w:color w:val="000000"/>
          <w:sz w:val="24"/>
          <w:u w:val="single"/>
          <w:lang w:val="zh-CN"/>
        </w:rPr>
        <w:t xml:space="preserve">                                                   </w:t>
      </w:r>
    </w:p>
    <w:p w14:paraId="10A6D1C4">
      <w:pPr>
        <w:keepNext w:val="0"/>
        <w:keepLines w:val="0"/>
        <w:pageBreakBefore w:val="0"/>
        <w:widowControl w:val="0"/>
        <w:kinsoku/>
        <w:wordWrap/>
        <w:overflowPunct/>
        <w:autoSpaceDE w:val="0"/>
        <w:autoSpaceDN w:val="0"/>
        <w:bidi w:val="0"/>
        <w:adjustRightInd w:val="0"/>
        <w:spacing w:line="600" w:lineRule="exact"/>
        <w:ind w:firstLine="480" w:firstLineChars="200"/>
        <w:rPr>
          <w:rFonts w:hint="eastAsia" w:ascii="宋体" w:hAnsi="宋体" w:cs="宋体"/>
          <w:color w:val="000000"/>
          <w:sz w:val="24"/>
        </w:rPr>
      </w:pPr>
      <w:r>
        <w:rPr>
          <w:rFonts w:hint="eastAsia" w:ascii="宋体" w:hAnsi="宋体" w:cs="宋体"/>
          <w:color w:val="000000"/>
          <w:sz w:val="24"/>
        </w:rPr>
        <w:t>以上价格应包含整个项目合作或服务的全部内容，不得再有其他费用。</w:t>
      </w:r>
    </w:p>
    <w:p w14:paraId="2CCD98FB">
      <w:pPr>
        <w:keepNext w:val="0"/>
        <w:keepLines w:val="0"/>
        <w:pageBreakBefore w:val="0"/>
        <w:widowControl w:val="0"/>
        <w:kinsoku/>
        <w:wordWrap/>
        <w:overflowPunct/>
        <w:autoSpaceDE w:val="0"/>
        <w:autoSpaceDN w:val="0"/>
        <w:bidi w:val="0"/>
        <w:adjustRightInd w:val="0"/>
        <w:spacing w:line="600" w:lineRule="exact"/>
        <w:ind w:firstLine="480" w:firstLineChars="200"/>
        <w:rPr>
          <w:rFonts w:hint="eastAsia" w:ascii="宋体" w:hAnsi="宋体" w:cs="宋体"/>
          <w:color w:val="000000"/>
          <w:sz w:val="24"/>
        </w:rPr>
      </w:pPr>
      <w:r>
        <w:rPr>
          <w:rFonts w:hint="eastAsia" w:ascii="宋体" w:hAnsi="宋体" w:cs="宋体"/>
          <w:color w:val="000000"/>
          <w:sz w:val="24"/>
        </w:rPr>
        <w:t>三、甲乙双方的权利和义务</w:t>
      </w:r>
    </w:p>
    <w:p w14:paraId="32D6C2BF">
      <w:pPr>
        <w:keepNext w:val="0"/>
        <w:keepLines w:val="0"/>
        <w:pageBreakBefore w:val="0"/>
        <w:widowControl w:val="0"/>
        <w:kinsoku/>
        <w:wordWrap/>
        <w:overflowPunct/>
        <w:autoSpaceDE w:val="0"/>
        <w:autoSpaceDN w:val="0"/>
        <w:bidi w:val="0"/>
        <w:adjustRightInd w:val="0"/>
        <w:spacing w:line="600" w:lineRule="exact"/>
        <w:ind w:firstLine="480" w:firstLineChars="200"/>
        <w:rPr>
          <w:rFonts w:hint="eastAsia" w:ascii="宋体" w:hAnsi="宋体" w:cs="宋体"/>
          <w:b/>
          <w:bCs/>
          <w:color w:val="000000"/>
          <w:sz w:val="24"/>
        </w:rPr>
      </w:pPr>
      <w:r>
        <w:rPr>
          <w:rFonts w:hint="eastAsia" w:ascii="宋体" w:hAnsi="宋体" w:cs="宋体"/>
          <w:b/>
          <w:bCs/>
          <w:color w:val="000000"/>
          <w:sz w:val="24"/>
        </w:rPr>
        <w:t>（一）甲方的权利和义务</w:t>
      </w:r>
    </w:p>
    <w:p w14:paraId="5E159A66">
      <w:pPr>
        <w:keepNext w:val="0"/>
        <w:keepLines w:val="0"/>
        <w:pageBreakBefore w:val="0"/>
        <w:widowControl w:val="0"/>
        <w:kinsoku/>
        <w:wordWrap/>
        <w:overflowPunct/>
        <w:autoSpaceDE w:val="0"/>
        <w:autoSpaceDN w:val="0"/>
        <w:bidi w:val="0"/>
        <w:adjustRightInd w:val="0"/>
        <w:spacing w:line="600" w:lineRule="exact"/>
        <w:ind w:firstLine="480" w:firstLineChars="200"/>
        <w:rPr>
          <w:rFonts w:hint="eastAsia" w:ascii="宋体" w:hAnsi="宋体" w:cs="宋体"/>
          <w:color w:val="000000"/>
          <w:sz w:val="24"/>
          <w:u w:val="single"/>
        </w:rPr>
      </w:pPr>
      <w:r>
        <w:rPr>
          <w:rFonts w:hint="eastAsia" w:ascii="宋体" w:hAnsi="宋体" w:cs="宋体"/>
          <w:color w:val="000000"/>
          <w:sz w:val="24"/>
          <w:u w:val="none"/>
          <w:lang w:val="en-US" w:eastAsia="zh-CN"/>
        </w:rPr>
        <w:t>（</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w:t>
      </w:r>
      <w:r>
        <w:rPr>
          <w:rFonts w:hint="eastAsia" w:ascii="宋体" w:hAnsi="宋体" w:cs="宋体"/>
          <w:color w:val="000000"/>
          <w:sz w:val="24"/>
          <w:u w:val="single"/>
        </w:rPr>
        <w:t xml:space="preserve">                                                           </w:t>
      </w:r>
    </w:p>
    <w:p w14:paraId="79D52B0A">
      <w:pPr>
        <w:keepNext w:val="0"/>
        <w:keepLines w:val="0"/>
        <w:pageBreakBefore w:val="0"/>
        <w:widowControl w:val="0"/>
        <w:numPr>
          <w:ilvl w:val="0"/>
          <w:numId w:val="4"/>
        </w:numPr>
        <w:kinsoku/>
        <w:wordWrap/>
        <w:overflowPunct/>
        <w:autoSpaceDE w:val="0"/>
        <w:autoSpaceDN w:val="0"/>
        <w:bidi w:val="0"/>
        <w:adjustRightInd w:val="0"/>
        <w:spacing w:line="600" w:lineRule="exact"/>
        <w:ind w:firstLine="480" w:firstLineChars="200"/>
        <w:rPr>
          <w:rFonts w:hint="eastAsia" w:ascii="宋体" w:hAnsi="宋体" w:cs="宋体"/>
          <w:b/>
          <w:bCs/>
          <w:color w:val="000000"/>
          <w:sz w:val="24"/>
          <w:u w:val="single"/>
        </w:rPr>
      </w:pPr>
      <w:r>
        <w:rPr>
          <w:rFonts w:hint="eastAsia" w:ascii="宋体" w:hAnsi="宋体" w:cs="宋体"/>
          <w:b/>
          <w:bCs/>
          <w:color w:val="000000"/>
          <w:sz w:val="24"/>
        </w:rPr>
        <w:t>乙方的权利和义务</w:t>
      </w:r>
      <w:r>
        <w:rPr>
          <w:rFonts w:hint="eastAsia" w:ascii="宋体" w:hAnsi="宋体" w:cs="宋体"/>
          <w:b/>
          <w:bCs/>
          <w:color w:val="000000"/>
          <w:sz w:val="24"/>
          <w:u w:val="single"/>
        </w:rPr>
        <w:t xml:space="preserve">  </w:t>
      </w:r>
    </w:p>
    <w:p w14:paraId="5F4918FC">
      <w:pPr>
        <w:keepNext w:val="0"/>
        <w:keepLines w:val="0"/>
        <w:pageBreakBefore w:val="0"/>
        <w:widowControl w:val="0"/>
        <w:numPr>
          <w:ilvl w:val="0"/>
          <w:numId w:val="0"/>
        </w:numPr>
        <w:kinsoku/>
        <w:wordWrap/>
        <w:overflowPunct/>
        <w:autoSpaceDE w:val="0"/>
        <w:autoSpaceDN w:val="0"/>
        <w:bidi w:val="0"/>
        <w:adjustRightInd w:val="0"/>
        <w:spacing w:line="600" w:lineRule="exact"/>
        <w:rPr>
          <w:rFonts w:hint="eastAsia" w:ascii="宋体" w:hAnsi="宋体" w:cs="宋体"/>
          <w:b/>
          <w:bCs/>
          <w:color w:val="000000"/>
          <w:sz w:val="24"/>
          <w:u w:val="single"/>
        </w:rPr>
      </w:pPr>
      <w:r>
        <w:rPr>
          <w:rFonts w:hint="eastAsia" w:ascii="宋体" w:hAnsi="宋体" w:cs="宋体"/>
          <w:color w:val="000000"/>
          <w:sz w:val="24"/>
          <w:u w:val="none"/>
          <w:lang w:val="en-US" w:eastAsia="zh-CN"/>
        </w:rPr>
        <w:t>（</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w:t>
      </w:r>
      <w:r>
        <w:rPr>
          <w:rFonts w:hint="eastAsia" w:ascii="宋体" w:hAnsi="宋体" w:cs="宋体"/>
          <w:b/>
          <w:bCs/>
          <w:color w:val="000000"/>
          <w:sz w:val="24"/>
          <w:u w:val="single"/>
        </w:rPr>
        <w:t xml:space="preserve">                                                         </w:t>
      </w:r>
    </w:p>
    <w:p w14:paraId="57329A25">
      <w:pPr>
        <w:keepNext w:val="0"/>
        <w:keepLines w:val="0"/>
        <w:pageBreakBefore w:val="0"/>
        <w:widowControl w:val="0"/>
        <w:kinsoku/>
        <w:wordWrap/>
        <w:overflowPunct/>
        <w:autoSpaceDE w:val="0"/>
        <w:autoSpaceDN w:val="0"/>
        <w:bidi w:val="0"/>
        <w:adjustRightInd w:val="0"/>
        <w:spacing w:line="600" w:lineRule="exact"/>
        <w:ind w:firstLine="480" w:firstLineChars="200"/>
        <w:rPr>
          <w:rFonts w:hint="eastAsia" w:ascii="宋体" w:hAnsi="宋体" w:cs="宋体"/>
          <w:color w:val="000000"/>
          <w:sz w:val="24"/>
        </w:rPr>
      </w:pPr>
      <w:r>
        <w:rPr>
          <w:rFonts w:hint="eastAsia" w:ascii="宋体" w:hAnsi="宋体" w:cs="宋体"/>
          <w:color w:val="000000"/>
          <w:sz w:val="24"/>
        </w:rPr>
        <w:t>四、以上内容与政府采购监督管理部门审核以及甲方确认采购和乙方中标承诺情况一致并不得改变或放弃。</w:t>
      </w:r>
    </w:p>
    <w:p w14:paraId="1C84429A">
      <w:pPr>
        <w:keepNext w:val="0"/>
        <w:keepLines w:val="0"/>
        <w:pageBreakBefore w:val="0"/>
        <w:widowControl w:val="0"/>
        <w:kinsoku/>
        <w:wordWrap/>
        <w:overflowPunct/>
        <w:autoSpaceDE w:val="0"/>
        <w:autoSpaceDN w:val="0"/>
        <w:bidi w:val="0"/>
        <w:adjustRightInd w:val="0"/>
        <w:spacing w:line="600" w:lineRule="exact"/>
        <w:ind w:firstLine="480" w:firstLineChars="200"/>
        <w:rPr>
          <w:rFonts w:hint="eastAsia" w:ascii="宋体" w:hAnsi="宋体" w:cs="宋体"/>
          <w:color w:val="000000"/>
          <w:sz w:val="24"/>
        </w:rPr>
      </w:pPr>
      <w:r>
        <w:rPr>
          <w:rFonts w:hint="eastAsia" w:ascii="宋体" w:hAnsi="宋体" w:cs="宋体"/>
          <w:color w:val="000000"/>
          <w:sz w:val="24"/>
        </w:rPr>
        <w:t>五、服务期限：</w:t>
      </w:r>
    </w:p>
    <w:p w14:paraId="27B06BD9">
      <w:pPr>
        <w:keepNext w:val="0"/>
        <w:keepLines w:val="0"/>
        <w:pageBreakBefore w:val="0"/>
        <w:widowControl w:val="0"/>
        <w:kinsoku/>
        <w:wordWrap/>
        <w:overflowPunct/>
        <w:autoSpaceDE w:val="0"/>
        <w:autoSpaceDN w:val="0"/>
        <w:bidi w:val="0"/>
        <w:adjustRightInd w:val="0"/>
        <w:spacing w:line="600" w:lineRule="exact"/>
        <w:ind w:firstLine="480" w:firstLineChars="200"/>
        <w:rPr>
          <w:rFonts w:hint="eastAsia" w:ascii="宋体" w:hAnsi="宋体" w:cs="宋体"/>
          <w:color w:val="000000"/>
          <w:sz w:val="24"/>
        </w:rPr>
      </w:pPr>
      <w:r>
        <w:rPr>
          <w:rFonts w:hint="eastAsia" w:ascii="宋体" w:hAnsi="宋体" w:cs="宋体"/>
          <w:color w:val="000000"/>
          <w:sz w:val="24"/>
        </w:rPr>
        <w:t>六、验收及验收标准</w:t>
      </w:r>
    </w:p>
    <w:p w14:paraId="6C319CCC">
      <w:pPr>
        <w:keepNext w:val="0"/>
        <w:keepLines w:val="0"/>
        <w:pageBreakBefore w:val="0"/>
        <w:widowControl w:val="0"/>
        <w:kinsoku/>
        <w:wordWrap/>
        <w:overflowPunct/>
        <w:autoSpaceDE w:val="0"/>
        <w:autoSpaceDN w:val="0"/>
        <w:bidi w:val="0"/>
        <w:adjustRightInd w:val="0"/>
        <w:spacing w:line="600" w:lineRule="exact"/>
        <w:ind w:firstLine="480" w:firstLineChars="200"/>
        <w:rPr>
          <w:rFonts w:hint="eastAsia" w:ascii="宋体" w:hAnsi="宋体" w:cs="宋体"/>
          <w:color w:val="000000"/>
          <w:sz w:val="24"/>
        </w:rPr>
      </w:pPr>
      <w:r>
        <w:rPr>
          <w:rFonts w:hint="eastAsia" w:ascii="宋体" w:hAnsi="宋体" w:cs="宋体"/>
          <w:color w:val="000000"/>
          <w:sz w:val="24"/>
        </w:rPr>
        <w:t>1.项目验收：甲方按合同内容享受乙方提供的服务，并应填写验收单。一般性项目由采购人代表两人以上（应有相关技术人员）组成验收组负责项目验收。</w:t>
      </w:r>
    </w:p>
    <w:p w14:paraId="72EFBC38">
      <w:pPr>
        <w:keepNext w:val="0"/>
        <w:keepLines w:val="0"/>
        <w:pageBreakBefore w:val="0"/>
        <w:widowControl w:val="0"/>
        <w:kinsoku/>
        <w:wordWrap/>
        <w:overflowPunct/>
        <w:autoSpaceDE w:val="0"/>
        <w:autoSpaceDN w:val="0"/>
        <w:bidi w:val="0"/>
        <w:adjustRightInd w:val="0"/>
        <w:spacing w:line="600" w:lineRule="exact"/>
        <w:ind w:firstLine="480" w:firstLineChars="200"/>
        <w:rPr>
          <w:rFonts w:hint="eastAsia" w:ascii="宋体" w:hAnsi="宋体" w:cs="宋体"/>
          <w:color w:val="000000"/>
          <w:sz w:val="24"/>
        </w:rPr>
      </w:pPr>
      <w:r>
        <w:rPr>
          <w:rFonts w:hint="eastAsia" w:ascii="宋体" w:hAnsi="宋体" w:cs="宋体"/>
          <w:color w:val="000000"/>
          <w:sz w:val="24"/>
        </w:rPr>
        <w:t xml:space="preserve">2.具体的验收标准和要求如下： </w:t>
      </w:r>
    </w:p>
    <w:p w14:paraId="3F3C6FF3">
      <w:pPr>
        <w:keepNext w:val="0"/>
        <w:keepLines w:val="0"/>
        <w:pageBreakBefore w:val="0"/>
        <w:widowControl w:val="0"/>
        <w:kinsoku/>
        <w:wordWrap/>
        <w:overflowPunct/>
        <w:autoSpaceDE w:val="0"/>
        <w:autoSpaceDN w:val="0"/>
        <w:bidi w:val="0"/>
        <w:adjustRightInd w:val="0"/>
        <w:spacing w:line="600" w:lineRule="exact"/>
        <w:ind w:firstLine="480" w:firstLineChars="200"/>
        <w:rPr>
          <w:rFonts w:hint="eastAsia" w:ascii="宋体" w:hAnsi="宋体" w:cs="宋体"/>
          <w:color w:val="000000"/>
          <w:sz w:val="24"/>
          <w:u w:val="single"/>
        </w:rPr>
      </w:pPr>
      <w:r>
        <w:rPr>
          <w:rFonts w:hint="eastAsia" w:ascii="宋体" w:hAnsi="宋体" w:cs="宋体"/>
          <w:color w:val="000000"/>
          <w:sz w:val="24"/>
          <w:u w:val="none"/>
          <w:lang w:val="en-US" w:eastAsia="zh-CN"/>
        </w:rPr>
        <w:t>（</w:t>
      </w: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w:t>
      </w:r>
      <w:r>
        <w:rPr>
          <w:rFonts w:hint="eastAsia" w:ascii="宋体" w:hAnsi="宋体" w:cs="宋体"/>
          <w:color w:val="000000"/>
          <w:sz w:val="24"/>
          <w:u w:val="single"/>
        </w:rPr>
        <w:t xml:space="preserve">                                                               </w:t>
      </w:r>
    </w:p>
    <w:p w14:paraId="160D4928">
      <w:pPr>
        <w:keepNext w:val="0"/>
        <w:keepLines w:val="0"/>
        <w:pageBreakBefore w:val="0"/>
        <w:widowControl w:val="0"/>
        <w:kinsoku/>
        <w:wordWrap/>
        <w:overflowPunct/>
        <w:autoSpaceDE w:val="0"/>
        <w:autoSpaceDN w:val="0"/>
        <w:bidi w:val="0"/>
        <w:adjustRightInd w:val="0"/>
        <w:spacing w:line="600" w:lineRule="exact"/>
        <w:ind w:firstLine="480" w:firstLineChars="200"/>
        <w:rPr>
          <w:rFonts w:hint="eastAsia" w:ascii="宋体" w:hAnsi="宋体" w:cs="宋体"/>
          <w:color w:val="000000"/>
          <w:sz w:val="24"/>
        </w:rPr>
      </w:pPr>
      <w:r>
        <w:rPr>
          <w:rFonts w:hint="eastAsia" w:ascii="宋体" w:hAnsi="宋体" w:cs="宋体"/>
          <w:color w:val="000000"/>
          <w:sz w:val="24"/>
        </w:rPr>
        <w:t>七、合同价款结算</w:t>
      </w:r>
    </w:p>
    <w:p w14:paraId="63B0DD8E">
      <w:pPr>
        <w:keepNext w:val="0"/>
        <w:keepLines w:val="0"/>
        <w:pageBreakBefore w:val="0"/>
        <w:widowControl w:val="0"/>
        <w:kinsoku/>
        <w:wordWrap/>
        <w:overflowPunct/>
        <w:autoSpaceDE w:val="0"/>
        <w:autoSpaceDN w:val="0"/>
        <w:bidi w:val="0"/>
        <w:adjustRightInd w:val="0"/>
        <w:spacing w:line="600" w:lineRule="exact"/>
        <w:ind w:firstLine="480" w:firstLineChars="200"/>
        <w:rPr>
          <w:rFonts w:hint="eastAsia" w:ascii="宋体" w:hAnsi="宋体" w:cs="宋体"/>
          <w:b/>
          <w:color w:val="000000"/>
          <w:sz w:val="24"/>
        </w:rPr>
      </w:pPr>
      <w:r>
        <w:rPr>
          <w:rFonts w:hint="eastAsia" w:ascii="宋体" w:hAnsi="宋体" w:cs="宋体"/>
          <w:b/>
          <w:color w:val="000000"/>
          <w:sz w:val="24"/>
        </w:rPr>
        <w:t>本合同价款的支付办法</w:t>
      </w:r>
    </w:p>
    <w:p w14:paraId="49035885">
      <w:pPr>
        <w:keepNext w:val="0"/>
        <w:keepLines w:val="0"/>
        <w:pageBreakBefore w:val="0"/>
        <w:widowControl w:val="0"/>
        <w:kinsoku/>
        <w:wordWrap/>
        <w:overflowPunct/>
        <w:autoSpaceDE w:val="0"/>
        <w:autoSpaceDN w:val="0"/>
        <w:bidi w:val="0"/>
        <w:adjustRightInd w:val="0"/>
        <w:spacing w:line="600" w:lineRule="exact"/>
        <w:ind w:firstLine="480" w:firstLineChars="200"/>
        <w:rPr>
          <w:rFonts w:hint="eastAsia" w:ascii="宋体" w:hAnsi="宋体" w:cs="宋体"/>
          <w:color w:val="000000"/>
          <w:sz w:val="24"/>
          <w:u w:val="single"/>
        </w:rPr>
      </w:pPr>
      <w:r>
        <w:rPr>
          <w:rFonts w:hint="eastAsia" w:ascii="宋体" w:hAnsi="宋体" w:cs="宋体"/>
          <w:color w:val="000000"/>
          <w:sz w:val="24"/>
          <w:u w:val="single"/>
        </w:rPr>
        <w:t>合同拨款进度：                  。</w:t>
      </w:r>
    </w:p>
    <w:p w14:paraId="3C2F1BCE">
      <w:pPr>
        <w:keepNext w:val="0"/>
        <w:keepLines w:val="0"/>
        <w:pageBreakBefore w:val="0"/>
        <w:widowControl w:val="0"/>
        <w:kinsoku/>
        <w:wordWrap/>
        <w:overflowPunct/>
        <w:autoSpaceDE w:val="0"/>
        <w:autoSpaceDN w:val="0"/>
        <w:bidi w:val="0"/>
        <w:adjustRightInd w:val="0"/>
        <w:spacing w:line="600" w:lineRule="exact"/>
        <w:ind w:firstLine="480" w:firstLineChars="200"/>
        <w:rPr>
          <w:rFonts w:hint="eastAsia" w:ascii="宋体" w:hAnsi="宋体" w:cs="宋体"/>
          <w:color w:val="000000"/>
          <w:sz w:val="24"/>
        </w:rPr>
      </w:pPr>
      <w:r>
        <w:rPr>
          <w:rFonts w:hint="eastAsia" w:ascii="宋体" w:hAnsi="宋体" w:cs="宋体"/>
          <w:color w:val="000000"/>
          <w:sz w:val="24"/>
        </w:rPr>
        <w:t>八、违约责任</w:t>
      </w:r>
    </w:p>
    <w:p w14:paraId="77ABEC2F">
      <w:pPr>
        <w:keepNext w:val="0"/>
        <w:keepLines w:val="0"/>
        <w:pageBreakBefore w:val="0"/>
        <w:widowControl w:val="0"/>
        <w:kinsoku/>
        <w:wordWrap/>
        <w:overflowPunct/>
        <w:autoSpaceDE w:val="0"/>
        <w:autoSpaceDN w:val="0"/>
        <w:bidi w:val="0"/>
        <w:adjustRightInd w:val="0"/>
        <w:spacing w:line="600" w:lineRule="exact"/>
        <w:ind w:firstLine="480" w:firstLineChars="200"/>
        <w:rPr>
          <w:rFonts w:hint="eastAsia" w:ascii="宋体" w:hAnsi="宋体" w:cs="宋体"/>
          <w:color w:val="000000"/>
          <w:sz w:val="24"/>
        </w:rPr>
      </w:pPr>
      <w:r>
        <w:rPr>
          <w:rFonts w:hint="eastAsia" w:ascii="宋体" w:hAnsi="宋体" w:cs="宋体"/>
          <w:color w:val="000000"/>
          <w:sz w:val="24"/>
        </w:rPr>
        <w:t>甲方违反本合同约定的义务，致使乙方不能完成本合同约定的服务内容和标准的，乙方有权要求甲方承担违约与赔偿责任或终止合同。</w:t>
      </w:r>
    </w:p>
    <w:p w14:paraId="73B68BD3">
      <w:pPr>
        <w:keepNext w:val="0"/>
        <w:keepLines w:val="0"/>
        <w:pageBreakBefore w:val="0"/>
        <w:widowControl w:val="0"/>
        <w:kinsoku/>
        <w:wordWrap/>
        <w:overflowPunct/>
        <w:autoSpaceDE w:val="0"/>
        <w:autoSpaceDN w:val="0"/>
        <w:bidi w:val="0"/>
        <w:adjustRightInd w:val="0"/>
        <w:spacing w:line="600" w:lineRule="exact"/>
        <w:ind w:firstLine="480" w:firstLineChars="200"/>
        <w:rPr>
          <w:rFonts w:hint="eastAsia" w:ascii="宋体" w:hAnsi="宋体" w:cs="宋体"/>
          <w:color w:val="000000"/>
          <w:sz w:val="24"/>
        </w:rPr>
      </w:pPr>
      <w:r>
        <w:rPr>
          <w:rFonts w:hint="eastAsia" w:ascii="宋体" w:hAnsi="宋体" w:cs="宋体"/>
          <w:color w:val="000000"/>
          <w:sz w:val="24"/>
        </w:rPr>
        <w:t>乙方未能履行合同义务，不能达到甲方要求的管理目标，甲方有权要求乙方承担服务费用总额百分之二十的违约金，造成甲方损失的，甲方有权要求乙方赔偿责任或终止合同，在响应文件中针对此段违约责任单独承诺并盖公章。</w:t>
      </w:r>
    </w:p>
    <w:p w14:paraId="326BA737">
      <w:pPr>
        <w:keepNext w:val="0"/>
        <w:keepLines w:val="0"/>
        <w:pageBreakBefore w:val="0"/>
        <w:widowControl w:val="0"/>
        <w:tabs>
          <w:tab w:val="left" w:pos="6930"/>
        </w:tabs>
        <w:kinsoku/>
        <w:wordWrap/>
        <w:overflowPunct/>
        <w:autoSpaceDE w:val="0"/>
        <w:autoSpaceDN w:val="0"/>
        <w:bidi w:val="0"/>
        <w:adjustRightInd w:val="0"/>
        <w:spacing w:line="600" w:lineRule="exact"/>
        <w:ind w:right="-154" w:firstLine="480" w:firstLineChars="200"/>
        <w:rPr>
          <w:rFonts w:hint="eastAsia" w:ascii="宋体" w:hAnsi="宋体" w:cs="宋体"/>
          <w:color w:val="000000"/>
          <w:sz w:val="24"/>
        </w:rPr>
      </w:pPr>
      <w:r>
        <w:rPr>
          <w:rFonts w:hint="eastAsia" w:ascii="宋体" w:hAnsi="宋体" w:cs="宋体"/>
          <w:color w:val="000000"/>
          <w:sz w:val="24"/>
        </w:rPr>
        <w:t>九、甲方有权拒付合同价以外的任何费用；乙方有权拒绝合同整体范围以外的条件。</w:t>
      </w:r>
    </w:p>
    <w:p w14:paraId="2F6AF462">
      <w:pPr>
        <w:keepNext w:val="0"/>
        <w:keepLines w:val="0"/>
        <w:pageBreakBefore w:val="0"/>
        <w:widowControl w:val="0"/>
        <w:tabs>
          <w:tab w:val="left" w:pos="6930"/>
        </w:tabs>
        <w:kinsoku/>
        <w:wordWrap/>
        <w:overflowPunct/>
        <w:autoSpaceDE w:val="0"/>
        <w:autoSpaceDN w:val="0"/>
        <w:bidi w:val="0"/>
        <w:adjustRightInd w:val="0"/>
        <w:spacing w:line="600" w:lineRule="exact"/>
        <w:ind w:right="-154" w:firstLine="480" w:firstLineChars="200"/>
        <w:rPr>
          <w:rFonts w:hint="eastAsia" w:ascii="宋体" w:hAnsi="宋体" w:cs="宋体"/>
          <w:color w:val="000000"/>
          <w:sz w:val="24"/>
        </w:rPr>
      </w:pPr>
      <w:r>
        <w:rPr>
          <w:rFonts w:hint="eastAsia" w:ascii="宋体" w:hAnsi="宋体" w:cs="宋体"/>
          <w:color w:val="000000"/>
          <w:sz w:val="24"/>
        </w:rPr>
        <w:t>十、甲乙双方在履行合同过程中发生纠纷，应及时向有关监督管理部门投诉，以便相关部门进行协调或处理；或按以下方式处理：（请在□内打√，其余打×）</w:t>
      </w:r>
    </w:p>
    <w:p w14:paraId="45C22CF6">
      <w:pPr>
        <w:keepNext w:val="0"/>
        <w:keepLines w:val="0"/>
        <w:pageBreakBefore w:val="0"/>
        <w:widowControl w:val="0"/>
        <w:tabs>
          <w:tab w:val="left" w:pos="6930"/>
        </w:tabs>
        <w:kinsoku/>
        <w:wordWrap/>
        <w:overflowPunct/>
        <w:autoSpaceDE w:val="0"/>
        <w:autoSpaceDN w:val="0"/>
        <w:bidi w:val="0"/>
        <w:adjustRightInd w:val="0"/>
        <w:spacing w:line="600" w:lineRule="exact"/>
        <w:ind w:right="-154" w:firstLine="480" w:firstLineChars="200"/>
        <w:rPr>
          <w:rFonts w:hint="eastAsia" w:ascii="宋体" w:hAnsi="宋体" w:cs="宋体"/>
          <w:color w:val="000000"/>
          <w:sz w:val="24"/>
        </w:rPr>
      </w:pPr>
      <w:r>
        <w:rPr>
          <w:rFonts w:hint="eastAsia" w:ascii="宋体" w:hAnsi="宋体" w:cs="宋体"/>
          <w:color w:val="000000"/>
          <w:sz w:val="24"/>
        </w:rPr>
        <w:sym w:font="Wingdings 2" w:char="F051"/>
      </w:r>
      <w:r>
        <w:rPr>
          <w:rFonts w:hint="eastAsia" w:ascii="宋体" w:hAnsi="宋体" w:cs="宋体"/>
          <w:color w:val="000000"/>
          <w:sz w:val="24"/>
        </w:rPr>
        <w:t>向合同签订地仲裁部门申请仲裁；</w:t>
      </w:r>
    </w:p>
    <w:p w14:paraId="39970D25">
      <w:pPr>
        <w:keepNext w:val="0"/>
        <w:keepLines w:val="0"/>
        <w:pageBreakBefore w:val="0"/>
        <w:widowControl w:val="0"/>
        <w:tabs>
          <w:tab w:val="left" w:pos="6930"/>
        </w:tabs>
        <w:kinsoku/>
        <w:wordWrap/>
        <w:overflowPunct/>
        <w:autoSpaceDE w:val="0"/>
        <w:autoSpaceDN w:val="0"/>
        <w:bidi w:val="0"/>
        <w:adjustRightInd w:val="0"/>
        <w:spacing w:line="600" w:lineRule="exact"/>
        <w:ind w:right="-154" w:firstLine="480" w:firstLineChars="200"/>
        <w:rPr>
          <w:rFonts w:hint="eastAsia" w:ascii="宋体" w:hAnsi="宋体" w:cs="宋体"/>
          <w:color w:val="000000"/>
          <w:sz w:val="24"/>
        </w:rPr>
      </w:pPr>
      <w:r>
        <w:rPr>
          <w:rFonts w:hint="eastAsia" w:ascii="宋体" w:hAnsi="宋体" w:cs="宋体"/>
          <w:color w:val="000000"/>
          <w:sz w:val="24"/>
        </w:rPr>
        <w:sym w:font="Wingdings 2" w:char="F052"/>
      </w:r>
      <w:r>
        <w:rPr>
          <w:rFonts w:hint="eastAsia" w:ascii="宋体" w:hAnsi="宋体" w:cs="宋体"/>
          <w:color w:val="000000"/>
          <w:sz w:val="24"/>
        </w:rPr>
        <w:t>向合同签订地人民法院管辖提起诉讼。</w:t>
      </w:r>
    </w:p>
    <w:p w14:paraId="1C1A9532">
      <w:pPr>
        <w:keepNext w:val="0"/>
        <w:keepLines w:val="0"/>
        <w:pageBreakBefore w:val="0"/>
        <w:widowControl w:val="0"/>
        <w:tabs>
          <w:tab w:val="left" w:pos="6930"/>
        </w:tabs>
        <w:kinsoku/>
        <w:wordWrap/>
        <w:overflowPunct/>
        <w:autoSpaceDE w:val="0"/>
        <w:autoSpaceDN w:val="0"/>
        <w:bidi w:val="0"/>
        <w:adjustRightInd w:val="0"/>
        <w:spacing w:line="600" w:lineRule="exact"/>
        <w:ind w:right="-154" w:firstLine="480" w:firstLineChars="200"/>
        <w:rPr>
          <w:rFonts w:hint="eastAsia" w:ascii="宋体" w:hAnsi="宋体" w:cs="宋体"/>
          <w:color w:val="000000"/>
          <w:sz w:val="24"/>
        </w:rPr>
      </w:pPr>
      <w:r>
        <w:rPr>
          <w:rFonts w:hint="eastAsia" w:ascii="宋体" w:hAnsi="宋体" w:cs="宋体"/>
          <w:color w:val="000000"/>
          <w:sz w:val="24"/>
        </w:rPr>
        <w:t>十一、本合同其他未尽事宜，按国家《合同法》有关规定处理。</w:t>
      </w:r>
    </w:p>
    <w:p w14:paraId="5311D7C5">
      <w:pPr>
        <w:keepNext w:val="0"/>
        <w:keepLines w:val="0"/>
        <w:pageBreakBefore w:val="0"/>
        <w:widowControl w:val="0"/>
        <w:tabs>
          <w:tab w:val="left" w:pos="6930"/>
        </w:tabs>
        <w:kinsoku/>
        <w:wordWrap/>
        <w:overflowPunct/>
        <w:autoSpaceDE w:val="0"/>
        <w:autoSpaceDN w:val="0"/>
        <w:bidi w:val="0"/>
        <w:adjustRightInd w:val="0"/>
        <w:spacing w:line="600" w:lineRule="exact"/>
        <w:ind w:right="-154" w:firstLine="480" w:firstLineChars="200"/>
        <w:rPr>
          <w:rFonts w:hint="eastAsia" w:ascii="宋体" w:hAnsi="宋体" w:cs="宋体"/>
          <w:color w:val="000000"/>
          <w:sz w:val="24"/>
        </w:rPr>
      </w:pPr>
      <w:r>
        <w:rPr>
          <w:rFonts w:hint="eastAsia" w:ascii="宋体" w:hAnsi="宋体" w:cs="宋体"/>
          <w:color w:val="000000"/>
          <w:sz w:val="24"/>
        </w:rPr>
        <w:t>十二、本合同一式</w:t>
      </w:r>
      <w:r>
        <w:rPr>
          <w:rFonts w:hint="eastAsia" w:ascii="宋体" w:hAnsi="宋体" w:cs="宋体"/>
          <w:color w:val="000000"/>
          <w:sz w:val="24"/>
          <w:u w:val="single"/>
        </w:rPr>
        <w:t xml:space="preserve"> 陆 </w:t>
      </w:r>
      <w:r>
        <w:rPr>
          <w:rFonts w:hint="eastAsia" w:ascii="宋体" w:hAnsi="宋体" w:cs="宋体"/>
          <w:color w:val="000000"/>
          <w:sz w:val="24"/>
        </w:rPr>
        <w:t>份，甲方</w:t>
      </w:r>
      <w:r>
        <w:rPr>
          <w:rFonts w:hint="eastAsia" w:ascii="宋体" w:hAnsi="宋体" w:cs="宋体"/>
          <w:color w:val="000000"/>
          <w:sz w:val="24"/>
          <w:u w:val="single"/>
        </w:rPr>
        <w:t xml:space="preserve"> 伍 </w:t>
      </w:r>
      <w:r>
        <w:rPr>
          <w:rFonts w:hint="eastAsia" w:ascii="宋体" w:hAnsi="宋体" w:cs="宋体"/>
          <w:color w:val="000000"/>
          <w:sz w:val="24"/>
        </w:rPr>
        <w:t>份，乙方</w:t>
      </w:r>
      <w:r>
        <w:rPr>
          <w:rFonts w:hint="eastAsia" w:ascii="宋体" w:hAnsi="宋体" w:cs="宋体"/>
          <w:color w:val="000000"/>
          <w:sz w:val="24"/>
          <w:u w:val="single"/>
        </w:rPr>
        <w:t xml:space="preserve">壹 </w:t>
      </w:r>
      <w:r>
        <w:rPr>
          <w:rFonts w:hint="eastAsia" w:ascii="宋体" w:hAnsi="宋体" w:cs="宋体"/>
          <w:color w:val="000000"/>
          <w:sz w:val="24"/>
        </w:rPr>
        <w:t>份。</w:t>
      </w:r>
    </w:p>
    <w:p w14:paraId="1705FB2E">
      <w:pPr>
        <w:keepNext w:val="0"/>
        <w:keepLines w:val="0"/>
        <w:pageBreakBefore w:val="0"/>
        <w:widowControl w:val="0"/>
        <w:tabs>
          <w:tab w:val="left" w:pos="6930"/>
        </w:tabs>
        <w:kinsoku/>
        <w:wordWrap/>
        <w:overflowPunct/>
        <w:autoSpaceDE w:val="0"/>
        <w:autoSpaceDN w:val="0"/>
        <w:bidi w:val="0"/>
        <w:adjustRightInd w:val="0"/>
        <w:spacing w:line="600" w:lineRule="exact"/>
        <w:ind w:right="-154" w:firstLine="480" w:firstLineChars="200"/>
        <w:rPr>
          <w:rFonts w:hint="eastAsia" w:ascii="宋体" w:hAnsi="宋体" w:cs="宋体"/>
          <w:color w:val="000000"/>
          <w:sz w:val="24"/>
        </w:rPr>
      </w:pPr>
      <w:r>
        <w:rPr>
          <w:rFonts w:hint="eastAsia" w:ascii="宋体" w:hAnsi="宋体" w:cs="宋体"/>
          <w:color w:val="000000"/>
          <w:sz w:val="24"/>
        </w:rPr>
        <w:t>十三、本合同自双方共同签订之日起生效。</w:t>
      </w:r>
    </w:p>
    <w:p w14:paraId="18074D9A">
      <w:pPr>
        <w:keepNext w:val="0"/>
        <w:keepLines w:val="0"/>
        <w:pageBreakBefore w:val="0"/>
        <w:widowControl w:val="0"/>
        <w:tabs>
          <w:tab w:val="left" w:pos="6930"/>
        </w:tabs>
        <w:kinsoku/>
        <w:wordWrap/>
        <w:overflowPunct/>
        <w:autoSpaceDE w:val="0"/>
        <w:autoSpaceDN w:val="0"/>
        <w:bidi w:val="0"/>
        <w:adjustRightInd w:val="0"/>
        <w:spacing w:line="600" w:lineRule="exact"/>
        <w:ind w:right="-154" w:firstLine="480" w:firstLineChars="200"/>
        <w:rPr>
          <w:rFonts w:hint="eastAsia" w:ascii="宋体" w:hAnsi="宋体" w:cs="宋体"/>
          <w:color w:val="000000"/>
          <w:sz w:val="24"/>
        </w:rPr>
      </w:pPr>
      <w:r>
        <w:rPr>
          <w:rFonts w:hint="eastAsia" w:ascii="宋体" w:hAnsi="宋体" w:cs="宋体"/>
          <w:color w:val="000000"/>
          <w:sz w:val="24"/>
        </w:rPr>
        <w:t>十四、本合同不可分割之部分及解释顺序</w:t>
      </w:r>
    </w:p>
    <w:p w14:paraId="5E10E37B">
      <w:pPr>
        <w:keepNext w:val="0"/>
        <w:keepLines w:val="0"/>
        <w:pageBreakBefore w:val="0"/>
        <w:widowControl w:val="0"/>
        <w:kinsoku/>
        <w:wordWrap/>
        <w:overflowPunct/>
        <w:bidi w:val="0"/>
        <w:spacing w:line="360" w:lineRule="auto"/>
        <w:ind w:firstLine="480" w:firstLineChars="200"/>
        <w:rPr>
          <w:rFonts w:hint="eastAsia" w:ascii="宋体" w:hAnsi="宋体" w:cs="宋体"/>
          <w:color w:val="000000"/>
          <w:sz w:val="24"/>
        </w:rPr>
      </w:pPr>
      <w:r>
        <w:rPr>
          <w:rFonts w:hint="eastAsia" w:ascii="宋体" w:hAnsi="宋体" w:cs="宋体"/>
          <w:color w:val="000000"/>
          <w:sz w:val="24"/>
        </w:rPr>
        <w:t>1. 合同书及附件；</w:t>
      </w:r>
    </w:p>
    <w:p w14:paraId="3093265F">
      <w:pPr>
        <w:keepNext w:val="0"/>
        <w:keepLines w:val="0"/>
        <w:pageBreakBefore w:val="0"/>
        <w:widowControl w:val="0"/>
        <w:kinsoku/>
        <w:wordWrap/>
        <w:overflowPunct/>
        <w:bidi w:val="0"/>
        <w:spacing w:line="360" w:lineRule="auto"/>
        <w:ind w:firstLine="480" w:firstLineChars="200"/>
        <w:rPr>
          <w:rFonts w:hint="eastAsia" w:ascii="宋体" w:hAnsi="宋体" w:cs="宋体"/>
          <w:color w:val="000000"/>
          <w:sz w:val="24"/>
        </w:rPr>
      </w:pPr>
      <w:r>
        <w:rPr>
          <w:rFonts w:hint="eastAsia" w:ascii="宋体" w:hAnsi="宋体" w:cs="宋体"/>
          <w:color w:val="000000"/>
          <w:sz w:val="24"/>
        </w:rPr>
        <w:t>2. 成交通知书；</w:t>
      </w:r>
    </w:p>
    <w:p w14:paraId="699BB019">
      <w:pPr>
        <w:keepNext w:val="0"/>
        <w:keepLines w:val="0"/>
        <w:pageBreakBefore w:val="0"/>
        <w:widowControl w:val="0"/>
        <w:kinsoku/>
        <w:wordWrap/>
        <w:overflowPunct/>
        <w:bidi w:val="0"/>
        <w:spacing w:line="360" w:lineRule="auto"/>
        <w:ind w:firstLine="480" w:firstLineChars="200"/>
        <w:rPr>
          <w:rFonts w:hint="eastAsia" w:ascii="宋体" w:hAnsi="宋体" w:cs="宋体"/>
          <w:color w:val="000000"/>
          <w:sz w:val="24"/>
        </w:rPr>
      </w:pPr>
      <w:r>
        <w:rPr>
          <w:rFonts w:hint="eastAsia" w:ascii="宋体" w:hAnsi="宋体" w:cs="宋体"/>
          <w:color w:val="000000"/>
          <w:sz w:val="24"/>
        </w:rPr>
        <w:t>3. 成交人磋商承诺及响应文件或澄清；</w:t>
      </w:r>
    </w:p>
    <w:p w14:paraId="6FCC5C37">
      <w:pPr>
        <w:keepNext w:val="0"/>
        <w:keepLines w:val="0"/>
        <w:pageBreakBefore w:val="0"/>
        <w:widowControl w:val="0"/>
        <w:kinsoku/>
        <w:wordWrap/>
        <w:overflowPunct/>
        <w:bidi w:val="0"/>
        <w:spacing w:line="360" w:lineRule="auto"/>
        <w:ind w:firstLine="480" w:firstLineChars="200"/>
        <w:rPr>
          <w:rFonts w:hint="eastAsia" w:ascii="宋体" w:hAnsi="宋体" w:cs="宋体"/>
          <w:color w:val="000000"/>
          <w:sz w:val="24"/>
        </w:rPr>
      </w:pPr>
      <w:r>
        <w:rPr>
          <w:rFonts w:hint="eastAsia" w:ascii="宋体" w:hAnsi="宋体" w:cs="宋体"/>
          <w:color w:val="000000"/>
          <w:sz w:val="24"/>
        </w:rPr>
        <w:t>4. 磋商文件。</w:t>
      </w:r>
    </w:p>
    <w:p w14:paraId="15496006">
      <w:pPr>
        <w:keepNext w:val="0"/>
        <w:keepLines w:val="0"/>
        <w:pageBreakBefore w:val="0"/>
        <w:widowControl w:val="0"/>
        <w:kinsoku/>
        <w:wordWrap/>
        <w:overflowPunct/>
        <w:bidi w:val="0"/>
        <w:spacing w:line="360" w:lineRule="auto"/>
        <w:ind w:firstLine="480" w:firstLineChars="200"/>
        <w:rPr>
          <w:rFonts w:hint="eastAsia" w:ascii="宋体" w:hAnsi="宋体" w:cs="宋体"/>
          <w:color w:val="000000"/>
          <w:sz w:val="24"/>
        </w:rPr>
      </w:pPr>
      <w:r>
        <w:rPr>
          <w:rFonts w:hint="eastAsia" w:ascii="宋体" w:hAnsi="宋体" w:cs="宋体"/>
          <w:color w:val="000000"/>
          <w:sz w:val="24"/>
        </w:rPr>
        <w:t>十五、附件名称（如有请务必填写）</w:t>
      </w:r>
      <w:bookmarkEnd w:id="65"/>
      <w:bookmarkEnd w:id="66"/>
      <w:bookmarkEnd w:id="67"/>
    </w:p>
    <w:p w14:paraId="272D7E7A">
      <w:pPr>
        <w:spacing w:line="360" w:lineRule="auto"/>
        <w:ind w:firstLine="480" w:firstLineChars="200"/>
        <w:rPr>
          <w:rFonts w:hint="eastAsia" w:ascii="宋体" w:hAnsi="宋体" w:cs="宋体"/>
          <w:color w:val="auto"/>
          <w:sz w:val="24"/>
        </w:rPr>
      </w:pPr>
    </w:p>
    <w:p w14:paraId="52B111F5">
      <w:pPr>
        <w:pStyle w:val="2"/>
        <w:numPr>
          <w:ilvl w:val="0"/>
          <w:numId w:val="0"/>
        </w:numPr>
        <w:jc w:val="center"/>
        <w:rPr>
          <w:rFonts w:ascii="宋体" w:hAnsi="宋体" w:eastAsia="宋体"/>
          <w:bCs/>
          <w:color w:val="auto"/>
          <w:sz w:val="36"/>
        </w:rPr>
      </w:pPr>
      <w:r>
        <w:rPr>
          <w:rFonts w:ascii="宋体" w:hAnsi="宋体"/>
          <w:color w:val="auto"/>
        </w:rPr>
        <w:br w:type="page"/>
      </w:r>
      <w:bookmarkStart w:id="68" w:name="_Toc1913"/>
      <w:r>
        <w:rPr>
          <w:rFonts w:ascii="宋体" w:hAnsi="宋体" w:eastAsia="宋体"/>
          <w:bCs/>
          <w:color w:val="auto"/>
          <w:sz w:val="36"/>
        </w:rPr>
        <w:t>第四章  投标文件格式</w:t>
      </w:r>
      <w:bookmarkEnd w:id="68"/>
    </w:p>
    <w:p w14:paraId="7528B269">
      <w:pPr>
        <w:pStyle w:val="18"/>
        <w:spacing w:line="500" w:lineRule="exact"/>
        <w:rPr>
          <w:rFonts w:hAnsi="宋体"/>
          <w:color w:val="auto"/>
          <w:szCs w:val="21"/>
        </w:rPr>
      </w:pPr>
    </w:p>
    <w:p w14:paraId="77FE3A74">
      <w:pPr>
        <w:pStyle w:val="18"/>
        <w:spacing w:line="500" w:lineRule="exact"/>
        <w:rPr>
          <w:rFonts w:hAnsi="宋体"/>
          <w:color w:val="auto"/>
          <w:szCs w:val="21"/>
        </w:rPr>
      </w:pPr>
    </w:p>
    <w:p w14:paraId="1270B4ED">
      <w:pPr>
        <w:pStyle w:val="18"/>
        <w:spacing w:line="500" w:lineRule="exact"/>
        <w:rPr>
          <w:rFonts w:hAnsi="宋体"/>
          <w:color w:val="auto"/>
          <w:szCs w:val="21"/>
        </w:rPr>
      </w:pPr>
    </w:p>
    <w:p w14:paraId="444F078D">
      <w:pPr>
        <w:pStyle w:val="18"/>
        <w:spacing w:line="780" w:lineRule="exact"/>
        <w:jc w:val="center"/>
        <w:rPr>
          <w:rFonts w:hAnsi="宋体"/>
          <w:b/>
          <w:color w:val="auto"/>
          <w:sz w:val="48"/>
          <w:szCs w:val="48"/>
          <w:u w:val="single"/>
        </w:rPr>
      </w:pPr>
      <w:r>
        <w:rPr>
          <w:rFonts w:hint="eastAsia" w:hAnsi="宋体"/>
          <w:b/>
          <w:bCs/>
          <w:color w:val="auto"/>
          <w:sz w:val="48"/>
          <w:u w:val="single"/>
        </w:rPr>
        <w:t>（</w:t>
      </w:r>
      <w:r>
        <w:rPr>
          <w:rFonts w:hint="eastAsia" w:hAnsi="宋体"/>
          <w:b/>
          <w:bCs/>
          <w:color w:val="auto"/>
          <w:sz w:val="48"/>
          <w:u w:val="single"/>
          <w:lang w:val="en-US" w:eastAsia="zh-CN"/>
        </w:rPr>
        <w:t xml:space="preserve"> 怒江职业技术学院民宿数字化实训室项目</w:t>
      </w:r>
      <w:r>
        <w:rPr>
          <w:rFonts w:hint="eastAsia" w:hAnsi="宋体"/>
          <w:b/>
          <w:bCs/>
          <w:color w:val="auto"/>
          <w:sz w:val="48"/>
          <w:u w:val="single"/>
        </w:rPr>
        <w:t>）</w:t>
      </w:r>
    </w:p>
    <w:p w14:paraId="1CE0C29D">
      <w:pPr>
        <w:pStyle w:val="18"/>
        <w:spacing w:line="500" w:lineRule="exact"/>
        <w:jc w:val="center"/>
        <w:rPr>
          <w:rFonts w:hAnsi="宋体"/>
          <w:b/>
          <w:color w:val="auto"/>
          <w:sz w:val="32"/>
          <w:szCs w:val="32"/>
        </w:rPr>
      </w:pPr>
    </w:p>
    <w:p w14:paraId="4D842B17">
      <w:pPr>
        <w:pStyle w:val="18"/>
        <w:spacing w:line="500" w:lineRule="exact"/>
        <w:jc w:val="center"/>
        <w:rPr>
          <w:rFonts w:hAnsi="宋体"/>
          <w:b/>
          <w:color w:val="auto"/>
          <w:sz w:val="32"/>
          <w:szCs w:val="32"/>
          <w:u w:val="single"/>
        </w:rPr>
      </w:pPr>
    </w:p>
    <w:p w14:paraId="65F81FC3">
      <w:pPr>
        <w:pStyle w:val="18"/>
        <w:spacing w:line="500" w:lineRule="exact"/>
        <w:jc w:val="center"/>
        <w:rPr>
          <w:rFonts w:hAnsi="宋体"/>
          <w:b/>
          <w:color w:val="auto"/>
          <w:sz w:val="32"/>
          <w:szCs w:val="32"/>
        </w:rPr>
      </w:pPr>
    </w:p>
    <w:p w14:paraId="6952F7E2">
      <w:pPr>
        <w:pStyle w:val="18"/>
        <w:spacing w:line="500" w:lineRule="exact"/>
        <w:jc w:val="center"/>
        <w:rPr>
          <w:rFonts w:hAnsi="宋体"/>
          <w:b/>
          <w:color w:val="auto"/>
          <w:sz w:val="32"/>
          <w:szCs w:val="32"/>
        </w:rPr>
      </w:pPr>
    </w:p>
    <w:p w14:paraId="6ABDFEC1">
      <w:pPr>
        <w:pStyle w:val="18"/>
        <w:spacing w:line="780" w:lineRule="exact"/>
        <w:jc w:val="center"/>
        <w:rPr>
          <w:rFonts w:hAnsi="宋体"/>
          <w:b/>
          <w:color w:val="auto"/>
          <w:sz w:val="72"/>
          <w:szCs w:val="72"/>
        </w:rPr>
      </w:pPr>
      <w:r>
        <w:rPr>
          <w:rFonts w:hint="eastAsia" w:hAnsi="宋体"/>
          <w:b/>
          <w:color w:val="auto"/>
          <w:sz w:val="72"/>
          <w:szCs w:val="72"/>
        </w:rPr>
        <w:t>投 标 文 件</w:t>
      </w:r>
    </w:p>
    <w:p w14:paraId="3953C40E">
      <w:pPr>
        <w:pStyle w:val="18"/>
        <w:spacing w:line="500" w:lineRule="exact"/>
        <w:jc w:val="center"/>
        <w:rPr>
          <w:rFonts w:hAnsi="宋体"/>
          <w:b/>
          <w:color w:val="auto"/>
          <w:sz w:val="72"/>
          <w:szCs w:val="72"/>
        </w:rPr>
      </w:pPr>
    </w:p>
    <w:p w14:paraId="1FBC7281">
      <w:pPr>
        <w:pStyle w:val="18"/>
        <w:spacing w:line="500" w:lineRule="exact"/>
        <w:ind w:firstLine="3586" w:firstLineChars="1281"/>
        <w:rPr>
          <w:rFonts w:hAnsi="宋体"/>
          <w:b/>
          <w:color w:val="auto"/>
          <w:sz w:val="28"/>
          <w:szCs w:val="28"/>
          <w:u w:val="single"/>
        </w:rPr>
      </w:pPr>
      <w:r>
        <w:rPr>
          <w:rFonts w:hint="eastAsia" w:hAnsi="宋体"/>
          <w:b/>
          <w:color w:val="auto"/>
          <w:sz w:val="28"/>
          <w:szCs w:val="28"/>
          <w:lang w:val="en-US" w:eastAsia="zh-CN"/>
        </w:rPr>
        <w:t>项目</w:t>
      </w:r>
      <w:r>
        <w:rPr>
          <w:rFonts w:hint="eastAsia" w:hAnsi="宋体"/>
          <w:b/>
          <w:color w:val="auto"/>
          <w:sz w:val="28"/>
          <w:szCs w:val="28"/>
        </w:rPr>
        <w:t>编号：</w:t>
      </w:r>
    </w:p>
    <w:p w14:paraId="309B4763">
      <w:pPr>
        <w:pStyle w:val="18"/>
        <w:spacing w:line="500" w:lineRule="exact"/>
        <w:jc w:val="center"/>
        <w:rPr>
          <w:rFonts w:hAnsi="宋体"/>
          <w:b/>
          <w:color w:val="auto"/>
          <w:sz w:val="72"/>
          <w:szCs w:val="72"/>
        </w:rPr>
      </w:pPr>
    </w:p>
    <w:p w14:paraId="18FE6E32">
      <w:pPr>
        <w:pStyle w:val="18"/>
        <w:spacing w:line="500" w:lineRule="exact"/>
        <w:jc w:val="center"/>
        <w:rPr>
          <w:rFonts w:hAnsi="宋体"/>
          <w:b/>
          <w:color w:val="auto"/>
          <w:sz w:val="72"/>
          <w:szCs w:val="72"/>
        </w:rPr>
      </w:pPr>
    </w:p>
    <w:p w14:paraId="43A9445C">
      <w:pPr>
        <w:pStyle w:val="18"/>
        <w:spacing w:line="500" w:lineRule="exact"/>
        <w:jc w:val="center"/>
        <w:rPr>
          <w:rFonts w:hAnsi="宋体"/>
          <w:b/>
          <w:color w:val="auto"/>
          <w:sz w:val="72"/>
          <w:szCs w:val="72"/>
        </w:rPr>
      </w:pPr>
    </w:p>
    <w:p w14:paraId="14C4940D">
      <w:pPr>
        <w:pStyle w:val="18"/>
        <w:spacing w:line="500" w:lineRule="exact"/>
        <w:jc w:val="center"/>
        <w:rPr>
          <w:rFonts w:hAnsi="宋体"/>
          <w:b/>
          <w:color w:val="auto"/>
          <w:sz w:val="72"/>
          <w:szCs w:val="72"/>
        </w:rPr>
      </w:pPr>
    </w:p>
    <w:p w14:paraId="2ACC50C6">
      <w:pPr>
        <w:pStyle w:val="18"/>
        <w:spacing w:line="500" w:lineRule="exact"/>
        <w:jc w:val="center"/>
        <w:rPr>
          <w:rFonts w:hAnsi="宋体"/>
          <w:b/>
          <w:color w:val="auto"/>
          <w:sz w:val="72"/>
          <w:szCs w:val="72"/>
        </w:rPr>
      </w:pPr>
    </w:p>
    <w:p w14:paraId="0F53B628">
      <w:pPr>
        <w:pStyle w:val="18"/>
        <w:spacing w:line="500" w:lineRule="exact"/>
        <w:jc w:val="center"/>
        <w:rPr>
          <w:rFonts w:hAnsi="宋体"/>
          <w:b/>
          <w:color w:val="auto"/>
          <w:sz w:val="72"/>
          <w:szCs w:val="72"/>
        </w:rPr>
      </w:pPr>
    </w:p>
    <w:p w14:paraId="20A17F74">
      <w:pPr>
        <w:spacing w:line="360" w:lineRule="auto"/>
        <w:ind w:firstLine="2520" w:firstLineChars="1050"/>
        <w:rPr>
          <w:rFonts w:ascii="宋体" w:hAnsi="宋体"/>
          <w:color w:val="auto"/>
          <w:sz w:val="24"/>
        </w:rPr>
      </w:pPr>
      <w:r>
        <w:rPr>
          <w:rFonts w:hint="eastAsia" w:ascii="宋体" w:hAnsi="宋体"/>
          <w:color w:val="auto"/>
          <w:sz w:val="24"/>
        </w:rPr>
        <w:t>投标人全称：(盖单位章)</w:t>
      </w:r>
    </w:p>
    <w:p w14:paraId="1BA3308B">
      <w:pPr>
        <w:pStyle w:val="18"/>
        <w:spacing w:line="500" w:lineRule="exact"/>
        <w:ind w:firstLine="2520" w:firstLineChars="1050"/>
        <w:rPr>
          <w:rFonts w:hAnsi="宋体"/>
          <w:color w:val="auto"/>
          <w:sz w:val="24"/>
        </w:rPr>
      </w:pPr>
      <w:r>
        <w:rPr>
          <w:rFonts w:hint="eastAsia" w:hAnsi="宋体"/>
          <w:color w:val="auto"/>
          <w:sz w:val="24"/>
        </w:rPr>
        <w:t>法定代表人：</w:t>
      </w:r>
      <w:r>
        <w:rPr>
          <w:rFonts w:hint="eastAsia" w:hAnsi="宋体"/>
          <w:color w:val="auto"/>
          <w:sz w:val="24"/>
          <w:lang w:val="en-US" w:eastAsia="zh-CN"/>
        </w:rPr>
        <w:t xml:space="preserve">     </w:t>
      </w:r>
      <w:r>
        <w:rPr>
          <w:rFonts w:hint="eastAsia" w:hAnsi="宋体"/>
          <w:color w:val="auto"/>
          <w:sz w:val="24"/>
        </w:rPr>
        <w:t>（签字）</w:t>
      </w:r>
    </w:p>
    <w:p w14:paraId="18F420CD">
      <w:pPr>
        <w:pStyle w:val="18"/>
        <w:spacing w:line="500" w:lineRule="exact"/>
        <w:ind w:firstLine="2520" w:firstLineChars="1050"/>
        <w:rPr>
          <w:rFonts w:hint="eastAsia" w:hAnsi="宋体"/>
          <w:color w:val="auto"/>
          <w:sz w:val="24"/>
          <w:lang w:val="en-US" w:eastAsia="zh-CN"/>
        </w:rPr>
      </w:pPr>
      <w:r>
        <w:rPr>
          <w:rFonts w:hint="eastAsia" w:hAnsi="宋体"/>
          <w:color w:val="auto"/>
          <w:sz w:val="24"/>
          <w:lang w:val="en-US" w:eastAsia="zh-CN"/>
        </w:rPr>
        <w:t xml:space="preserve"> </w:t>
      </w:r>
    </w:p>
    <w:p w14:paraId="5EADCED1">
      <w:pPr>
        <w:pStyle w:val="18"/>
        <w:spacing w:line="500" w:lineRule="exact"/>
        <w:ind w:firstLine="3060" w:firstLineChars="1275"/>
        <w:rPr>
          <w:rFonts w:hAnsi="宋体"/>
          <w:color w:val="auto"/>
          <w:sz w:val="24"/>
        </w:rPr>
      </w:pPr>
      <w:r>
        <w:rPr>
          <w:rFonts w:hint="eastAsia" w:hAnsi="宋体"/>
          <w:color w:val="auto"/>
          <w:sz w:val="24"/>
          <w:lang w:val="en-US" w:eastAsia="zh-CN"/>
        </w:rPr>
        <w:t xml:space="preserve"> </w:t>
      </w:r>
      <w:r>
        <w:rPr>
          <w:rFonts w:hint="eastAsia" w:hAnsi="宋体"/>
          <w:color w:val="auto"/>
          <w:sz w:val="24"/>
        </w:rPr>
        <w:t>年</w:t>
      </w:r>
      <w:r>
        <w:rPr>
          <w:rFonts w:hint="eastAsia" w:hAnsi="宋体"/>
          <w:color w:val="auto"/>
          <w:sz w:val="24"/>
          <w:lang w:val="en-US" w:eastAsia="zh-CN"/>
        </w:rPr>
        <w:t xml:space="preserve">    </w:t>
      </w:r>
      <w:r>
        <w:rPr>
          <w:rFonts w:hint="eastAsia" w:hAnsi="宋体"/>
          <w:color w:val="auto"/>
          <w:sz w:val="24"/>
        </w:rPr>
        <w:t>月</w:t>
      </w:r>
      <w:r>
        <w:rPr>
          <w:rFonts w:hint="eastAsia" w:hAnsi="宋体"/>
          <w:color w:val="auto"/>
          <w:sz w:val="24"/>
          <w:lang w:val="en-US" w:eastAsia="zh-CN"/>
        </w:rPr>
        <w:t xml:space="preserve">    </w:t>
      </w:r>
      <w:r>
        <w:rPr>
          <w:rFonts w:hint="eastAsia" w:hAnsi="宋体"/>
          <w:color w:val="auto"/>
          <w:sz w:val="24"/>
        </w:rPr>
        <w:t>日</w:t>
      </w:r>
    </w:p>
    <w:p w14:paraId="2918CF8D">
      <w:pPr>
        <w:pStyle w:val="18"/>
        <w:spacing w:line="500" w:lineRule="exact"/>
        <w:rPr>
          <w:rFonts w:hAnsi="宋体"/>
          <w:b/>
          <w:color w:val="auto"/>
          <w:sz w:val="28"/>
          <w:szCs w:val="28"/>
        </w:rPr>
      </w:pPr>
      <w:r>
        <w:rPr>
          <w:rFonts w:hint="eastAsia" w:hAnsi="宋体"/>
          <w:color w:val="auto"/>
          <w:sz w:val="24"/>
        </w:rPr>
        <w:br w:type="page"/>
      </w:r>
      <w:r>
        <w:rPr>
          <w:rFonts w:hint="eastAsia" w:hAnsi="宋体"/>
          <w:b/>
          <w:color w:val="auto"/>
          <w:sz w:val="28"/>
          <w:szCs w:val="28"/>
        </w:rPr>
        <w:t>格式1：</w:t>
      </w:r>
    </w:p>
    <w:p w14:paraId="20B21431">
      <w:pPr>
        <w:pStyle w:val="3"/>
        <w:numPr>
          <w:ilvl w:val="0"/>
          <w:numId w:val="0"/>
        </w:numPr>
        <w:tabs>
          <w:tab w:val="left" w:pos="1021"/>
        </w:tabs>
        <w:ind w:left="425"/>
        <w:jc w:val="center"/>
        <w:rPr>
          <w:rFonts w:ascii="宋体" w:hAnsi="宋体" w:eastAsia="宋体"/>
          <w:color w:val="auto"/>
          <w:sz w:val="32"/>
          <w:szCs w:val="32"/>
        </w:rPr>
      </w:pPr>
      <w:bookmarkStart w:id="69" w:name="_Toc213141093"/>
      <w:bookmarkStart w:id="70" w:name="_Toc10997"/>
      <w:bookmarkStart w:id="71" w:name="_Toc396092984"/>
      <w:bookmarkStart w:id="72" w:name="_Toc348009990"/>
      <w:r>
        <w:rPr>
          <w:rFonts w:hint="eastAsia" w:ascii="宋体" w:hAnsi="宋体" w:eastAsia="宋体"/>
          <w:color w:val="auto"/>
          <w:sz w:val="32"/>
          <w:szCs w:val="32"/>
        </w:rPr>
        <w:t>开标一览表</w:t>
      </w:r>
      <w:bookmarkEnd w:id="69"/>
      <w:bookmarkEnd w:id="70"/>
      <w:bookmarkEnd w:id="71"/>
      <w:bookmarkEnd w:id="72"/>
    </w:p>
    <w:p w14:paraId="3F096141">
      <w:pPr>
        <w:rPr>
          <w:rFonts w:hint="eastAsia" w:ascii="宋体" w:hAnsi="宋体"/>
          <w:color w:val="auto"/>
        </w:rPr>
      </w:pPr>
      <w:r>
        <w:rPr>
          <w:rFonts w:hint="eastAsia" w:ascii="宋体" w:hAnsi="宋体"/>
          <w:color w:val="auto"/>
        </w:rPr>
        <w:t xml:space="preserve"> </w:t>
      </w:r>
    </w:p>
    <w:p w14:paraId="06009A61">
      <w:pPr>
        <w:pStyle w:val="18"/>
        <w:jc w:val="left"/>
        <w:rPr>
          <w:rFonts w:hint="eastAsia" w:hAnsi="宋体"/>
          <w:b/>
          <w:color w:val="auto"/>
          <w:szCs w:val="21"/>
        </w:rPr>
      </w:pPr>
      <w:r>
        <w:rPr>
          <w:rFonts w:hint="eastAsia" w:hAnsi="宋体"/>
          <w:b/>
          <w:color w:val="auto"/>
          <w:szCs w:val="21"/>
          <w:lang w:eastAsia="zh-CN"/>
        </w:rPr>
        <w:t>项目名称：</w:t>
      </w:r>
      <w:r>
        <w:rPr>
          <w:rFonts w:hint="eastAsia" w:hAnsi="宋体"/>
          <w:b/>
          <w:color w:val="auto"/>
          <w:szCs w:val="21"/>
          <w:lang w:val="en-US" w:eastAsia="zh-CN"/>
        </w:rPr>
        <w:t xml:space="preserve"> </w:t>
      </w:r>
      <w:r>
        <w:rPr>
          <w:rFonts w:hint="eastAsia" w:hAnsi="宋体"/>
          <w:b/>
          <w:color w:val="auto"/>
          <w:kern w:val="2"/>
          <w:sz w:val="21"/>
          <w:szCs w:val="21"/>
          <w:lang w:val="en-US" w:eastAsia="zh-CN"/>
        </w:rPr>
        <w:t xml:space="preserve">怒江职业技术学院民宿数字化实训室项目 </w:t>
      </w:r>
      <w:r>
        <w:rPr>
          <w:rFonts w:hint="eastAsia" w:hAnsi="宋体"/>
          <w:b/>
          <w:color w:val="auto"/>
          <w:szCs w:val="21"/>
        </w:rPr>
        <w:t xml:space="preserve">                </w:t>
      </w:r>
    </w:p>
    <w:p w14:paraId="7082B69A">
      <w:pPr>
        <w:pStyle w:val="18"/>
        <w:jc w:val="left"/>
        <w:rPr>
          <w:rFonts w:hAnsi="宋体"/>
          <w:color w:val="auto"/>
          <w:szCs w:val="21"/>
          <w:u w:val="single"/>
        </w:rPr>
      </w:pPr>
      <w:r>
        <w:rPr>
          <w:rFonts w:hint="eastAsia" w:hAnsi="宋体"/>
          <w:b/>
          <w:color w:val="auto"/>
          <w:szCs w:val="21"/>
          <w:lang w:val="en-US" w:eastAsia="zh-CN"/>
        </w:rPr>
        <w:t>项目</w:t>
      </w:r>
      <w:r>
        <w:rPr>
          <w:rFonts w:hint="eastAsia" w:hAnsi="宋体"/>
          <w:b/>
          <w:color w:val="auto"/>
          <w:szCs w:val="21"/>
        </w:rPr>
        <w:t>编号：</w:t>
      </w:r>
    </w:p>
    <w:tbl>
      <w:tblPr>
        <w:tblStyle w:val="36"/>
        <w:tblW w:w="9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70"/>
        <w:gridCol w:w="1440"/>
        <w:gridCol w:w="1652"/>
        <w:gridCol w:w="1559"/>
        <w:gridCol w:w="1559"/>
      </w:tblGrid>
      <w:tr w14:paraId="5EB51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jc w:val="center"/>
        </w:trPr>
        <w:tc>
          <w:tcPr>
            <w:tcW w:w="3270" w:type="dxa"/>
            <w:noWrap w:val="0"/>
            <w:vAlign w:val="center"/>
          </w:tcPr>
          <w:p w14:paraId="332B03DB">
            <w:pPr>
              <w:pStyle w:val="18"/>
              <w:jc w:val="center"/>
              <w:rPr>
                <w:rFonts w:hAnsi="宋体"/>
                <w:b/>
                <w:color w:val="auto"/>
                <w:kern w:val="2"/>
                <w:sz w:val="21"/>
                <w:szCs w:val="21"/>
                <w:lang w:val="en-US" w:eastAsia="zh-CN"/>
              </w:rPr>
            </w:pPr>
            <w:r>
              <w:rPr>
                <w:rFonts w:hint="eastAsia" w:hAnsi="宋体"/>
                <w:b/>
                <w:color w:val="auto"/>
                <w:kern w:val="2"/>
                <w:sz w:val="21"/>
                <w:szCs w:val="21"/>
                <w:lang w:val="en-US" w:eastAsia="zh-CN"/>
              </w:rPr>
              <w:t>投标人名称</w:t>
            </w:r>
          </w:p>
        </w:tc>
        <w:tc>
          <w:tcPr>
            <w:tcW w:w="1440" w:type="dxa"/>
            <w:noWrap w:val="0"/>
            <w:vAlign w:val="center"/>
          </w:tcPr>
          <w:p w14:paraId="503B61BC">
            <w:pPr>
              <w:pStyle w:val="18"/>
              <w:jc w:val="center"/>
              <w:rPr>
                <w:rFonts w:hAnsi="宋体"/>
                <w:b/>
                <w:color w:val="auto"/>
                <w:kern w:val="2"/>
                <w:sz w:val="21"/>
                <w:szCs w:val="21"/>
                <w:lang w:val="en-US" w:eastAsia="zh-CN"/>
              </w:rPr>
            </w:pPr>
            <w:r>
              <w:rPr>
                <w:rFonts w:hint="eastAsia" w:hAnsi="宋体"/>
                <w:b/>
                <w:color w:val="auto"/>
                <w:kern w:val="2"/>
                <w:sz w:val="21"/>
                <w:szCs w:val="21"/>
                <w:lang w:val="en-US" w:eastAsia="zh-CN"/>
              </w:rPr>
              <w:t>投标总报价</w:t>
            </w:r>
          </w:p>
          <w:p w14:paraId="639162C4">
            <w:pPr>
              <w:pStyle w:val="18"/>
              <w:jc w:val="center"/>
              <w:rPr>
                <w:rFonts w:hAnsi="宋体"/>
                <w:b/>
                <w:color w:val="auto"/>
                <w:kern w:val="2"/>
                <w:sz w:val="21"/>
                <w:szCs w:val="21"/>
                <w:lang w:val="en-US" w:eastAsia="zh-CN"/>
              </w:rPr>
            </w:pPr>
            <w:r>
              <w:rPr>
                <w:rFonts w:hint="eastAsia" w:hAnsi="宋体"/>
                <w:b/>
                <w:color w:val="auto"/>
                <w:kern w:val="2"/>
                <w:sz w:val="21"/>
                <w:szCs w:val="21"/>
                <w:lang w:val="en-US" w:eastAsia="zh-CN"/>
              </w:rPr>
              <w:t>（元）</w:t>
            </w:r>
          </w:p>
        </w:tc>
        <w:tc>
          <w:tcPr>
            <w:tcW w:w="1652" w:type="dxa"/>
            <w:noWrap w:val="0"/>
            <w:vAlign w:val="center"/>
          </w:tcPr>
          <w:p w14:paraId="6B29B67D">
            <w:pPr>
              <w:pStyle w:val="18"/>
              <w:jc w:val="center"/>
              <w:rPr>
                <w:rFonts w:hAnsi="宋体"/>
                <w:b/>
                <w:color w:val="auto"/>
                <w:kern w:val="2"/>
                <w:sz w:val="21"/>
                <w:szCs w:val="21"/>
                <w:lang w:val="en-US" w:eastAsia="zh-CN"/>
              </w:rPr>
            </w:pPr>
            <w:r>
              <w:rPr>
                <w:rFonts w:hint="eastAsia" w:hAnsi="宋体"/>
                <w:b/>
                <w:color w:val="auto"/>
                <w:kern w:val="2"/>
                <w:sz w:val="21"/>
                <w:szCs w:val="21"/>
                <w:lang w:val="en-US" w:eastAsia="zh-CN"/>
              </w:rPr>
              <w:t>供货期</w:t>
            </w:r>
          </w:p>
        </w:tc>
        <w:tc>
          <w:tcPr>
            <w:tcW w:w="1559" w:type="dxa"/>
            <w:noWrap w:val="0"/>
            <w:vAlign w:val="center"/>
          </w:tcPr>
          <w:p w14:paraId="76233493">
            <w:pPr>
              <w:pStyle w:val="18"/>
              <w:jc w:val="center"/>
              <w:rPr>
                <w:rFonts w:hAnsi="宋体"/>
                <w:b/>
                <w:color w:val="auto"/>
                <w:kern w:val="2"/>
                <w:sz w:val="21"/>
                <w:szCs w:val="21"/>
                <w:lang w:val="en-US" w:eastAsia="zh-CN"/>
              </w:rPr>
            </w:pPr>
            <w:r>
              <w:rPr>
                <w:rFonts w:hint="eastAsia" w:hAnsi="宋体"/>
                <w:b/>
                <w:color w:val="auto"/>
                <w:kern w:val="2"/>
                <w:sz w:val="21"/>
                <w:szCs w:val="21"/>
                <w:lang w:val="en-US" w:eastAsia="zh-CN"/>
              </w:rPr>
              <w:t>投标保证金</w:t>
            </w:r>
          </w:p>
          <w:p w14:paraId="5A020651">
            <w:pPr>
              <w:pStyle w:val="18"/>
              <w:jc w:val="center"/>
              <w:rPr>
                <w:rFonts w:hAnsi="宋体"/>
                <w:b/>
                <w:color w:val="auto"/>
                <w:kern w:val="2"/>
                <w:sz w:val="21"/>
                <w:szCs w:val="21"/>
                <w:lang w:val="en-US" w:eastAsia="zh-CN"/>
              </w:rPr>
            </w:pPr>
            <w:r>
              <w:rPr>
                <w:rFonts w:hint="eastAsia" w:hAnsi="宋体"/>
                <w:b/>
                <w:color w:val="auto"/>
                <w:kern w:val="2"/>
                <w:sz w:val="21"/>
                <w:szCs w:val="21"/>
                <w:lang w:val="en-US" w:eastAsia="zh-CN"/>
              </w:rPr>
              <w:t>形式</w:t>
            </w:r>
          </w:p>
        </w:tc>
        <w:tc>
          <w:tcPr>
            <w:tcW w:w="1559" w:type="dxa"/>
            <w:noWrap w:val="0"/>
            <w:vAlign w:val="center"/>
          </w:tcPr>
          <w:p w14:paraId="17A99266">
            <w:pPr>
              <w:pStyle w:val="18"/>
              <w:ind w:firstLine="210" w:firstLineChars="100"/>
              <w:rPr>
                <w:rFonts w:hAnsi="宋体"/>
                <w:b/>
                <w:color w:val="auto"/>
                <w:kern w:val="2"/>
                <w:sz w:val="21"/>
                <w:szCs w:val="21"/>
                <w:lang w:val="en-US" w:eastAsia="zh-CN"/>
              </w:rPr>
            </w:pPr>
            <w:r>
              <w:rPr>
                <w:rFonts w:hint="eastAsia" w:hAnsi="宋体"/>
                <w:b/>
                <w:color w:val="auto"/>
                <w:kern w:val="2"/>
                <w:sz w:val="21"/>
                <w:szCs w:val="21"/>
                <w:lang w:val="en-US" w:eastAsia="zh-CN"/>
              </w:rPr>
              <w:t>备注</w:t>
            </w:r>
          </w:p>
        </w:tc>
      </w:tr>
      <w:tr w14:paraId="60868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2" w:hRule="atLeast"/>
          <w:jc w:val="center"/>
        </w:trPr>
        <w:tc>
          <w:tcPr>
            <w:tcW w:w="3270" w:type="dxa"/>
            <w:noWrap w:val="0"/>
            <w:vAlign w:val="center"/>
          </w:tcPr>
          <w:p w14:paraId="574C5369">
            <w:pPr>
              <w:pStyle w:val="18"/>
              <w:rPr>
                <w:rFonts w:hAnsi="宋体"/>
                <w:color w:val="auto"/>
                <w:kern w:val="2"/>
                <w:sz w:val="21"/>
                <w:szCs w:val="21"/>
                <w:lang w:val="en-US" w:eastAsia="zh-CN"/>
              </w:rPr>
            </w:pPr>
          </w:p>
        </w:tc>
        <w:tc>
          <w:tcPr>
            <w:tcW w:w="1440" w:type="dxa"/>
            <w:noWrap w:val="0"/>
            <w:vAlign w:val="center"/>
          </w:tcPr>
          <w:p w14:paraId="78DA498B">
            <w:pPr>
              <w:pStyle w:val="18"/>
              <w:rPr>
                <w:rFonts w:hAnsi="宋体"/>
                <w:color w:val="auto"/>
                <w:kern w:val="2"/>
                <w:sz w:val="21"/>
                <w:szCs w:val="21"/>
                <w:lang w:val="en-US" w:eastAsia="zh-CN"/>
              </w:rPr>
            </w:pPr>
          </w:p>
        </w:tc>
        <w:tc>
          <w:tcPr>
            <w:tcW w:w="1652" w:type="dxa"/>
            <w:noWrap w:val="0"/>
            <w:vAlign w:val="center"/>
          </w:tcPr>
          <w:p w14:paraId="2BCB56A5">
            <w:pPr>
              <w:pStyle w:val="18"/>
              <w:rPr>
                <w:rFonts w:hAnsi="宋体"/>
                <w:color w:val="auto"/>
                <w:kern w:val="2"/>
                <w:sz w:val="21"/>
                <w:szCs w:val="21"/>
                <w:lang w:val="en-US" w:eastAsia="zh-CN"/>
              </w:rPr>
            </w:pPr>
          </w:p>
        </w:tc>
        <w:tc>
          <w:tcPr>
            <w:tcW w:w="1559" w:type="dxa"/>
            <w:noWrap w:val="0"/>
            <w:vAlign w:val="center"/>
          </w:tcPr>
          <w:p w14:paraId="37AF044A">
            <w:pPr>
              <w:pStyle w:val="18"/>
              <w:rPr>
                <w:rFonts w:hAnsi="宋体"/>
                <w:color w:val="auto"/>
                <w:kern w:val="2"/>
                <w:sz w:val="21"/>
                <w:szCs w:val="21"/>
                <w:lang w:val="en-US" w:eastAsia="zh-CN"/>
              </w:rPr>
            </w:pPr>
          </w:p>
        </w:tc>
        <w:tc>
          <w:tcPr>
            <w:tcW w:w="1559" w:type="dxa"/>
            <w:noWrap w:val="0"/>
            <w:vAlign w:val="center"/>
          </w:tcPr>
          <w:p w14:paraId="5202F334">
            <w:pPr>
              <w:pStyle w:val="18"/>
              <w:rPr>
                <w:rFonts w:hAnsi="宋体"/>
                <w:color w:val="auto"/>
                <w:kern w:val="2"/>
                <w:sz w:val="21"/>
                <w:szCs w:val="21"/>
                <w:lang w:val="en-US" w:eastAsia="zh-CN"/>
              </w:rPr>
            </w:pPr>
          </w:p>
        </w:tc>
      </w:tr>
    </w:tbl>
    <w:p w14:paraId="16C094DC">
      <w:pPr>
        <w:spacing w:line="360" w:lineRule="auto"/>
        <w:ind w:firstLine="2" w:firstLineChars="1"/>
        <w:rPr>
          <w:rFonts w:ascii="宋体" w:hAnsi="宋体"/>
          <w:color w:val="auto"/>
          <w:szCs w:val="21"/>
        </w:rPr>
      </w:pPr>
    </w:p>
    <w:tbl>
      <w:tblPr>
        <w:tblStyle w:val="36"/>
        <w:tblpPr w:leftFromText="180" w:rightFromText="180" w:vertAnchor="text" w:horzAnchor="page" w:tblpX="4765" w:tblpY="460"/>
        <w:tblW w:w="0" w:type="auto"/>
        <w:jc w:val="right"/>
        <w:tblLayout w:type="fixed"/>
        <w:tblCellMar>
          <w:top w:w="0" w:type="dxa"/>
          <w:left w:w="108" w:type="dxa"/>
          <w:bottom w:w="0" w:type="dxa"/>
          <w:right w:w="108" w:type="dxa"/>
        </w:tblCellMar>
      </w:tblPr>
      <w:tblGrid>
        <w:gridCol w:w="6408"/>
      </w:tblGrid>
      <w:tr w14:paraId="3D0B9740">
        <w:tblPrEx>
          <w:tblCellMar>
            <w:top w:w="0" w:type="dxa"/>
            <w:left w:w="108" w:type="dxa"/>
            <w:bottom w:w="0" w:type="dxa"/>
            <w:right w:w="108" w:type="dxa"/>
          </w:tblCellMar>
        </w:tblPrEx>
        <w:trPr>
          <w:trHeight w:val="268" w:hRule="atLeast"/>
          <w:jc w:val="right"/>
        </w:trPr>
        <w:tc>
          <w:tcPr>
            <w:tcW w:w="6408" w:type="dxa"/>
            <w:tcBorders>
              <w:top w:val="nil"/>
              <w:left w:val="nil"/>
              <w:bottom w:val="nil"/>
              <w:right w:val="nil"/>
            </w:tcBorders>
            <w:noWrap w:val="0"/>
            <w:vAlign w:val="top"/>
          </w:tcPr>
          <w:p w14:paraId="32EB8EA2">
            <w:pPr>
              <w:pStyle w:val="109"/>
              <w:jc w:val="both"/>
              <w:rPr>
                <w:rFonts w:hAnsi="宋体"/>
                <w:color w:val="auto"/>
                <w:sz w:val="21"/>
                <w:szCs w:val="21"/>
              </w:rPr>
            </w:pPr>
            <w:r>
              <w:rPr>
                <w:rFonts w:hAnsi="宋体"/>
                <w:color w:val="auto"/>
                <w:sz w:val="21"/>
                <w:szCs w:val="21"/>
              </w:rPr>
              <w:t>投标人（盖单位章) ：</w:t>
            </w:r>
          </w:p>
        </w:tc>
      </w:tr>
      <w:tr w14:paraId="1AD69E52">
        <w:tblPrEx>
          <w:tblCellMar>
            <w:top w:w="0" w:type="dxa"/>
            <w:left w:w="108" w:type="dxa"/>
            <w:bottom w:w="0" w:type="dxa"/>
            <w:right w:w="108" w:type="dxa"/>
          </w:tblCellMar>
        </w:tblPrEx>
        <w:trPr>
          <w:trHeight w:val="495" w:hRule="atLeast"/>
          <w:jc w:val="right"/>
        </w:trPr>
        <w:tc>
          <w:tcPr>
            <w:tcW w:w="6408" w:type="dxa"/>
            <w:tcBorders>
              <w:top w:val="nil"/>
              <w:left w:val="nil"/>
              <w:bottom w:val="nil"/>
              <w:right w:val="nil"/>
            </w:tcBorders>
            <w:noWrap w:val="0"/>
            <w:vAlign w:val="top"/>
          </w:tcPr>
          <w:p w14:paraId="5A9475C9">
            <w:pPr>
              <w:pStyle w:val="109"/>
              <w:jc w:val="both"/>
              <w:rPr>
                <w:rFonts w:hAnsi="宋体"/>
                <w:color w:val="auto"/>
                <w:sz w:val="21"/>
                <w:szCs w:val="21"/>
              </w:rPr>
            </w:pPr>
          </w:p>
        </w:tc>
      </w:tr>
      <w:tr w14:paraId="7B298ED7">
        <w:tblPrEx>
          <w:tblCellMar>
            <w:top w:w="0" w:type="dxa"/>
            <w:left w:w="108" w:type="dxa"/>
            <w:bottom w:w="0" w:type="dxa"/>
            <w:right w:w="108" w:type="dxa"/>
          </w:tblCellMar>
        </w:tblPrEx>
        <w:trPr>
          <w:trHeight w:val="495" w:hRule="atLeast"/>
          <w:jc w:val="right"/>
        </w:trPr>
        <w:tc>
          <w:tcPr>
            <w:tcW w:w="6408" w:type="dxa"/>
            <w:tcBorders>
              <w:top w:val="nil"/>
              <w:left w:val="nil"/>
              <w:bottom w:val="nil"/>
              <w:right w:val="nil"/>
            </w:tcBorders>
            <w:noWrap w:val="0"/>
            <w:vAlign w:val="top"/>
          </w:tcPr>
          <w:p w14:paraId="1688C071">
            <w:pPr>
              <w:pStyle w:val="109"/>
              <w:jc w:val="both"/>
              <w:rPr>
                <w:rFonts w:hAnsi="宋体"/>
                <w:color w:val="auto"/>
                <w:sz w:val="21"/>
                <w:szCs w:val="21"/>
              </w:rPr>
            </w:pPr>
            <w:r>
              <w:rPr>
                <w:rFonts w:hAnsi="宋体"/>
                <w:color w:val="auto"/>
                <w:sz w:val="21"/>
                <w:szCs w:val="21"/>
              </w:rPr>
              <w:t>法定代表人</w:t>
            </w:r>
            <w:r>
              <w:rPr>
                <w:rFonts w:hint="eastAsia" w:hAnsi="宋体"/>
                <w:color w:val="auto"/>
                <w:sz w:val="21"/>
                <w:szCs w:val="21"/>
              </w:rPr>
              <w:t>（电子签章）</w:t>
            </w:r>
            <w:r>
              <w:rPr>
                <w:rFonts w:hAnsi="宋体"/>
                <w:color w:val="auto"/>
                <w:sz w:val="21"/>
                <w:szCs w:val="21"/>
              </w:rPr>
              <w:t>：</w:t>
            </w:r>
          </w:p>
        </w:tc>
      </w:tr>
      <w:tr w14:paraId="700B72A3">
        <w:tblPrEx>
          <w:tblCellMar>
            <w:top w:w="0" w:type="dxa"/>
            <w:left w:w="108" w:type="dxa"/>
            <w:bottom w:w="0" w:type="dxa"/>
            <w:right w:w="108" w:type="dxa"/>
          </w:tblCellMar>
        </w:tblPrEx>
        <w:trPr>
          <w:trHeight w:val="495" w:hRule="atLeast"/>
          <w:jc w:val="right"/>
        </w:trPr>
        <w:tc>
          <w:tcPr>
            <w:tcW w:w="6408" w:type="dxa"/>
            <w:tcBorders>
              <w:top w:val="nil"/>
              <w:left w:val="nil"/>
              <w:bottom w:val="nil"/>
              <w:right w:val="nil"/>
            </w:tcBorders>
            <w:noWrap w:val="0"/>
            <w:vAlign w:val="top"/>
          </w:tcPr>
          <w:p w14:paraId="2FEC00A8">
            <w:pPr>
              <w:pStyle w:val="109"/>
              <w:jc w:val="both"/>
              <w:rPr>
                <w:rFonts w:hAnsi="宋体"/>
                <w:color w:val="auto"/>
                <w:sz w:val="21"/>
                <w:szCs w:val="21"/>
              </w:rPr>
            </w:pPr>
            <w:r>
              <w:rPr>
                <w:rFonts w:hAnsi="宋体"/>
                <w:color w:val="auto"/>
                <w:sz w:val="21"/>
                <w:szCs w:val="21"/>
              </w:rPr>
              <w:t>日期：</w:t>
            </w:r>
          </w:p>
        </w:tc>
      </w:tr>
    </w:tbl>
    <w:p w14:paraId="3707E27C">
      <w:pPr>
        <w:spacing w:line="360" w:lineRule="auto"/>
        <w:ind w:firstLine="2" w:firstLineChars="1"/>
        <w:rPr>
          <w:rFonts w:ascii="宋体" w:hAnsi="宋体"/>
          <w:color w:val="auto"/>
          <w:szCs w:val="21"/>
        </w:rPr>
      </w:pPr>
    </w:p>
    <w:p w14:paraId="5613BD44">
      <w:pPr>
        <w:spacing w:line="360" w:lineRule="auto"/>
        <w:ind w:firstLine="2" w:firstLineChars="1"/>
        <w:rPr>
          <w:rFonts w:ascii="宋体" w:hAnsi="宋体"/>
          <w:color w:val="auto"/>
          <w:szCs w:val="21"/>
        </w:rPr>
      </w:pPr>
    </w:p>
    <w:p w14:paraId="3874AB56">
      <w:pPr>
        <w:spacing w:line="360" w:lineRule="auto"/>
        <w:ind w:firstLine="2" w:firstLineChars="1"/>
        <w:rPr>
          <w:rFonts w:ascii="宋体" w:hAnsi="宋体"/>
          <w:color w:val="auto"/>
          <w:szCs w:val="21"/>
        </w:rPr>
      </w:pPr>
    </w:p>
    <w:p w14:paraId="6F9E7980">
      <w:pPr>
        <w:spacing w:line="360" w:lineRule="auto"/>
        <w:ind w:firstLine="2" w:firstLineChars="1"/>
        <w:rPr>
          <w:rFonts w:ascii="宋体" w:hAnsi="宋体"/>
          <w:color w:val="auto"/>
          <w:szCs w:val="21"/>
        </w:rPr>
      </w:pPr>
    </w:p>
    <w:p w14:paraId="377C3863">
      <w:pPr>
        <w:spacing w:line="360" w:lineRule="auto"/>
        <w:ind w:firstLine="2" w:firstLineChars="1"/>
        <w:rPr>
          <w:rFonts w:ascii="宋体" w:hAnsi="宋体"/>
          <w:color w:val="auto"/>
          <w:szCs w:val="21"/>
        </w:rPr>
      </w:pPr>
    </w:p>
    <w:p w14:paraId="7279BDBC">
      <w:pPr>
        <w:spacing w:line="360" w:lineRule="auto"/>
        <w:ind w:firstLine="2" w:firstLineChars="1"/>
        <w:rPr>
          <w:rFonts w:ascii="宋体" w:hAnsi="宋体"/>
          <w:color w:val="auto"/>
          <w:szCs w:val="21"/>
        </w:rPr>
      </w:pPr>
    </w:p>
    <w:p w14:paraId="066D4C85">
      <w:pPr>
        <w:spacing w:line="360" w:lineRule="auto"/>
        <w:ind w:firstLine="2" w:firstLineChars="1"/>
        <w:rPr>
          <w:rFonts w:ascii="宋体" w:hAnsi="宋体"/>
          <w:color w:val="auto"/>
          <w:szCs w:val="21"/>
        </w:rPr>
      </w:pPr>
    </w:p>
    <w:p w14:paraId="398021FD">
      <w:pPr>
        <w:pStyle w:val="18"/>
        <w:rPr>
          <w:rFonts w:hAnsi="宋体"/>
          <w:b/>
          <w:color w:val="auto"/>
          <w:szCs w:val="21"/>
        </w:rPr>
      </w:pPr>
    </w:p>
    <w:p w14:paraId="4DEFE3AA">
      <w:pPr>
        <w:pStyle w:val="18"/>
        <w:rPr>
          <w:rFonts w:hAnsi="宋体"/>
          <w:b/>
          <w:color w:val="auto"/>
          <w:szCs w:val="21"/>
        </w:rPr>
      </w:pPr>
      <w:r>
        <w:rPr>
          <w:rFonts w:hint="eastAsia" w:hAnsi="宋体"/>
          <w:b/>
          <w:color w:val="auto"/>
          <w:sz w:val="22"/>
          <w:szCs w:val="24"/>
        </w:rPr>
        <w:t>注：</w:t>
      </w:r>
    </w:p>
    <w:p w14:paraId="125EB20A">
      <w:pPr>
        <w:spacing w:line="360" w:lineRule="auto"/>
        <w:rPr>
          <w:rFonts w:ascii="宋体" w:hAnsi="宋体"/>
          <w:color w:val="auto"/>
          <w:szCs w:val="16"/>
        </w:rPr>
      </w:pPr>
      <w:r>
        <w:rPr>
          <w:rFonts w:hint="eastAsia" w:ascii="宋体" w:hAnsi="宋体"/>
          <w:color w:val="auto"/>
          <w:szCs w:val="16"/>
        </w:rPr>
        <w:t>1、报价币种为人民币，金额单位为元。</w:t>
      </w:r>
    </w:p>
    <w:p w14:paraId="7B6DEEFF">
      <w:pPr>
        <w:spacing w:line="360" w:lineRule="auto"/>
        <w:rPr>
          <w:rFonts w:ascii="宋体" w:hAnsi="宋体"/>
          <w:color w:val="auto"/>
          <w:szCs w:val="16"/>
        </w:rPr>
      </w:pPr>
      <w:r>
        <w:rPr>
          <w:rFonts w:hint="eastAsia" w:ascii="宋体" w:hAnsi="宋体"/>
          <w:color w:val="auto"/>
          <w:szCs w:val="16"/>
        </w:rPr>
        <w:t>2、如果单价和总价不符时，以单价为准。</w:t>
      </w:r>
    </w:p>
    <w:p w14:paraId="30F00E87">
      <w:pPr>
        <w:spacing w:line="360" w:lineRule="auto"/>
        <w:rPr>
          <w:rFonts w:ascii="宋体" w:hAnsi="宋体"/>
          <w:color w:val="auto"/>
          <w:szCs w:val="16"/>
        </w:rPr>
      </w:pPr>
      <w:r>
        <w:rPr>
          <w:rFonts w:hint="eastAsia" w:ascii="宋体" w:hAnsi="宋体"/>
          <w:color w:val="auto"/>
          <w:szCs w:val="16"/>
          <w:lang w:val="en-US" w:eastAsia="zh-CN"/>
        </w:rPr>
        <w:t>3</w:t>
      </w:r>
      <w:r>
        <w:rPr>
          <w:rFonts w:hint="eastAsia" w:ascii="宋体" w:hAnsi="宋体"/>
          <w:color w:val="auto"/>
          <w:szCs w:val="16"/>
        </w:rPr>
        <w:t>、报价表中的内容必须填写完整并应简明扼要。</w:t>
      </w:r>
    </w:p>
    <w:p w14:paraId="51C63421">
      <w:pPr>
        <w:spacing w:line="360" w:lineRule="auto"/>
        <w:rPr>
          <w:rFonts w:ascii="宋体" w:hAnsi="宋体"/>
          <w:color w:val="auto"/>
          <w:szCs w:val="16"/>
        </w:rPr>
      </w:pPr>
      <w:r>
        <w:rPr>
          <w:rFonts w:hint="eastAsia" w:ascii="宋体" w:hAnsi="宋体"/>
          <w:color w:val="auto"/>
          <w:szCs w:val="16"/>
          <w:lang w:val="en-US" w:eastAsia="zh-CN"/>
        </w:rPr>
        <w:t>4</w:t>
      </w:r>
      <w:r>
        <w:rPr>
          <w:rFonts w:hint="eastAsia" w:ascii="宋体" w:hAnsi="宋体"/>
          <w:color w:val="auto"/>
          <w:szCs w:val="16"/>
        </w:rPr>
        <w:t>、供应商认为应当说明而本表中无相应栏目的，请在“备注”一栏中说明。</w:t>
      </w:r>
    </w:p>
    <w:p w14:paraId="7C49E3F2">
      <w:pPr>
        <w:spacing w:line="360" w:lineRule="auto"/>
        <w:rPr>
          <w:rFonts w:ascii="宋体" w:hAnsi="宋体"/>
          <w:color w:val="auto"/>
          <w:szCs w:val="16"/>
        </w:rPr>
      </w:pPr>
      <w:r>
        <w:rPr>
          <w:rFonts w:hint="eastAsia" w:ascii="宋体" w:hAnsi="宋体"/>
          <w:color w:val="auto"/>
          <w:szCs w:val="16"/>
          <w:lang w:val="en-US" w:eastAsia="zh-CN"/>
        </w:rPr>
        <w:t>5</w:t>
      </w:r>
      <w:r>
        <w:rPr>
          <w:rFonts w:hint="eastAsia" w:ascii="宋体" w:hAnsi="宋体"/>
          <w:color w:val="auto"/>
          <w:szCs w:val="16"/>
        </w:rPr>
        <w:t>、报价为包括所有货物及附件购置费、安装调试费、运输费、技术服务费，以及质量保证期内的维护费等费用在内的采购人指定地点全包价。</w:t>
      </w:r>
    </w:p>
    <w:p w14:paraId="481A49CC">
      <w:pPr>
        <w:spacing w:line="360" w:lineRule="auto"/>
        <w:rPr>
          <w:rFonts w:ascii="宋体" w:hAnsi="宋体"/>
          <w:color w:val="auto"/>
          <w:szCs w:val="16"/>
        </w:rPr>
      </w:pPr>
      <w:r>
        <w:rPr>
          <w:rFonts w:hint="eastAsia" w:ascii="宋体" w:hAnsi="宋体"/>
          <w:color w:val="auto"/>
          <w:szCs w:val="16"/>
          <w:lang w:val="en-US" w:eastAsia="zh-CN"/>
        </w:rPr>
        <w:t>6</w:t>
      </w:r>
      <w:r>
        <w:rPr>
          <w:rFonts w:hint="eastAsia" w:ascii="宋体" w:hAnsi="宋体"/>
          <w:color w:val="auto"/>
          <w:szCs w:val="16"/>
        </w:rPr>
        <w:t>、请将此表放在</w:t>
      </w:r>
      <w:r>
        <w:rPr>
          <w:rFonts w:hint="eastAsia" w:ascii="宋体" w:hAnsi="宋体"/>
          <w:color w:val="auto"/>
          <w:szCs w:val="16"/>
          <w:lang w:eastAsia="zh-CN"/>
        </w:rPr>
        <w:t>投标</w:t>
      </w:r>
      <w:r>
        <w:rPr>
          <w:rFonts w:hint="eastAsia" w:ascii="宋体" w:hAnsi="宋体"/>
          <w:color w:val="auto"/>
          <w:szCs w:val="16"/>
        </w:rPr>
        <w:t>文件中封面后第一页。</w:t>
      </w:r>
    </w:p>
    <w:p w14:paraId="27506E3E">
      <w:pPr>
        <w:tabs>
          <w:tab w:val="left" w:pos="845"/>
        </w:tabs>
        <w:spacing w:line="360" w:lineRule="auto"/>
        <w:rPr>
          <w:rFonts w:ascii="宋体" w:hAnsi="宋体" w:eastAsia="新宋体"/>
          <w:color w:val="auto"/>
          <w:sz w:val="18"/>
          <w:szCs w:val="18"/>
        </w:rPr>
      </w:pPr>
      <w:r>
        <w:rPr>
          <w:rFonts w:hint="eastAsia" w:ascii="宋体" w:hAnsi="宋体"/>
          <w:color w:val="auto"/>
          <w:szCs w:val="16"/>
          <w:lang w:val="en-US" w:eastAsia="zh-CN"/>
        </w:rPr>
        <w:t>7</w:t>
      </w:r>
      <w:r>
        <w:rPr>
          <w:rFonts w:hint="eastAsia" w:ascii="宋体" w:hAnsi="宋体"/>
          <w:color w:val="auto"/>
          <w:szCs w:val="16"/>
        </w:rPr>
        <w:t>、未按上述要求递交的</w:t>
      </w:r>
      <w:r>
        <w:rPr>
          <w:rFonts w:hint="eastAsia" w:ascii="宋体" w:hAnsi="宋体"/>
          <w:color w:val="auto"/>
          <w:szCs w:val="16"/>
          <w:lang w:eastAsia="zh-CN"/>
        </w:rPr>
        <w:t>投标</w:t>
      </w:r>
      <w:r>
        <w:rPr>
          <w:rFonts w:hint="eastAsia" w:ascii="宋体" w:hAnsi="宋体"/>
          <w:color w:val="auto"/>
          <w:szCs w:val="16"/>
        </w:rPr>
        <w:t>文件将视为无效</w:t>
      </w:r>
      <w:r>
        <w:rPr>
          <w:rFonts w:hint="eastAsia" w:ascii="宋体" w:hAnsi="宋体"/>
          <w:color w:val="auto"/>
          <w:szCs w:val="16"/>
          <w:lang w:eastAsia="zh-CN"/>
        </w:rPr>
        <w:t>投标</w:t>
      </w:r>
      <w:r>
        <w:rPr>
          <w:rFonts w:hint="eastAsia" w:ascii="宋体" w:hAnsi="宋体"/>
          <w:color w:val="auto"/>
          <w:szCs w:val="16"/>
        </w:rPr>
        <w:t>。</w:t>
      </w:r>
    </w:p>
    <w:p w14:paraId="46542DE1">
      <w:pPr>
        <w:rPr>
          <w:rFonts w:hint="eastAsia" w:ascii="宋体" w:hAnsi="宋体"/>
          <w:color w:val="auto"/>
          <w:szCs w:val="21"/>
        </w:rPr>
      </w:pPr>
    </w:p>
    <w:p w14:paraId="4E6B7A78">
      <w:pPr>
        <w:rPr>
          <w:rFonts w:hint="eastAsia" w:ascii="宋体" w:hAnsi="宋体"/>
          <w:color w:val="auto"/>
          <w:szCs w:val="21"/>
        </w:rPr>
      </w:pPr>
    </w:p>
    <w:p w14:paraId="5819F5A2">
      <w:pPr>
        <w:rPr>
          <w:rFonts w:hint="eastAsia" w:ascii="宋体" w:hAnsi="宋体"/>
          <w:color w:val="auto"/>
          <w:szCs w:val="21"/>
        </w:rPr>
      </w:pPr>
    </w:p>
    <w:p w14:paraId="2053F1D0">
      <w:pPr>
        <w:rPr>
          <w:rFonts w:hint="eastAsia" w:ascii="宋体" w:hAnsi="宋体"/>
          <w:color w:val="auto"/>
          <w:szCs w:val="21"/>
        </w:rPr>
      </w:pPr>
    </w:p>
    <w:p w14:paraId="6267F768">
      <w:pPr>
        <w:pStyle w:val="18"/>
        <w:rPr>
          <w:rFonts w:hAnsi="宋体"/>
          <w:b/>
          <w:color w:val="auto"/>
          <w:sz w:val="28"/>
          <w:szCs w:val="28"/>
        </w:rPr>
      </w:pPr>
      <w:r>
        <w:rPr>
          <w:rFonts w:hint="eastAsia" w:hAnsi="宋体"/>
          <w:b/>
          <w:color w:val="auto"/>
          <w:sz w:val="28"/>
          <w:szCs w:val="28"/>
        </w:rPr>
        <w:t>格式2：</w:t>
      </w:r>
    </w:p>
    <w:p w14:paraId="48FC68A0">
      <w:pPr>
        <w:pStyle w:val="3"/>
        <w:numPr>
          <w:ilvl w:val="0"/>
          <w:numId w:val="0"/>
        </w:numPr>
        <w:tabs>
          <w:tab w:val="left" w:pos="1021"/>
        </w:tabs>
        <w:ind w:left="425"/>
        <w:jc w:val="center"/>
        <w:rPr>
          <w:rFonts w:ascii="宋体" w:hAnsi="宋体" w:eastAsia="宋体"/>
          <w:color w:val="auto"/>
          <w:sz w:val="32"/>
          <w:szCs w:val="32"/>
        </w:rPr>
      </w:pPr>
      <w:bookmarkStart w:id="73" w:name="_Toc16263"/>
      <w:bookmarkStart w:id="74" w:name="_Toc348009991"/>
      <w:bookmarkStart w:id="75" w:name="_Toc396092985"/>
      <w:r>
        <w:rPr>
          <w:rFonts w:hint="eastAsia" w:ascii="宋体" w:hAnsi="宋体" w:eastAsia="宋体"/>
          <w:color w:val="auto"/>
          <w:sz w:val="32"/>
          <w:szCs w:val="32"/>
        </w:rPr>
        <w:t>投 标 函</w:t>
      </w:r>
      <w:bookmarkEnd w:id="73"/>
      <w:bookmarkEnd w:id="74"/>
      <w:bookmarkEnd w:id="75"/>
    </w:p>
    <w:p w14:paraId="75121FD6">
      <w:pPr>
        <w:pStyle w:val="18"/>
        <w:spacing w:line="360" w:lineRule="auto"/>
        <w:rPr>
          <w:rFonts w:hAnsi="宋体"/>
          <w:color w:val="auto"/>
          <w:sz w:val="21"/>
          <w:szCs w:val="21"/>
        </w:rPr>
      </w:pPr>
      <w:r>
        <w:rPr>
          <w:rFonts w:hint="eastAsia" w:hAnsi="宋体"/>
          <w:color w:val="auto"/>
          <w:sz w:val="21"/>
          <w:szCs w:val="21"/>
        </w:rPr>
        <w:t>致：</w:t>
      </w:r>
      <w:r>
        <w:rPr>
          <w:rFonts w:hint="eastAsia" w:hAnsi="宋体"/>
          <w:color w:val="auto"/>
          <w:sz w:val="21"/>
          <w:szCs w:val="21"/>
          <w:u w:val="single"/>
        </w:rPr>
        <w:t xml:space="preserve">                 （采购人名称）</w:t>
      </w:r>
    </w:p>
    <w:p w14:paraId="7EE35AF2">
      <w:pPr>
        <w:pStyle w:val="18"/>
        <w:spacing w:line="360" w:lineRule="auto"/>
        <w:ind w:firstLine="482"/>
        <w:rPr>
          <w:rFonts w:hAnsi="宋体"/>
          <w:color w:val="auto"/>
          <w:sz w:val="21"/>
          <w:szCs w:val="21"/>
        </w:rPr>
      </w:pPr>
      <w:r>
        <w:rPr>
          <w:rFonts w:hint="eastAsia" w:hAnsi="宋体"/>
          <w:color w:val="auto"/>
          <w:sz w:val="21"/>
          <w:szCs w:val="21"/>
        </w:rPr>
        <w:t>我方仔细研究了</w:t>
      </w:r>
      <w:r>
        <w:rPr>
          <w:rFonts w:hint="eastAsia" w:hAnsi="宋体"/>
          <w:color w:val="auto"/>
          <w:sz w:val="21"/>
          <w:szCs w:val="21"/>
          <w:u w:val="single"/>
        </w:rPr>
        <w:t>（</w:t>
      </w:r>
      <w:r>
        <w:rPr>
          <w:rFonts w:hint="eastAsia" w:hAnsi="宋体"/>
          <w:color w:val="auto"/>
          <w:sz w:val="21"/>
          <w:szCs w:val="21"/>
          <w:u w:val="single"/>
          <w:lang w:val="en-US" w:eastAsia="zh-CN"/>
        </w:rPr>
        <w:t>项目名称</w:t>
      </w:r>
      <w:r>
        <w:rPr>
          <w:rFonts w:hint="eastAsia" w:hAnsi="宋体"/>
          <w:color w:val="auto"/>
          <w:sz w:val="21"/>
          <w:szCs w:val="21"/>
          <w:u w:val="single"/>
        </w:rPr>
        <w:t>）</w:t>
      </w:r>
      <w:r>
        <w:rPr>
          <w:rFonts w:hint="eastAsia" w:hAnsi="宋体"/>
          <w:color w:val="auto"/>
          <w:sz w:val="21"/>
          <w:szCs w:val="21"/>
        </w:rPr>
        <w:t>（</w:t>
      </w:r>
      <w:r>
        <w:rPr>
          <w:rFonts w:hint="eastAsia" w:hAnsi="宋体"/>
          <w:color w:val="auto"/>
          <w:sz w:val="21"/>
          <w:szCs w:val="21"/>
          <w:lang w:val="en-US" w:eastAsia="zh-CN"/>
        </w:rPr>
        <w:t>项目</w:t>
      </w:r>
      <w:r>
        <w:rPr>
          <w:rFonts w:hint="eastAsia" w:hAnsi="宋体"/>
          <w:color w:val="auto"/>
          <w:sz w:val="21"/>
          <w:szCs w:val="21"/>
        </w:rPr>
        <w:t>编号：）</w:t>
      </w:r>
      <w:r>
        <w:rPr>
          <w:rFonts w:hAnsi="宋体"/>
          <w:color w:val="auto"/>
          <w:sz w:val="21"/>
          <w:szCs w:val="21"/>
        </w:rPr>
        <w:t>项目招标</w:t>
      </w:r>
      <w:r>
        <w:rPr>
          <w:rFonts w:hint="eastAsia" w:hAnsi="宋体"/>
          <w:color w:val="auto"/>
          <w:sz w:val="21"/>
          <w:szCs w:val="21"/>
        </w:rPr>
        <w:t>文件的全部内容，正式授权下述签字人</w:t>
      </w:r>
      <w:r>
        <w:rPr>
          <w:rFonts w:hint="eastAsia" w:hAnsi="宋体"/>
          <w:color w:val="auto"/>
          <w:sz w:val="21"/>
          <w:szCs w:val="21"/>
          <w:u w:val="single"/>
        </w:rPr>
        <w:t xml:space="preserve">   （姓名和职务）     </w:t>
      </w:r>
      <w:r>
        <w:rPr>
          <w:rFonts w:hint="eastAsia" w:hAnsi="宋体"/>
          <w:color w:val="auto"/>
          <w:sz w:val="21"/>
          <w:szCs w:val="21"/>
        </w:rPr>
        <w:t>全权代表投标人</w:t>
      </w:r>
      <w:r>
        <w:rPr>
          <w:rFonts w:hint="eastAsia" w:hAnsi="宋体"/>
          <w:color w:val="auto"/>
          <w:sz w:val="21"/>
          <w:szCs w:val="21"/>
          <w:u w:val="single"/>
        </w:rPr>
        <w:t xml:space="preserve">  （投标人全称</w:t>
      </w:r>
      <w:r>
        <w:rPr>
          <w:rFonts w:hint="eastAsia" w:hAnsi="宋体"/>
          <w:color w:val="auto"/>
          <w:sz w:val="21"/>
          <w:szCs w:val="21"/>
          <w:u w:val="single"/>
          <w:lang w:eastAsia="zh-CN"/>
        </w:rPr>
        <w:t>、</w:t>
      </w:r>
      <w:r>
        <w:rPr>
          <w:rFonts w:hint="eastAsia" w:hAnsi="宋体"/>
          <w:color w:val="auto"/>
          <w:sz w:val="21"/>
          <w:szCs w:val="21"/>
          <w:u w:val="single"/>
          <w:lang w:val="en-US" w:eastAsia="zh-CN"/>
        </w:rPr>
        <w:t>地址</w:t>
      </w:r>
      <w:r>
        <w:rPr>
          <w:rFonts w:hint="eastAsia" w:hAnsi="宋体"/>
          <w:color w:val="auto"/>
          <w:sz w:val="21"/>
          <w:szCs w:val="21"/>
          <w:u w:val="single"/>
        </w:rPr>
        <w:t xml:space="preserve">）   </w:t>
      </w:r>
      <w:r>
        <w:rPr>
          <w:rFonts w:hAnsi="宋体"/>
          <w:color w:val="auto"/>
          <w:sz w:val="21"/>
          <w:szCs w:val="21"/>
        </w:rPr>
        <w:t>参加投标，并</w:t>
      </w:r>
      <w:r>
        <w:rPr>
          <w:rFonts w:hint="eastAsia" w:hAnsi="宋体"/>
          <w:color w:val="auto"/>
          <w:sz w:val="21"/>
          <w:szCs w:val="21"/>
        </w:rPr>
        <w:t>提交</w:t>
      </w:r>
      <w:r>
        <w:rPr>
          <w:rFonts w:hAnsi="宋体"/>
          <w:color w:val="auto"/>
          <w:sz w:val="21"/>
          <w:szCs w:val="21"/>
        </w:rPr>
        <w:t>电子投标</w:t>
      </w:r>
      <w:r>
        <w:rPr>
          <w:rFonts w:hint="eastAsia" w:hAnsi="宋体"/>
          <w:color w:val="auto"/>
          <w:sz w:val="21"/>
          <w:szCs w:val="21"/>
        </w:rPr>
        <w:t>文件一份</w:t>
      </w:r>
      <w:r>
        <w:rPr>
          <w:rFonts w:hAnsi="宋体"/>
          <w:color w:val="auto"/>
          <w:sz w:val="21"/>
          <w:szCs w:val="21"/>
        </w:rPr>
        <w:t>。</w:t>
      </w:r>
    </w:p>
    <w:p w14:paraId="47AFA79D">
      <w:pPr>
        <w:pStyle w:val="18"/>
        <w:spacing w:line="360" w:lineRule="auto"/>
        <w:ind w:firstLine="420"/>
        <w:rPr>
          <w:rFonts w:hAnsi="宋体"/>
          <w:color w:val="auto"/>
          <w:sz w:val="21"/>
          <w:szCs w:val="21"/>
        </w:rPr>
      </w:pPr>
      <w:r>
        <w:rPr>
          <w:rFonts w:hint="eastAsia" w:hAnsi="宋体"/>
          <w:color w:val="auto"/>
          <w:sz w:val="21"/>
          <w:szCs w:val="21"/>
        </w:rPr>
        <w:t>据此函，签字人兹宣布同意如下：</w:t>
      </w:r>
    </w:p>
    <w:p w14:paraId="1E1EA9DD">
      <w:pPr>
        <w:pStyle w:val="18"/>
        <w:spacing w:line="360" w:lineRule="auto"/>
        <w:ind w:left="630" w:leftChars="200" w:hanging="210" w:hangingChars="100"/>
        <w:rPr>
          <w:rFonts w:hAnsi="宋体"/>
          <w:color w:val="auto"/>
          <w:sz w:val="21"/>
          <w:szCs w:val="21"/>
        </w:rPr>
      </w:pPr>
      <w:r>
        <w:rPr>
          <w:rFonts w:hint="eastAsia" w:hAnsi="宋体"/>
          <w:color w:val="auto"/>
          <w:sz w:val="21"/>
          <w:szCs w:val="21"/>
        </w:rPr>
        <w:t>1、按招标文件</w:t>
      </w:r>
      <w:r>
        <w:rPr>
          <w:rFonts w:hint="eastAsia" w:hAnsi="宋体"/>
          <w:color w:val="auto"/>
          <w:sz w:val="21"/>
          <w:szCs w:val="21"/>
          <w:lang w:val="en-US" w:eastAsia="zh-CN"/>
        </w:rPr>
        <w:t>服务</w:t>
      </w:r>
      <w:r>
        <w:rPr>
          <w:rFonts w:hint="eastAsia" w:hAnsi="宋体"/>
          <w:color w:val="auto"/>
          <w:sz w:val="21"/>
          <w:szCs w:val="21"/>
        </w:rPr>
        <w:t>需求及技术要求和投标报价汇总表，投标总报价（大写）</w:t>
      </w:r>
      <w:r>
        <w:rPr>
          <w:rFonts w:hAnsi="宋体"/>
          <w:color w:val="auto"/>
          <w:sz w:val="21"/>
          <w:szCs w:val="21"/>
          <w:u w:val="single"/>
        </w:rPr>
        <w:t xml:space="preserve">   </w:t>
      </w:r>
      <w:r>
        <w:rPr>
          <w:rFonts w:hAnsi="宋体"/>
          <w:color w:val="auto"/>
          <w:sz w:val="21"/>
          <w:szCs w:val="21"/>
        </w:rPr>
        <w:t xml:space="preserve"> </w:t>
      </w:r>
      <w:r>
        <w:rPr>
          <w:rFonts w:hint="eastAsia" w:hAnsi="宋体"/>
          <w:color w:val="auto"/>
          <w:sz w:val="21"/>
          <w:szCs w:val="21"/>
        </w:rPr>
        <w:t>元，人民币(</w:t>
      </w:r>
      <w:r>
        <w:rPr>
          <w:rFonts w:hAnsi="宋体"/>
          <w:color w:val="auto"/>
          <w:sz w:val="21"/>
          <w:szCs w:val="21"/>
        </w:rPr>
        <w:t>¥</w:t>
      </w:r>
      <w:r>
        <w:rPr>
          <w:rFonts w:hint="eastAsia" w:hAnsi="宋体"/>
          <w:color w:val="auto"/>
          <w:sz w:val="21"/>
          <w:szCs w:val="21"/>
          <w:u w:val="single"/>
        </w:rPr>
        <w:t xml:space="preserve"> </w:t>
      </w:r>
      <w:r>
        <w:rPr>
          <w:rFonts w:hAnsi="宋体"/>
          <w:color w:val="auto"/>
          <w:sz w:val="21"/>
          <w:szCs w:val="21"/>
          <w:u w:val="single"/>
        </w:rPr>
        <w:t xml:space="preserve">    </w:t>
      </w:r>
      <w:r>
        <w:rPr>
          <w:rFonts w:hint="eastAsia" w:hAnsi="宋体"/>
          <w:color w:val="auto"/>
          <w:sz w:val="21"/>
          <w:szCs w:val="21"/>
        </w:rPr>
        <w:t>)，在</w:t>
      </w:r>
      <w:r>
        <w:rPr>
          <w:rFonts w:hint="eastAsia" w:hAnsi="宋体"/>
          <w:color w:val="auto"/>
          <w:sz w:val="21"/>
          <w:szCs w:val="21"/>
          <w:u w:val="single"/>
        </w:rPr>
        <w:t xml:space="preserve">  （</w:t>
      </w:r>
      <w:r>
        <w:rPr>
          <w:rFonts w:hint="eastAsia" w:hAnsi="宋体"/>
          <w:color w:val="auto"/>
          <w:sz w:val="21"/>
          <w:szCs w:val="21"/>
          <w:u w:val="single"/>
          <w:lang w:val="en-US" w:eastAsia="zh-CN"/>
        </w:rPr>
        <w:t>服务</w:t>
      </w:r>
      <w:r>
        <w:rPr>
          <w:rFonts w:hint="eastAsia" w:hAnsi="宋体"/>
          <w:color w:val="auto"/>
          <w:sz w:val="21"/>
          <w:szCs w:val="21"/>
          <w:u w:val="single"/>
        </w:rPr>
        <w:t xml:space="preserve">期）   </w:t>
      </w:r>
      <w:r>
        <w:rPr>
          <w:rFonts w:hint="eastAsia" w:hAnsi="宋体"/>
          <w:color w:val="auto"/>
          <w:sz w:val="21"/>
          <w:szCs w:val="21"/>
        </w:rPr>
        <w:t>完成交货。</w:t>
      </w:r>
    </w:p>
    <w:p w14:paraId="3FA31F15">
      <w:pPr>
        <w:pStyle w:val="18"/>
        <w:spacing w:line="360" w:lineRule="auto"/>
        <w:ind w:firstLine="420"/>
        <w:rPr>
          <w:rFonts w:hAnsi="宋体"/>
          <w:color w:val="auto"/>
          <w:spacing w:val="-10"/>
          <w:sz w:val="21"/>
          <w:szCs w:val="21"/>
        </w:rPr>
      </w:pPr>
      <w:r>
        <w:rPr>
          <w:rFonts w:hint="eastAsia" w:hAnsi="宋体"/>
          <w:color w:val="auto"/>
          <w:sz w:val="21"/>
          <w:szCs w:val="21"/>
        </w:rPr>
        <w:t>2、</w:t>
      </w:r>
      <w:r>
        <w:rPr>
          <w:rFonts w:hint="eastAsia" w:hAnsi="宋体"/>
          <w:color w:val="auto"/>
          <w:spacing w:val="-10"/>
          <w:sz w:val="21"/>
          <w:szCs w:val="21"/>
        </w:rPr>
        <w:t>我方已</w:t>
      </w:r>
      <w:r>
        <w:rPr>
          <w:rFonts w:hAnsi="宋体"/>
          <w:color w:val="auto"/>
          <w:spacing w:val="-10"/>
          <w:sz w:val="21"/>
          <w:szCs w:val="21"/>
        </w:rPr>
        <w:t>详细审查全部招标文件，包括</w:t>
      </w:r>
      <w:r>
        <w:rPr>
          <w:rFonts w:hint="eastAsia" w:hAnsi="宋体"/>
          <w:i/>
          <w:color w:val="auto"/>
          <w:spacing w:val="-10"/>
          <w:sz w:val="21"/>
          <w:szCs w:val="21"/>
          <w:u w:val="single"/>
        </w:rPr>
        <w:t>（澄清</w:t>
      </w:r>
      <w:r>
        <w:rPr>
          <w:rFonts w:hAnsi="宋体"/>
          <w:i/>
          <w:color w:val="auto"/>
          <w:spacing w:val="-10"/>
          <w:sz w:val="21"/>
          <w:szCs w:val="21"/>
          <w:u w:val="single"/>
        </w:rPr>
        <w:t>文件</w:t>
      </w:r>
      <w:r>
        <w:rPr>
          <w:rFonts w:hint="eastAsia" w:hAnsi="宋体"/>
          <w:i/>
          <w:color w:val="auto"/>
          <w:spacing w:val="-10"/>
          <w:sz w:val="21"/>
          <w:szCs w:val="21"/>
          <w:u w:val="single"/>
        </w:rPr>
        <w:t>）</w:t>
      </w:r>
      <w:r>
        <w:rPr>
          <w:rFonts w:hAnsi="宋体"/>
          <w:color w:val="auto"/>
          <w:spacing w:val="-10"/>
          <w:sz w:val="21"/>
          <w:szCs w:val="21"/>
          <w:u w:val="single"/>
        </w:rPr>
        <w:t>(如果有的话)</w:t>
      </w:r>
      <w:r>
        <w:rPr>
          <w:rFonts w:hAnsi="宋体"/>
          <w:color w:val="auto"/>
          <w:spacing w:val="-10"/>
          <w:sz w:val="21"/>
          <w:szCs w:val="21"/>
        </w:rPr>
        <w:t>。我</w:t>
      </w:r>
      <w:r>
        <w:rPr>
          <w:rFonts w:hint="eastAsia" w:hAnsi="宋体"/>
          <w:color w:val="auto"/>
          <w:spacing w:val="-10"/>
          <w:sz w:val="21"/>
          <w:szCs w:val="21"/>
        </w:rPr>
        <w:t>方</w:t>
      </w:r>
      <w:r>
        <w:rPr>
          <w:rFonts w:hAnsi="宋体"/>
          <w:color w:val="auto"/>
          <w:spacing w:val="-10"/>
          <w:sz w:val="21"/>
          <w:szCs w:val="21"/>
        </w:rPr>
        <w:t>完全理解</w:t>
      </w:r>
      <w:r>
        <w:rPr>
          <w:rFonts w:hint="eastAsia" w:hAnsi="宋体"/>
          <w:color w:val="auto"/>
          <w:spacing w:val="-10"/>
          <w:sz w:val="21"/>
          <w:szCs w:val="21"/>
        </w:rPr>
        <w:t>相关文件要求，</w:t>
      </w:r>
      <w:r>
        <w:rPr>
          <w:rFonts w:hAnsi="宋体"/>
          <w:color w:val="auto"/>
          <w:spacing w:val="-10"/>
          <w:sz w:val="21"/>
          <w:szCs w:val="21"/>
        </w:rPr>
        <w:t>并</w:t>
      </w:r>
      <w:r>
        <w:rPr>
          <w:rFonts w:hint="eastAsia" w:hAnsi="宋体"/>
          <w:color w:val="auto"/>
          <w:spacing w:val="-10"/>
          <w:sz w:val="21"/>
          <w:szCs w:val="21"/>
        </w:rPr>
        <w:t>承担</w:t>
      </w:r>
      <w:r>
        <w:rPr>
          <w:rFonts w:hAnsi="宋体"/>
          <w:color w:val="auto"/>
          <w:spacing w:val="-10"/>
          <w:sz w:val="21"/>
          <w:szCs w:val="21"/>
        </w:rPr>
        <w:t>对这方面有不明及误解的</w:t>
      </w:r>
      <w:r>
        <w:rPr>
          <w:rFonts w:hint="eastAsia" w:hAnsi="宋体"/>
          <w:color w:val="auto"/>
          <w:spacing w:val="-10"/>
          <w:sz w:val="21"/>
          <w:szCs w:val="21"/>
        </w:rPr>
        <w:t>后果</w:t>
      </w:r>
      <w:r>
        <w:rPr>
          <w:rFonts w:hAnsi="宋体"/>
          <w:color w:val="auto"/>
          <w:spacing w:val="-10"/>
          <w:sz w:val="21"/>
          <w:szCs w:val="21"/>
        </w:rPr>
        <w:t>。</w:t>
      </w:r>
    </w:p>
    <w:p w14:paraId="42F27F11">
      <w:pPr>
        <w:pStyle w:val="18"/>
        <w:spacing w:line="360" w:lineRule="auto"/>
        <w:ind w:firstLine="420"/>
        <w:rPr>
          <w:rFonts w:hAnsi="宋体"/>
          <w:color w:val="auto"/>
          <w:sz w:val="21"/>
          <w:szCs w:val="21"/>
        </w:rPr>
      </w:pPr>
      <w:r>
        <w:rPr>
          <w:rFonts w:hint="eastAsia" w:hAnsi="宋体"/>
          <w:color w:val="auto"/>
          <w:sz w:val="21"/>
          <w:szCs w:val="21"/>
        </w:rPr>
        <w:t>3、在投标人须知规定的开标日期起遵循本投标文件，并在投标人须知第15条规定的投标文件有效期满之前均具有约束力。</w:t>
      </w:r>
    </w:p>
    <w:p w14:paraId="4D8B6FBC">
      <w:pPr>
        <w:pStyle w:val="18"/>
        <w:spacing w:line="360" w:lineRule="auto"/>
        <w:ind w:firstLine="420"/>
        <w:rPr>
          <w:rFonts w:hAnsi="宋体"/>
          <w:color w:val="auto"/>
          <w:sz w:val="21"/>
          <w:szCs w:val="21"/>
        </w:rPr>
      </w:pPr>
      <w:r>
        <w:rPr>
          <w:rFonts w:hint="eastAsia" w:hAnsi="宋体"/>
          <w:color w:val="auto"/>
          <w:sz w:val="21"/>
          <w:szCs w:val="21"/>
        </w:rPr>
        <w:t>4、</w:t>
      </w:r>
      <w:r>
        <w:rPr>
          <w:rFonts w:hAnsi="宋体"/>
          <w:color w:val="auto"/>
          <w:sz w:val="21"/>
          <w:szCs w:val="21"/>
        </w:rPr>
        <w:t>同意投标人须知中关于没收投标保证金的规定。</w:t>
      </w:r>
    </w:p>
    <w:p w14:paraId="07165B4F">
      <w:pPr>
        <w:pStyle w:val="18"/>
        <w:spacing w:line="360" w:lineRule="auto"/>
        <w:ind w:firstLine="420"/>
        <w:rPr>
          <w:rFonts w:hAnsi="宋体"/>
          <w:color w:val="auto"/>
          <w:sz w:val="21"/>
          <w:szCs w:val="21"/>
        </w:rPr>
      </w:pPr>
      <w:r>
        <w:rPr>
          <w:rFonts w:hint="eastAsia" w:hAnsi="宋体"/>
          <w:color w:val="auto"/>
          <w:sz w:val="21"/>
          <w:szCs w:val="21"/>
        </w:rPr>
        <w:t>5、同意应贵方要求提供与本投标有关的任何数据或资料</w:t>
      </w:r>
      <w:r>
        <w:rPr>
          <w:rFonts w:hAnsi="宋体"/>
          <w:color w:val="auto"/>
          <w:sz w:val="21"/>
          <w:szCs w:val="21"/>
        </w:rPr>
        <w:t>，并保证数据和资料的完整性和真实性。</w:t>
      </w:r>
    </w:p>
    <w:p w14:paraId="0221BBF3">
      <w:pPr>
        <w:pStyle w:val="18"/>
        <w:spacing w:line="360" w:lineRule="auto"/>
        <w:ind w:firstLine="420"/>
        <w:rPr>
          <w:rFonts w:hAnsi="宋体"/>
          <w:color w:val="auto"/>
          <w:sz w:val="21"/>
          <w:szCs w:val="21"/>
        </w:rPr>
      </w:pPr>
      <w:r>
        <w:rPr>
          <w:rFonts w:hint="eastAsia" w:hAnsi="宋体"/>
          <w:color w:val="auto"/>
          <w:sz w:val="21"/>
          <w:szCs w:val="21"/>
        </w:rPr>
        <w:t>6、完全理解贵方不一定要接受最低报价的投标人为中标人的行为。</w:t>
      </w:r>
    </w:p>
    <w:p w14:paraId="6F72101B">
      <w:pPr>
        <w:pStyle w:val="18"/>
        <w:spacing w:line="360" w:lineRule="auto"/>
        <w:ind w:firstLine="420"/>
        <w:rPr>
          <w:rFonts w:hAnsi="宋体"/>
          <w:color w:val="auto"/>
          <w:sz w:val="21"/>
          <w:szCs w:val="21"/>
        </w:rPr>
      </w:pPr>
      <w:r>
        <w:rPr>
          <w:rFonts w:hint="eastAsia" w:hAnsi="宋体"/>
          <w:color w:val="auto"/>
          <w:sz w:val="21"/>
          <w:szCs w:val="21"/>
        </w:rPr>
        <w:t>7</w:t>
      </w:r>
      <w:r>
        <w:rPr>
          <w:rFonts w:hint="eastAsia" w:hAnsi="宋体"/>
          <w:color w:val="auto"/>
          <w:sz w:val="21"/>
          <w:szCs w:val="21"/>
          <w:lang w:eastAsia="zh-CN"/>
        </w:rPr>
        <w:t>、</w:t>
      </w:r>
      <w:r>
        <w:rPr>
          <w:rFonts w:hAnsi="宋体"/>
          <w:color w:val="auto"/>
          <w:sz w:val="21"/>
          <w:szCs w:val="21"/>
        </w:rPr>
        <w:t>如我方中标：</w:t>
      </w:r>
    </w:p>
    <w:p w14:paraId="29B5C14A">
      <w:pPr>
        <w:pStyle w:val="18"/>
        <w:spacing w:line="360" w:lineRule="auto"/>
        <w:ind w:firstLine="420"/>
        <w:rPr>
          <w:rFonts w:hAnsi="宋体"/>
          <w:color w:val="auto"/>
          <w:sz w:val="21"/>
          <w:szCs w:val="21"/>
        </w:rPr>
      </w:pPr>
      <w:r>
        <w:rPr>
          <w:rFonts w:hAnsi="宋体"/>
          <w:color w:val="auto"/>
          <w:sz w:val="21"/>
          <w:szCs w:val="21"/>
        </w:rPr>
        <w:t>（1）我方承诺在收到中标通知书后，在中标通知书规定的期限内与你方签订合同</w:t>
      </w:r>
      <w:r>
        <w:rPr>
          <w:rFonts w:hint="eastAsia" w:hAnsi="宋体"/>
          <w:color w:val="auto"/>
          <w:sz w:val="21"/>
          <w:szCs w:val="21"/>
        </w:rPr>
        <w:t>，并</w:t>
      </w:r>
      <w:r>
        <w:rPr>
          <w:rFonts w:hAnsi="宋体"/>
          <w:color w:val="auto"/>
          <w:sz w:val="21"/>
          <w:szCs w:val="21"/>
        </w:rPr>
        <w:t>履行</w:t>
      </w:r>
      <w:r>
        <w:rPr>
          <w:rFonts w:hint="eastAsia" w:hAnsi="宋体"/>
          <w:color w:val="auto"/>
          <w:sz w:val="21"/>
          <w:szCs w:val="21"/>
        </w:rPr>
        <w:t>相应的</w:t>
      </w:r>
      <w:r>
        <w:rPr>
          <w:rFonts w:hAnsi="宋体"/>
          <w:color w:val="auto"/>
          <w:sz w:val="21"/>
          <w:szCs w:val="21"/>
        </w:rPr>
        <w:t>合同责任和义务。</w:t>
      </w:r>
    </w:p>
    <w:p w14:paraId="1F4CD1EC">
      <w:pPr>
        <w:pStyle w:val="18"/>
        <w:spacing w:line="360" w:lineRule="auto"/>
        <w:ind w:firstLine="420"/>
        <w:rPr>
          <w:rFonts w:hAnsi="宋体"/>
          <w:color w:val="auto"/>
          <w:sz w:val="21"/>
          <w:szCs w:val="21"/>
        </w:rPr>
      </w:pPr>
      <w:r>
        <w:rPr>
          <w:rFonts w:hAnsi="宋体"/>
          <w:color w:val="auto"/>
          <w:sz w:val="21"/>
          <w:szCs w:val="21"/>
        </w:rPr>
        <w:t>（2）我方承诺按照招标文件规定向你方递交</w:t>
      </w:r>
      <w:r>
        <w:rPr>
          <w:rFonts w:hint="eastAsia" w:hAnsi="宋体"/>
          <w:color w:val="auto"/>
          <w:sz w:val="21"/>
          <w:szCs w:val="21"/>
          <w:lang w:val="en-US" w:eastAsia="zh-CN"/>
        </w:rPr>
        <w:t>书面</w:t>
      </w:r>
      <w:r>
        <w:rPr>
          <w:rFonts w:hAnsi="宋体"/>
          <w:color w:val="auto"/>
          <w:sz w:val="21"/>
          <w:szCs w:val="21"/>
        </w:rPr>
        <w:t>担保。</w:t>
      </w:r>
    </w:p>
    <w:p w14:paraId="4D2B5B9F">
      <w:pPr>
        <w:pStyle w:val="18"/>
        <w:spacing w:line="360" w:lineRule="auto"/>
        <w:ind w:firstLine="420"/>
        <w:rPr>
          <w:rFonts w:hAnsi="宋体"/>
          <w:color w:val="auto"/>
          <w:sz w:val="21"/>
          <w:szCs w:val="21"/>
        </w:rPr>
      </w:pPr>
      <w:r>
        <w:rPr>
          <w:rFonts w:hint="eastAsia" w:hAnsi="宋体"/>
          <w:color w:val="auto"/>
          <w:sz w:val="21"/>
          <w:szCs w:val="21"/>
        </w:rPr>
        <w:t>（3）</w:t>
      </w:r>
      <w:r>
        <w:rPr>
          <w:rFonts w:hAnsi="宋体"/>
          <w:color w:val="auto"/>
          <w:sz w:val="21"/>
          <w:szCs w:val="21"/>
        </w:rPr>
        <w:t>我方承诺</w:t>
      </w:r>
      <w:r>
        <w:rPr>
          <w:rFonts w:hint="eastAsia" w:hAnsi="宋体"/>
          <w:color w:val="auto"/>
          <w:sz w:val="21"/>
          <w:szCs w:val="21"/>
        </w:rPr>
        <w:t>将承担服务及</w:t>
      </w:r>
      <w:r>
        <w:rPr>
          <w:rFonts w:hint="eastAsia" w:hAnsi="宋体"/>
          <w:color w:val="auto"/>
          <w:sz w:val="21"/>
          <w:szCs w:val="21"/>
          <w:lang w:val="en-US" w:eastAsia="zh-CN"/>
        </w:rPr>
        <w:t>相关</w:t>
      </w:r>
      <w:r>
        <w:rPr>
          <w:rFonts w:hint="eastAsia" w:hAnsi="宋体"/>
          <w:color w:val="auto"/>
          <w:sz w:val="21"/>
          <w:szCs w:val="21"/>
        </w:rPr>
        <w:t>责任。</w:t>
      </w:r>
    </w:p>
    <w:p w14:paraId="7E9F3BE9">
      <w:pPr>
        <w:pStyle w:val="18"/>
        <w:spacing w:line="360" w:lineRule="auto"/>
        <w:ind w:firstLine="420"/>
        <w:rPr>
          <w:rFonts w:hAnsi="宋体"/>
          <w:color w:val="auto"/>
          <w:sz w:val="21"/>
          <w:szCs w:val="21"/>
        </w:rPr>
      </w:pPr>
      <w:r>
        <w:rPr>
          <w:rFonts w:hint="eastAsia" w:hAnsi="宋体"/>
          <w:color w:val="auto"/>
          <w:sz w:val="21"/>
          <w:szCs w:val="21"/>
        </w:rPr>
        <w:t>8</w:t>
      </w:r>
      <w:r>
        <w:rPr>
          <w:rFonts w:hint="eastAsia" w:hAnsi="宋体"/>
          <w:color w:val="auto"/>
          <w:sz w:val="21"/>
          <w:szCs w:val="21"/>
          <w:lang w:eastAsia="zh-CN"/>
        </w:rPr>
        <w:t>、</w:t>
      </w:r>
      <w:r>
        <w:rPr>
          <w:rFonts w:hint="eastAsia" w:hAnsi="宋体"/>
          <w:color w:val="auto"/>
          <w:sz w:val="21"/>
          <w:szCs w:val="21"/>
        </w:rPr>
        <w:t>我方在此声明，所递交的投标文件及有关资料内容完整、真实和准确。</w:t>
      </w:r>
    </w:p>
    <w:p w14:paraId="357F9EA6">
      <w:pPr>
        <w:pStyle w:val="18"/>
        <w:spacing w:line="360" w:lineRule="auto"/>
        <w:ind w:firstLine="420"/>
        <w:rPr>
          <w:color w:val="auto"/>
        </w:rPr>
      </w:pPr>
      <w:r>
        <w:rPr>
          <w:rFonts w:hint="eastAsia" w:hAnsi="宋体"/>
          <w:color w:val="auto"/>
          <w:sz w:val="21"/>
          <w:szCs w:val="21"/>
        </w:rPr>
        <w:t>9</w:t>
      </w:r>
      <w:r>
        <w:rPr>
          <w:rFonts w:hint="eastAsia" w:hAnsi="宋体"/>
          <w:color w:val="auto"/>
          <w:sz w:val="21"/>
          <w:szCs w:val="21"/>
          <w:lang w:eastAsia="zh-CN"/>
        </w:rPr>
        <w:t>、</w:t>
      </w:r>
      <w:r>
        <w:rPr>
          <w:rFonts w:hAnsi="宋体"/>
          <w:color w:val="auto"/>
          <w:sz w:val="21"/>
          <w:szCs w:val="21"/>
        </w:rPr>
        <w:t>（</w:t>
      </w:r>
      <w:r>
        <w:rPr>
          <w:rFonts w:hint="eastAsia" w:hAnsi="宋体"/>
          <w:color w:val="auto"/>
          <w:sz w:val="21"/>
          <w:szCs w:val="21"/>
        </w:rPr>
        <w:t>其他</w:t>
      </w:r>
      <w:r>
        <w:rPr>
          <w:rFonts w:hAnsi="宋体"/>
          <w:color w:val="auto"/>
          <w:sz w:val="21"/>
          <w:szCs w:val="21"/>
        </w:rPr>
        <w:t>补充说明）。</w:t>
      </w:r>
    </w:p>
    <w:p w14:paraId="59AAC06D">
      <w:pPr>
        <w:pStyle w:val="18"/>
        <w:spacing w:line="360" w:lineRule="auto"/>
        <w:ind w:firstLine="420"/>
        <w:rPr>
          <w:rFonts w:hAnsi="宋体"/>
          <w:color w:val="auto"/>
          <w:sz w:val="21"/>
          <w:szCs w:val="21"/>
        </w:rPr>
      </w:pPr>
      <w:r>
        <w:rPr>
          <w:rFonts w:hint="eastAsia" w:hAnsi="宋体"/>
          <w:color w:val="auto"/>
          <w:sz w:val="21"/>
          <w:szCs w:val="21"/>
        </w:rPr>
        <w:t>与本投标有关的正式通讯地址为：</w:t>
      </w:r>
    </w:p>
    <w:p w14:paraId="0439EFFF">
      <w:pPr>
        <w:pStyle w:val="18"/>
        <w:spacing w:line="360" w:lineRule="auto"/>
        <w:ind w:firstLine="420"/>
        <w:rPr>
          <w:rFonts w:hAnsi="宋体"/>
          <w:color w:val="auto"/>
          <w:sz w:val="21"/>
          <w:szCs w:val="21"/>
        </w:rPr>
      </w:pPr>
      <w:r>
        <w:rPr>
          <w:rFonts w:hint="eastAsia" w:hAnsi="宋体"/>
          <w:color w:val="auto"/>
          <w:sz w:val="21"/>
          <w:szCs w:val="21"/>
        </w:rPr>
        <w:t>地址： 邮政编码：</w:t>
      </w:r>
    </w:p>
    <w:p w14:paraId="2219893D">
      <w:pPr>
        <w:pStyle w:val="18"/>
        <w:spacing w:line="360" w:lineRule="auto"/>
        <w:ind w:firstLine="420"/>
        <w:rPr>
          <w:rFonts w:hAnsi="宋体"/>
          <w:color w:val="auto"/>
          <w:sz w:val="21"/>
          <w:szCs w:val="21"/>
          <w:u w:val="single"/>
        </w:rPr>
      </w:pPr>
      <w:r>
        <w:rPr>
          <w:rFonts w:hint="eastAsia" w:hAnsi="宋体"/>
          <w:color w:val="auto"/>
          <w:sz w:val="21"/>
          <w:szCs w:val="21"/>
        </w:rPr>
        <w:t>电话：</w:t>
      </w:r>
    </w:p>
    <w:p w14:paraId="3857A7B1">
      <w:pPr>
        <w:pStyle w:val="18"/>
        <w:spacing w:line="360" w:lineRule="auto"/>
        <w:ind w:firstLine="420"/>
        <w:rPr>
          <w:rFonts w:hAnsi="宋体"/>
          <w:color w:val="auto"/>
          <w:sz w:val="21"/>
          <w:szCs w:val="21"/>
        </w:rPr>
      </w:pPr>
      <w:r>
        <w:rPr>
          <w:rFonts w:hint="eastAsia" w:hAnsi="宋体"/>
          <w:color w:val="auto"/>
          <w:sz w:val="21"/>
          <w:szCs w:val="21"/>
        </w:rPr>
        <w:t>传真：</w:t>
      </w:r>
      <w:r>
        <w:rPr>
          <w:rFonts w:hint="eastAsia" w:hAnsi="宋体"/>
          <w:color w:val="auto"/>
          <w:sz w:val="21"/>
          <w:szCs w:val="21"/>
          <w:u w:val="single"/>
        </w:rPr>
        <w:t>　　　　　　　　　　　</w:t>
      </w:r>
    </w:p>
    <w:p w14:paraId="16CB0886">
      <w:pPr>
        <w:pStyle w:val="18"/>
        <w:spacing w:line="360" w:lineRule="auto"/>
        <w:ind w:firstLine="420"/>
        <w:rPr>
          <w:rFonts w:hAnsi="宋体"/>
          <w:color w:val="auto"/>
          <w:sz w:val="21"/>
          <w:szCs w:val="21"/>
          <w:u w:val="single"/>
        </w:rPr>
      </w:pPr>
      <w:r>
        <w:rPr>
          <w:rFonts w:hint="eastAsia" w:hAnsi="宋体"/>
          <w:color w:val="auto"/>
          <w:sz w:val="21"/>
          <w:szCs w:val="21"/>
        </w:rPr>
        <w:t>开户名称：</w:t>
      </w:r>
    </w:p>
    <w:p w14:paraId="56A7F513">
      <w:pPr>
        <w:pStyle w:val="18"/>
        <w:spacing w:line="360" w:lineRule="auto"/>
        <w:ind w:firstLine="420"/>
        <w:rPr>
          <w:rFonts w:hAnsi="宋体"/>
          <w:color w:val="auto"/>
          <w:sz w:val="21"/>
          <w:szCs w:val="21"/>
          <w:u w:val="single"/>
        </w:rPr>
      </w:pPr>
      <w:r>
        <w:rPr>
          <w:rFonts w:hint="eastAsia" w:hAnsi="宋体"/>
          <w:color w:val="auto"/>
          <w:sz w:val="21"/>
          <w:szCs w:val="21"/>
        </w:rPr>
        <w:t>开户银行：</w:t>
      </w:r>
    </w:p>
    <w:p w14:paraId="10D5C997">
      <w:pPr>
        <w:ind w:firstLine="420" w:firstLineChars="200"/>
        <w:rPr>
          <w:rFonts w:hint="eastAsia" w:hAnsi="宋体"/>
          <w:color w:val="auto"/>
          <w:szCs w:val="21"/>
        </w:rPr>
      </w:pPr>
      <w:r>
        <w:rPr>
          <w:rFonts w:hint="eastAsia" w:hAnsi="宋体"/>
          <w:color w:val="auto"/>
          <w:szCs w:val="21"/>
        </w:rPr>
        <w:t>帐    号:</w:t>
      </w:r>
    </w:p>
    <w:p w14:paraId="124BBED1">
      <w:pPr>
        <w:pStyle w:val="18"/>
        <w:spacing w:line="360" w:lineRule="auto"/>
        <w:ind w:firstLine="420"/>
        <w:rPr>
          <w:rFonts w:hAnsi="宋体"/>
          <w:color w:val="auto"/>
          <w:sz w:val="21"/>
          <w:szCs w:val="21"/>
        </w:rPr>
      </w:pPr>
      <w:r>
        <w:rPr>
          <w:rFonts w:hint="eastAsia" w:hAnsi="宋体"/>
          <w:color w:val="auto"/>
          <w:sz w:val="21"/>
          <w:szCs w:val="21"/>
        </w:rPr>
        <w:t>法定代表人</w:t>
      </w:r>
      <w:r>
        <w:rPr>
          <w:rFonts w:hAnsi="宋体"/>
          <w:color w:val="auto"/>
          <w:sz w:val="21"/>
          <w:szCs w:val="21"/>
        </w:rPr>
        <w:t>（</w:t>
      </w:r>
      <w:r>
        <w:rPr>
          <w:rFonts w:hint="eastAsia" w:hAnsi="宋体"/>
          <w:color w:val="auto"/>
          <w:sz w:val="21"/>
          <w:szCs w:val="21"/>
          <w:lang w:val="en-US" w:eastAsia="zh-CN"/>
        </w:rPr>
        <w:t>电子</w:t>
      </w:r>
      <w:r>
        <w:rPr>
          <w:rFonts w:hint="eastAsia" w:hAnsi="宋体"/>
          <w:color w:val="auto"/>
          <w:sz w:val="21"/>
          <w:szCs w:val="21"/>
          <w:lang w:eastAsia="zh-CN"/>
        </w:rPr>
        <w:t>签章</w:t>
      </w:r>
      <w:r>
        <w:rPr>
          <w:rFonts w:hAnsi="宋体"/>
          <w:color w:val="auto"/>
          <w:sz w:val="21"/>
          <w:szCs w:val="21"/>
        </w:rPr>
        <w:t>）</w:t>
      </w:r>
      <w:r>
        <w:rPr>
          <w:rFonts w:hint="eastAsia" w:hAnsi="宋体"/>
          <w:color w:val="auto"/>
          <w:sz w:val="21"/>
          <w:szCs w:val="21"/>
        </w:rPr>
        <w:t>：</w:t>
      </w:r>
    </w:p>
    <w:p w14:paraId="685081D2">
      <w:pPr>
        <w:pStyle w:val="18"/>
        <w:spacing w:line="360" w:lineRule="auto"/>
        <w:ind w:firstLine="420"/>
        <w:rPr>
          <w:rFonts w:hAnsi="宋体"/>
          <w:color w:val="auto"/>
          <w:sz w:val="21"/>
          <w:szCs w:val="21"/>
        </w:rPr>
      </w:pPr>
      <w:r>
        <w:rPr>
          <w:rFonts w:hint="eastAsia" w:hAnsi="宋体"/>
          <w:color w:val="auto"/>
          <w:sz w:val="21"/>
          <w:szCs w:val="21"/>
        </w:rPr>
        <w:t>投标人（盖单位章）：</w:t>
      </w:r>
    </w:p>
    <w:p w14:paraId="58746577">
      <w:pPr>
        <w:ind w:firstLine="420" w:firstLineChars="200"/>
        <w:rPr>
          <w:rFonts w:hint="eastAsia" w:hAnsi="宋体"/>
          <w:color w:val="auto"/>
          <w:szCs w:val="21"/>
        </w:rPr>
      </w:pPr>
      <w:r>
        <w:rPr>
          <w:rFonts w:hint="eastAsia" w:hAnsi="宋体"/>
          <w:color w:val="auto"/>
          <w:szCs w:val="21"/>
        </w:rPr>
        <w:t>投标日期：</w:t>
      </w:r>
    </w:p>
    <w:p w14:paraId="4EFFCA3E">
      <w:pPr>
        <w:ind w:firstLine="420" w:firstLineChars="200"/>
        <w:rPr>
          <w:rFonts w:hint="eastAsia" w:hAnsi="宋体"/>
          <w:color w:val="auto"/>
          <w:szCs w:val="21"/>
        </w:rPr>
      </w:pPr>
    </w:p>
    <w:p w14:paraId="7302F7E4">
      <w:pPr>
        <w:ind w:firstLine="420" w:firstLineChars="200"/>
        <w:rPr>
          <w:rFonts w:hint="eastAsia" w:hAnsi="宋体"/>
          <w:color w:val="auto"/>
          <w:szCs w:val="21"/>
        </w:rPr>
      </w:pPr>
    </w:p>
    <w:p w14:paraId="3B2ABB32">
      <w:pPr>
        <w:ind w:firstLine="420" w:firstLineChars="200"/>
        <w:rPr>
          <w:rFonts w:hint="eastAsia" w:hAnsi="宋体"/>
          <w:color w:val="auto"/>
          <w:szCs w:val="21"/>
        </w:rPr>
      </w:pPr>
    </w:p>
    <w:p w14:paraId="6B3C6A2A">
      <w:pPr>
        <w:ind w:firstLine="420" w:firstLineChars="200"/>
        <w:rPr>
          <w:rFonts w:hint="eastAsia" w:hAnsi="宋体"/>
          <w:color w:val="auto"/>
          <w:szCs w:val="21"/>
        </w:rPr>
      </w:pPr>
    </w:p>
    <w:p w14:paraId="0E3E64C9">
      <w:pPr>
        <w:ind w:firstLine="420" w:firstLineChars="200"/>
        <w:rPr>
          <w:rFonts w:hint="eastAsia" w:hAnsi="宋体"/>
          <w:color w:val="auto"/>
          <w:szCs w:val="21"/>
        </w:rPr>
      </w:pPr>
    </w:p>
    <w:p w14:paraId="4707BB93">
      <w:pPr>
        <w:ind w:firstLine="420" w:firstLineChars="200"/>
        <w:rPr>
          <w:rFonts w:hint="eastAsia" w:hAnsi="宋体"/>
          <w:color w:val="auto"/>
          <w:szCs w:val="21"/>
        </w:rPr>
      </w:pPr>
    </w:p>
    <w:p w14:paraId="5992DC2B">
      <w:pPr>
        <w:ind w:firstLine="420" w:firstLineChars="200"/>
        <w:rPr>
          <w:rFonts w:hint="eastAsia" w:hAnsi="宋体"/>
          <w:color w:val="auto"/>
          <w:szCs w:val="21"/>
        </w:rPr>
      </w:pPr>
    </w:p>
    <w:p w14:paraId="542D9F22">
      <w:pPr>
        <w:ind w:firstLine="420" w:firstLineChars="200"/>
        <w:rPr>
          <w:rFonts w:hint="eastAsia" w:hAnsi="宋体"/>
          <w:color w:val="auto"/>
          <w:szCs w:val="21"/>
        </w:rPr>
      </w:pPr>
    </w:p>
    <w:p w14:paraId="358945A3">
      <w:pPr>
        <w:ind w:firstLine="420" w:firstLineChars="200"/>
        <w:rPr>
          <w:rFonts w:hint="eastAsia" w:hAnsi="宋体"/>
          <w:color w:val="auto"/>
          <w:szCs w:val="21"/>
        </w:rPr>
      </w:pPr>
    </w:p>
    <w:p w14:paraId="5B0B0885">
      <w:pPr>
        <w:ind w:firstLine="420" w:firstLineChars="200"/>
        <w:rPr>
          <w:rFonts w:hint="eastAsia" w:hAnsi="宋体"/>
          <w:color w:val="auto"/>
          <w:szCs w:val="21"/>
        </w:rPr>
      </w:pPr>
    </w:p>
    <w:p w14:paraId="2F2D85F1">
      <w:pPr>
        <w:ind w:firstLine="420" w:firstLineChars="200"/>
        <w:rPr>
          <w:rFonts w:hint="eastAsia" w:hAnsi="宋体"/>
          <w:color w:val="auto"/>
          <w:szCs w:val="21"/>
        </w:rPr>
      </w:pPr>
    </w:p>
    <w:p w14:paraId="68BCAFEF">
      <w:pPr>
        <w:ind w:firstLine="420" w:firstLineChars="200"/>
        <w:rPr>
          <w:rFonts w:hint="eastAsia" w:hAnsi="宋体"/>
          <w:color w:val="auto"/>
          <w:szCs w:val="21"/>
        </w:rPr>
      </w:pPr>
    </w:p>
    <w:p w14:paraId="4D7273CC">
      <w:pPr>
        <w:ind w:firstLine="420" w:firstLineChars="200"/>
        <w:rPr>
          <w:rFonts w:hint="eastAsia" w:hAnsi="宋体"/>
          <w:color w:val="auto"/>
          <w:szCs w:val="21"/>
        </w:rPr>
      </w:pPr>
    </w:p>
    <w:p w14:paraId="66CDB18C">
      <w:pPr>
        <w:ind w:firstLine="420" w:firstLineChars="200"/>
        <w:rPr>
          <w:rFonts w:hint="eastAsia" w:hAnsi="宋体"/>
          <w:color w:val="auto"/>
          <w:szCs w:val="21"/>
        </w:rPr>
      </w:pPr>
    </w:p>
    <w:p w14:paraId="640881FA">
      <w:pPr>
        <w:ind w:firstLine="420" w:firstLineChars="200"/>
        <w:rPr>
          <w:rFonts w:hint="eastAsia" w:hAnsi="宋体"/>
          <w:color w:val="auto"/>
          <w:szCs w:val="21"/>
        </w:rPr>
      </w:pPr>
    </w:p>
    <w:p w14:paraId="2E486FCB">
      <w:pPr>
        <w:ind w:firstLine="420" w:firstLineChars="200"/>
        <w:rPr>
          <w:rFonts w:hint="eastAsia" w:hAnsi="宋体"/>
          <w:color w:val="auto"/>
          <w:szCs w:val="21"/>
        </w:rPr>
      </w:pPr>
    </w:p>
    <w:p w14:paraId="5B41B2C6">
      <w:pPr>
        <w:ind w:firstLine="420" w:firstLineChars="200"/>
        <w:rPr>
          <w:rFonts w:hint="eastAsia" w:hAnsi="宋体"/>
          <w:color w:val="auto"/>
          <w:szCs w:val="21"/>
        </w:rPr>
      </w:pPr>
    </w:p>
    <w:p w14:paraId="60EFB51D">
      <w:pPr>
        <w:ind w:firstLine="420" w:firstLineChars="200"/>
        <w:rPr>
          <w:rFonts w:hint="eastAsia" w:hAnsi="宋体"/>
          <w:color w:val="auto"/>
          <w:szCs w:val="21"/>
        </w:rPr>
      </w:pPr>
    </w:p>
    <w:p w14:paraId="0FE7804E">
      <w:pPr>
        <w:ind w:firstLine="420" w:firstLineChars="200"/>
        <w:rPr>
          <w:rFonts w:hint="eastAsia" w:hAnsi="宋体"/>
          <w:color w:val="auto"/>
          <w:szCs w:val="21"/>
        </w:rPr>
      </w:pPr>
    </w:p>
    <w:p w14:paraId="1B8738F9">
      <w:pPr>
        <w:ind w:firstLine="420" w:firstLineChars="200"/>
        <w:rPr>
          <w:rFonts w:hint="eastAsia" w:hAnsi="宋体"/>
          <w:color w:val="auto"/>
          <w:szCs w:val="21"/>
        </w:rPr>
      </w:pPr>
    </w:p>
    <w:p w14:paraId="5554CFC9">
      <w:pPr>
        <w:ind w:firstLine="420" w:firstLineChars="200"/>
        <w:rPr>
          <w:rFonts w:hint="eastAsia" w:hAnsi="宋体"/>
          <w:color w:val="auto"/>
          <w:szCs w:val="21"/>
        </w:rPr>
      </w:pPr>
    </w:p>
    <w:p w14:paraId="5E993DE5">
      <w:pPr>
        <w:ind w:firstLine="420" w:firstLineChars="200"/>
        <w:rPr>
          <w:rFonts w:hint="eastAsia" w:hAnsi="宋体"/>
          <w:color w:val="auto"/>
          <w:szCs w:val="21"/>
        </w:rPr>
      </w:pPr>
    </w:p>
    <w:p w14:paraId="251DF66C">
      <w:pPr>
        <w:ind w:firstLine="420" w:firstLineChars="200"/>
        <w:rPr>
          <w:rFonts w:hint="eastAsia" w:hAnsi="宋体"/>
          <w:color w:val="auto"/>
          <w:szCs w:val="21"/>
        </w:rPr>
      </w:pPr>
    </w:p>
    <w:p w14:paraId="21318D54">
      <w:pPr>
        <w:ind w:firstLine="420" w:firstLineChars="200"/>
        <w:rPr>
          <w:rFonts w:hint="eastAsia" w:hAnsi="宋体"/>
          <w:color w:val="auto"/>
          <w:szCs w:val="21"/>
        </w:rPr>
      </w:pPr>
    </w:p>
    <w:p w14:paraId="505DED48">
      <w:pPr>
        <w:ind w:firstLine="420" w:firstLineChars="200"/>
        <w:rPr>
          <w:rFonts w:hint="eastAsia" w:hAnsi="宋体"/>
          <w:color w:val="auto"/>
          <w:szCs w:val="21"/>
        </w:rPr>
      </w:pPr>
    </w:p>
    <w:p w14:paraId="5ECD8221">
      <w:pPr>
        <w:ind w:firstLine="420" w:firstLineChars="200"/>
        <w:rPr>
          <w:rFonts w:hint="eastAsia" w:hAnsi="宋体"/>
          <w:color w:val="auto"/>
          <w:szCs w:val="21"/>
        </w:rPr>
      </w:pPr>
    </w:p>
    <w:p w14:paraId="221BCA00">
      <w:pPr>
        <w:ind w:firstLine="420" w:firstLineChars="200"/>
        <w:rPr>
          <w:rFonts w:hint="eastAsia" w:hAnsi="宋体"/>
          <w:color w:val="auto"/>
          <w:szCs w:val="21"/>
        </w:rPr>
      </w:pPr>
    </w:p>
    <w:p w14:paraId="19263A66">
      <w:pPr>
        <w:ind w:firstLine="420" w:firstLineChars="200"/>
        <w:rPr>
          <w:rFonts w:hint="eastAsia" w:hAnsi="宋体"/>
          <w:color w:val="auto"/>
          <w:szCs w:val="21"/>
        </w:rPr>
      </w:pPr>
    </w:p>
    <w:p w14:paraId="513FBC81">
      <w:pPr>
        <w:pStyle w:val="14"/>
        <w:rPr>
          <w:rFonts w:hint="eastAsia" w:hAnsi="宋体"/>
          <w:color w:val="auto"/>
          <w:szCs w:val="21"/>
        </w:rPr>
      </w:pPr>
    </w:p>
    <w:p w14:paraId="1A01A3D9">
      <w:pPr>
        <w:rPr>
          <w:rFonts w:hint="eastAsia" w:hAnsi="宋体"/>
          <w:color w:val="auto"/>
          <w:szCs w:val="21"/>
        </w:rPr>
      </w:pPr>
    </w:p>
    <w:p w14:paraId="58DDE28A">
      <w:pPr>
        <w:pStyle w:val="35"/>
        <w:rPr>
          <w:rFonts w:hint="eastAsia" w:hAnsi="宋体"/>
          <w:color w:val="auto"/>
          <w:szCs w:val="21"/>
        </w:rPr>
      </w:pPr>
    </w:p>
    <w:p w14:paraId="7DBF3888">
      <w:pPr>
        <w:pStyle w:val="35"/>
        <w:rPr>
          <w:rFonts w:hint="eastAsia" w:hAnsi="宋体"/>
          <w:color w:val="auto"/>
          <w:szCs w:val="21"/>
        </w:rPr>
      </w:pPr>
    </w:p>
    <w:p w14:paraId="1431BA6E">
      <w:pPr>
        <w:pStyle w:val="35"/>
        <w:rPr>
          <w:rFonts w:hint="eastAsia" w:hAnsi="宋体"/>
          <w:color w:val="auto"/>
          <w:szCs w:val="21"/>
        </w:rPr>
      </w:pPr>
    </w:p>
    <w:p w14:paraId="0977D911">
      <w:pPr>
        <w:rPr>
          <w:rFonts w:hint="eastAsia" w:hAnsi="宋体"/>
          <w:color w:val="auto"/>
          <w:szCs w:val="21"/>
        </w:rPr>
      </w:pPr>
    </w:p>
    <w:p w14:paraId="020AE2D4">
      <w:pPr>
        <w:pStyle w:val="18"/>
        <w:rPr>
          <w:rFonts w:hAnsi="宋体"/>
          <w:b/>
          <w:color w:val="auto"/>
          <w:sz w:val="28"/>
          <w:szCs w:val="28"/>
        </w:rPr>
      </w:pPr>
      <w:bookmarkStart w:id="76" w:name="_Toc327190555"/>
      <w:r>
        <w:rPr>
          <w:rFonts w:hint="eastAsia" w:hAnsi="宋体"/>
          <w:b/>
          <w:color w:val="auto"/>
          <w:sz w:val="28"/>
          <w:szCs w:val="28"/>
        </w:rPr>
        <w:t>格式3：</w:t>
      </w:r>
    </w:p>
    <w:p w14:paraId="7D9B0AFE">
      <w:pPr>
        <w:pStyle w:val="3"/>
        <w:numPr>
          <w:ilvl w:val="0"/>
          <w:numId w:val="0"/>
        </w:numPr>
        <w:tabs>
          <w:tab w:val="left" w:pos="1021"/>
        </w:tabs>
        <w:ind w:left="425"/>
        <w:jc w:val="center"/>
        <w:rPr>
          <w:rFonts w:ascii="宋体" w:hAnsi="宋体" w:eastAsia="宋体"/>
          <w:color w:val="auto"/>
          <w:sz w:val="32"/>
          <w:szCs w:val="32"/>
        </w:rPr>
      </w:pPr>
      <w:bookmarkStart w:id="77" w:name="_Toc22765"/>
      <w:bookmarkStart w:id="78" w:name="_Toc348009993"/>
      <w:bookmarkStart w:id="79" w:name="_Toc396092986"/>
      <w:r>
        <w:rPr>
          <w:rFonts w:hint="eastAsia" w:ascii="宋体" w:hAnsi="宋体" w:eastAsia="宋体"/>
          <w:color w:val="auto"/>
          <w:sz w:val="32"/>
          <w:szCs w:val="32"/>
        </w:rPr>
        <w:t>报价</w:t>
      </w:r>
      <w:r>
        <w:rPr>
          <w:rFonts w:ascii="宋体" w:hAnsi="宋体" w:eastAsia="宋体"/>
          <w:color w:val="auto"/>
          <w:sz w:val="32"/>
          <w:szCs w:val="32"/>
        </w:rPr>
        <w:t>表</w:t>
      </w:r>
      <w:bookmarkEnd w:id="76"/>
      <w:bookmarkEnd w:id="77"/>
      <w:bookmarkEnd w:id="78"/>
      <w:bookmarkEnd w:id="79"/>
    </w:p>
    <w:p w14:paraId="4F1929BA">
      <w:pPr>
        <w:pStyle w:val="18"/>
        <w:jc w:val="left"/>
        <w:rPr>
          <w:rFonts w:hint="eastAsia" w:hAnsi="宋体"/>
          <w:b/>
          <w:color w:val="auto"/>
          <w:szCs w:val="21"/>
        </w:rPr>
      </w:pPr>
      <w:r>
        <w:rPr>
          <w:rFonts w:hint="eastAsia" w:hAnsi="宋体"/>
          <w:b/>
          <w:color w:val="auto"/>
          <w:szCs w:val="21"/>
          <w:lang w:eastAsia="zh-CN"/>
        </w:rPr>
        <w:t>项目名称：</w:t>
      </w:r>
      <w:r>
        <w:rPr>
          <w:rFonts w:hint="eastAsia" w:hAnsi="宋体"/>
          <w:b/>
          <w:color w:val="auto"/>
          <w:szCs w:val="21"/>
          <w:lang w:val="en-US" w:eastAsia="zh-CN"/>
        </w:rPr>
        <w:t>怒江职业技术学院民宿数字化实训室项目</w:t>
      </w:r>
      <w:r>
        <w:rPr>
          <w:rFonts w:hint="eastAsia" w:hAnsi="宋体"/>
          <w:b/>
          <w:color w:val="auto"/>
          <w:szCs w:val="21"/>
        </w:rPr>
        <w:t xml:space="preserve">                 </w:t>
      </w:r>
    </w:p>
    <w:p w14:paraId="7EA0F49C">
      <w:pPr>
        <w:pStyle w:val="18"/>
        <w:jc w:val="left"/>
        <w:rPr>
          <w:color w:val="auto"/>
        </w:rPr>
      </w:pPr>
      <w:r>
        <w:rPr>
          <w:rFonts w:hint="eastAsia" w:hAnsi="宋体"/>
          <w:b/>
          <w:color w:val="auto"/>
          <w:szCs w:val="21"/>
          <w:lang w:val="en-US" w:eastAsia="zh-CN"/>
        </w:rPr>
        <w:t>项目</w:t>
      </w:r>
      <w:r>
        <w:rPr>
          <w:rFonts w:hint="eastAsia" w:hAnsi="宋体"/>
          <w:b/>
          <w:color w:val="auto"/>
          <w:szCs w:val="21"/>
        </w:rPr>
        <w:t>编号：</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13"/>
        <w:gridCol w:w="2654"/>
        <w:gridCol w:w="1764"/>
        <w:gridCol w:w="883"/>
        <w:gridCol w:w="501"/>
        <w:gridCol w:w="1270"/>
        <w:gridCol w:w="1262"/>
        <w:gridCol w:w="1893"/>
      </w:tblGrid>
      <w:tr w14:paraId="11E4C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32" w:hRule="atLeast"/>
          <w:jc w:val="center"/>
        </w:trPr>
        <w:tc>
          <w:tcPr>
            <w:tcW w:w="813" w:type="dxa"/>
            <w:noWrap w:val="0"/>
            <w:vAlign w:val="center"/>
          </w:tcPr>
          <w:p w14:paraId="43108A70">
            <w:pPr>
              <w:widowControl/>
              <w:spacing w:before="240" w:after="240"/>
              <w:jc w:val="center"/>
              <w:rPr>
                <w:rFonts w:ascii="宋体" w:hAnsi="宋体"/>
                <w:color w:val="auto"/>
                <w:szCs w:val="21"/>
              </w:rPr>
            </w:pPr>
            <w:r>
              <w:rPr>
                <w:rFonts w:ascii="宋体" w:hAnsi="宋体"/>
                <w:color w:val="auto"/>
                <w:szCs w:val="21"/>
              </w:rPr>
              <w:t>序号</w:t>
            </w:r>
          </w:p>
        </w:tc>
        <w:tc>
          <w:tcPr>
            <w:tcW w:w="2654" w:type="dxa"/>
            <w:noWrap w:val="0"/>
            <w:vAlign w:val="center"/>
          </w:tcPr>
          <w:p w14:paraId="543F7190">
            <w:pPr>
              <w:widowControl/>
              <w:spacing w:before="240" w:after="240"/>
              <w:jc w:val="center"/>
              <w:rPr>
                <w:rFonts w:ascii="宋体" w:hAnsi="宋体"/>
                <w:color w:val="auto"/>
                <w:szCs w:val="21"/>
              </w:rPr>
            </w:pPr>
            <w:r>
              <w:rPr>
                <w:rFonts w:hint="eastAsia" w:ascii="宋体" w:hAnsi="宋体"/>
                <w:color w:val="auto"/>
                <w:szCs w:val="21"/>
                <w:lang w:val="en-US" w:eastAsia="zh-CN"/>
              </w:rPr>
              <w:t>项目</w:t>
            </w:r>
            <w:r>
              <w:rPr>
                <w:rFonts w:ascii="宋体" w:hAnsi="宋体"/>
                <w:color w:val="auto"/>
                <w:szCs w:val="21"/>
              </w:rPr>
              <w:t>名称</w:t>
            </w:r>
          </w:p>
        </w:tc>
        <w:tc>
          <w:tcPr>
            <w:tcW w:w="1764" w:type="dxa"/>
            <w:noWrap w:val="0"/>
            <w:vAlign w:val="center"/>
          </w:tcPr>
          <w:p w14:paraId="4BA12D56">
            <w:pPr>
              <w:widowControl/>
              <w:spacing w:before="240" w:after="240"/>
              <w:jc w:val="center"/>
              <w:rPr>
                <w:rFonts w:hint="default" w:ascii="宋体" w:hAnsi="宋体" w:eastAsia="宋体"/>
                <w:color w:val="auto"/>
                <w:szCs w:val="21"/>
                <w:lang w:val="en-US" w:eastAsia="zh-CN"/>
              </w:rPr>
            </w:pPr>
            <w:r>
              <w:rPr>
                <w:rFonts w:hint="eastAsia" w:ascii="宋体" w:hAnsi="宋体"/>
                <w:color w:val="auto"/>
                <w:szCs w:val="21"/>
                <w:lang w:val="en-US" w:eastAsia="zh-CN"/>
              </w:rPr>
              <w:t>服务内容</w:t>
            </w:r>
          </w:p>
        </w:tc>
        <w:tc>
          <w:tcPr>
            <w:tcW w:w="883" w:type="dxa"/>
            <w:noWrap w:val="0"/>
            <w:vAlign w:val="center"/>
          </w:tcPr>
          <w:p w14:paraId="66FE0512">
            <w:pPr>
              <w:widowControl/>
              <w:spacing w:before="240" w:after="240"/>
              <w:jc w:val="center"/>
              <w:rPr>
                <w:rFonts w:hint="eastAsia" w:ascii="宋体" w:hAnsi="宋体"/>
                <w:color w:val="auto"/>
                <w:szCs w:val="21"/>
              </w:rPr>
            </w:pPr>
          </w:p>
          <w:p w14:paraId="4C8790BB">
            <w:pPr>
              <w:widowControl/>
              <w:spacing w:before="240" w:after="240"/>
              <w:jc w:val="center"/>
              <w:rPr>
                <w:rFonts w:ascii="宋体" w:hAnsi="宋体"/>
                <w:color w:val="auto"/>
                <w:szCs w:val="21"/>
              </w:rPr>
            </w:pPr>
            <w:r>
              <w:rPr>
                <w:rFonts w:hint="eastAsia" w:ascii="宋体" w:hAnsi="宋体"/>
                <w:color w:val="auto"/>
                <w:szCs w:val="21"/>
              </w:rPr>
              <w:t>数量</w:t>
            </w:r>
          </w:p>
          <w:p w14:paraId="409B74AC">
            <w:pPr>
              <w:widowControl/>
              <w:spacing w:before="240" w:after="240"/>
              <w:jc w:val="center"/>
              <w:rPr>
                <w:rFonts w:ascii="宋体" w:hAnsi="宋体"/>
                <w:color w:val="auto"/>
                <w:szCs w:val="21"/>
              </w:rPr>
            </w:pPr>
          </w:p>
        </w:tc>
        <w:tc>
          <w:tcPr>
            <w:tcW w:w="501" w:type="dxa"/>
            <w:noWrap w:val="0"/>
            <w:vAlign w:val="center"/>
          </w:tcPr>
          <w:p w14:paraId="77BCADA7">
            <w:pPr>
              <w:jc w:val="center"/>
              <w:rPr>
                <w:rFonts w:ascii="宋体" w:hAnsi="宋体"/>
                <w:color w:val="auto"/>
                <w:szCs w:val="21"/>
              </w:rPr>
            </w:pPr>
            <w:r>
              <w:rPr>
                <w:rFonts w:hint="eastAsia" w:ascii="宋体" w:hAnsi="宋体"/>
                <w:color w:val="auto"/>
                <w:szCs w:val="21"/>
              </w:rPr>
              <w:t>单位</w:t>
            </w:r>
          </w:p>
        </w:tc>
        <w:tc>
          <w:tcPr>
            <w:tcW w:w="1270" w:type="dxa"/>
            <w:noWrap w:val="0"/>
            <w:vAlign w:val="center"/>
          </w:tcPr>
          <w:p w14:paraId="2EA4BEDB">
            <w:pPr>
              <w:widowControl/>
              <w:jc w:val="center"/>
              <w:rPr>
                <w:rFonts w:ascii="宋体" w:hAnsi="宋体"/>
                <w:color w:val="auto"/>
                <w:szCs w:val="21"/>
              </w:rPr>
            </w:pPr>
            <w:r>
              <w:rPr>
                <w:rFonts w:hint="eastAsia" w:ascii="宋体" w:hAnsi="宋体"/>
                <w:color w:val="auto"/>
                <w:szCs w:val="21"/>
              </w:rPr>
              <w:t>单价（元）</w:t>
            </w:r>
          </w:p>
        </w:tc>
        <w:tc>
          <w:tcPr>
            <w:tcW w:w="1262" w:type="dxa"/>
            <w:noWrap w:val="0"/>
            <w:vAlign w:val="center"/>
          </w:tcPr>
          <w:p w14:paraId="53FF3C7D">
            <w:pPr>
              <w:widowControl/>
              <w:jc w:val="center"/>
              <w:rPr>
                <w:rFonts w:ascii="宋体" w:hAnsi="宋体"/>
                <w:color w:val="auto"/>
                <w:szCs w:val="21"/>
              </w:rPr>
            </w:pPr>
            <w:r>
              <w:rPr>
                <w:rFonts w:hint="eastAsia" w:ascii="宋体" w:hAnsi="宋体"/>
                <w:color w:val="auto"/>
                <w:szCs w:val="21"/>
              </w:rPr>
              <w:t>合价（元）</w:t>
            </w:r>
          </w:p>
        </w:tc>
        <w:tc>
          <w:tcPr>
            <w:tcW w:w="1893" w:type="dxa"/>
            <w:noWrap w:val="0"/>
            <w:vAlign w:val="center"/>
          </w:tcPr>
          <w:p w14:paraId="6013B732">
            <w:pPr>
              <w:widowControl/>
              <w:spacing w:before="240" w:after="240"/>
              <w:jc w:val="center"/>
              <w:rPr>
                <w:rFonts w:ascii="宋体" w:hAnsi="宋体"/>
                <w:color w:val="auto"/>
                <w:szCs w:val="21"/>
              </w:rPr>
            </w:pPr>
            <w:r>
              <w:rPr>
                <w:rFonts w:ascii="宋体" w:hAnsi="宋体"/>
                <w:color w:val="auto"/>
                <w:szCs w:val="21"/>
              </w:rPr>
              <w:t>备注</w:t>
            </w:r>
          </w:p>
        </w:tc>
      </w:tr>
      <w:tr w14:paraId="71C44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27" w:hRule="atLeast"/>
          <w:jc w:val="center"/>
        </w:trPr>
        <w:tc>
          <w:tcPr>
            <w:tcW w:w="813" w:type="dxa"/>
            <w:noWrap w:val="0"/>
            <w:vAlign w:val="center"/>
          </w:tcPr>
          <w:p w14:paraId="2D61F617">
            <w:pPr>
              <w:widowControl/>
              <w:jc w:val="center"/>
              <w:rPr>
                <w:rFonts w:ascii="宋体" w:hAnsi="宋体"/>
                <w:color w:val="auto"/>
                <w:szCs w:val="21"/>
              </w:rPr>
            </w:pPr>
            <w:r>
              <w:rPr>
                <w:rFonts w:hint="eastAsia" w:ascii="宋体" w:hAnsi="宋体"/>
                <w:color w:val="auto"/>
                <w:szCs w:val="21"/>
              </w:rPr>
              <w:t>1</w:t>
            </w:r>
          </w:p>
        </w:tc>
        <w:tc>
          <w:tcPr>
            <w:tcW w:w="2654" w:type="dxa"/>
            <w:noWrap w:val="0"/>
            <w:vAlign w:val="top"/>
          </w:tcPr>
          <w:p w14:paraId="1B13ECF3">
            <w:pPr>
              <w:widowControl/>
              <w:rPr>
                <w:rFonts w:ascii="宋体" w:hAnsi="宋体"/>
                <w:color w:val="auto"/>
                <w:szCs w:val="21"/>
              </w:rPr>
            </w:pPr>
          </w:p>
        </w:tc>
        <w:tc>
          <w:tcPr>
            <w:tcW w:w="1764" w:type="dxa"/>
            <w:noWrap w:val="0"/>
            <w:vAlign w:val="top"/>
          </w:tcPr>
          <w:p w14:paraId="6E9A2744">
            <w:pPr>
              <w:widowControl/>
              <w:rPr>
                <w:rFonts w:ascii="宋体" w:hAnsi="宋体"/>
                <w:color w:val="auto"/>
                <w:szCs w:val="21"/>
              </w:rPr>
            </w:pPr>
          </w:p>
        </w:tc>
        <w:tc>
          <w:tcPr>
            <w:tcW w:w="883" w:type="dxa"/>
            <w:noWrap w:val="0"/>
            <w:vAlign w:val="top"/>
          </w:tcPr>
          <w:p w14:paraId="51F3BC29">
            <w:pPr>
              <w:widowControl/>
              <w:rPr>
                <w:rFonts w:ascii="宋体" w:hAnsi="宋体"/>
                <w:color w:val="auto"/>
                <w:szCs w:val="21"/>
              </w:rPr>
            </w:pPr>
          </w:p>
        </w:tc>
        <w:tc>
          <w:tcPr>
            <w:tcW w:w="501" w:type="dxa"/>
            <w:noWrap w:val="0"/>
            <w:vAlign w:val="top"/>
          </w:tcPr>
          <w:p w14:paraId="59C95261">
            <w:pPr>
              <w:widowControl/>
              <w:rPr>
                <w:rFonts w:ascii="宋体" w:hAnsi="宋体"/>
                <w:color w:val="auto"/>
                <w:szCs w:val="21"/>
              </w:rPr>
            </w:pPr>
          </w:p>
        </w:tc>
        <w:tc>
          <w:tcPr>
            <w:tcW w:w="1270" w:type="dxa"/>
            <w:noWrap w:val="0"/>
            <w:vAlign w:val="top"/>
          </w:tcPr>
          <w:p w14:paraId="7DCCF55F">
            <w:pPr>
              <w:widowControl/>
              <w:rPr>
                <w:rFonts w:ascii="宋体" w:hAnsi="宋体"/>
                <w:color w:val="auto"/>
                <w:szCs w:val="21"/>
              </w:rPr>
            </w:pPr>
          </w:p>
        </w:tc>
        <w:tc>
          <w:tcPr>
            <w:tcW w:w="1262" w:type="dxa"/>
            <w:noWrap w:val="0"/>
            <w:vAlign w:val="top"/>
          </w:tcPr>
          <w:p w14:paraId="37B10381">
            <w:pPr>
              <w:widowControl/>
              <w:rPr>
                <w:rFonts w:ascii="宋体" w:hAnsi="宋体"/>
                <w:color w:val="auto"/>
                <w:szCs w:val="21"/>
              </w:rPr>
            </w:pPr>
          </w:p>
        </w:tc>
        <w:tc>
          <w:tcPr>
            <w:tcW w:w="1893" w:type="dxa"/>
            <w:noWrap w:val="0"/>
            <w:vAlign w:val="top"/>
          </w:tcPr>
          <w:p w14:paraId="0B576B67">
            <w:pPr>
              <w:widowControl/>
              <w:rPr>
                <w:rFonts w:ascii="宋体" w:hAnsi="宋体"/>
                <w:color w:val="auto"/>
                <w:szCs w:val="21"/>
              </w:rPr>
            </w:pPr>
          </w:p>
        </w:tc>
      </w:tr>
      <w:tr w14:paraId="3E182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7" w:hRule="atLeast"/>
          <w:jc w:val="center"/>
        </w:trPr>
        <w:tc>
          <w:tcPr>
            <w:tcW w:w="813" w:type="dxa"/>
            <w:noWrap w:val="0"/>
            <w:vAlign w:val="center"/>
          </w:tcPr>
          <w:p w14:paraId="0C3EDF46">
            <w:pPr>
              <w:widowControl/>
              <w:jc w:val="center"/>
              <w:rPr>
                <w:rFonts w:ascii="宋体" w:hAnsi="宋体"/>
                <w:color w:val="auto"/>
                <w:szCs w:val="21"/>
              </w:rPr>
            </w:pPr>
            <w:r>
              <w:rPr>
                <w:rFonts w:hint="eastAsia" w:ascii="宋体" w:hAnsi="宋体"/>
                <w:color w:val="auto"/>
                <w:szCs w:val="21"/>
              </w:rPr>
              <w:t>2</w:t>
            </w:r>
          </w:p>
        </w:tc>
        <w:tc>
          <w:tcPr>
            <w:tcW w:w="2654" w:type="dxa"/>
            <w:noWrap w:val="0"/>
            <w:vAlign w:val="top"/>
          </w:tcPr>
          <w:p w14:paraId="14F2F3EC">
            <w:pPr>
              <w:widowControl/>
              <w:rPr>
                <w:rFonts w:ascii="宋体" w:hAnsi="宋体"/>
                <w:color w:val="auto"/>
                <w:szCs w:val="21"/>
              </w:rPr>
            </w:pPr>
          </w:p>
        </w:tc>
        <w:tc>
          <w:tcPr>
            <w:tcW w:w="1764" w:type="dxa"/>
            <w:noWrap w:val="0"/>
            <w:vAlign w:val="top"/>
          </w:tcPr>
          <w:p w14:paraId="3F675AF7">
            <w:pPr>
              <w:widowControl/>
              <w:rPr>
                <w:rFonts w:ascii="宋体" w:hAnsi="宋体"/>
                <w:color w:val="auto"/>
                <w:szCs w:val="21"/>
              </w:rPr>
            </w:pPr>
          </w:p>
        </w:tc>
        <w:tc>
          <w:tcPr>
            <w:tcW w:w="883" w:type="dxa"/>
            <w:noWrap w:val="0"/>
            <w:vAlign w:val="top"/>
          </w:tcPr>
          <w:p w14:paraId="053D92D3">
            <w:pPr>
              <w:widowControl/>
              <w:rPr>
                <w:rFonts w:ascii="宋体" w:hAnsi="宋体"/>
                <w:color w:val="auto"/>
                <w:szCs w:val="21"/>
              </w:rPr>
            </w:pPr>
          </w:p>
        </w:tc>
        <w:tc>
          <w:tcPr>
            <w:tcW w:w="501" w:type="dxa"/>
            <w:noWrap w:val="0"/>
            <w:vAlign w:val="top"/>
          </w:tcPr>
          <w:p w14:paraId="3428C3F6">
            <w:pPr>
              <w:widowControl/>
              <w:rPr>
                <w:rFonts w:ascii="宋体" w:hAnsi="宋体"/>
                <w:color w:val="auto"/>
                <w:szCs w:val="21"/>
              </w:rPr>
            </w:pPr>
          </w:p>
        </w:tc>
        <w:tc>
          <w:tcPr>
            <w:tcW w:w="1270" w:type="dxa"/>
            <w:noWrap w:val="0"/>
            <w:vAlign w:val="top"/>
          </w:tcPr>
          <w:p w14:paraId="3826618D">
            <w:pPr>
              <w:widowControl/>
              <w:rPr>
                <w:rFonts w:ascii="宋体" w:hAnsi="宋体"/>
                <w:color w:val="auto"/>
                <w:szCs w:val="21"/>
              </w:rPr>
            </w:pPr>
          </w:p>
        </w:tc>
        <w:tc>
          <w:tcPr>
            <w:tcW w:w="1262" w:type="dxa"/>
            <w:noWrap w:val="0"/>
            <w:vAlign w:val="top"/>
          </w:tcPr>
          <w:p w14:paraId="4AD53370">
            <w:pPr>
              <w:widowControl/>
              <w:rPr>
                <w:rFonts w:ascii="宋体" w:hAnsi="宋体"/>
                <w:color w:val="auto"/>
                <w:szCs w:val="21"/>
              </w:rPr>
            </w:pPr>
          </w:p>
        </w:tc>
        <w:tc>
          <w:tcPr>
            <w:tcW w:w="1893" w:type="dxa"/>
            <w:noWrap w:val="0"/>
            <w:vAlign w:val="top"/>
          </w:tcPr>
          <w:p w14:paraId="0CDE0DC5">
            <w:pPr>
              <w:widowControl/>
              <w:rPr>
                <w:rFonts w:ascii="宋体" w:hAnsi="宋体"/>
                <w:color w:val="auto"/>
                <w:szCs w:val="21"/>
              </w:rPr>
            </w:pPr>
          </w:p>
        </w:tc>
      </w:tr>
      <w:tr w14:paraId="70E0D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7" w:hRule="atLeast"/>
          <w:jc w:val="center"/>
        </w:trPr>
        <w:tc>
          <w:tcPr>
            <w:tcW w:w="813" w:type="dxa"/>
            <w:noWrap w:val="0"/>
            <w:vAlign w:val="center"/>
          </w:tcPr>
          <w:p w14:paraId="05CEF129">
            <w:pPr>
              <w:widowControl/>
              <w:jc w:val="center"/>
              <w:rPr>
                <w:rFonts w:ascii="宋体" w:hAnsi="宋体"/>
                <w:color w:val="auto"/>
                <w:szCs w:val="21"/>
              </w:rPr>
            </w:pPr>
            <w:r>
              <w:rPr>
                <w:rFonts w:hint="eastAsia" w:ascii="宋体" w:hAnsi="宋体"/>
                <w:color w:val="auto"/>
                <w:szCs w:val="21"/>
              </w:rPr>
              <w:t>…</w:t>
            </w:r>
          </w:p>
        </w:tc>
        <w:tc>
          <w:tcPr>
            <w:tcW w:w="2654" w:type="dxa"/>
            <w:noWrap w:val="0"/>
            <w:vAlign w:val="top"/>
          </w:tcPr>
          <w:p w14:paraId="4D29D536">
            <w:pPr>
              <w:widowControl/>
              <w:rPr>
                <w:rFonts w:ascii="宋体" w:hAnsi="宋体"/>
                <w:color w:val="auto"/>
                <w:szCs w:val="21"/>
              </w:rPr>
            </w:pPr>
          </w:p>
        </w:tc>
        <w:tc>
          <w:tcPr>
            <w:tcW w:w="1764" w:type="dxa"/>
            <w:noWrap w:val="0"/>
            <w:vAlign w:val="top"/>
          </w:tcPr>
          <w:p w14:paraId="08E96288">
            <w:pPr>
              <w:widowControl/>
              <w:rPr>
                <w:rFonts w:ascii="宋体" w:hAnsi="宋体"/>
                <w:color w:val="auto"/>
                <w:szCs w:val="21"/>
              </w:rPr>
            </w:pPr>
          </w:p>
        </w:tc>
        <w:tc>
          <w:tcPr>
            <w:tcW w:w="883" w:type="dxa"/>
            <w:noWrap w:val="0"/>
            <w:vAlign w:val="top"/>
          </w:tcPr>
          <w:p w14:paraId="685200D6">
            <w:pPr>
              <w:widowControl/>
              <w:rPr>
                <w:rFonts w:ascii="宋体" w:hAnsi="宋体"/>
                <w:color w:val="auto"/>
                <w:szCs w:val="21"/>
              </w:rPr>
            </w:pPr>
          </w:p>
        </w:tc>
        <w:tc>
          <w:tcPr>
            <w:tcW w:w="501" w:type="dxa"/>
            <w:noWrap w:val="0"/>
            <w:vAlign w:val="top"/>
          </w:tcPr>
          <w:p w14:paraId="7AE103EB">
            <w:pPr>
              <w:widowControl/>
              <w:rPr>
                <w:rFonts w:ascii="宋体" w:hAnsi="宋体"/>
                <w:color w:val="auto"/>
                <w:szCs w:val="21"/>
              </w:rPr>
            </w:pPr>
          </w:p>
        </w:tc>
        <w:tc>
          <w:tcPr>
            <w:tcW w:w="1270" w:type="dxa"/>
            <w:noWrap w:val="0"/>
            <w:vAlign w:val="top"/>
          </w:tcPr>
          <w:p w14:paraId="3A407E16">
            <w:pPr>
              <w:widowControl/>
              <w:rPr>
                <w:rFonts w:ascii="宋体" w:hAnsi="宋体"/>
                <w:color w:val="auto"/>
                <w:szCs w:val="21"/>
              </w:rPr>
            </w:pPr>
          </w:p>
        </w:tc>
        <w:tc>
          <w:tcPr>
            <w:tcW w:w="1262" w:type="dxa"/>
            <w:noWrap w:val="0"/>
            <w:vAlign w:val="top"/>
          </w:tcPr>
          <w:p w14:paraId="29069252">
            <w:pPr>
              <w:widowControl/>
              <w:rPr>
                <w:rFonts w:ascii="宋体" w:hAnsi="宋体"/>
                <w:color w:val="auto"/>
                <w:szCs w:val="21"/>
              </w:rPr>
            </w:pPr>
          </w:p>
        </w:tc>
        <w:tc>
          <w:tcPr>
            <w:tcW w:w="1893" w:type="dxa"/>
            <w:noWrap w:val="0"/>
            <w:vAlign w:val="top"/>
          </w:tcPr>
          <w:p w14:paraId="0D09EAB9">
            <w:pPr>
              <w:widowControl/>
              <w:rPr>
                <w:rFonts w:ascii="宋体" w:hAnsi="宋体"/>
                <w:color w:val="auto"/>
                <w:szCs w:val="21"/>
              </w:rPr>
            </w:pPr>
          </w:p>
        </w:tc>
      </w:tr>
      <w:tr w14:paraId="28A68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9" w:hRule="atLeast"/>
          <w:jc w:val="center"/>
        </w:trPr>
        <w:tc>
          <w:tcPr>
            <w:tcW w:w="813" w:type="dxa"/>
            <w:noWrap w:val="0"/>
            <w:vAlign w:val="center"/>
          </w:tcPr>
          <w:p w14:paraId="059D5F26">
            <w:pPr>
              <w:widowControl/>
              <w:jc w:val="center"/>
              <w:rPr>
                <w:rFonts w:ascii="宋体" w:hAnsi="宋体"/>
                <w:color w:val="auto"/>
                <w:szCs w:val="21"/>
              </w:rPr>
            </w:pPr>
            <w:r>
              <w:rPr>
                <w:rFonts w:hint="eastAsia" w:ascii="宋体" w:hAnsi="宋体"/>
                <w:color w:val="auto"/>
                <w:szCs w:val="21"/>
              </w:rPr>
              <w:t>…</w:t>
            </w:r>
          </w:p>
        </w:tc>
        <w:tc>
          <w:tcPr>
            <w:tcW w:w="2654" w:type="dxa"/>
            <w:noWrap w:val="0"/>
            <w:vAlign w:val="top"/>
          </w:tcPr>
          <w:p w14:paraId="0C06A402">
            <w:pPr>
              <w:widowControl/>
              <w:rPr>
                <w:rFonts w:ascii="宋体" w:hAnsi="宋体"/>
                <w:color w:val="auto"/>
                <w:szCs w:val="21"/>
              </w:rPr>
            </w:pPr>
          </w:p>
        </w:tc>
        <w:tc>
          <w:tcPr>
            <w:tcW w:w="1764" w:type="dxa"/>
            <w:noWrap w:val="0"/>
            <w:vAlign w:val="top"/>
          </w:tcPr>
          <w:p w14:paraId="5348C591">
            <w:pPr>
              <w:widowControl/>
              <w:rPr>
                <w:rFonts w:ascii="宋体" w:hAnsi="宋体"/>
                <w:color w:val="auto"/>
                <w:szCs w:val="21"/>
              </w:rPr>
            </w:pPr>
          </w:p>
        </w:tc>
        <w:tc>
          <w:tcPr>
            <w:tcW w:w="883" w:type="dxa"/>
            <w:noWrap w:val="0"/>
            <w:vAlign w:val="top"/>
          </w:tcPr>
          <w:p w14:paraId="291F73FF">
            <w:pPr>
              <w:widowControl/>
              <w:rPr>
                <w:rFonts w:ascii="宋体" w:hAnsi="宋体"/>
                <w:color w:val="auto"/>
                <w:szCs w:val="21"/>
              </w:rPr>
            </w:pPr>
          </w:p>
        </w:tc>
        <w:tc>
          <w:tcPr>
            <w:tcW w:w="501" w:type="dxa"/>
            <w:noWrap w:val="0"/>
            <w:vAlign w:val="top"/>
          </w:tcPr>
          <w:p w14:paraId="0C750FAD">
            <w:pPr>
              <w:widowControl/>
              <w:rPr>
                <w:rFonts w:ascii="宋体" w:hAnsi="宋体"/>
                <w:color w:val="auto"/>
                <w:szCs w:val="21"/>
              </w:rPr>
            </w:pPr>
          </w:p>
        </w:tc>
        <w:tc>
          <w:tcPr>
            <w:tcW w:w="1270" w:type="dxa"/>
            <w:noWrap w:val="0"/>
            <w:vAlign w:val="top"/>
          </w:tcPr>
          <w:p w14:paraId="6436E910">
            <w:pPr>
              <w:widowControl/>
              <w:rPr>
                <w:rFonts w:ascii="宋体" w:hAnsi="宋体"/>
                <w:color w:val="auto"/>
                <w:szCs w:val="21"/>
              </w:rPr>
            </w:pPr>
          </w:p>
        </w:tc>
        <w:tc>
          <w:tcPr>
            <w:tcW w:w="1262" w:type="dxa"/>
            <w:noWrap w:val="0"/>
            <w:vAlign w:val="top"/>
          </w:tcPr>
          <w:p w14:paraId="57D6BCB2">
            <w:pPr>
              <w:widowControl/>
              <w:rPr>
                <w:rFonts w:ascii="宋体" w:hAnsi="宋体"/>
                <w:color w:val="auto"/>
                <w:szCs w:val="21"/>
              </w:rPr>
            </w:pPr>
          </w:p>
        </w:tc>
        <w:tc>
          <w:tcPr>
            <w:tcW w:w="1893" w:type="dxa"/>
            <w:noWrap w:val="0"/>
            <w:vAlign w:val="top"/>
          </w:tcPr>
          <w:p w14:paraId="12EF6857">
            <w:pPr>
              <w:widowControl/>
              <w:rPr>
                <w:rFonts w:ascii="宋体" w:hAnsi="宋体"/>
                <w:color w:val="auto"/>
                <w:szCs w:val="21"/>
              </w:rPr>
            </w:pPr>
          </w:p>
        </w:tc>
      </w:tr>
      <w:tr w14:paraId="2890C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09" w:hRule="atLeast"/>
          <w:jc w:val="center"/>
        </w:trPr>
        <w:tc>
          <w:tcPr>
            <w:tcW w:w="7885" w:type="dxa"/>
            <w:gridSpan w:val="6"/>
            <w:noWrap w:val="0"/>
            <w:vAlign w:val="top"/>
          </w:tcPr>
          <w:p w14:paraId="27B8A088">
            <w:pPr>
              <w:widowControl/>
              <w:jc w:val="right"/>
              <w:rPr>
                <w:rFonts w:ascii="宋体" w:hAnsi="宋体"/>
                <w:color w:val="auto"/>
                <w:szCs w:val="21"/>
              </w:rPr>
            </w:pPr>
            <w:r>
              <w:rPr>
                <w:rFonts w:hint="eastAsia" w:ascii="宋体" w:hAnsi="宋体"/>
                <w:color w:val="auto"/>
                <w:szCs w:val="21"/>
              </w:rPr>
              <w:t>总计（元）</w:t>
            </w:r>
          </w:p>
        </w:tc>
        <w:tc>
          <w:tcPr>
            <w:tcW w:w="3155" w:type="dxa"/>
            <w:gridSpan w:val="2"/>
            <w:noWrap w:val="0"/>
            <w:vAlign w:val="top"/>
          </w:tcPr>
          <w:p w14:paraId="1561DF99">
            <w:pPr>
              <w:widowControl/>
              <w:rPr>
                <w:rFonts w:ascii="宋体" w:hAnsi="宋体"/>
                <w:color w:val="auto"/>
                <w:szCs w:val="21"/>
              </w:rPr>
            </w:pPr>
          </w:p>
        </w:tc>
      </w:tr>
    </w:tbl>
    <w:p w14:paraId="1EE58201">
      <w:pPr>
        <w:rPr>
          <w:rFonts w:hint="eastAsia" w:hAnsi="宋体"/>
          <w:color w:val="auto"/>
          <w:szCs w:val="21"/>
        </w:rPr>
      </w:pPr>
    </w:p>
    <w:p w14:paraId="424AFC7B">
      <w:pPr>
        <w:rPr>
          <w:rFonts w:hint="eastAsia" w:hAnsi="宋体"/>
          <w:color w:val="auto"/>
          <w:szCs w:val="21"/>
        </w:rPr>
      </w:pPr>
      <w:r>
        <w:rPr>
          <w:rFonts w:hint="eastAsia" w:hAnsi="宋体"/>
          <w:color w:val="auto"/>
          <w:szCs w:val="21"/>
        </w:rPr>
        <w:t xml:space="preserve">                                                 </w:t>
      </w:r>
    </w:p>
    <w:p w14:paraId="3F1B9D81">
      <w:pPr>
        <w:rPr>
          <w:rFonts w:hint="eastAsia" w:hAnsi="宋体"/>
          <w:color w:val="auto"/>
          <w:szCs w:val="21"/>
        </w:rPr>
      </w:pPr>
    </w:p>
    <w:p w14:paraId="594308A9">
      <w:pPr>
        <w:rPr>
          <w:rFonts w:hint="eastAsia" w:hAnsi="宋体"/>
          <w:color w:val="auto"/>
          <w:szCs w:val="21"/>
        </w:rPr>
      </w:pPr>
    </w:p>
    <w:tbl>
      <w:tblPr>
        <w:tblStyle w:val="36"/>
        <w:tblpPr w:leftFromText="180" w:rightFromText="180" w:vertAnchor="text" w:horzAnchor="page" w:tblpXSpec="right" w:tblpY="182"/>
        <w:tblW w:w="0" w:type="auto"/>
        <w:jc w:val="right"/>
        <w:tblLayout w:type="fixed"/>
        <w:tblCellMar>
          <w:top w:w="0" w:type="dxa"/>
          <w:left w:w="108" w:type="dxa"/>
          <w:bottom w:w="0" w:type="dxa"/>
          <w:right w:w="108" w:type="dxa"/>
        </w:tblCellMar>
      </w:tblPr>
      <w:tblGrid>
        <w:gridCol w:w="6408"/>
      </w:tblGrid>
      <w:tr w14:paraId="6C205121">
        <w:tblPrEx>
          <w:tblCellMar>
            <w:top w:w="0" w:type="dxa"/>
            <w:left w:w="108" w:type="dxa"/>
            <w:bottom w:w="0" w:type="dxa"/>
            <w:right w:w="108" w:type="dxa"/>
          </w:tblCellMar>
        </w:tblPrEx>
        <w:trPr>
          <w:trHeight w:val="268" w:hRule="atLeast"/>
          <w:jc w:val="right"/>
        </w:trPr>
        <w:tc>
          <w:tcPr>
            <w:tcW w:w="6408" w:type="dxa"/>
            <w:tcBorders>
              <w:top w:val="nil"/>
              <w:left w:val="nil"/>
              <w:bottom w:val="nil"/>
              <w:right w:val="nil"/>
            </w:tcBorders>
            <w:noWrap w:val="0"/>
            <w:vAlign w:val="top"/>
          </w:tcPr>
          <w:p w14:paraId="446B63CC">
            <w:pPr>
              <w:pStyle w:val="109"/>
              <w:jc w:val="both"/>
              <w:rPr>
                <w:rFonts w:hAnsi="宋体"/>
                <w:color w:val="auto"/>
                <w:sz w:val="21"/>
                <w:szCs w:val="21"/>
              </w:rPr>
            </w:pPr>
            <w:r>
              <w:rPr>
                <w:rFonts w:hAnsi="宋体"/>
                <w:color w:val="auto"/>
                <w:sz w:val="21"/>
                <w:szCs w:val="21"/>
              </w:rPr>
              <w:t>投标人（盖单位章) ：</w:t>
            </w:r>
          </w:p>
        </w:tc>
      </w:tr>
      <w:tr w14:paraId="66803E34">
        <w:tblPrEx>
          <w:tblCellMar>
            <w:top w:w="0" w:type="dxa"/>
            <w:left w:w="108" w:type="dxa"/>
            <w:bottom w:w="0" w:type="dxa"/>
            <w:right w:w="108" w:type="dxa"/>
          </w:tblCellMar>
        </w:tblPrEx>
        <w:trPr>
          <w:trHeight w:val="495" w:hRule="atLeast"/>
          <w:jc w:val="right"/>
        </w:trPr>
        <w:tc>
          <w:tcPr>
            <w:tcW w:w="6408" w:type="dxa"/>
            <w:tcBorders>
              <w:top w:val="nil"/>
              <w:left w:val="nil"/>
              <w:bottom w:val="nil"/>
              <w:right w:val="nil"/>
            </w:tcBorders>
            <w:noWrap w:val="0"/>
            <w:vAlign w:val="top"/>
          </w:tcPr>
          <w:p w14:paraId="54FB93DE">
            <w:pPr>
              <w:pStyle w:val="109"/>
              <w:jc w:val="both"/>
              <w:rPr>
                <w:rFonts w:hAnsi="宋体"/>
                <w:color w:val="auto"/>
                <w:sz w:val="21"/>
                <w:szCs w:val="21"/>
              </w:rPr>
            </w:pPr>
          </w:p>
        </w:tc>
      </w:tr>
      <w:tr w14:paraId="1115D177">
        <w:tblPrEx>
          <w:tblCellMar>
            <w:top w:w="0" w:type="dxa"/>
            <w:left w:w="108" w:type="dxa"/>
            <w:bottom w:w="0" w:type="dxa"/>
            <w:right w:w="108" w:type="dxa"/>
          </w:tblCellMar>
        </w:tblPrEx>
        <w:trPr>
          <w:trHeight w:val="495" w:hRule="atLeast"/>
          <w:jc w:val="right"/>
        </w:trPr>
        <w:tc>
          <w:tcPr>
            <w:tcW w:w="6408" w:type="dxa"/>
            <w:tcBorders>
              <w:top w:val="nil"/>
              <w:left w:val="nil"/>
              <w:bottom w:val="nil"/>
              <w:right w:val="nil"/>
            </w:tcBorders>
            <w:noWrap w:val="0"/>
            <w:vAlign w:val="top"/>
          </w:tcPr>
          <w:p w14:paraId="303B4DC7">
            <w:pPr>
              <w:pStyle w:val="109"/>
              <w:jc w:val="both"/>
              <w:rPr>
                <w:rFonts w:hAnsi="宋体"/>
                <w:color w:val="auto"/>
                <w:sz w:val="21"/>
                <w:szCs w:val="21"/>
              </w:rPr>
            </w:pPr>
            <w:r>
              <w:rPr>
                <w:rFonts w:hAnsi="宋体"/>
                <w:color w:val="auto"/>
                <w:sz w:val="21"/>
                <w:szCs w:val="21"/>
              </w:rPr>
              <w:t>法定代表人</w:t>
            </w:r>
            <w:r>
              <w:rPr>
                <w:rFonts w:hint="eastAsia" w:hAnsi="宋体"/>
                <w:color w:val="auto"/>
                <w:sz w:val="21"/>
                <w:szCs w:val="21"/>
              </w:rPr>
              <w:t>（电子签章）</w:t>
            </w:r>
            <w:r>
              <w:rPr>
                <w:rFonts w:hAnsi="宋体"/>
                <w:color w:val="auto"/>
                <w:sz w:val="21"/>
                <w:szCs w:val="21"/>
              </w:rPr>
              <w:t>：</w:t>
            </w:r>
          </w:p>
        </w:tc>
      </w:tr>
      <w:tr w14:paraId="05E7CB8C">
        <w:tblPrEx>
          <w:tblCellMar>
            <w:top w:w="0" w:type="dxa"/>
            <w:left w:w="108" w:type="dxa"/>
            <w:bottom w:w="0" w:type="dxa"/>
            <w:right w:w="108" w:type="dxa"/>
          </w:tblCellMar>
        </w:tblPrEx>
        <w:trPr>
          <w:trHeight w:val="495" w:hRule="atLeast"/>
          <w:jc w:val="right"/>
        </w:trPr>
        <w:tc>
          <w:tcPr>
            <w:tcW w:w="6408" w:type="dxa"/>
            <w:tcBorders>
              <w:top w:val="nil"/>
              <w:left w:val="nil"/>
              <w:bottom w:val="nil"/>
              <w:right w:val="nil"/>
            </w:tcBorders>
            <w:noWrap w:val="0"/>
            <w:vAlign w:val="top"/>
          </w:tcPr>
          <w:p w14:paraId="48E95B81">
            <w:pPr>
              <w:pStyle w:val="109"/>
              <w:jc w:val="both"/>
              <w:rPr>
                <w:rFonts w:hAnsi="宋体"/>
                <w:color w:val="auto"/>
                <w:sz w:val="21"/>
                <w:szCs w:val="21"/>
              </w:rPr>
            </w:pPr>
            <w:r>
              <w:rPr>
                <w:rFonts w:hAnsi="宋体"/>
                <w:color w:val="auto"/>
                <w:sz w:val="21"/>
                <w:szCs w:val="21"/>
              </w:rPr>
              <w:t>日期：</w:t>
            </w:r>
          </w:p>
        </w:tc>
      </w:tr>
    </w:tbl>
    <w:p w14:paraId="4BD064A8">
      <w:pPr>
        <w:rPr>
          <w:rFonts w:hint="eastAsia" w:hAnsi="宋体"/>
          <w:color w:val="auto"/>
          <w:szCs w:val="21"/>
        </w:rPr>
      </w:pPr>
    </w:p>
    <w:p w14:paraId="53CCAC1E">
      <w:pPr>
        <w:rPr>
          <w:rFonts w:hint="eastAsia" w:hAnsi="宋体"/>
          <w:color w:val="auto"/>
          <w:szCs w:val="21"/>
        </w:rPr>
      </w:pPr>
    </w:p>
    <w:p w14:paraId="2FA35634">
      <w:pPr>
        <w:rPr>
          <w:rFonts w:hint="eastAsia" w:hAnsi="宋体"/>
          <w:color w:val="auto"/>
          <w:szCs w:val="21"/>
        </w:rPr>
      </w:pPr>
    </w:p>
    <w:p w14:paraId="5575A1DA">
      <w:pPr>
        <w:rPr>
          <w:rFonts w:hint="eastAsia" w:hAnsi="宋体"/>
          <w:color w:val="auto"/>
          <w:szCs w:val="21"/>
        </w:rPr>
      </w:pPr>
    </w:p>
    <w:p w14:paraId="0648285C">
      <w:pPr>
        <w:rPr>
          <w:rFonts w:hint="eastAsia" w:hAnsi="宋体"/>
          <w:color w:val="auto"/>
          <w:szCs w:val="21"/>
        </w:rPr>
      </w:pPr>
    </w:p>
    <w:p w14:paraId="6D7BC6A9">
      <w:pPr>
        <w:rPr>
          <w:rFonts w:hint="eastAsia" w:hAnsi="宋体"/>
          <w:color w:val="auto"/>
          <w:szCs w:val="21"/>
        </w:rPr>
      </w:pPr>
    </w:p>
    <w:p w14:paraId="47DDD2B6">
      <w:pPr>
        <w:rPr>
          <w:rFonts w:hint="eastAsia" w:hAnsi="宋体"/>
          <w:color w:val="auto"/>
          <w:szCs w:val="21"/>
        </w:rPr>
      </w:pPr>
    </w:p>
    <w:p w14:paraId="32D69516">
      <w:pPr>
        <w:rPr>
          <w:rFonts w:hint="eastAsia" w:hAnsi="宋体"/>
          <w:color w:val="auto"/>
          <w:szCs w:val="21"/>
        </w:rPr>
      </w:pPr>
    </w:p>
    <w:p w14:paraId="2CDF6D46">
      <w:pPr>
        <w:rPr>
          <w:rFonts w:hint="eastAsia" w:hAnsi="宋体"/>
          <w:color w:val="auto"/>
          <w:szCs w:val="21"/>
        </w:rPr>
      </w:pPr>
    </w:p>
    <w:p w14:paraId="6CE0B4F3">
      <w:pPr>
        <w:rPr>
          <w:rFonts w:hint="eastAsia" w:hAnsi="宋体"/>
          <w:color w:val="auto"/>
          <w:szCs w:val="21"/>
        </w:rPr>
      </w:pPr>
    </w:p>
    <w:p w14:paraId="38A54FF0">
      <w:pPr>
        <w:rPr>
          <w:rFonts w:hint="eastAsia" w:hAnsi="宋体"/>
          <w:color w:val="auto"/>
          <w:szCs w:val="21"/>
        </w:rPr>
      </w:pPr>
    </w:p>
    <w:p w14:paraId="078480C7">
      <w:pPr>
        <w:rPr>
          <w:rFonts w:hint="eastAsia" w:hAnsi="宋体"/>
          <w:color w:val="auto"/>
          <w:szCs w:val="21"/>
        </w:rPr>
      </w:pPr>
    </w:p>
    <w:p w14:paraId="7489F00E">
      <w:pPr>
        <w:rPr>
          <w:rFonts w:hint="eastAsia" w:hAnsi="宋体"/>
          <w:color w:val="auto"/>
          <w:szCs w:val="21"/>
        </w:rPr>
      </w:pPr>
    </w:p>
    <w:p w14:paraId="3FC97ED1">
      <w:pPr>
        <w:rPr>
          <w:rFonts w:hint="eastAsia" w:hAnsi="宋体"/>
          <w:color w:val="auto"/>
          <w:szCs w:val="21"/>
        </w:rPr>
      </w:pPr>
    </w:p>
    <w:p w14:paraId="5F00A292">
      <w:pPr>
        <w:pStyle w:val="14"/>
        <w:rPr>
          <w:rFonts w:hint="eastAsia"/>
          <w:color w:val="auto"/>
        </w:rPr>
      </w:pPr>
    </w:p>
    <w:p w14:paraId="5AA808AC">
      <w:pPr>
        <w:pStyle w:val="14"/>
        <w:rPr>
          <w:rFonts w:hint="eastAsia"/>
          <w:color w:val="auto"/>
        </w:rPr>
      </w:pPr>
    </w:p>
    <w:p w14:paraId="148FA8FE">
      <w:pPr>
        <w:pStyle w:val="14"/>
        <w:rPr>
          <w:rFonts w:hint="eastAsia"/>
          <w:color w:val="auto"/>
        </w:rPr>
      </w:pPr>
    </w:p>
    <w:p w14:paraId="6114F26D">
      <w:pPr>
        <w:pStyle w:val="18"/>
        <w:spacing w:line="500" w:lineRule="exact"/>
        <w:rPr>
          <w:rFonts w:hAnsi="宋体"/>
          <w:b/>
          <w:color w:val="auto"/>
          <w:sz w:val="28"/>
          <w:szCs w:val="28"/>
        </w:rPr>
      </w:pPr>
      <w:r>
        <w:rPr>
          <w:rFonts w:hint="eastAsia" w:hAnsi="宋体"/>
          <w:b/>
          <w:color w:val="auto"/>
          <w:sz w:val="28"/>
          <w:szCs w:val="28"/>
        </w:rPr>
        <w:t>格式4：</w:t>
      </w:r>
    </w:p>
    <w:p w14:paraId="00643DCD">
      <w:pPr>
        <w:pStyle w:val="3"/>
        <w:numPr>
          <w:ilvl w:val="0"/>
          <w:numId w:val="0"/>
        </w:numPr>
        <w:tabs>
          <w:tab w:val="left" w:pos="1021"/>
        </w:tabs>
        <w:ind w:left="425"/>
        <w:jc w:val="center"/>
        <w:rPr>
          <w:rFonts w:ascii="宋体" w:hAnsi="宋体" w:eastAsia="宋体"/>
          <w:color w:val="auto"/>
          <w:sz w:val="32"/>
          <w:szCs w:val="32"/>
        </w:rPr>
      </w:pPr>
      <w:bookmarkStart w:id="80" w:name="_Toc396092987"/>
      <w:bookmarkStart w:id="81" w:name="_Toc348009997"/>
      <w:bookmarkStart w:id="82" w:name="_Toc213141100"/>
      <w:bookmarkStart w:id="83" w:name="_Toc19165"/>
      <w:r>
        <w:rPr>
          <w:rFonts w:hint="eastAsia" w:ascii="宋体" w:hAnsi="宋体" w:eastAsia="宋体"/>
          <w:color w:val="auto"/>
          <w:sz w:val="32"/>
          <w:szCs w:val="32"/>
        </w:rPr>
        <w:t>商务条款偏离表</w:t>
      </w:r>
      <w:bookmarkEnd w:id="80"/>
      <w:bookmarkEnd w:id="81"/>
      <w:bookmarkEnd w:id="82"/>
      <w:bookmarkEnd w:id="83"/>
    </w:p>
    <w:p w14:paraId="2E7F5780">
      <w:pPr>
        <w:pStyle w:val="18"/>
        <w:spacing w:line="400" w:lineRule="exact"/>
        <w:ind w:firstLine="420" w:firstLineChars="200"/>
        <w:rPr>
          <w:rFonts w:hAnsi="宋体"/>
          <w:color w:val="auto"/>
          <w:sz w:val="21"/>
          <w:szCs w:val="21"/>
        </w:rPr>
      </w:pPr>
      <w:r>
        <w:rPr>
          <w:rFonts w:hint="eastAsia" w:hAnsi="宋体"/>
          <w:color w:val="auto"/>
          <w:sz w:val="21"/>
          <w:szCs w:val="21"/>
        </w:rPr>
        <w:t>投标人须逐条对应招标文件中要求的商务条款，认真填写该表。</w:t>
      </w:r>
    </w:p>
    <w:p w14:paraId="69B267B3">
      <w:pPr>
        <w:pStyle w:val="18"/>
        <w:spacing w:line="400" w:lineRule="exact"/>
        <w:ind w:firstLine="420" w:firstLineChars="200"/>
        <w:rPr>
          <w:rFonts w:hint="eastAsia" w:hAnsi="宋体"/>
          <w:b/>
          <w:color w:val="auto"/>
          <w:sz w:val="21"/>
          <w:szCs w:val="21"/>
        </w:rPr>
      </w:pPr>
      <w:r>
        <w:rPr>
          <w:rFonts w:hint="eastAsia" w:hAnsi="宋体"/>
          <w:color w:val="auto"/>
          <w:sz w:val="21"/>
          <w:szCs w:val="21"/>
        </w:rPr>
        <w:t>商务条款是指：招标文件第五章《</w:t>
      </w:r>
      <w:r>
        <w:rPr>
          <w:rFonts w:hint="eastAsia" w:hAnsi="宋体"/>
          <w:b/>
          <w:color w:val="auto"/>
          <w:sz w:val="21"/>
          <w:szCs w:val="21"/>
        </w:rPr>
        <w:t>货物需求及技术要求</w:t>
      </w:r>
      <w:r>
        <w:rPr>
          <w:rFonts w:hint="eastAsia" w:hAnsi="宋体"/>
          <w:color w:val="auto"/>
          <w:sz w:val="21"/>
          <w:szCs w:val="21"/>
        </w:rPr>
        <w:t>》和《</w:t>
      </w:r>
      <w:r>
        <w:rPr>
          <w:rFonts w:hint="eastAsia" w:hAnsi="宋体"/>
          <w:b/>
          <w:bCs/>
          <w:color w:val="auto"/>
          <w:sz w:val="21"/>
          <w:szCs w:val="21"/>
        </w:rPr>
        <w:t>合同条款资料表》</w:t>
      </w:r>
      <w:r>
        <w:rPr>
          <w:rFonts w:hint="eastAsia" w:hAnsi="宋体"/>
          <w:color w:val="auto"/>
          <w:sz w:val="21"/>
          <w:szCs w:val="21"/>
        </w:rPr>
        <w:t>中要求的</w:t>
      </w:r>
      <w:r>
        <w:rPr>
          <w:rFonts w:hint="eastAsia" w:hAnsi="宋体"/>
          <w:b/>
          <w:color w:val="auto"/>
          <w:sz w:val="21"/>
          <w:szCs w:val="21"/>
        </w:rPr>
        <w:t>业绩、服务及信誉部分、</w:t>
      </w:r>
      <w:r>
        <w:rPr>
          <w:rFonts w:hint="eastAsia" w:hAnsi="宋体"/>
          <w:b/>
          <w:color w:val="auto"/>
          <w:sz w:val="21"/>
          <w:szCs w:val="21"/>
          <w:lang w:val="en-US" w:eastAsia="zh-CN"/>
        </w:rPr>
        <w:t>服务</w:t>
      </w:r>
      <w:r>
        <w:rPr>
          <w:rFonts w:hint="eastAsia" w:hAnsi="宋体"/>
          <w:b/>
          <w:color w:val="auto"/>
          <w:sz w:val="21"/>
          <w:szCs w:val="21"/>
        </w:rPr>
        <w:t>期、付款方式等要求。</w:t>
      </w:r>
    </w:p>
    <w:p w14:paraId="22E1ED24">
      <w:pPr>
        <w:pStyle w:val="18"/>
        <w:jc w:val="left"/>
        <w:rPr>
          <w:rFonts w:hint="eastAsia" w:hAnsi="宋体"/>
          <w:b/>
          <w:color w:val="auto"/>
          <w:szCs w:val="21"/>
        </w:rPr>
      </w:pPr>
      <w:r>
        <w:rPr>
          <w:rFonts w:hint="eastAsia" w:hAnsi="宋体"/>
          <w:b/>
          <w:color w:val="auto"/>
          <w:szCs w:val="21"/>
          <w:lang w:eastAsia="zh-CN"/>
        </w:rPr>
        <w:t>项目名称：</w:t>
      </w:r>
      <w:r>
        <w:rPr>
          <w:rFonts w:hint="eastAsia" w:hAnsi="宋体"/>
          <w:b/>
          <w:color w:val="auto"/>
          <w:szCs w:val="21"/>
          <w:lang w:val="en-US" w:eastAsia="zh-CN"/>
        </w:rPr>
        <w:t>怒江职业技术学院民宿数字化实训室项目</w:t>
      </w:r>
      <w:r>
        <w:rPr>
          <w:rFonts w:hint="eastAsia" w:hAnsi="宋体"/>
          <w:b/>
          <w:color w:val="auto"/>
          <w:szCs w:val="21"/>
        </w:rPr>
        <w:t xml:space="preserve">                 </w:t>
      </w:r>
    </w:p>
    <w:p w14:paraId="21DD153A">
      <w:pPr>
        <w:pStyle w:val="18"/>
        <w:jc w:val="left"/>
        <w:rPr>
          <w:color w:val="auto"/>
        </w:rPr>
      </w:pPr>
      <w:r>
        <w:rPr>
          <w:rFonts w:hint="eastAsia" w:hAnsi="宋体"/>
          <w:b/>
          <w:color w:val="auto"/>
          <w:szCs w:val="21"/>
          <w:lang w:val="en-US" w:eastAsia="zh-CN"/>
        </w:rPr>
        <w:t>项目</w:t>
      </w:r>
      <w:r>
        <w:rPr>
          <w:rFonts w:hint="eastAsia" w:hAnsi="宋体"/>
          <w:b/>
          <w:color w:val="auto"/>
          <w:szCs w:val="21"/>
        </w:rPr>
        <w:t>编号：</w:t>
      </w:r>
    </w:p>
    <w:p w14:paraId="67BD10A4">
      <w:pPr>
        <w:pStyle w:val="18"/>
        <w:rPr>
          <w:rFonts w:hAnsi="宋体"/>
          <w:b/>
          <w:color w:val="auto"/>
          <w:szCs w:val="21"/>
        </w:rPr>
      </w:pP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2"/>
        <w:gridCol w:w="1016"/>
        <w:gridCol w:w="2416"/>
        <w:gridCol w:w="2257"/>
        <w:gridCol w:w="1493"/>
        <w:gridCol w:w="1502"/>
      </w:tblGrid>
      <w:tr w14:paraId="07C96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2" w:type="dxa"/>
            <w:noWrap w:val="0"/>
            <w:vAlign w:val="center"/>
          </w:tcPr>
          <w:p w14:paraId="5F978FC3">
            <w:pPr>
              <w:pStyle w:val="18"/>
              <w:jc w:val="center"/>
              <w:rPr>
                <w:rFonts w:hAnsi="宋体"/>
                <w:b/>
                <w:color w:val="auto"/>
                <w:kern w:val="2"/>
                <w:sz w:val="21"/>
                <w:szCs w:val="21"/>
                <w:lang w:val="en-US" w:eastAsia="zh-CN"/>
              </w:rPr>
            </w:pPr>
            <w:r>
              <w:rPr>
                <w:rFonts w:hint="eastAsia" w:hAnsi="宋体"/>
                <w:b/>
                <w:color w:val="auto"/>
                <w:kern w:val="2"/>
                <w:sz w:val="21"/>
                <w:szCs w:val="21"/>
                <w:lang w:val="en-US" w:eastAsia="zh-CN"/>
              </w:rPr>
              <w:t>序号</w:t>
            </w:r>
          </w:p>
        </w:tc>
        <w:tc>
          <w:tcPr>
            <w:tcW w:w="1016" w:type="dxa"/>
            <w:noWrap w:val="0"/>
            <w:vAlign w:val="center"/>
          </w:tcPr>
          <w:p w14:paraId="04363AA4">
            <w:pPr>
              <w:pStyle w:val="18"/>
              <w:jc w:val="center"/>
              <w:rPr>
                <w:rFonts w:hAnsi="宋体"/>
                <w:b/>
                <w:color w:val="auto"/>
                <w:kern w:val="2"/>
                <w:sz w:val="21"/>
                <w:szCs w:val="21"/>
                <w:lang w:val="en-US" w:eastAsia="zh-CN"/>
              </w:rPr>
            </w:pPr>
            <w:r>
              <w:rPr>
                <w:rFonts w:hint="eastAsia" w:hAnsi="宋体"/>
                <w:b/>
                <w:color w:val="auto"/>
                <w:kern w:val="2"/>
                <w:sz w:val="21"/>
                <w:szCs w:val="21"/>
                <w:lang w:val="en-US" w:eastAsia="zh-CN"/>
              </w:rPr>
              <w:t>招标文件页码及条目号</w:t>
            </w:r>
          </w:p>
        </w:tc>
        <w:tc>
          <w:tcPr>
            <w:tcW w:w="2416" w:type="dxa"/>
            <w:noWrap w:val="0"/>
            <w:vAlign w:val="center"/>
          </w:tcPr>
          <w:p w14:paraId="01A06EB7">
            <w:pPr>
              <w:pStyle w:val="18"/>
              <w:jc w:val="center"/>
              <w:rPr>
                <w:rFonts w:hAnsi="宋体"/>
                <w:b/>
                <w:color w:val="auto"/>
                <w:kern w:val="2"/>
                <w:sz w:val="21"/>
                <w:szCs w:val="21"/>
                <w:lang w:val="en-US" w:eastAsia="zh-CN"/>
              </w:rPr>
            </w:pPr>
            <w:r>
              <w:rPr>
                <w:rFonts w:hint="eastAsia" w:hAnsi="宋体"/>
                <w:b/>
                <w:color w:val="auto"/>
                <w:kern w:val="2"/>
                <w:sz w:val="21"/>
                <w:szCs w:val="21"/>
                <w:lang w:val="en-US" w:eastAsia="zh-CN"/>
              </w:rPr>
              <w:t>招标文件的商务条款</w:t>
            </w:r>
          </w:p>
        </w:tc>
        <w:tc>
          <w:tcPr>
            <w:tcW w:w="2257" w:type="dxa"/>
            <w:noWrap w:val="0"/>
            <w:vAlign w:val="center"/>
          </w:tcPr>
          <w:p w14:paraId="43A1A8F6">
            <w:pPr>
              <w:pStyle w:val="18"/>
              <w:jc w:val="center"/>
              <w:rPr>
                <w:rFonts w:hAnsi="宋体"/>
                <w:b/>
                <w:color w:val="auto"/>
                <w:kern w:val="2"/>
                <w:sz w:val="21"/>
                <w:szCs w:val="21"/>
                <w:lang w:val="en-US" w:eastAsia="zh-CN"/>
              </w:rPr>
            </w:pPr>
            <w:r>
              <w:rPr>
                <w:rFonts w:hint="eastAsia" w:hAnsi="宋体"/>
                <w:b/>
                <w:color w:val="auto"/>
                <w:kern w:val="2"/>
                <w:sz w:val="21"/>
                <w:szCs w:val="21"/>
                <w:lang w:val="en-US" w:eastAsia="zh-CN"/>
              </w:rPr>
              <w:t>投标文件的商务条款</w:t>
            </w:r>
          </w:p>
        </w:tc>
        <w:tc>
          <w:tcPr>
            <w:tcW w:w="1493" w:type="dxa"/>
            <w:noWrap w:val="0"/>
            <w:vAlign w:val="center"/>
          </w:tcPr>
          <w:p w14:paraId="341E2753">
            <w:pPr>
              <w:pStyle w:val="18"/>
              <w:jc w:val="center"/>
              <w:rPr>
                <w:rFonts w:hAnsi="宋体"/>
                <w:b/>
                <w:color w:val="auto"/>
                <w:kern w:val="2"/>
                <w:sz w:val="21"/>
                <w:szCs w:val="21"/>
                <w:lang w:val="en-US" w:eastAsia="zh-CN"/>
              </w:rPr>
            </w:pPr>
            <w:r>
              <w:rPr>
                <w:rFonts w:hint="eastAsia" w:hAnsi="宋体"/>
                <w:b/>
                <w:color w:val="auto"/>
                <w:kern w:val="2"/>
                <w:sz w:val="21"/>
                <w:szCs w:val="21"/>
                <w:lang w:val="en-US" w:eastAsia="zh-CN"/>
              </w:rPr>
              <w:t>响应情况说明</w:t>
            </w:r>
          </w:p>
        </w:tc>
        <w:tc>
          <w:tcPr>
            <w:tcW w:w="1502" w:type="dxa"/>
            <w:noWrap w:val="0"/>
            <w:vAlign w:val="center"/>
          </w:tcPr>
          <w:p w14:paraId="55ACD217">
            <w:pPr>
              <w:pStyle w:val="18"/>
              <w:jc w:val="center"/>
              <w:rPr>
                <w:rFonts w:hAnsi="宋体"/>
                <w:b/>
                <w:bCs/>
                <w:color w:val="auto"/>
                <w:kern w:val="2"/>
                <w:sz w:val="21"/>
                <w:szCs w:val="21"/>
                <w:lang w:val="en-US" w:eastAsia="zh-CN"/>
              </w:rPr>
            </w:pPr>
            <w:r>
              <w:rPr>
                <w:rFonts w:hint="eastAsia" w:hAnsi="宋体"/>
                <w:b/>
                <w:bCs/>
                <w:color w:val="auto"/>
                <w:kern w:val="2"/>
                <w:sz w:val="21"/>
                <w:szCs w:val="21"/>
                <w:lang w:val="en-US" w:eastAsia="zh-CN"/>
              </w:rPr>
              <w:t>商务条件支持资料索引</w:t>
            </w:r>
          </w:p>
          <w:p w14:paraId="1597F723">
            <w:pPr>
              <w:pStyle w:val="18"/>
              <w:jc w:val="center"/>
              <w:rPr>
                <w:rFonts w:hAnsi="宋体"/>
                <w:b/>
                <w:color w:val="auto"/>
                <w:kern w:val="2"/>
                <w:sz w:val="21"/>
                <w:szCs w:val="21"/>
                <w:lang w:val="en-US" w:eastAsia="zh-CN"/>
              </w:rPr>
            </w:pPr>
            <w:r>
              <w:rPr>
                <w:rFonts w:hint="eastAsia" w:hAnsi="宋体"/>
                <w:b/>
                <w:color w:val="auto"/>
                <w:kern w:val="2"/>
                <w:sz w:val="21"/>
                <w:szCs w:val="21"/>
                <w:lang w:val="en-US" w:eastAsia="zh-CN"/>
              </w:rPr>
              <w:t>（页码及条目号等）</w:t>
            </w:r>
          </w:p>
        </w:tc>
      </w:tr>
      <w:tr w14:paraId="34276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2" w:type="dxa"/>
            <w:noWrap w:val="0"/>
            <w:vAlign w:val="top"/>
          </w:tcPr>
          <w:p w14:paraId="3168ABA1">
            <w:pPr>
              <w:pStyle w:val="18"/>
              <w:rPr>
                <w:rFonts w:hAnsi="宋体"/>
                <w:color w:val="auto"/>
                <w:kern w:val="2"/>
                <w:sz w:val="21"/>
                <w:szCs w:val="21"/>
                <w:lang w:val="en-US" w:eastAsia="zh-CN"/>
              </w:rPr>
            </w:pPr>
          </w:p>
        </w:tc>
        <w:tc>
          <w:tcPr>
            <w:tcW w:w="1016" w:type="dxa"/>
            <w:noWrap w:val="0"/>
            <w:vAlign w:val="top"/>
          </w:tcPr>
          <w:p w14:paraId="7299D607">
            <w:pPr>
              <w:pStyle w:val="18"/>
              <w:rPr>
                <w:rFonts w:hAnsi="宋体"/>
                <w:color w:val="auto"/>
                <w:kern w:val="2"/>
                <w:sz w:val="21"/>
                <w:szCs w:val="21"/>
                <w:lang w:val="en-US" w:eastAsia="zh-CN"/>
              </w:rPr>
            </w:pPr>
          </w:p>
        </w:tc>
        <w:tc>
          <w:tcPr>
            <w:tcW w:w="2416" w:type="dxa"/>
            <w:noWrap w:val="0"/>
            <w:vAlign w:val="top"/>
          </w:tcPr>
          <w:p w14:paraId="308108F3">
            <w:pPr>
              <w:pStyle w:val="18"/>
              <w:rPr>
                <w:rFonts w:hAnsi="宋体"/>
                <w:color w:val="auto"/>
                <w:kern w:val="2"/>
                <w:sz w:val="21"/>
                <w:szCs w:val="21"/>
                <w:lang w:val="en-US" w:eastAsia="zh-CN"/>
              </w:rPr>
            </w:pPr>
          </w:p>
        </w:tc>
        <w:tc>
          <w:tcPr>
            <w:tcW w:w="2257" w:type="dxa"/>
            <w:noWrap w:val="0"/>
            <w:vAlign w:val="top"/>
          </w:tcPr>
          <w:p w14:paraId="1F90FF9A">
            <w:pPr>
              <w:pStyle w:val="18"/>
              <w:rPr>
                <w:rFonts w:hAnsi="宋体"/>
                <w:color w:val="auto"/>
                <w:kern w:val="2"/>
                <w:sz w:val="21"/>
                <w:szCs w:val="21"/>
                <w:lang w:val="en-US" w:eastAsia="zh-CN"/>
              </w:rPr>
            </w:pPr>
          </w:p>
        </w:tc>
        <w:tc>
          <w:tcPr>
            <w:tcW w:w="1493" w:type="dxa"/>
            <w:noWrap w:val="0"/>
            <w:vAlign w:val="top"/>
          </w:tcPr>
          <w:p w14:paraId="69938AAA">
            <w:pPr>
              <w:pStyle w:val="18"/>
              <w:rPr>
                <w:rFonts w:hAnsi="宋体"/>
                <w:color w:val="auto"/>
                <w:kern w:val="2"/>
                <w:sz w:val="21"/>
                <w:szCs w:val="21"/>
                <w:lang w:val="en-US" w:eastAsia="zh-CN"/>
              </w:rPr>
            </w:pPr>
          </w:p>
        </w:tc>
        <w:tc>
          <w:tcPr>
            <w:tcW w:w="1502" w:type="dxa"/>
            <w:noWrap w:val="0"/>
            <w:vAlign w:val="top"/>
          </w:tcPr>
          <w:p w14:paraId="1750D421">
            <w:pPr>
              <w:pStyle w:val="18"/>
              <w:rPr>
                <w:rFonts w:hAnsi="宋体"/>
                <w:color w:val="auto"/>
                <w:kern w:val="2"/>
                <w:sz w:val="21"/>
                <w:szCs w:val="21"/>
                <w:lang w:val="en-US" w:eastAsia="zh-CN"/>
              </w:rPr>
            </w:pPr>
          </w:p>
        </w:tc>
      </w:tr>
      <w:tr w14:paraId="112B3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2" w:type="dxa"/>
            <w:noWrap w:val="0"/>
            <w:vAlign w:val="top"/>
          </w:tcPr>
          <w:p w14:paraId="3D913D88">
            <w:pPr>
              <w:pStyle w:val="18"/>
              <w:rPr>
                <w:rFonts w:hAnsi="宋体"/>
                <w:color w:val="auto"/>
                <w:kern w:val="2"/>
                <w:sz w:val="21"/>
                <w:szCs w:val="21"/>
                <w:lang w:val="en-US" w:eastAsia="zh-CN"/>
              </w:rPr>
            </w:pPr>
          </w:p>
        </w:tc>
        <w:tc>
          <w:tcPr>
            <w:tcW w:w="1016" w:type="dxa"/>
            <w:noWrap w:val="0"/>
            <w:vAlign w:val="top"/>
          </w:tcPr>
          <w:p w14:paraId="6A268427">
            <w:pPr>
              <w:pStyle w:val="18"/>
              <w:rPr>
                <w:rFonts w:hAnsi="宋体"/>
                <w:color w:val="auto"/>
                <w:kern w:val="2"/>
                <w:sz w:val="21"/>
                <w:szCs w:val="21"/>
                <w:lang w:val="en-US" w:eastAsia="zh-CN"/>
              </w:rPr>
            </w:pPr>
          </w:p>
        </w:tc>
        <w:tc>
          <w:tcPr>
            <w:tcW w:w="2416" w:type="dxa"/>
            <w:noWrap w:val="0"/>
            <w:vAlign w:val="top"/>
          </w:tcPr>
          <w:p w14:paraId="1A8F0138">
            <w:pPr>
              <w:pStyle w:val="18"/>
              <w:rPr>
                <w:rFonts w:hAnsi="宋体"/>
                <w:color w:val="auto"/>
                <w:kern w:val="2"/>
                <w:sz w:val="21"/>
                <w:szCs w:val="21"/>
                <w:lang w:val="en-US" w:eastAsia="zh-CN"/>
              </w:rPr>
            </w:pPr>
          </w:p>
        </w:tc>
        <w:tc>
          <w:tcPr>
            <w:tcW w:w="2257" w:type="dxa"/>
            <w:noWrap w:val="0"/>
            <w:vAlign w:val="top"/>
          </w:tcPr>
          <w:p w14:paraId="3BAD44F7">
            <w:pPr>
              <w:pStyle w:val="18"/>
              <w:rPr>
                <w:rFonts w:hAnsi="宋体"/>
                <w:color w:val="auto"/>
                <w:kern w:val="2"/>
                <w:sz w:val="21"/>
                <w:szCs w:val="21"/>
                <w:lang w:val="en-US" w:eastAsia="zh-CN"/>
              </w:rPr>
            </w:pPr>
          </w:p>
        </w:tc>
        <w:tc>
          <w:tcPr>
            <w:tcW w:w="1493" w:type="dxa"/>
            <w:noWrap w:val="0"/>
            <w:vAlign w:val="top"/>
          </w:tcPr>
          <w:p w14:paraId="24BDF3E9">
            <w:pPr>
              <w:pStyle w:val="18"/>
              <w:rPr>
                <w:rFonts w:hAnsi="宋体"/>
                <w:color w:val="auto"/>
                <w:kern w:val="2"/>
                <w:sz w:val="21"/>
                <w:szCs w:val="21"/>
                <w:lang w:val="en-US" w:eastAsia="zh-CN"/>
              </w:rPr>
            </w:pPr>
          </w:p>
        </w:tc>
        <w:tc>
          <w:tcPr>
            <w:tcW w:w="1502" w:type="dxa"/>
            <w:noWrap w:val="0"/>
            <w:vAlign w:val="top"/>
          </w:tcPr>
          <w:p w14:paraId="104C9301">
            <w:pPr>
              <w:pStyle w:val="18"/>
              <w:rPr>
                <w:rFonts w:hAnsi="宋体"/>
                <w:color w:val="auto"/>
                <w:kern w:val="2"/>
                <w:sz w:val="21"/>
                <w:szCs w:val="21"/>
                <w:lang w:val="en-US" w:eastAsia="zh-CN"/>
              </w:rPr>
            </w:pPr>
          </w:p>
        </w:tc>
      </w:tr>
      <w:tr w14:paraId="1E80B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2" w:type="dxa"/>
            <w:noWrap w:val="0"/>
            <w:vAlign w:val="top"/>
          </w:tcPr>
          <w:p w14:paraId="4AD0DCE2">
            <w:pPr>
              <w:pStyle w:val="18"/>
              <w:rPr>
                <w:rFonts w:hAnsi="宋体"/>
                <w:color w:val="auto"/>
                <w:kern w:val="2"/>
                <w:sz w:val="21"/>
                <w:szCs w:val="21"/>
                <w:lang w:val="en-US" w:eastAsia="zh-CN"/>
              </w:rPr>
            </w:pPr>
          </w:p>
        </w:tc>
        <w:tc>
          <w:tcPr>
            <w:tcW w:w="1016" w:type="dxa"/>
            <w:noWrap w:val="0"/>
            <w:vAlign w:val="top"/>
          </w:tcPr>
          <w:p w14:paraId="1274C4E6">
            <w:pPr>
              <w:pStyle w:val="18"/>
              <w:rPr>
                <w:rFonts w:hAnsi="宋体"/>
                <w:color w:val="auto"/>
                <w:kern w:val="2"/>
                <w:sz w:val="21"/>
                <w:szCs w:val="21"/>
                <w:lang w:val="en-US" w:eastAsia="zh-CN"/>
              </w:rPr>
            </w:pPr>
          </w:p>
        </w:tc>
        <w:tc>
          <w:tcPr>
            <w:tcW w:w="2416" w:type="dxa"/>
            <w:noWrap w:val="0"/>
            <w:vAlign w:val="top"/>
          </w:tcPr>
          <w:p w14:paraId="74478A89">
            <w:pPr>
              <w:pStyle w:val="18"/>
              <w:rPr>
                <w:rFonts w:hAnsi="宋体"/>
                <w:color w:val="auto"/>
                <w:kern w:val="2"/>
                <w:sz w:val="21"/>
                <w:szCs w:val="21"/>
                <w:lang w:val="en-US" w:eastAsia="zh-CN"/>
              </w:rPr>
            </w:pPr>
          </w:p>
        </w:tc>
        <w:tc>
          <w:tcPr>
            <w:tcW w:w="2257" w:type="dxa"/>
            <w:noWrap w:val="0"/>
            <w:vAlign w:val="top"/>
          </w:tcPr>
          <w:p w14:paraId="796096F4">
            <w:pPr>
              <w:pStyle w:val="18"/>
              <w:rPr>
                <w:rFonts w:hAnsi="宋体"/>
                <w:color w:val="auto"/>
                <w:kern w:val="2"/>
                <w:sz w:val="21"/>
                <w:szCs w:val="21"/>
                <w:lang w:val="en-US" w:eastAsia="zh-CN"/>
              </w:rPr>
            </w:pPr>
          </w:p>
        </w:tc>
        <w:tc>
          <w:tcPr>
            <w:tcW w:w="1493" w:type="dxa"/>
            <w:noWrap w:val="0"/>
            <w:vAlign w:val="top"/>
          </w:tcPr>
          <w:p w14:paraId="18D48ACD">
            <w:pPr>
              <w:pStyle w:val="18"/>
              <w:rPr>
                <w:rFonts w:hAnsi="宋体"/>
                <w:color w:val="auto"/>
                <w:kern w:val="2"/>
                <w:sz w:val="21"/>
                <w:szCs w:val="21"/>
                <w:lang w:val="en-US" w:eastAsia="zh-CN"/>
              </w:rPr>
            </w:pPr>
          </w:p>
        </w:tc>
        <w:tc>
          <w:tcPr>
            <w:tcW w:w="1502" w:type="dxa"/>
            <w:noWrap w:val="0"/>
            <w:vAlign w:val="top"/>
          </w:tcPr>
          <w:p w14:paraId="22E3664A">
            <w:pPr>
              <w:pStyle w:val="18"/>
              <w:rPr>
                <w:rFonts w:hAnsi="宋体"/>
                <w:color w:val="auto"/>
                <w:kern w:val="2"/>
                <w:sz w:val="21"/>
                <w:szCs w:val="21"/>
                <w:lang w:val="en-US" w:eastAsia="zh-CN"/>
              </w:rPr>
            </w:pPr>
          </w:p>
        </w:tc>
      </w:tr>
      <w:tr w14:paraId="61148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2" w:type="dxa"/>
            <w:noWrap w:val="0"/>
            <w:vAlign w:val="top"/>
          </w:tcPr>
          <w:p w14:paraId="146BB913">
            <w:pPr>
              <w:pStyle w:val="18"/>
              <w:rPr>
                <w:rFonts w:hAnsi="宋体"/>
                <w:color w:val="auto"/>
                <w:kern w:val="2"/>
                <w:sz w:val="21"/>
                <w:szCs w:val="21"/>
                <w:lang w:val="en-US" w:eastAsia="zh-CN"/>
              </w:rPr>
            </w:pPr>
          </w:p>
        </w:tc>
        <w:tc>
          <w:tcPr>
            <w:tcW w:w="1016" w:type="dxa"/>
            <w:noWrap w:val="0"/>
            <w:vAlign w:val="top"/>
          </w:tcPr>
          <w:p w14:paraId="0FF8D511">
            <w:pPr>
              <w:pStyle w:val="18"/>
              <w:rPr>
                <w:rFonts w:hAnsi="宋体"/>
                <w:color w:val="auto"/>
                <w:kern w:val="2"/>
                <w:sz w:val="21"/>
                <w:szCs w:val="21"/>
                <w:lang w:val="en-US" w:eastAsia="zh-CN"/>
              </w:rPr>
            </w:pPr>
          </w:p>
        </w:tc>
        <w:tc>
          <w:tcPr>
            <w:tcW w:w="2416" w:type="dxa"/>
            <w:noWrap w:val="0"/>
            <w:vAlign w:val="top"/>
          </w:tcPr>
          <w:p w14:paraId="0FF17617">
            <w:pPr>
              <w:pStyle w:val="18"/>
              <w:rPr>
                <w:rFonts w:hAnsi="宋体"/>
                <w:color w:val="auto"/>
                <w:kern w:val="2"/>
                <w:sz w:val="21"/>
                <w:szCs w:val="21"/>
                <w:lang w:val="en-US" w:eastAsia="zh-CN"/>
              </w:rPr>
            </w:pPr>
          </w:p>
        </w:tc>
        <w:tc>
          <w:tcPr>
            <w:tcW w:w="2257" w:type="dxa"/>
            <w:noWrap w:val="0"/>
            <w:vAlign w:val="top"/>
          </w:tcPr>
          <w:p w14:paraId="6FD2272E">
            <w:pPr>
              <w:pStyle w:val="18"/>
              <w:rPr>
                <w:rFonts w:hAnsi="宋体"/>
                <w:color w:val="auto"/>
                <w:kern w:val="2"/>
                <w:sz w:val="21"/>
                <w:szCs w:val="21"/>
                <w:lang w:val="en-US" w:eastAsia="zh-CN"/>
              </w:rPr>
            </w:pPr>
          </w:p>
        </w:tc>
        <w:tc>
          <w:tcPr>
            <w:tcW w:w="1493" w:type="dxa"/>
            <w:noWrap w:val="0"/>
            <w:vAlign w:val="top"/>
          </w:tcPr>
          <w:p w14:paraId="562139C6">
            <w:pPr>
              <w:pStyle w:val="18"/>
              <w:rPr>
                <w:rFonts w:hAnsi="宋体"/>
                <w:color w:val="auto"/>
                <w:kern w:val="2"/>
                <w:sz w:val="21"/>
                <w:szCs w:val="21"/>
                <w:lang w:val="en-US" w:eastAsia="zh-CN"/>
              </w:rPr>
            </w:pPr>
          </w:p>
        </w:tc>
        <w:tc>
          <w:tcPr>
            <w:tcW w:w="1502" w:type="dxa"/>
            <w:noWrap w:val="0"/>
            <w:vAlign w:val="top"/>
          </w:tcPr>
          <w:p w14:paraId="3CF9942B">
            <w:pPr>
              <w:pStyle w:val="18"/>
              <w:rPr>
                <w:rFonts w:hAnsi="宋体"/>
                <w:color w:val="auto"/>
                <w:kern w:val="2"/>
                <w:sz w:val="21"/>
                <w:szCs w:val="21"/>
                <w:lang w:val="en-US" w:eastAsia="zh-CN"/>
              </w:rPr>
            </w:pPr>
          </w:p>
        </w:tc>
      </w:tr>
      <w:tr w14:paraId="72816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2" w:type="dxa"/>
            <w:noWrap w:val="0"/>
            <w:vAlign w:val="top"/>
          </w:tcPr>
          <w:p w14:paraId="4681B14E">
            <w:pPr>
              <w:pStyle w:val="18"/>
              <w:rPr>
                <w:rFonts w:hAnsi="宋体"/>
                <w:color w:val="auto"/>
                <w:kern w:val="2"/>
                <w:sz w:val="21"/>
                <w:szCs w:val="21"/>
                <w:lang w:val="en-US" w:eastAsia="zh-CN"/>
              </w:rPr>
            </w:pPr>
          </w:p>
        </w:tc>
        <w:tc>
          <w:tcPr>
            <w:tcW w:w="1016" w:type="dxa"/>
            <w:noWrap w:val="0"/>
            <w:vAlign w:val="top"/>
          </w:tcPr>
          <w:p w14:paraId="1A09663F">
            <w:pPr>
              <w:pStyle w:val="18"/>
              <w:rPr>
                <w:rFonts w:hAnsi="宋体"/>
                <w:color w:val="auto"/>
                <w:kern w:val="2"/>
                <w:sz w:val="21"/>
                <w:szCs w:val="21"/>
                <w:lang w:val="en-US" w:eastAsia="zh-CN"/>
              </w:rPr>
            </w:pPr>
          </w:p>
        </w:tc>
        <w:tc>
          <w:tcPr>
            <w:tcW w:w="2416" w:type="dxa"/>
            <w:noWrap w:val="0"/>
            <w:vAlign w:val="top"/>
          </w:tcPr>
          <w:p w14:paraId="10C53377">
            <w:pPr>
              <w:pStyle w:val="18"/>
              <w:rPr>
                <w:rFonts w:hAnsi="宋体"/>
                <w:color w:val="auto"/>
                <w:kern w:val="2"/>
                <w:sz w:val="21"/>
                <w:szCs w:val="21"/>
                <w:lang w:val="en-US" w:eastAsia="zh-CN"/>
              </w:rPr>
            </w:pPr>
          </w:p>
        </w:tc>
        <w:tc>
          <w:tcPr>
            <w:tcW w:w="2257" w:type="dxa"/>
            <w:noWrap w:val="0"/>
            <w:vAlign w:val="top"/>
          </w:tcPr>
          <w:p w14:paraId="1E4962F5">
            <w:pPr>
              <w:pStyle w:val="18"/>
              <w:rPr>
                <w:rFonts w:hAnsi="宋体"/>
                <w:color w:val="auto"/>
                <w:kern w:val="2"/>
                <w:sz w:val="21"/>
                <w:szCs w:val="21"/>
                <w:lang w:val="en-US" w:eastAsia="zh-CN"/>
              </w:rPr>
            </w:pPr>
          </w:p>
        </w:tc>
        <w:tc>
          <w:tcPr>
            <w:tcW w:w="1493" w:type="dxa"/>
            <w:noWrap w:val="0"/>
            <w:vAlign w:val="top"/>
          </w:tcPr>
          <w:p w14:paraId="5FA92005">
            <w:pPr>
              <w:pStyle w:val="18"/>
              <w:rPr>
                <w:rFonts w:hAnsi="宋体"/>
                <w:color w:val="auto"/>
                <w:kern w:val="2"/>
                <w:sz w:val="21"/>
                <w:szCs w:val="21"/>
                <w:lang w:val="en-US" w:eastAsia="zh-CN"/>
              </w:rPr>
            </w:pPr>
          </w:p>
        </w:tc>
        <w:tc>
          <w:tcPr>
            <w:tcW w:w="1502" w:type="dxa"/>
            <w:noWrap w:val="0"/>
            <w:vAlign w:val="top"/>
          </w:tcPr>
          <w:p w14:paraId="482DC9C7">
            <w:pPr>
              <w:pStyle w:val="18"/>
              <w:rPr>
                <w:rFonts w:hAnsi="宋体"/>
                <w:color w:val="auto"/>
                <w:kern w:val="2"/>
                <w:sz w:val="21"/>
                <w:szCs w:val="21"/>
                <w:lang w:val="en-US" w:eastAsia="zh-CN"/>
              </w:rPr>
            </w:pPr>
          </w:p>
        </w:tc>
      </w:tr>
      <w:tr w14:paraId="5E221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2" w:type="dxa"/>
            <w:noWrap w:val="0"/>
            <w:vAlign w:val="top"/>
          </w:tcPr>
          <w:p w14:paraId="446658BD">
            <w:pPr>
              <w:pStyle w:val="18"/>
              <w:rPr>
                <w:rFonts w:hAnsi="宋体"/>
                <w:color w:val="auto"/>
                <w:kern w:val="2"/>
                <w:sz w:val="21"/>
                <w:szCs w:val="21"/>
                <w:lang w:val="en-US" w:eastAsia="zh-CN"/>
              </w:rPr>
            </w:pPr>
          </w:p>
        </w:tc>
        <w:tc>
          <w:tcPr>
            <w:tcW w:w="1016" w:type="dxa"/>
            <w:noWrap w:val="0"/>
            <w:vAlign w:val="top"/>
          </w:tcPr>
          <w:p w14:paraId="5AF6B60D">
            <w:pPr>
              <w:pStyle w:val="18"/>
              <w:rPr>
                <w:rFonts w:hAnsi="宋体"/>
                <w:color w:val="auto"/>
                <w:kern w:val="2"/>
                <w:sz w:val="21"/>
                <w:szCs w:val="21"/>
                <w:lang w:val="en-US" w:eastAsia="zh-CN"/>
              </w:rPr>
            </w:pPr>
          </w:p>
        </w:tc>
        <w:tc>
          <w:tcPr>
            <w:tcW w:w="2416" w:type="dxa"/>
            <w:noWrap w:val="0"/>
            <w:vAlign w:val="top"/>
          </w:tcPr>
          <w:p w14:paraId="4B19C6D5">
            <w:pPr>
              <w:pStyle w:val="18"/>
              <w:rPr>
                <w:rFonts w:hAnsi="宋体"/>
                <w:color w:val="auto"/>
                <w:kern w:val="2"/>
                <w:sz w:val="21"/>
                <w:szCs w:val="21"/>
                <w:lang w:val="en-US" w:eastAsia="zh-CN"/>
              </w:rPr>
            </w:pPr>
          </w:p>
        </w:tc>
        <w:tc>
          <w:tcPr>
            <w:tcW w:w="2257" w:type="dxa"/>
            <w:noWrap w:val="0"/>
            <w:vAlign w:val="top"/>
          </w:tcPr>
          <w:p w14:paraId="605BECC0">
            <w:pPr>
              <w:pStyle w:val="18"/>
              <w:rPr>
                <w:rFonts w:hAnsi="宋体"/>
                <w:color w:val="auto"/>
                <w:kern w:val="2"/>
                <w:sz w:val="21"/>
                <w:szCs w:val="21"/>
                <w:lang w:val="en-US" w:eastAsia="zh-CN"/>
              </w:rPr>
            </w:pPr>
          </w:p>
        </w:tc>
        <w:tc>
          <w:tcPr>
            <w:tcW w:w="1493" w:type="dxa"/>
            <w:noWrap w:val="0"/>
            <w:vAlign w:val="top"/>
          </w:tcPr>
          <w:p w14:paraId="6F1060B3">
            <w:pPr>
              <w:pStyle w:val="18"/>
              <w:rPr>
                <w:rFonts w:hAnsi="宋体"/>
                <w:color w:val="auto"/>
                <w:kern w:val="2"/>
                <w:sz w:val="21"/>
                <w:szCs w:val="21"/>
                <w:lang w:val="en-US" w:eastAsia="zh-CN"/>
              </w:rPr>
            </w:pPr>
          </w:p>
        </w:tc>
        <w:tc>
          <w:tcPr>
            <w:tcW w:w="1502" w:type="dxa"/>
            <w:noWrap w:val="0"/>
            <w:vAlign w:val="top"/>
          </w:tcPr>
          <w:p w14:paraId="448D781B">
            <w:pPr>
              <w:pStyle w:val="18"/>
              <w:rPr>
                <w:rFonts w:hAnsi="宋体"/>
                <w:color w:val="auto"/>
                <w:kern w:val="2"/>
                <w:sz w:val="21"/>
                <w:szCs w:val="21"/>
                <w:lang w:val="en-US" w:eastAsia="zh-CN"/>
              </w:rPr>
            </w:pPr>
          </w:p>
        </w:tc>
      </w:tr>
      <w:tr w14:paraId="60B61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2" w:type="dxa"/>
            <w:noWrap w:val="0"/>
            <w:vAlign w:val="top"/>
          </w:tcPr>
          <w:p w14:paraId="7EC5F0BE">
            <w:pPr>
              <w:pStyle w:val="18"/>
              <w:rPr>
                <w:rFonts w:hAnsi="宋体"/>
                <w:color w:val="auto"/>
                <w:kern w:val="2"/>
                <w:sz w:val="21"/>
                <w:szCs w:val="21"/>
                <w:lang w:val="en-US" w:eastAsia="zh-CN"/>
              </w:rPr>
            </w:pPr>
          </w:p>
        </w:tc>
        <w:tc>
          <w:tcPr>
            <w:tcW w:w="1016" w:type="dxa"/>
            <w:noWrap w:val="0"/>
            <w:vAlign w:val="top"/>
          </w:tcPr>
          <w:p w14:paraId="198AD99B">
            <w:pPr>
              <w:pStyle w:val="18"/>
              <w:rPr>
                <w:rFonts w:hAnsi="宋体"/>
                <w:color w:val="auto"/>
                <w:kern w:val="2"/>
                <w:sz w:val="21"/>
                <w:szCs w:val="21"/>
                <w:lang w:val="en-US" w:eastAsia="zh-CN"/>
              </w:rPr>
            </w:pPr>
          </w:p>
        </w:tc>
        <w:tc>
          <w:tcPr>
            <w:tcW w:w="2416" w:type="dxa"/>
            <w:noWrap w:val="0"/>
            <w:vAlign w:val="top"/>
          </w:tcPr>
          <w:p w14:paraId="456A8AEE">
            <w:pPr>
              <w:pStyle w:val="18"/>
              <w:rPr>
                <w:rFonts w:hAnsi="宋体"/>
                <w:color w:val="auto"/>
                <w:kern w:val="2"/>
                <w:sz w:val="21"/>
                <w:szCs w:val="21"/>
                <w:lang w:val="en-US" w:eastAsia="zh-CN"/>
              </w:rPr>
            </w:pPr>
          </w:p>
        </w:tc>
        <w:tc>
          <w:tcPr>
            <w:tcW w:w="2257" w:type="dxa"/>
            <w:noWrap w:val="0"/>
            <w:vAlign w:val="top"/>
          </w:tcPr>
          <w:p w14:paraId="0C7F47C9">
            <w:pPr>
              <w:pStyle w:val="18"/>
              <w:rPr>
                <w:rFonts w:hAnsi="宋体"/>
                <w:color w:val="auto"/>
                <w:kern w:val="2"/>
                <w:sz w:val="21"/>
                <w:szCs w:val="21"/>
                <w:lang w:val="en-US" w:eastAsia="zh-CN"/>
              </w:rPr>
            </w:pPr>
          </w:p>
        </w:tc>
        <w:tc>
          <w:tcPr>
            <w:tcW w:w="1493" w:type="dxa"/>
            <w:noWrap w:val="0"/>
            <w:vAlign w:val="top"/>
          </w:tcPr>
          <w:p w14:paraId="6D4C7561">
            <w:pPr>
              <w:pStyle w:val="18"/>
              <w:rPr>
                <w:rFonts w:hAnsi="宋体"/>
                <w:color w:val="auto"/>
                <w:kern w:val="2"/>
                <w:sz w:val="21"/>
                <w:szCs w:val="21"/>
                <w:lang w:val="en-US" w:eastAsia="zh-CN"/>
              </w:rPr>
            </w:pPr>
          </w:p>
        </w:tc>
        <w:tc>
          <w:tcPr>
            <w:tcW w:w="1502" w:type="dxa"/>
            <w:noWrap w:val="0"/>
            <w:vAlign w:val="top"/>
          </w:tcPr>
          <w:p w14:paraId="32A2E46B">
            <w:pPr>
              <w:pStyle w:val="18"/>
              <w:rPr>
                <w:rFonts w:hAnsi="宋体"/>
                <w:color w:val="auto"/>
                <w:kern w:val="2"/>
                <w:sz w:val="21"/>
                <w:szCs w:val="21"/>
                <w:lang w:val="en-US" w:eastAsia="zh-CN"/>
              </w:rPr>
            </w:pPr>
          </w:p>
        </w:tc>
      </w:tr>
      <w:tr w14:paraId="78162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2" w:type="dxa"/>
            <w:noWrap w:val="0"/>
            <w:vAlign w:val="top"/>
          </w:tcPr>
          <w:p w14:paraId="74E0F0B7">
            <w:pPr>
              <w:pStyle w:val="18"/>
              <w:rPr>
                <w:rFonts w:hAnsi="宋体"/>
                <w:color w:val="auto"/>
                <w:kern w:val="2"/>
                <w:sz w:val="21"/>
                <w:szCs w:val="21"/>
                <w:lang w:val="en-US" w:eastAsia="zh-CN"/>
              </w:rPr>
            </w:pPr>
          </w:p>
        </w:tc>
        <w:tc>
          <w:tcPr>
            <w:tcW w:w="1016" w:type="dxa"/>
            <w:noWrap w:val="0"/>
            <w:vAlign w:val="top"/>
          </w:tcPr>
          <w:p w14:paraId="01A79804">
            <w:pPr>
              <w:pStyle w:val="18"/>
              <w:rPr>
                <w:rFonts w:hAnsi="宋体"/>
                <w:color w:val="auto"/>
                <w:kern w:val="2"/>
                <w:sz w:val="21"/>
                <w:szCs w:val="21"/>
                <w:lang w:val="en-US" w:eastAsia="zh-CN"/>
              </w:rPr>
            </w:pPr>
          </w:p>
        </w:tc>
        <w:tc>
          <w:tcPr>
            <w:tcW w:w="2416" w:type="dxa"/>
            <w:noWrap w:val="0"/>
            <w:vAlign w:val="top"/>
          </w:tcPr>
          <w:p w14:paraId="04A9655F">
            <w:pPr>
              <w:pStyle w:val="18"/>
              <w:rPr>
                <w:rFonts w:hAnsi="宋体"/>
                <w:color w:val="auto"/>
                <w:kern w:val="2"/>
                <w:sz w:val="21"/>
                <w:szCs w:val="21"/>
                <w:lang w:val="en-US" w:eastAsia="zh-CN"/>
              </w:rPr>
            </w:pPr>
          </w:p>
        </w:tc>
        <w:tc>
          <w:tcPr>
            <w:tcW w:w="2257" w:type="dxa"/>
            <w:noWrap w:val="0"/>
            <w:vAlign w:val="top"/>
          </w:tcPr>
          <w:p w14:paraId="3F6EEE26">
            <w:pPr>
              <w:pStyle w:val="18"/>
              <w:rPr>
                <w:rFonts w:hAnsi="宋体"/>
                <w:color w:val="auto"/>
                <w:kern w:val="2"/>
                <w:sz w:val="21"/>
                <w:szCs w:val="21"/>
                <w:lang w:val="en-US" w:eastAsia="zh-CN"/>
              </w:rPr>
            </w:pPr>
          </w:p>
        </w:tc>
        <w:tc>
          <w:tcPr>
            <w:tcW w:w="1493" w:type="dxa"/>
            <w:noWrap w:val="0"/>
            <w:vAlign w:val="top"/>
          </w:tcPr>
          <w:p w14:paraId="702FB9A5">
            <w:pPr>
              <w:pStyle w:val="18"/>
              <w:rPr>
                <w:rFonts w:hAnsi="宋体"/>
                <w:color w:val="auto"/>
                <w:kern w:val="2"/>
                <w:sz w:val="21"/>
                <w:szCs w:val="21"/>
                <w:lang w:val="en-US" w:eastAsia="zh-CN"/>
              </w:rPr>
            </w:pPr>
          </w:p>
        </w:tc>
        <w:tc>
          <w:tcPr>
            <w:tcW w:w="1502" w:type="dxa"/>
            <w:noWrap w:val="0"/>
            <w:vAlign w:val="top"/>
          </w:tcPr>
          <w:p w14:paraId="0F62BC8D">
            <w:pPr>
              <w:pStyle w:val="18"/>
              <w:rPr>
                <w:rFonts w:hAnsi="宋体"/>
                <w:color w:val="auto"/>
                <w:kern w:val="2"/>
                <w:sz w:val="21"/>
                <w:szCs w:val="21"/>
                <w:lang w:val="en-US" w:eastAsia="zh-CN"/>
              </w:rPr>
            </w:pPr>
          </w:p>
        </w:tc>
      </w:tr>
      <w:tr w14:paraId="57C0B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2" w:type="dxa"/>
            <w:noWrap w:val="0"/>
            <w:vAlign w:val="top"/>
          </w:tcPr>
          <w:p w14:paraId="2F02015D">
            <w:pPr>
              <w:pStyle w:val="18"/>
              <w:rPr>
                <w:rFonts w:hAnsi="宋体"/>
                <w:color w:val="auto"/>
                <w:kern w:val="2"/>
                <w:sz w:val="21"/>
                <w:szCs w:val="21"/>
                <w:lang w:val="en-US" w:eastAsia="zh-CN"/>
              </w:rPr>
            </w:pPr>
          </w:p>
        </w:tc>
        <w:tc>
          <w:tcPr>
            <w:tcW w:w="1016" w:type="dxa"/>
            <w:noWrap w:val="0"/>
            <w:vAlign w:val="top"/>
          </w:tcPr>
          <w:p w14:paraId="27F63370">
            <w:pPr>
              <w:pStyle w:val="18"/>
              <w:rPr>
                <w:rFonts w:hAnsi="宋体"/>
                <w:color w:val="auto"/>
                <w:kern w:val="2"/>
                <w:sz w:val="21"/>
                <w:szCs w:val="21"/>
                <w:lang w:val="en-US" w:eastAsia="zh-CN"/>
              </w:rPr>
            </w:pPr>
          </w:p>
        </w:tc>
        <w:tc>
          <w:tcPr>
            <w:tcW w:w="2416" w:type="dxa"/>
            <w:noWrap w:val="0"/>
            <w:vAlign w:val="top"/>
          </w:tcPr>
          <w:p w14:paraId="76CAC233">
            <w:pPr>
              <w:pStyle w:val="18"/>
              <w:rPr>
                <w:rFonts w:hAnsi="宋体"/>
                <w:color w:val="auto"/>
                <w:kern w:val="2"/>
                <w:sz w:val="21"/>
                <w:szCs w:val="21"/>
                <w:lang w:val="en-US" w:eastAsia="zh-CN"/>
              </w:rPr>
            </w:pPr>
          </w:p>
        </w:tc>
        <w:tc>
          <w:tcPr>
            <w:tcW w:w="2257" w:type="dxa"/>
            <w:noWrap w:val="0"/>
            <w:vAlign w:val="top"/>
          </w:tcPr>
          <w:p w14:paraId="2815A776">
            <w:pPr>
              <w:pStyle w:val="18"/>
              <w:rPr>
                <w:rFonts w:hAnsi="宋体"/>
                <w:color w:val="auto"/>
                <w:kern w:val="2"/>
                <w:sz w:val="21"/>
                <w:szCs w:val="21"/>
                <w:lang w:val="en-US" w:eastAsia="zh-CN"/>
              </w:rPr>
            </w:pPr>
          </w:p>
        </w:tc>
        <w:tc>
          <w:tcPr>
            <w:tcW w:w="1493" w:type="dxa"/>
            <w:noWrap w:val="0"/>
            <w:vAlign w:val="top"/>
          </w:tcPr>
          <w:p w14:paraId="4706394F">
            <w:pPr>
              <w:pStyle w:val="18"/>
              <w:rPr>
                <w:rFonts w:hAnsi="宋体"/>
                <w:color w:val="auto"/>
                <w:kern w:val="2"/>
                <w:sz w:val="21"/>
                <w:szCs w:val="21"/>
                <w:lang w:val="en-US" w:eastAsia="zh-CN"/>
              </w:rPr>
            </w:pPr>
          </w:p>
        </w:tc>
        <w:tc>
          <w:tcPr>
            <w:tcW w:w="1502" w:type="dxa"/>
            <w:noWrap w:val="0"/>
            <w:vAlign w:val="top"/>
          </w:tcPr>
          <w:p w14:paraId="25219FB2">
            <w:pPr>
              <w:pStyle w:val="18"/>
              <w:rPr>
                <w:rFonts w:hAnsi="宋体"/>
                <w:color w:val="auto"/>
                <w:kern w:val="2"/>
                <w:sz w:val="21"/>
                <w:szCs w:val="21"/>
                <w:lang w:val="en-US" w:eastAsia="zh-CN"/>
              </w:rPr>
            </w:pPr>
          </w:p>
        </w:tc>
      </w:tr>
      <w:tr w14:paraId="5CCB1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2" w:type="dxa"/>
            <w:noWrap w:val="0"/>
            <w:vAlign w:val="top"/>
          </w:tcPr>
          <w:p w14:paraId="22DF7B3E">
            <w:pPr>
              <w:pStyle w:val="18"/>
              <w:rPr>
                <w:rFonts w:hAnsi="宋体"/>
                <w:color w:val="auto"/>
                <w:kern w:val="2"/>
                <w:sz w:val="21"/>
                <w:szCs w:val="21"/>
                <w:lang w:val="en-US" w:eastAsia="zh-CN"/>
              </w:rPr>
            </w:pPr>
          </w:p>
        </w:tc>
        <w:tc>
          <w:tcPr>
            <w:tcW w:w="1016" w:type="dxa"/>
            <w:noWrap w:val="0"/>
            <w:vAlign w:val="top"/>
          </w:tcPr>
          <w:p w14:paraId="1DEB58C6">
            <w:pPr>
              <w:pStyle w:val="18"/>
              <w:rPr>
                <w:rFonts w:hAnsi="宋体"/>
                <w:color w:val="auto"/>
                <w:kern w:val="2"/>
                <w:sz w:val="21"/>
                <w:szCs w:val="21"/>
                <w:lang w:val="en-US" w:eastAsia="zh-CN"/>
              </w:rPr>
            </w:pPr>
          </w:p>
        </w:tc>
        <w:tc>
          <w:tcPr>
            <w:tcW w:w="2416" w:type="dxa"/>
            <w:noWrap w:val="0"/>
            <w:vAlign w:val="top"/>
          </w:tcPr>
          <w:p w14:paraId="30F9BF55">
            <w:pPr>
              <w:pStyle w:val="18"/>
              <w:rPr>
                <w:rFonts w:hAnsi="宋体"/>
                <w:color w:val="auto"/>
                <w:kern w:val="2"/>
                <w:sz w:val="21"/>
                <w:szCs w:val="21"/>
                <w:lang w:val="en-US" w:eastAsia="zh-CN"/>
              </w:rPr>
            </w:pPr>
          </w:p>
        </w:tc>
        <w:tc>
          <w:tcPr>
            <w:tcW w:w="2257" w:type="dxa"/>
            <w:noWrap w:val="0"/>
            <w:vAlign w:val="top"/>
          </w:tcPr>
          <w:p w14:paraId="61CC26AD">
            <w:pPr>
              <w:pStyle w:val="18"/>
              <w:rPr>
                <w:rFonts w:hAnsi="宋体"/>
                <w:color w:val="auto"/>
                <w:kern w:val="2"/>
                <w:sz w:val="21"/>
                <w:szCs w:val="21"/>
                <w:lang w:val="en-US" w:eastAsia="zh-CN"/>
              </w:rPr>
            </w:pPr>
          </w:p>
        </w:tc>
        <w:tc>
          <w:tcPr>
            <w:tcW w:w="1493" w:type="dxa"/>
            <w:noWrap w:val="0"/>
            <w:vAlign w:val="top"/>
          </w:tcPr>
          <w:p w14:paraId="0075F024">
            <w:pPr>
              <w:pStyle w:val="18"/>
              <w:rPr>
                <w:rFonts w:hAnsi="宋体"/>
                <w:color w:val="auto"/>
                <w:kern w:val="2"/>
                <w:sz w:val="21"/>
                <w:szCs w:val="21"/>
                <w:lang w:val="en-US" w:eastAsia="zh-CN"/>
              </w:rPr>
            </w:pPr>
          </w:p>
        </w:tc>
        <w:tc>
          <w:tcPr>
            <w:tcW w:w="1502" w:type="dxa"/>
            <w:noWrap w:val="0"/>
            <w:vAlign w:val="top"/>
          </w:tcPr>
          <w:p w14:paraId="0DFC02FC">
            <w:pPr>
              <w:pStyle w:val="18"/>
              <w:rPr>
                <w:rFonts w:hAnsi="宋体"/>
                <w:color w:val="auto"/>
                <w:kern w:val="2"/>
                <w:sz w:val="21"/>
                <w:szCs w:val="21"/>
                <w:lang w:val="en-US" w:eastAsia="zh-CN"/>
              </w:rPr>
            </w:pPr>
          </w:p>
        </w:tc>
      </w:tr>
    </w:tbl>
    <w:p w14:paraId="08CB0EC5">
      <w:pPr>
        <w:pStyle w:val="18"/>
        <w:spacing w:line="600" w:lineRule="exact"/>
        <w:rPr>
          <w:rFonts w:hAnsi="宋体"/>
          <w:b/>
          <w:color w:val="auto"/>
          <w:sz w:val="21"/>
          <w:szCs w:val="21"/>
        </w:rPr>
      </w:pPr>
      <w:r>
        <w:rPr>
          <w:rFonts w:hint="eastAsia" w:hAnsi="宋体"/>
          <w:b/>
          <w:color w:val="auto"/>
          <w:sz w:val="21"/>
          <w:szCs w:val="21"/>
          <w:lang w:eastAsia="zh-CN"/>
        </w:rPr>
        <w:t xml:space="preserve">    </w:t>
      </w:r>
      <w:r>
        <w:rPr>
          <w:rFonts w:hint="eastAsia" w:hAnsi="宋体"/>
          <w:b/>
          <w:color w:val="auto"/>
          <w:sz w:val="21"/>
          <w:szCs w:val="21"/>
        </w:rPr>
        <w:t>注：对于投标产品商务条款响应要求需有证明材料支持的，必须在投标文件中提供证明材料，并将该证明材料在投标文件中的索引（页码及条目号等）标注在“</w:t>
      </w:r>
      <w:r>
        <w:rPr>
          <w:rFonts w:hint="eastAsia" w:hAnsi="宋体"/>
          <w:b/>
          <w:bCs/>
          <w:color w:val="auto"/>
          <w:sz w:val="21"/>
          <w:szCs w:val="21"/>
        </w:rPr>
        <w:t>商务条件支持资料索引</w:t>
      </w:r>
      <w:r>
        <w:rPr>
          <w:rFonts w:hint="eastAsia" w:hAnsi="宋体"/>
          <w:b/>
          <w:color w:val="auto"/>
          <w:sz w:val="21"/>
          <w:szCs w:val="21"/>
        </w:rPr>
        <w:t>”中。</w:t>
      </w:r>
    </w:p>
    <w:p w14:paraId="18A95188">
      <w:pPr>
        <w:pStyle w:val="18"/>
        <w:spacing w:line="600" w:lineRule="exact"/>
        <w:rPr>
          <w:rFonts w:hAnsi="宋体"/>
          <w:color w:val="auto"/>
          <w:sz w:val="21"/>
          <w:szCs w:val="21"/>
        </w:rPr>
      </w:pPr>
    </w:p>
    <w:p w14:paraId="02558C8F">
      <w:pPr>
        <w:pStyle w:val="18"/>
        <w:spacing w:line="600" w:lineRule="exact"/>
        <w:jc w:val="right"/>
        <w:rPr>
          <w:rFonts w:hAnsi="宋体"/>
          <w:color w:val="auto"/>
          <w:sz w:val="21"/>
          <w:szCs w:val="21"/>
        </w:rPr>
      </w:pPr>
      <w:r>
        <w:rPr>
          <w:rFonts w:hint="eastAsia" w:hAnsi="宋体"/>
          <w:color w:val="auto"/>
          <w:sz w:val="21"/>
          <w:szCs w:val="21"/>
          <w:lang w:eastAsia="zh-CN"/>
        </w:rPr>
        <w:t>法定代表人</w:t>
      </w:r>
      <w:r>
        <w:rPr>
          <w:rFonts w:hint="eastAsia" w:hAnsi="宋体"/>
          <w:color w:val="auto"/>
          <w:sz w:val="21"/>
          <w:szCs w:val="21"/>
        </w:rPr>
        <w:t>：</w:t>
      </w:r>
      <w:r>
        <w:rPr>
          <w:rFonts w:hint="eastAsia" w:hAnsi="宋体"/>
          <w:color w:val="auto"/>
          <w:sz w:val="21"/>
          <w:szCs w:val="21"/>
          <w:u w:val="single"/>
        </w:rPr>
        <w:t xml:space="preserve">       </w:t>
      </w:r>
      <w:r>
        <w:rPr>
          <w:rFonts w:hint="eastAsia" w:hAnsi="宋体"/>
          <w:color w:val="auto"/>
          <w:sz w:val="21"/>
          <w:szCs w:val="21"/>
          <w:lang w:eastAsia="zh-CN"/>
        </w:rPr>
        <w:t>（</w:t>
      </w:r>
      <w:r>
        <w:rPr>
          <w:rFonts w:hint="eastAsia" w:hAnsi="宋体"/>
          <w:color w:val="auto"/>
          <w:sz w:val="21"/>
          <w:szCs w:val="21"/>
          <w:lang w:val="en-US" w:eastAsia="zh-CN"/>
        </w:rPr>
        <w:t>电子</w:t>
      </w:r>
      <w:r>
        <w:rPr>
          <w:rFonts w:hint="eastAsia" w:hAnsi="宋体"/>
          <w:color w:val="auto"/>
          <w:sz w:val="21"/>
          <w:szCs w:val="21"/>
          <w:lang w:eastAsia="zh-CN"/>
        </w:rPr>
        <w:t>签章）</w:t>
      </w:r>
      <w:r>
        <w:rPr>
          <w:rFonts w:hint="eastAsia" w:hAnsi="宋体"/>
          <w:color w:val="auto"/>
          <w:sz w:val="21"/>
          <w:szCs w:val="21"/>
          <w:u w:val="single"/>
        </w:rPr>
        <w:t xml:space="preserve">        </w:t>
      </w:r>
    </w:p>
    <w:p w14:paraId="74C45FE2">
      <w:pPr>
        <w:pStyle w:val="18"/>
        <w:spacing w:line="600" w:lineRule="exact"/>
        <w:jc w:val="right"/>
        <w:rPr>
          <w:rFonts w:hAnsi="宋体"/>
          <w:color w:val="auto"/>
          <w:sz w:val="21"/>
          <w:szCs w:val="21"/>
          <w:u w:val="single"/>
        </w:rPr>
      </w:pPr>
      <w:r>
        <w:rPr>
          <w:rFonts w:hint="eastAsia" w:hAnsi="宋体"/>
          <w:color w:val="auto"/>
          <w:sz w:val="21"/>
          <w:szCs w:val="21"/>
        </w:rPr>
        <w:t>投标人：</w:t>
      </w:r>
      <w:r>
        <w:rPr>
          <w:rFonts w:hint="eastAsia" w:hAnsi="宋体"/>
          <w:color w:val="auto"/>
          <w:sz w:val="21"/>
          <w:szCs w:val="21"/>
          <w:u w:val="single"/>
        </w:rPr>
        <w:t xml:space="preserve">          </w:t>
      </w:r>
      <w:r>
        <w:rPr>
          <w:rFonts w:hint="eastAsia" w:hAnsi="宋体"/>
          <w:color w:val="auto"/>
          <w:sz w:val="21"/>
          <w:szCs w:val="21"/>
          <w:u w:val="single"/>
          <w:lang w:val="en-US" w:eastAsia="zh-CN"/>
        </w:rPr>
        <w:t xml:space="preserve">          </w:t>
      </w:r>
      <w:r>
        <w:rPr>
          <w:rFonts w:hint="eastAsia" w:hAnsi="宋体"/>
          <w:color w:val="auto"/>
          <w:sz w:val="21"/>
          <w:szCs w:val="21"/>
          <w:u w:val="single"/>
        </w:rPr>
        <w:t>（</w:t>
      </w:r>
      <w:r>
        <w:rPr>
          <w:rFonts w:hAnsi="宋体"/>
          <w:color w:val="auto"/>
          <w:sz w:val="21"/>
          <w:szCs w:val="21"/>
          <w:u w:val="single"/>
        </w:rPr>
        <w:t>盖</w:t>
      </w:r>
      <w:r>
        <w:rPr>
          <w:rFonts w:hint="eastAsia" w:hAnsi="宋体"/>
          <w:color w:val="auto"/>
          <w:sz w:val="21"/>
          <w:szCs w:val="21"/>
          <w:u w:val="single"/>
        </w:rPr>
        <w:t>单位章</w:t>
      </w:r>
      <w:r>
        <w:rPr>
          <w:rFonts w:hint="eastAsia" w:hAnsi="宋体"/>
          <w:color w:val="auto"/>
          <w:sz w:val="21"/>
          <w:szCs w:val="21"/>
          <w:u w:val="single"/>
          <w:lang w:eastAsia="zh-CN"/>
        </w:rPr>
        <w:t>）</w:t>
      </w:r>
    </w:p>
    <w:p w14:paraId="7E255FA7">
      <w:pPr>
        <w:pStyle w:val="18"/>
        <w:jc w:val="right"/>
        <w:rPr>
          <w:rFonts w:hAnsi="宋体"/>
          <w:color w:val="auto"/>
          <w:sz w:val="21"/>
          <w:szCs w:val="21"/>
        </w:rPr>
      </w:pPr>
    </w:p>
    <w:p w14:paraId="7F6365DD">
      <w:pPr>
        <w:pStyle w:val="18"/>
        <w:jc w:val="center"/>
        <w:rPr>
          <w:rFonts w:hint="eastAsia" w:hAnsi="宋体"/>
          <w:color w:val="auto"/>
          <w:sz w:val="21"/>
          <w:szCs w:val="21"/>
        </w:rPr>
      </w:pPr>
      <w:r>
        <w:rPr>
          <w:rFonts w:hint="eastAsia" w:hAnsi="宋体"/>
          <w:color w:val="auto"/>
          <w:sz w:val="21"/>
          <w:szCs w:val="21"/>
          <w:lang w:val="en-US" w:eastAsia="zh-CN"/>
        </w:rPr>
        <w:t xml:space="preserve">                  </w:t>
      </w:r>
      <w:r>
        <w:rPr>
          <w:rFonts w:hint="eastAsia" w:hAnsi="宋体"/>
          <w:color w:val="auto"/>
          <w:sz w:val="21"/>
          <w:szCs w:val="21"/>
        </w:rPr>
        <w:t>日期：</w:t>
      </w:r>
    </w:p>
    <w:p w14:paraId="4991E5DF">
      <w:pPr>
        <w:pStyle w:val="18"/>
        <w:jc w:val="center"/>
        <w:rPr>
          <w:rFonts w:hint="eastAsia" w:hAnsi="宋体"/>
          <w:color w:val="auto"/>
          <w:szCs w:val="21"/>
        </w:rPr>
      </w:pPr>
    </w:p>
    <w:p w14:paraId="13F80EFD">
      <w:pPr>
        <w:pStyle w:val="18"/>
        <w:jc w:val="center"/>
        <w:rPr>
          <w:rFonts w:hint="eastAsia" w:hAnsi="宋体"/>
          <w:color w:val="auto"/>
          <w:szCs w:val="21"/>
        </w:rPr>
      </w:pPr>
    </w:p>
    <w:p w14:paraId="222B7E20">
      <w:pPr>
        <w:rPr>
          <w:rFonts w:hint="eastAsia" w:hAnsi="宋体"/>
          <w:color w:val="auto"/>
          <w:szCs w:val="21"/>
        </w:rPr>
      </w:pPr>
    </w:p>
    <w:p w14:paraId="33C8CF55">
      <w:pPr>
        <w:rPr>
          <w:rFonts w:hint="eastAsia"/>
          <w:color w:val="auto"/>
        </w:rPr>
      </w:pPr>
    </w:p>
    <w:p w14:paraId="2C2BBAA2">
      <w:pPr>
        <w:pStyle w:val="18"/>
        <w:rPr>
          <w:rFonts w:hAnsi="宋体"/>
          <w:b/>
          <w:color w:val="auto"/>
          <w:sz w:val="28"/>
          <w:szCs w:val="28"/>
        </w:rPr>
      </w:pPr>
      <w:r>
        <w:rPr>
          <w:rFonts w:hint="eastAsia" w:hAnsi="宋体"/>
          <w:b/>
          <w:color w:val="auto"/>
          <w:sz w:val="28"/>
          <w:szCs w:val="28"/>
        </w:rPr>
        <w:t>格式5：</w:t>
      </w:r>
    </w:p>
    <w:p w14:paraId="3DDAAFD3">
      <w:pPr>
        <w:pStyle w:val="3"/>
        <w:numPr>
          <w:ilvl w:val="0"/>
          <w:numId w:val="0"/>
        </w:numPr>
        <w:tabs>
          <w:tab w:val="left" w:pos="1021"/>
        </w:tabs>
        <w:ind w:left="425"/>
        <w:jc w:val="center"/>
        <w:rPr>
          <w:rFonts w:hint="eastAsia" w:ascii="宋体" w:hAnsi="宋体" w:eastAsia="宋体"/>
          <w:color w:val="auto"/>
          <w:sz w:val="32"/>
          <w:szCs w:val="32"/>
          <w:lang w:val="en-US" w:eastAsia="zh-CN"/>
        </w:rPr>
      </w:pPr>
      <w:bookmarkStart w:id="84" w:name="_Toc348009998"/>
      <w:bookmarkStart w:id="85" w:name="_Toc213141101"/>
      <w:bookmarkStart w:id="86" w:name="_Toc396092988"/>
      <w:bookmarkStart w:id="87" w:name="_Toc12376"/>
      <w:r>
        <w:rPr>
          <w:rFonts w:hint="eastAsia" w:ascii="宋体" w:hAnsi="宋体" w:eastAsia="宋体"/>
          <w:color w:val="auto"/>
          <w:sz w:val="32"/>
          <w:szCs w:val="32"/>
          <w:lang w:val="en-US" w:eastAsia="zh-CN"/>
        </w:rPr>
        <w:t>售后</w:t>
      </w:r>
      <w:r>
        <w:rPr>
          <w:rFonts w:hint="eastAsia" w:ascii="宋体" w:hAnsi="宋体" w:eastAsia="宋体"/>
          <w:color w:val="auto"/>
          <w:sz w:val="32"/>
          <w:szCs w:val="32"/>
        </w:rPr>
        <w:t>服务</w:t>
      </w:r>
      <w:bookmarkEnd w:id="84"/>
      <w:bookmarkEnd w:id="85"/>
      <w:bookmarkEnd w:id="86"/>
      <w:r>
        <w:rPr>
          <w:rFonts w:hint="eastAsia" w:ascii="宋体" w:hAnsi="宋体" w:eastAsia="宋体"/>
          <w:color w:val="auto"/>
          <w:sz w:val="32"/>
          <w:szCs w:val="32"/>
          <w:lang w:val="en-US" w:eastAsia="zh-CN"/>
        </w:rPr>
        <w:t>方案</w:t>
      </w:r>
      <w:bookmarkEnd w:id="87"/>
    </w:p>
    <w:p w14:paraId="53002F25">
      <w:pPr>
        <w:rPr>
          <w:rFonts w:ascii="宋体" w:hAnsi="宋体"/>
          <w:color w:val="auto"/>
        </w:rPr>
      </w:pPr>
    </w:p>
    <w:p w14:paraId="77B61FF5">
      <w:pPr>
        <w:spacing w:line="360" w:lineRule="auto"/>
        <w:ind w:firstLine="600"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包括但不限于以下内容：</w:t>
      </w:r>
    </w:p>
    <w:p w14:paraId="778D109A">
      <w:pPr>
        <w:pStyle w:val="14"/>
        <w:ind w:firstLine="568"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1.服务承诺；</w:t>
      </w:r>
    </w:p>
    <w:p w14:paraId="05833467">
      <w:pPr>
        <w:pStyle w:val="14"/>
        <w:ind w:firstLine="568"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2.服务计划；</w:t>
      </w:r>
    </w:p>
    <w:p w14:paraId="71DB1FD5">
      <w:pPr>
        <w:pStyle w:val="14"/>
        <w:ind w:firstLine="568"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3.服务方案；</w:t>
      </w:r>
    </w:p>
    <w:p w14:paraId="00E9CD67">
      <w:pPr>
        <w:pStyle w:val="14"/>
        <w:ind w:firstLine="568"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4.服务机构及人员情况；</w:t>
      </w:r>
    </w:p>
    <w:p w14:paraId="05B706C6">
      <w:pPr>
        <w:pStyle w:val="14"/>
        <w:ind w:firstLine="568" w:firstLineChars="2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5.其他内容。</w:t>
      </w:r>
    </w:p>
    <w:p w14:paraId="02CB5390">
      <w:pPr>
        <w:pStyle w:val="18"/>
        <w:rPr>
          <w:rFonts w:hAnsi="宋体"/>
          <w:color w:val="auto"/>
          <w:szCs w:val="21"/>
        </w:rPr>
      </w:pPr>
    </w:p>
    <w:p w14:paraId="03104E3D">
      <w:pPr>
        <w:pStyle w:val="18"/>
        <w:rPr>
          <w:rFonts w:hAnsi="宋体"/>
          <w:color w:val="auto"/>
        </w:rPr>
      </w:pPr>
    </w:p>
    <w:p w14:paraId="5C12CC7E">
      <w:pPr>
        <w:pStyle w:val="18"/>
        <w:rPr>
          <w:rFonts w:hAnsi="宋体"/>
          <w:color w:val="auto"/>
        </w:rPr>
      </w:pPr>
    </w:p>
    <w:p w14:paraId="022746F2">
      <w:pPr>
        <w:pStyle w:val="18"/>
        <w:rPr>
          <w:rFonts w:hAnsi="宋体"/>
          <w:color w:val="auto"/>
        </w:rPr>
      </w:pPr>
    </w:p>
    <w:p w14:paraId="2FF0DD32">
      <w:pPr>
        <w:pStyle w:val="18"/>
        <w:rPr>
          <w:rFonts w:hAnsi="宋体"/>
          <w:color w:val="auto"/>
        </w:rPr>
      </w:pPr>
    </w:p>
    <w:p w14:paraId="36A6F940">
      <w:pPr>
        <w:pStyle w:val="18"/>
        <w:rPr>
          <w:rFonts w:hAnsi="宋体"/>
          <w:color w:val="auto"/>
        </w:rPr>
      </w:pPr>
    </w:p>
    <w:p w14:paraId="1FCD49C8">
      <w:pPr>
        <w:pStyle w:val="18"/>
        <w:rPr>
          <w:rFonts w:hAnsi="宋体"/>
          <w:color w:val="auto"/>
        </w:rPr>
      </w:pPr>
    </w:p>
    <w:p w14:paraId="157A7396">
      <w:pPr>
        <w:pStyle w:val="18"/>
        <w:rPr>
          <w:rFonts w:hAnsi="宋体"/>
          <w:color w:val="auto"/>
        </w:rPr>
      </w:pPr>
    </w:p>
    <w:p w14:paraId="23EF8EEC">
      <w:pPr>
        <w:pStyle w:val="18"/>
        <w:rPr>
          <w:rFonts w:hAnsi="宋体"/>
          <w:color w:val="auto"/>
        </w:rPr>
      </w:pPr>
    </w:p>
    <w:p w14:paraId="5C0357E3">
      <w:pPr>
        <w:pStyle w:val="18"/>
        <w:spacing w:line="600" w:lineRule="exact"/>
        <w:jc w:val="right"/>
        <w:rPr>
          <w:rFonts w:hAnsi="宋体"/>
          <w:color w:val="auto"/>
          <w:sz w:val="21"/>
          <w:szCs w:val="21"/>
        </w:rPr>
      </w:pPr>
      <w:r>
        <w:rPr>
          <w:rFonts w:hint="eastAsia" w:hAnsi="宋体"/>
          <w:color w:val="auto"/>
          <w:sz w:val="21"/>
          <w:szCs w:val="21"/>
        </w:rPr>
        <w:t>法定代表人：</w:t>
      </w:r>
      <w:r>
        <w:rPr>
          <w:rFonts w:hint="eastAsia" w:hAnsi="宋体"/>
          <w:color w:val="auto"/>
          <w:sz w:val="21"/>
          <w:szCs w:val="21"/>
          <w:u w:val="single"/>
        </w:rPr>
        <w:t xml:space="preserve">      </w:t>
      </w:r>
      <w:r>
        <w:rPr>
          <w:rFonts w:hint="eastAsia" w:hAnsi="宋体"/>
          <w:color w:val="auto"/>
          <w:sz w:val="21"/>
          <w:szCs w:val="21"/>
          <w:u w:val="single"/>
          <w:lang w:eastAsia="zh-CN"/>
        </w:rPr>
        <w:t>（</w:t>
      </w:r>
      <w:r>
        <w:rPr>
          <w:rFonts w:hint="eastAsia" w:hAnsi="宋体"/>
          <w:color w:val="auto"/>
          <w:sz w:val="21"/>
          <w:szCs w:val="21"/>
          <w:u w:val="single"/>
          <w:lang w:val="en-US" w:eastAsia="zh-CN"/>
        </w:rPr>
        <w:t>电子</w:t>
      </w:r>
      <w:r>
        <w:rPr>
          <w:rFonts w:hint="eastAsia" w:hAnsi="宋体"/>
          <w:color w:val="auto"/>
          <w:sz w:val="21"/>
          <w:szCs w:val="21"/>
          <w:u w:val="single"/>
          <w:lang w:eastAsia="zh-CN"/>
        </w:rPr>
        <w:t>签章）</w:t>
      </w:r>
      <w:r>
        <w:rPr>
          <w:rFonts w:hint="eastAsia" w:hAnsi="宋体"/>
          <w:color w:val="auto"/>
          <w:sz w:val="21"/>
          <w:szCs w:val="21"/>
          <w:u w:val="single"/>
        </w:rPr>
        <w:t xml:space="preserve">      </w:t>
      </w:r>
    </w:p>
    <w:p w14:paraId="441A2515">
      <w:pPr>
        <w:pStyle w:val="18"/>
        <w:spacing w:line="600" w:lineRule="exact"/>
        <w:jc w:val="right"/>
        <w:rPr>
          <w:rFonts w:hAnsi="宋体"/>
          <w:color w:val="auto"/>
          <w:sz w:val="21"/>
          <w:szCs w:val="21"/>
          <w:u w:val="single"/>
        </w:rPr>
      </w:pPr>
      <w:r>
        <w:rPr>
          <w:rFonts w:hint="eastAsia" w:hAnsi="宋体"/>
          <w:color w:val="auto"/>
          <w:sz w:val="21"/>
          <w:szCs w:val="21"/>
        </w:rPr>
        <w:t>投标人：</w:t>
      </w:r>
      <w:r>
        <w:rPr>
          <w:rFonts w:hint="eastAsia" w:hAnsi="宋体"/>
          <w:color w:val="auto"/>
          <w:sz w:val="21"/>
          <w:szCs w:val="21"/>
          <w:u w:val="single"/>
        </w:rPr>
        <w:t xml:space="preserve">          </w:t>
      </w:r>
      <w:r>
        <w:rPr>
          <w:rFonts w:hint="eastAsia" w:hAnsi="宋体"/>
          <w:color w:val="auto"/>
          <w:sz w:val="21"/>
          <w:szCs w:val="21"/>
          <w:u w:val="single"/>
          <w:lang w:val="en-US" w:eastAsia="zh-CN"/>
        </w:rPr>
        <w:t xml:space="preserve">          </w:t>
      </w:r>
      <w:r>
        <w:rPr>
          <w:rFonts w:hint="eastAsia" w:hAnsi="宋体"/>
          <w:color w:val="auto"/>
          <w:sz w:val="21"/>
          <w:szCs w:val="21"/>
          <w:u w:val="single"/>
        </w:rPr>
        <w:t>（</w:t>
      </w:r>
      <w:r>
        <w:rPr>
          <w:rFonts w:hAnsi="宋体"/>
          <w:color w:val="auto"/>
          <w:sz w:val="21"/>
          <w:szCs w:val="21"/>
          <w:u w:val="single"/>
        </w:rPr>
        <w:t>盖</w:t>
      </w:r>
      <w:r>
        <w:rPr>
          <w:rFonts w:hint="eastAsia" w:hAnsi="宋体"/>
          <w:color w:val="auto"/>
          <w:sz w:val="21"/>
          <w:szCs w:val="21"/>
          <w:u w:val="single"/>
        </w:rPr>
        <w:t>单位章</w:t>
      </w:r>
      <w:r>
        <w:rPr>
          <w:rFonts w:hint="eastAsia" w:hAnsi="宋体"/>
          <w:color w:val="auto"/>
          <w:sz w:val="21"/>
          <w:szCs w:val="21"/>
          <w:u w:val="single"/>
          <w:lang w:eastAsia="zh-CN"/>
        </w:rPr>
        <w:t>）</w:t>
      </w:r>
    </w:p>
    <w:p w14:paraId="4785CA3F">
      <w:pPr>
        <w:pStyle w:val="18"/>
        <w:jc w:val="right"/>
        <w:rPr>
          <w:rFonts w:hAnsi="宋体"/>
          <w:color w:val="auto"/>
          <w:sz w:val="21"/>
          <w:szCs w:val="21"/>
        </w:rPr>
      </w:pPr>
    </w:p>
    <w:p w14:paraId="1E5F8A8E">
      <w:pPr>
        <w:pStyle w:val="18"/>
        <w:jc w:val="center"/>
        <w:rPr>
          <w:rFonts w:hint="eastAsia" w:hAnsi="宋体"/>
          <w:color w:val="auto"/>
          <w:sz w:val="21"/>
          <w:szCs w:val="21"/>
        </w:rPr>
      </w:pPr>
      <w:r>
        <w:rPr>
          <w:rFonts w:hint="eastAsia" w:hAnsi="宋体"/>
          <w:color w:val="auto"/>
          <w:sz w:val="21"/>
          <w:szCs w:val="21"/>
          <w:lang w:val="en-US" w:eastAsia="zh-CN"/>
        </w:rPr>
        <w:t xml:space="preserve">                  </w:t>
      </w:r>
      <w:r>
        <w:rPr>
          <w:rFonts w:hint="eastAsia" w:hAnsi="宋体"/>
          <w:color w:val="auto"/>
          <w:sz w:val="21"/>
          <w:szCs w:val="21"/>
        </w:rPr>
        <w:t>日期：</w:t>
      </w:r>
    </w:p>
    <w:p w14:paraId="2F33BEA5">
      <w:pPr>
        <w:rPr>
          <w:rFonts w:hint="eastAsia" w:hAnsi="宋体"/>
          <w:color w:val="auto"/>
          <w:szCs w:val="21"/>
        </w:rPr>
      </w:pPr>
    </w:p>
    <w:p w14:paraId="71D665E5">
      <w:pPr>
        <w:pStyle w:val="14"/>
        <w:rPr>
          <w:rFonts w:hint="eastAsia"/>
          <w:color w:val="auto"/>
        </w:rPr>
      </w:pPr>
    </w:p>
    <w:p w14:paraId="6AF0295F">
      <w:pPr>
        <w:rPr>
          <w:rFonts w:hint="eastAsia" w:hAnsi="宋体"/>
          <w:color w:val="auto"/>
          <w:szCs w:val="21"/>
        </w:rPr>
      </w:pPr>
    </w:p>
    <w:p w14:paraId="62C68B0C">
      <w:pPr>
        <w:pStyle w:val="18"/>
        <w:spacing w:line="600" w:lineRule="exact"/>
        <w:rPr>
          <w:rFonts w:hint="eastAsia" w:hAnsi="宋体"/>
          <w:b/>
          <w:color w:val="auto"/>
          <w:sz w:val="28"/>
          <w:szCs w:val="28"/>
        </w:rPr>
      </w:pPr>
    </w:p>
    <w:p w14:paraId="23BCEB4B">
      <w:pPr>
        <w:pStyle w:val="18"/>
        <w:spacing w:line="600" w:lineRule="exact"/>
        <w:rPr>
          <w:rFonts w:hint="eastAsia" w:hAnsi="宋体"/>
          <w:b/>
          <w:color w:val="auto"/>
          <w:sz w:val="28"/>
          <w:szCs w:val="28"/>
        </w:rPr>
      </w:pPr>
    </w:p>
    <w:p w14:paraId="0E9E062E">
      <w:pPr>
        <w:pStyle w:val="18"/>
        <w:spacing w:line="600" w:lineRule="exact"/>
        <w:rPr>
          <w:rFonts w:hint="eastAsia" w:hAnsi="宋体"/>
          <w:b/>
          <w:color w:val="auto"/>
          <w:sz w:val="28"/>
          <w:szCs w:val="28"/>
        </w:rPr>
      </w:pPr>
    </w:p>
    <w:p w14:paraId="1CE203D8">
      <w:pPr>
        <w:pStyle w:val="18"/>
        <w:spacing w:line="600" w:lineRule="exact"/>
        <w:rPr>
          <w:rFonts w:hint="eastAsia" w:hAnsi="宋体"/>
          <w:b/>
          <w:color w:val="auto"/>
          <w:sz w:val="28"/>
          <w:szCs w:val="28"/>
        </w:rPr>
      </w:pPr>
      <w:r>
        <w:rPr>
          <w:rFonts w:hint="eastAsia" w:hAnsi="宋体"/>
          <w:b/>
          <w:color w:val="auto"/>
          <w:sz w:val="28"/>
          <w:szCs w:val="28"/>
        </w:rPr>
        <w:t>格式6：</w:t>
      </w:r>
    </w:p>
    <w:p w14:paraId="6E2EF033">
      <w:pPr>
        <w:pStyle w:val="4"/>
        <w:numPr>
          <w:ilvl w:val="2"/>
          <w:numId w:val="0"/>
        </w:numPr>
        <w:tabs>
          <w:tab w:val="left" w:pos="570"/>
          <w:tab w:val="left" w:pos="1588"/>
          <w:tab w:val="clear" w:pos="900"/>
        </w:tabs>
        <w:jc w:val="center"/>
        <w:rPr>
          <w:rFonts w:hint="eastAsia" w:ascii="宋体" w:hAnsi="宋体"/>
          <w:color w:val="auto"/>
          <w:highlight w:val="none"/>
        </w:rPr>
      </w:pPr>
      <w:bookmarkStart w:id="88" w:name="_Toc11510"/>
      <w:bookmarkStart w:id="89" w:name="_Toc19285_WPSOffice_Level2"/>
      <w:bookmarkStart w:id="90" w:name="_Toc32078"/>
      <w:bookmarkStart w:id="91" w:name="_Toc5829"/>
      <w:bookmarkStart w:id="92" w:name="_Toc10568"/>
      <w:r>
        <w:rPr>
          <w:rFonts w:hint="eastAsia" w:ascii="黑体" w:hAnsi="黑体" w:eastAsia="黑体" w:cs="黑体"/>
          <w:color w:val="auto"/>
          <w:highlight w:val="none"/>
        </w:rPr>
        <w:t>项目团队主要人员汇总表</w:t>
      </w:r>
      <w:bookmarkEnd w:id="88"/>
      <w:bookmarkEnd w:id="89"/>
      <w:bookmarkEnd w:id="90"/>
      <w:bookmarkEnd w:id="91"/>
      <w:bookmarkEnd w:id="92"/>
    </w:p>
    <w:tbl>
      <w:tblPr>
        <w:tblStyle w:val="36"/>
        <w:tblpPr w:leftFromText="180" w:rightFromText="180" w:vertAnchor="text" w:horzAnchor="page" w:tblpX="1452" w:tblpY="754"/>
        <w:tblOverlap w:val="never"/>
        <w:tblW w:w="936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6"/>
        <w:gridCol w:w="842"/>
        <w:gridCol w:w="1792"/>
        <w:gridCol w:w="923"/>
        <w:gridCol w:w="1475"/>
        <w:gridCol w:w="1475"/>
        <w:gridCol w:w="1475"/>
      </w:tblGrid>
      <w:tr w14:paraId="0C35A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97" w:hRule="exact"/>
        </w:trPr>
        <w:tc>
          <w:tcPr>
            <w:tcW w:w="1386" w:type="dxa"/>
            <w:noWrap w:val="0"/>
            <w:vAlign w:val="center"/>
          </w:tcPr>
          <w:p w14:paraId="17A581A2">
            <w:pPr>
              <w:autoSpaceDE w:val="0"/>
              <w:autoSpaceDN w:val="0"/>
              <w:adjustRightInd w:val="0"/>
              <w:jc w:val="center"/>
              <w:rPr>
                <w:rFonts w:hint="eastAsia" w:ascii="仿宋" w:hAnsi="仿宋" w:eastAsia="仿宋" w:cs="仿宋"/>
                <w:color w:val="auto"/>
                <w:kern w:val="0"/>
                <w:sz w:val="24"/>
                <w:szCs w:val="24"/>
                <w:highlight w:val="none"/>
              </w:rPr>
            </w:pPr>
          </w:p>
          <w:p w14:paraId="79E242C0">
            <w:pPr>
              <w:autoSpaceDE w:val="0"/>
              <w:autoSpaceDN w:val="0"/>
              <w:adjustRightInd w:val="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姓名</w:t>
            </w:r>
          </w:p>
        </w:tc>
        <w:tc>
          <w:tcPr>
            <w:tcW w:w="842" w:type="dxa"/>
            <w:noWrap w:val="0"/>
            <w:vAlign w:val="center"/>
          </w:tcPr>
          <w:p w14:paraId="3B8EA826">
            <w:pPr>
              <w:autoSpaceDE w:val="0"/>
              <w:autoSpaceDN w:val="0"/>
              <w:adjustRightInd w:val="0"/>
              <w:jc w:val="center"/>
              <w:rPr>
                <w:rFonts w:hint="eastAsia" w:ascii="仿宋" w:hAnsi="仿宋" w:eastAsia="仿宋" w:cs="仿宋"/>
                <w:color w:val="auto"/>
                <w:kern w:val="0"/>
                <w:sz w:val="24"/>
                <w:szCs w:val="24"/>
                <w:highlight w:val="none"/>
              </w:rPr>
            </w:pPr>
          </w:p>
          <w:p w14:paraId="29D53269">
            <w:pPr>
              <w:autoSpaceDE w:val="0"/>
              <w:autoSpaceDN w:val="0"/>
              <w:adjustRightInd w:val="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年龄</w:t>
            </w:r>
          </w:p>
        </w:tc>
        <w:tc>
          <w:tcPr>
            <w:tcW w:w="1792" w:type="dxa"/>
            <w:noWrap w:val="0"/>
            <w:vAlign w:val="center"/>
          </w:tcPr>
          <w:p w14:paraId="73AF7D26">
            <w:pPr>
              <w:autoSpaceDE w:val="0"/>
              <w:autoSpaceDN w:val="0"/>
              <w:adjustRightInd w:val="0"/>
              <w:spacing w:before="48" w:line="360" w:lineRule="auto"/>
              <w:ind w:left="232" w:right="85" w:hanging="102"/>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拟在</w:t>
            </w:r>
            <w:r>
              <w:rPr>
                <w:rFonts w:hint="eastAsia" w:ascii="仿宋" w:hAnsi="仿宋" w:eastAsia="仿宋" w:cs="仿宋"/>
                <w:color w:val="auto"/>
                <w:spacing w:val="-2"/>
                <w:kern w:val="0"/>
                <w:sz w:val="24"/>
                <w:szCs w:val="24"/>
                <w:highlight w:val="none"/>
              </w:rPr>
              <w:t>本</w:t>
            </w:r>
            <w:r>
              <w:rPr>
                <w:rFonts w:hint="eastAsia" w:ascii="仿宋" w:hAnsi="仿宋" w:eastAsia="仿宋" w:cs="仿宋"/>
                <w:color w:val="auto"/>
                <w:kern w:val="0"/>
                <w:sz w:val="24"/>
                <w:szCs w:val="24"/>
                <w:highlight w:val="none"/>
              </w:rPr>
              <w:t>项</w:t>
            </w:r>
            <w:r>
              <w:rPr>
                <w:rFonts w:hint="eastAsia" w:ascii="仿宋" w:hAnsi="仿宋" w:eastAsia="仿宋" w:cs="仿宋"/>
                <w:color w:val="auto"/>
                <w:spacing w:val="-2"/>
                <w:kern w:val="0"/>
                <w:sz w:val="24"/>
                <w:szCs w:val="24"/>
                <w:highlight w:val="none"/>
              </w:rPr>
              <w:t>目</w:t>
            </w:r>
            <w:r>
              <w:rPr>
                <w:rFonts w:hint="eastAsia" w:ascii="仿宋" w:hAnsi="仿宋" w:eastAsia="仿宋" w:cs="仿宋"/>
                <w:color w:val="auto"/>
                <w:kern w:val="0"/>
                <w:sz w:val="24"/>
                <w:szCs w:val="24"/>
                <w:highlight w:val="none"/>
              </w:rPr>
              <w:t>中担任</w:t>
            </w:r>
            <w:r>
              <w:rPr>
                <w:rFonts w:hint="eastAsia" w:ascii="仿宋" w:hAnsi="仿宋" w:eastAsia="仿宋" w:cs="仿宋"/>
                <w:color w:val="auto"/>
                <w:spacing w:val="-2"/>
                <w:kern w:val="0"/>
                <w:sz w:val="24"/>
                <w:szCs w:val="24"/>
                <w:highlight w:val="none"/>
              </w:rPr>
              <w:t>的</w:t>
            </w:r>
            <w:r>
              <w:rPr>
                <w:rFonts w:hint="eastAsia" w:ascii="仿宋" w:hAnsi="仿宋" w:eastAsia="仿宋" w:cs="仿宋"/>
                <w:color w:val="auto"/>
                <w:kern w:val="0"/>
                <w:sz w:val="24"/>
                <w:szCs w:val="24"/>
                <w:highlight w:val="none"/>
              </w:rPr>
              <w:t>职务</w:t>
            </w:r>
          </w:p>
        </w:tc>
        <w:tc>
          <w:tcPr>
            <w:tcW w:w="923" w:type="dxa"/>
            <w:noWrap w:val="0"/>
            <w:vAlign w:val="center"/>
          </w:tcPr>
          <w:p w14:paraId="4FFE284D">
            <w:pPr>
              <w:autoSpaceDE w:val="0"/>
              <w:autoSpaceDN w:val="0"/>
              <w:adjustRightInd w:val="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学历</w:t>
            </w:r>
          </w:p>
        </w:tc>
        <w:tc>
          <w:tcPr>
            <w:tcW w:w="1475" w:type="dxa"/>
            <w:noWrap w:val="0"/>
            <w:vAlign w:val="center"/>
          </w:tcPr>
          <w:p w14:paraId="5BBC7036">
            <w:pPr>
              <w:autoSpaceDE w:val="0"/>
              <w:autoSpaceDN w:val="0"/>
              <w:adjustRightInd w:val="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w:t>
            </w:r>
            <w:r>
              <w:rPr>
                <w:rFonts w:hint="eastAsia" w:ascii="仿宋" w:hAnsi="仿宋" w:eastAsia="仿宋" w:cs="仿宋"/>
                <w:color w:val="auto"/>
                <w:spacing w:val="-2"/>
                <w:kern w:val="0"/>
                <w:sz w:val="24"/>
                <w:szCs w:val="24"/>
                <w:highlight w:val="none"/>
              </w:rPr>
              <w:t>职</w:t>
            </w:r>
            <w:r>
              <w:rPr>
                <w:rFonts w:hint="eastAsia" w:ascii="仿宋" w:hAnsi="仿宋" w:eastAsia="仿宋" w:cs="仿宋"/>
                <w:color w:val="auto"/>
                <w:kern w:val="0"/>
                <w:sz w:val="24"/>
                <w:szCs w:val="24"/>
                <w:highlight w:val="none"/>
              </w:rPr>
              <w:t>称</w:t>
            </w:r>
          </w:p>
        </w:tc>
        <w:tc>
          <w:tcPr>
            <w:tcW w:w="1475" w:type="dxa"/>
            <w:noWrap w:val="0"/>
            <w:vAlign w:val="center"/>
          </w:tcPr>
          <w:p w14:paraId="4F98EECD">
            <w:pPr>
              <w:autoSpaceDE w:val="0"/>
              <w:autoSpaceDN w:val="0"/>
              <w:adjustRightInd w:val="0"/>
              <w:spacing w:before="48" w:line="360" w:lineRule="auto"/>
              <w:ind w:left="147" w:right="102"/>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工作</w:t>
            </w:r>
            <w:r>
              <w:rPr>
                <w:rFonts w:hint="eastAsia" w:ascii="仿宋" w:hAnsi="仿宋" w:eastAsia="仿宋" w:cs="仿宋"/>
                <w:color w:val="auto"/>
                <w:spacing w:val="-2"/>
                <w:kern w:val="0"/>
                <w:sz w:val="24"/>
                <w:szCs w:val="24"/>
                <w:highlight w:val="none"/>
              </w:rPr>
              <w:t>年</w:t>
            </w:r>
            <w:r>
              <w:rPr>
                <w:rFonts w:hint="eastAsia" w:ascii="仿宋" w:hAnsi="仿宋" w:eastAsia="仿宋" w:cs="仿宋"/>
                <w:color w:val="auto"/>
                <w:kern w:val="0"/>
                <w:sz w:val="24"/>
                <w:szCs w:val="24"/>
                <w:highlight w:val="none"/>
              </w:rPr>
              <w:t>限</w:t>
            </w:r>
          </w:p>
        </w:tc>
        <w:tc>
          <w:tcPr>
            <w:tcW w:w="1475" w:type="dxa"/>
            <w:noWrap w:val="0"/>
            <w:vAlign w:val="center"/>
          </w:tcPr>
          <w:p w14:paraId="05E36975">
            <w:pPr>
              <w:autoSpaceDE w:val="0"/>
              <w:autoSpaceDN w:val="0"/>
              <w:adjustRightInd w:val="0"/>
              <w:spacing w:before="48" w:line="360" w:lineRule="auto"/>
              <w:ind w:left="147" w:right="102"/>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相关资质证书</w:t>
            </w:r>
          </w:p>
        </w:tc>
      </w:tr>
      <w:tr w14:paraId="06BBD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 w:hRule="exact"/>
        </w:trPr>
        <w:tc>
          <w:tcPr>
            <w:tcW w:w="1386" w:type="dxa"/>
            <w:noWrap w:val="0"/>
            <w:vAlign w:val="top"/>
          </w:tcPr>
          <w:p w14:paraId="7C85E6E8">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842" w:type="dxa"/>
            <w:noWrap w:val="0"/>
            <w:vAlign w:val="top"/>
          </w:tcPr>
          <w:p w14:paraId="03F3AB34">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792" w:type="dxa"/>
            <w:noWrap w:val="0"/>
            <w:vAlign w:val="top"/>
          </w:tcPr>
          <w:p w14:paraId="7C233548">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923" w:type="dxa"/>
            <w:noWrap w:val="0"/>
            <w:vAlign w:val="top"/>
          </w:tcPr>
          <w:p w14:paraId="3AE8720E">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475" w:type="dxa"/>
            <w:noWrap w:val="0"/>
            <w:vAlign w:val="top"/>
          </w:tcPr>
          <w:p w14:paraId="185CEBAF">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475" w:type="dxa"/>
            <w:noWrap w:val="0"/>
            <w:vAlign w:val="top"/>
          </w:tcPr>
          <w:p w14:paraId="2CB3589B">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475" w:type="dxa"/>
            <w:noWrap w:val="0"/>
            <w:vAlign w:val="top"/>
          </w:tcPr>
          <w:p w14:paraId="60E7F8A7">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r>
      <w:tr w14:paraId="28126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0" w:hRule="exact"/>
        </w:trPr>
        <w:tc>
          <w:tcPr>
            <w:tcW w:w="1386" w:type="dxa"/>
            <w:noWrap w:val="0"/>
            <w:vAlign w:val="top"/>
          </w:tcPr>
          <w:p w14:paraId="358DD4B3">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842" w:type="dxa"/>
            <w:noWrap w:val="0"/>
            <w:vAlign w:val="top"/>
          </w:tcPr>
          <w:p w14:paraId="1A5110DE">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792" w:type="dxa"/>
            <w:noWrap w:val="0"/>
            <w:vAlign w:val="top"/>
          </w:tcPr>
          <w:p w14:paraId="795CA030">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923" w:type="dxa"/>
            <w:noWrap w:val="0"/>
            <w:vAlign w:val="top"/>
          </w:tcPr>
          <w:p w14:paraId="2C1BC95D">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475" w:type="dxa"/>
            <w:noWrap w:val="0"/>
            <w:vAlign w:val="top"/>
          </w:tcPr>
          <w:p w14:paraId="25E68D5D">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475" w:type="dxa"/>
            <w:noWrap w:val="0"/>
            <w:vAlign w:val="top"/>
          </w:tcPr>
          <w:p w14:paraId="724D243E">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475" w:type="dxa"/>
            <w:noWrap w:val="0"/>
            <w:vAlign w:val="top"/>
          </w:tcPr>
          <w:p w14:paraId="6316F76D">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r>
      <w:tr w14:paraId="265FE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exact"/>
        </w:trPr>
        <w:tc>
          <w:tcPr>
            <w:tcW w:w="1386" w:type="dxa"/>
            <w:noWrap w:val="0"/>
            <w:vAlign w:val="top"/>
          </w:tcPr>
          <w:p w14:paraId="582C9E2D">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842" w:type="dxa"/>
            <w:noWrap w:val="0"/>
            <w:vAlign w:val="top"/>
          </w:tcPr>
          <w:p w14:paraId="3DDE4AE1">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792" w:type="dxa"/>
            <w:noWrap w:val="0"/>
            <w:vAlign w:val="top"/>
          </w:tcPr>
          <w:p w14:paraId="062A3269">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923" w:type="dxa"/>
            <w:noWrap w:val="0"/>
            <w:vAlign w:val="top"/>
          </w:tcPr>
          <w:p w14:paraId="5BDB7A4F">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475" w:type="dxa"/>
            <w:noWrap w:val="0"/>
            <w:vAlign w:val="top"/>
          </w:tcPr>
          <w:p w14:paraId="5F690C83">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475" w:type="dxa"/>
            <w:noWrap w:val="0"/>
            <w:vAlign w:val="top"/>
          </w:tcPr>
          <w:p w14:paraId="6381BAE1">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475" w:type="dxa"/>
            <w:noWrap w:val="0"/>
            <w:vAlign w:val="top"/>
          </w:tcPr>
          <w:p w14:paraId="06E8619A">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r>
      <w:tr w14:paraId="28845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2" w:hRule="exact"/>
        </w:trPr>
        <w:tc>
          <w:tcPr>
            <w:tcW w:w="1386" w:type="dxa"/>
            <w:noWrap w:val="0"/>
            <w:vAlign w:val="top"/>
          </w:tcPr>
          <w:p w14:paraId="5AA3F79D">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842" w:type="dxa"/>
            <w:noWrap w:val="0"/>
            <w:vAlign w:val="top"/>
          </w:tcPr>
          <w:p w14:paraId="4A0C93EA">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792" w:type="dxa"/>
            <w:noWrap w:val="0"/>
            <w:vAlign w:val="top"/>
          </w:tcPr>
          <w:p w14:paraId="4D62C456">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923" w:type="dxa"/>
            <w:noWrap w:val="0"/>
            <w:vAlign w:val="top"/>
          </w:tcPr>
          <w:p w14:paraId="38A1F26B">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475" w:type="dxa"/>
            <w:noWrap w:val="0"/>
            <w:vAlign w:val="top"/>
          </w:tcPr>
          <w:p w14:paraId="30EF449D">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475" w:type="dxa"/>
            <w:noWrap w:val="0"/>
            <w:vAlign w:val="top"/>
          </w:tcPr>
          <w:p w14:paraId="3F594AD7">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475" w:type="dxa"/>
            <w:noWrap w:val="0"/>
            <w:vAlign w:val="top"/>
          </w:tcPr>
          <w:p w14:paraId="38747451">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r>
      <w:tr w14:paraId="2DCE7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 w:hRule="exact"/>
        </w:trPr>
        <w:tc>
          <w:tcPr>
            <w:tcW w:w="1386" w:type="dxa"/>
            <w:noWrap w:val="0"/>
            <w:vAlign w:val="top"/>
          </w:tcPr>
          <w:p w14:paraId="12B05759">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842" w:type="dxa"/>
            <w:noWrap w:val="0"/>
            <w:vAlign w:val="top"/>
          </w:tcPr>
          <w:p w14:paraId="6B52FC45">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792" w:type="dxa"/>
            <w:noWrap w:val="0"/>
            <w:vAlign w:val="top"/>
          </w:tcPr>
          <w:p w14:paraId="39F69400">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923" w:type="dxa"/>
            <w:noWrap w:val="0"/>
            <w:vAlign w:val="top"/>
          </w:tcPr>
          <w:p w14:paraId="7C8B54EA">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475" w:type="dxa"/>
            <w:noWrap w:val="0"/>
            <w:vAlign w:val="top"/>
          </w:tcPr>
          <w:p w14:paraId="357CD232">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475" w:type="dxa"/>
            <w:noWrap w:val="0"/>
            <w:vAlign w:val="top"/>
          </w:tcPr>
          <w:p w14:paraId="24DDDE98">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475" w:type="dxa"/>
            <w:noWrap w:val="0"/>
            <w:vAlign w:val="top"/>
          </w:tcPr>
          <w:p w14:paraId="70021F53">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r>
      <w:tr w14:paraId="5B825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3" w:hRule="exact"/>
        </w:trPr>
        <w:tc>
          <w:tcPr>
            <w:tcW w:w="1386" w:type="dxa"/>
            <w:noWrap w:val="0"/>
            <w:vAlign w:val="top"/>
          </w:tcPr>
          <w:p w14:paraId="3B3BE008">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842" w:type="dxa"/>
            <w:noWrap w:val="0"/>
            <w:vAlign w:val="top"/>
          </w:tcPr>
          <w:p w14:paraId="6A8A17B0">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792" w:type="dxa"/>
            <w:noWrap w:val="0"/>
            <w:vAlign w:val="top"/>
          </w:tcPr>
          <w:p w14:paraId="069EAA4A">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923" w:type="dxa"/>
            <w:noWrap w:val="0"/>
            <w:vAlign w:val="top"/>
          </w:tcPr>
          <w:p w14:paraId="31DA880B">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475" w:type="dxa"/>
            <w:noWrap w:val="0"/>
            <w:vAlign w:val="top"/>
          </w:tcPr>
          <w:p w14:paraId="7E54C3B3">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475" w:type="dxa"/>
            <w:noWrap w:val="0"/>
            <w:vAlign w:val="top"/>
          </w:tcPr>
          <w:p w14:paraId="33221B14">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475" w:type="dxa"/>
            <w:noWrap w:val="0"/>
            <w:vAlign w:val="top"/>
          </w:tcPr>
          <w:p w14:paraId="73B98250">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r>
      <w:tr w14:paraId="10081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7" w:hRule="exact"/>
        </w:trPr>
        <w:tc>
          <w:tcPr>
            <w:tcW w:w="1386" w:type="dxa"/>
            <w:noWrap w:val="0"/>
            <w:vAlign w:val="top"/>
          </w:tcPr>
          <w:p w14:paraId="5B065936">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842" w:type="dxa"/>
            <w:noWrap w:val="0"/>
            <w:vAlign w:val="top"/>
          </w:tcPr>
          <w:p w14:paraId="4E02F630">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792" w:type="dxa"/>
            <w:noWrap w:val="0"/>
            <w:vAlign w:val="top"/>
          </w:tcPr>
          <w:p w14:paraId="5C5AE193">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923" w:type="dxa"/>
            <w:noWrap w:val="0"/>
            <w:vAlign w:val="top"/>
          </w:tcPr>
          <w:p w14:paraId="356D728E">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475" w:type="dxa"/>
            <w:noWrap w:val="0"/>
            <w:vAlign w:val="top"/>
          </w:tcPr>
          <w:p w14:paraId="3DD99889">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475" w:type="dxa"/>
            <w:noWrap w:val="0"/>
            <w:vAlign w:val="top"/>
          </w:tcPr>
          <w:p w14:paraId="5A31DB38">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c>
          <w:tcPr>
            <w:tcW w:w="1475" w:type="dxa"/>
            <w:noWrap w:val="0"/>
            <w:vAlign w:val="top"/>
          </w:tcPr>
          <w:p w14:paraId="644E77CD">
            <w:pPr>
              <w:autoSpaceDE w:val="0"/>
              <w:autoSpaceDN w:val="0"/>
              <w:adjustRightInd w:val="0"/>
              <w:spacing w:line="360" w:lineRule="auto"/>
              <w:jc w:val="left"/>
              <w:rPr>
                <w:rFonts w:hint="eastAsia" w:ascii="仿宋" w:hAnsi="仿宋" w:eastAsia="仿宋" w:cs="仿宋"/>
                <w:color w:val="auto"/>
                <w:kern w:val="0"/>
                <w:sz w:val="24"/>
                <w:szCs w:val="24"/>
                <w:highlight w:val="none"/>
              </w:rPr>
            </w:pPr>
          </w:p>
        </w:tc>
      </w:tr>
    </w:tbl>
    <w:p w14:paraId="02A9DBF6">
      <w:pPr>
        <w:spacing w:line="360" w:lineRule="auto"/>
        <w:rPr>
          <w:rFonts w:hint="eastAsia" w:ascii="仿宋" w:hAnsi="仿宋" w:eastAsia="仿宋" w:cs="仿宋"/>
          <w:color w:val="auto"/>
          <w:sz w:val="24"/>
          <w:szCs w:val="24"/>
          <w:highlight w:val="none"/>
        </w:rPr>
      </w:pPr>
    </w:p>
    <w:p w14:paraId="430BED11">
      <w:pPr>
        <w:spacing w:line="400" w:lineRule="exact"/>
        <w:ind w:firstLine="480"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注：1.附主要人员的身份证扫描件；</w:t>
      </w:r>
    </w:p>
    <w:p w14:paraId="7D9CC5B1">
      <w:pPr>
        <w:pStyle w:val="18"/>
        <w:spacing w:line="600" w:lineRule="exact"/>
        <w:rPr>
          <w:rFonts w:hint="eastAsia" w:hAnsi="宋体"/>
          <w:b/>
          <w:color w:val="auto"/>
          <w:sz w:val="28"/>
          <w:szCs w:val="28"/>
        </w:rPr>
      </w:pPr>
      <w:bookmarkStart w:id="93" w:name="_Toc16789_WPSOffice_Level2"/>
      <w:r>
        <w:rPr>
          <w:rFonts w:hint="eastAsia" w:ascii="仿宋" w:hAnsi="仿宋" w:eastAsia="仿宋" w:cs="仿宋"/>
          <w:b/>
          <w:color w:val="auto"/>
          <w:sz w:val="24"/>
          <w:szCs w:val="24"/>
          <w:highlight w:val="none"/>
        </w:rPr>
        <w:t>职称资格证书以及相关证书等资料的扫描件（如有</w:t>
      </w:r>
      <w:bookmarkEnd w:id="93"/>
      <w:r>
        <w:rPr>
          <w:rFonts w:hint="eastAsia" w:ascii="仿宋" w:hAnsi="仿宋" w:eastAsia="仿宋" w:cs="仿宋"/>
          <w:b/>
          <w:color w:val="auto"/>
          <w:sz w:val="24"/>
          <w:szCs w:val="24"/>
          <w:highlight w:val="none"/>
          <w:lang w:eastAsia="zh-CN"/>
        </w:rPr>
        <w:t>）</w:t>
      </w:r>
    </w:p>
    <w:p w14:paraId="022BF2F6">
      <w:pPr>
        <w:pStyle w:val="18"/>
        <w:spacing w:line="600" w:lineRule="exact"/>
        <w:rPr>
          <w:rFonts w:hint="eastAsia" w:hAnsi="宋体"/>
          <w:b/>
          <w:color w:val="auto"/>
          <w:sz w:val="28"/>
          <w:szCs w:val="28"/>
        </w:rPr>
      </w:pPr>
    </w:p>
    <w:p w14:paraId="422B5470">
      <w:pPr>
        <w:pStyle w:val="18"/>
        <w:spacing w:line="600" w:lineRule="exact"/>
        <w:rPr>
          <w:rFonts w:hint="eastAsia" w:hAnsi="宋体"/>
          <w:b/>
          <w:color w:val="auto"/>
          <w:sz w:val="28"/>
          <w:szCs w:val="28"/>
        </w:rPr>
      </w:pPr>
    </w:p>
    <w:p w14:paraId="4B94713A">
      <w:pPr>
        <w:pStyle w:val="18"/>
        <w:spacing w:line="600" w:lineRule="exact"/>
        <w:rPr>
          <w:rFonts w:hint="eastAsia" w:hAnsi="宋体"/>
          <w:b/>
          <w:color w:val="auto"/>
          <w:sz w:val="28"/>
          <w:szCs w:val="28"/>
        </w:rPr>
      </w:pPr>
    </w:p>
    <w:p w14:paraId="43DE9E3F">
      <w:pPr>
        <w:pStyle w:val="18"/>
        <w:spacing w:line="600" w:lineRule="exact"/>
        <w:rPr>
          <w:rFonts w:hint="eastAsia" w:hAnsi="宋体"/>
          <w:b/>
          <w:color w:val="auto"/>
          <w:sz w:val="28"/>
          <w:szCs w:val="28"/>
        </w:rPr>
      </w:pPr>
    </w:p>
    <w:p w14:paraId="2913E83C">
      <w:pPr>
        <w:pStyle w:val="18"/>
        <w:spacing w:line="600" w:lineRule="exact"/>
        <w:rPr>
          <w:rFonts w:hint="eastAsia" w:hAnsi="宋体"/>
          <w:b/>
          <w:color w:val="auto"/>
          <w:sz w:val="28"/>
          <w:szCs w:val="28"/>
        </w:rPr>
      </w:pPr>
    </w:p>
    <w:p w14:paraId="17F4FDA2">
      <w:pPr>
        <w:pStyle w:val="18"/>
        <w:spacing w:line="600" w:lineRule="exact"/>
        <w:rPr>
          <w:rFonts w:hint="eastAsia" w:hAnsi="宋体"/>
          <w:b/>
          <w:color w:val="auto"/>
          <w:sz w:val="28"/>
          <w:szCs w:val="28"/>
        </w:rPr>
      </w:pPr>
    </w:p>
    <w:p w14:paraId="72722C21">
      <w:pPr>
        <w:pStyle w:val="18"/>
        <w:spacing w:line="600" w:lineRule="exact"/>
        <w:rPr>
          <w:rFonts w:hAnsi="宋体"/>
          <w:b/>
          <w:color w:val="auto"/>
          <w:sz w:val="28"/>
          <w:szCs w:val="28"/>
        </w:rPr>
      </w:pPr>
      <w:r>
        <w:rPr>
          <w:rFonts w:hint="eastAsia" w:hAnsi="宋体"/>
          <w:b/>
          <w:color w:val="auto"/>
          <w:sz w:val="28"/>
          <w:szCs w:val="28"/>
        </w:rPr>
        <w:t>格式7：</w:t>
      </w:r>
    </w:p>
    <w:p w14:paraId="1D94DBD9">
      <w:pPr>
        <w:pStyle w:val="3"/>
        <w:numPr>
          <w:ilvl w:val="0"/>
          <w:numId w:val="0"/>
        </w:numPr>
        <w:tabs>
          <w:tab w:val="left" w:pos="1021"/>
        </w:tabs>
        <w:ind w:left="425"/>
        <w:jc w:val="center"/>
        <w:rPr>
          <w:rFonts w:ascii="宋体" w:hAnsi="宋体" w:eastAsia="宋体"/>
          <w:color w:val="auto"/>
        </w:rPr>
      </w:pPr>
      <w:bookmarkStart w:id="94" w:name="_Toc21279"/>
      <w:r>
        <w:rPr>
          <w:rFonts w:hint="eastAsia" w:ascii="黑体" w:hAnsi="黑体" w:eastAsia="黑体"/>
          <w:color w:val="auto"/>
          <w:spacing w:val="-1"/>
          <w:sz w:val="28"/>
          <w:highlight w:val="none"/>
        </w:rPr>
        <w:t>参加政府采购活动前</w:t>
      </w:r>
      <w:r>
        <w:rPr>
          <w:rFonts w:hint="eastAsia" w:ascii="黑体" w:hAnsi="黑体" w:eastAsia="黑体"/>
          <w:color w:val="auto"/>
          <w:spacing w:val="-70"/>
          <w:sz w:val="28"/>
          <w:highlight w:val="none"/>
        </w:rPr>
        <w:t xml:space="preserve"> </w:t>
      </w:r>
      <w:r>
        <w:rPr>
          <w:rFonts w:eastAsia="Times New Roman"/>
          <w:color w:val="auto"/>
          <w:sz w:val="28"/>
          <w:highlight w:val="none"/>
        </w:rPr>
        <w:t>3</w:t>
      </w:r>
      <w:r>
        <w:rPr>
          <w:rFonts w:eastAsia="Times New Roman"/>
          <w:color w:val="auto"/>
          <w:spacing w:val="-2"/>
          <w:sz w:val="28"/>
          <w:highlight w:val="none"/>
        </w:rPr>
        <w:t xml:space="preserve"> </w:t>
      </w:r>
      <w:r>
        <w:rPr>
          <w:rFonts w:hint="eastAsia" w:ascii="黑体" w:hAnsi="黑体" w:eastAsia="黑体"/>
          <w:color w:val="auto"/>
          <w:spacing w:val="-1"/>
          <w:sz w:val="28"/>
          <w:highlight w:val="none"/>
        </w:rPr>
        <w:t>年内，在经营活动中没有重大违法记录</w:t>
      </w:r>
      <w:bookmarkEnd w:id="94"/>
    </w:p>
    <w:p w14:paraId="039C64F6">
      <w:pPr>
        <w:jc w:val="center"/>
        <w:rPr>
          <w:rFonts w:hint="default" w:hAnsi="宋体" w:eastAsia="宋体"/>
          <w:color w:val="auto"/>
          <w:szCs w:val="21"/>
          <w:lang w:val="en-US" w:eastAsia="zh-CN"/>
        </w:rPr>
      </w:pPr>
      <w:r>
        <w:rPr>
          <w:rFonts w:hint="eastAsia" w:hAnsi="宋体"/>
          <w:color w:val="auto"/>
          <w:szCs w:val="21"/>
          <w:lang w:val="en-US" w:eastAsia="zh-CN"/>
        </w:rPr>
        <w:t>（格式自拟）</w:t>
      </w:r>
    </w:p>
    <w:p w14:paraId="6A3562AE">
      <w:pPr>
        <w:rPr>
          <w:rFonts w:hint="eastAsia" w:hAnsi="宋体"/>
          <w:color w:val="auto"/>
          <w:szCs w:val="21"/>
        </w:rPr>
      </w:pPr>
    </w:p>
    <w:p w14:paraId="2BAD10D0">
      <w:pPr>
        <w:rPr>
          <w:rFonts w:hint="eastAsia" w:hAnsi="宋体"/>
          <w:color w:val="auto"/>
          <w:szCs w:val="21"/>
        </w:rPr>
      </w:pPr>
    </w:p>
    <w:p w14:paraId="7CC4F7E0">
      <w:pPr>
        <w:rPr>
          <w:rFonts w:hint="eastAsia" w:hAnsi="宋体"/>
          <w:color w:val="auto"/>
          <w:szCs w:val="21"/>
        </w:rPr>
      </w:pPr>
    </w:p>
    <w:p w14:paraId="5BC0CEA6">
      <w:pPr>
        <w:rPr>
          <w:rFonts w:hint="eastAsia" w:hAnsi="宋体"/>
          <w:color w:val="auto"/>
          <w:szCs w:val="21"/>
        </w:rPr>
      </w:pPr>
    </w:p>
    <w:p w14:paraId="76234D38">
      <w:pPr>
        <w:rPr>
          <w:rFonts w:hint="eastAsia" w:hAnsi="宋体"/>
          <w:color w:val="auto"/>
          <w:szCs w:val="21"/>
        </w:rPr>
      </w:pPr>
    </w:p>
    <w:p w14:paraId="208FFD44">
      <w:pPr>
        <w:rPr>
          <w:rFonts w:hint="eastAsia" w:hAnsi="宋体"/>
          <w:color w:val="auto"/>
          <w:szCs w:val="21"/>
        </w:rPr>
      </w:pPr>
    </w:p>
    <w:p w14:paraId="64EEB62B">
      <w:pPr>
        <w:rPr>
          <w:rFonts w:hint="eastAsia" w:hAnsi="宋体"/>
          <w:color w:val="auto"/>
          <w:szCs w:val="21"/>
        </w:rPr>
      </w:pPr>
    </w:p>
    <w:p w14:paraId="58E7C92C">
      <w:pPr>
        <w:rPr>
          <w:rFonts w:hint="eastAsia" w:hAnsi="宋体"/>
          <w:color w:val="auto"/>
          <w:szCs w:val="21"/>
        </w:rPr>
      </w:pPr>
    </w:p>
    <w:p w14:paraId="2D8E7CDA">
      <w:pPr>
        <w:rPr>
          <w:rFonts w:hint="eastAsia" w:hAnsi="宋体"/>
          <w:color w:val="auto"/>
          <w:szCs w:val="21"/>
        </w:rPr>
      </w:pPr>
    </w:p>
    <w:p w14:paraId="3FB5ACFD">
      <w:pPr>
        <w:rPr>
          <w:rFonts w:hint="eastAsia" w:hAnsi="宋体"/>
          <w:color w:val="auto"/>
          <w:szCs w:val="21"/>
        </w:rPr>
      </w:pPr>
    </w:p>
    <w:p w14:paraId="0498FD58">
      <w:pPr>
        <w:rPr>
          <w:rFonts w:hint="eastAsia" w:hAnsi="宋体"/>
          <w:color w:val="auto"/>
          <w:szCs w:val="21"/>
        </w:rPr>
      </w:pPr>
    </w:p>
    <w:p w14:paraId="385F073E">
      <w:pPr>
        <w:rPr>
          <w:rFonts w:hint="eastAsia" w:hAnsi="宋体"/>
          <w:color w:val="auto"/>
          <w:szCs w:val="21"/>
        </w:rPr>
      </w:pPr>
    </w:p>
    <w:p w14:paraId="191D3DC2">
      <w:pPr>
        <w:rPr>
          <w:rFonts w:hint="eastAsia" w:hAnsi="宋体"/>
          <w:color w:val="auto"/>
          <w:szCs w:val="21"/>
        </w:rPr>
      </w:pPr>
    </w:p>
    <w:p w14:paraId="37D88214">
      <w:pPr>
        <w:rPr>
          <w:rFonts w:hint="eastAsia" w:hAnsi="宋体"/>
          <w:color w:val="auto"/>
          <w:szCs w:val="21"/>
        </w:rPr>
      </w:pPr>
    </w:p>
    <w:p w14:paraId="622AC54C">
      <w:pPr>
        <w:rPr>
          <w:rFonts w:hint="eastAsia" w:hAnsi="宋体"/>
          <w:color w:val="auto"/>
          <w:szCs w:val="21"/>
        </w:rPr>
      </w:pPr>
    </w:p>
    <w:p w14:paraId="1BFB212D">
      <w:pPr>
        <w:rPr>
          <w:rFonts w:hint="eastAsia" w:hAnsi="宋体"/>
          <w:color w:val="auto"/>
          <w:szCs w:val="21"/>
        </w:rPr>
      </w:pPr>
    </w:p>
    <w:p w14:paraId="18223BE5">
      <w:pPr>
        <w:rPr>
          <w:rFonts w:hint="eastAsia" w:hAnsi="宋体"/>
          <w:color w:val="auto"/>
          <w:szCs w:val="21"/>
        </w:rPr>
      </w:pPr>
    </w:p>
    <w:p w14:paraId="37AEF797">
      <w:pPr>
        <w:pStyle w:val="18"/>
        <w:spacing w:line="600" w:lineRule="exact"/>
        <w:rPr>
          <w:rFonts w:hAnsi="宋体"/>
          <w:b/>
          <w:color w:val="auto"/>
          <w:sz w:val="28"/>
          <w:szCs w:val="28"/>
        </w:rPr>
      </w:pPr>
      <w:r>
        <w:rPr>
          <w:rFonts w:hint="eastAsia" w:hAnsi="宋体"/>
          <w:color w:val="auto"/>
          <w:szCs w:val="21"/>
        </w:rPr>
        <w:br w:type="page"/>
      </w:r>
      <w:r>
        <w:rPr>
          <w:rFonts w:hint="eastAsia" w:hAnsi="宋体"/>
          <w:b/>
          <w:color w:val="auto"/>
          <w:sz w:val="28"/>
          <w:szCs w:val="28"/>
        </w:rPr>
        <w:t>格式8：</w:t>
      </w:r>
    </w:p>
    <w:p w14:paraId="688A8A66">
      <w:pPr>
        <w:pStyle w:val="3"/>
        <w:numPr>
          <w:ilvl w:val="0"/>
          <w:numId w:val="0"/>
        </w:numPr>
        <w:tabs>
          <w:tab w:val="left" w:pos="1021"/>
        </w:tabs>
        <w:ind w:left="425"/>
        <w:jc w:val="center"/>
        <w:rPr>
          <w:rFonts w:ascii="宋体" w:hAnsi="宋体" w:eastAsia="宋体"/>
          <w:color w:val="auto"/>
          <w:sz w:val="32"/>
          <w:szCs w:val="32"/>
        </w:rPr>
      </w:pPr>
      <w:bookmarkStart w:id="95" w:name="_Toc213141104"/>
      <w:bookmarkStart w:id="96" w:name="_Toc25356"/>
      <w:bookmarkStart w:id="97" w:name="_Toc348010002"/>
      <w:bookmarkStart w:id="98" w:name="_Toc396092992"/>
      <w:r>
        <w:rPr>
          <w:rFonts w:hint="eastAsia" w:ascii="宋体" w:hAnsi="宋体" w:eastAsia="宋体"/>
          <w:color w:val="auto"/>
          <w:sz w:val="32"/>
          <w:szCs w:val="32"/>
        </w:rPr>
        <w:t>营业执照</w:t>
      </w:r>
      <w:bookmarkEnd w:id="95"/>
      <w:r>
        <w:rPr>
          <w:rFonts w:hint="eastAsia" w:ascii="宋体" w:hAnsi="宋体" w:eastAsia="宋体"/>
          <w:color w:val="auto"/>
          <w:sz w:val="32"/>
          <w:szCs w:val="32"/>
        </w:rPr>
        <w:t>、税务登记证及组织机构代码证</w:t>
      </w:r>
      <w:bookmarkEnd w:id="96"/>
      <w:bookmarkEnd w:id="97"/>
      <w:bookmarkEnd w:id="98"/>
    </w:p>
    <w:p w14:paraId="3695DE84">
      <w:pPr>
        <w:rPr>
          <w:rFonts w:hint="eastAsia" w:hAnsi="宋体"/>
          <w:color w:val="auto"/>
          <w:szCs w:val="21"/>
        </w:rPr>
      </w:pPr>
    </w:p>
    <w:p w14:paraId="5435A344">
      <w:pPr>
        <w:rPr>
          <w:rFonts w:hint="eastAsia" w:hAnsi="宋体"/>
          <w:color w:val="auto"/>
          <w:szCs w:val="21"/>
        </w:rPr>
      </w:pPr>
    </w:p>
    <w:p w14:paraId="5FD2B902">
      <w:pPr>
        <w:rPr>
          <w:rFonts w:hint="eastAsia" w:hAnsi="宋体"/>
          <w:color w:val="auto"/>
          <w:szCs w:val="21"/>
        </w:rPr>
      </w:pPr>
    </w:p>
    <w:p w14:paraId="304BCC9B">
      <w:pPr>
        <w:rPr>
          <w:rFonts w:hint="eastAsia" w:hAnsi="宋体"/>
          <w:color w:val="auto"/>
          <w:szCs w:val="21"/>
        </w:rPr>
      </w:pPr>
    </w:p>
    <w:p w14:paraId="13F86213">
      <w:pPr>
        <w:rPr>
          <w:rFonts w:hint="eastAsia" w:hAnsi="宋体"/>
          <w:color w:val="auto"/>
          <w:szCs w:val="21"/>
        </w:rPr>
      </w:pPr>
    </w:p>
    <w:p w14:paraId="6C2FBDBA">
      <w:pPr>
        <w:rPr>
          <w:rFonts w:hint="eastAsia" w:hAnsi="宋体"/>
          <w:color w:val="auto"/>
          <w:szCs w:val="21"/>
        </w:rPr>
      </w:pPr>
    </w:p>
    <w:p w14:paraId="25CEB779">
      <w:pPr>
        <w:rPr>
          <w:rFonts w:hint="eastAsia" w:hAnsi="宋体"/>
          <w:color w:val="auto"/>
          <w:szCs w:val="21"/>
        </w:rPr>
      </w:pPr>
    </w:p>
    <w:p w14:paraId="209B2FA9">
      <w:pPr>
        <w:rPr>
          <w:rFonts w:hint="eastAsia" w:hAnsi="宋体"/>
          <w:color w:val="auto"/>
          <w:szCs w:val="21"/>
        </w:rPr>
      </w:pPr>
    </w:p>
    <w:p w14:paraId="5BFF77D6">
      <w:pPr>
        <w:rPr>
          <w:rFonts w:hint="eastAsia" w:hAnsi="宋体"/>
          <w:color w:val="auto"/>
          <w:szCs w:val="21"/>
        </w:rPr>
      </w:pPr>
    </w:p>
    <w:p w14:paraId="3EEF50AD">
      <w:pPr>
        <w:rPr>
          <w:rFonts w:hint="eastAsia" w:hAnsi="宋体"/>
          <w:color w:val="auto"/>
          <w:szCs w:val="21"/>
        </w:rPr>
      </w:pPr>
    </w:p>
    <w:p w14:paraId="55E128D1">
      <w:pPr>
        <w:rPr>
          <w:rFonts w:hint="eastAsia" w:hAnsi="宋体"/>
          <w:color w:val="auto"/>
          <w:szCs w:val="21"/>
        </w:rPr>
      </w:pPr>
    </w:p>
    <w:p w14:paraId="3FBE9868">
      <w:pPr>
        <w:rPr>
          <w:rFonts w:hint="eastAsia" w:hAnsi="宋体"/>
          <w:color w:val="auto"/>
          <w:szCs w:val="21"/>
        </w:rPr>
      </w:pPr>
    </w:p>
    <w:p w14:paraId="70CDE753">
      <w:pPr>
        <w:rPr>
          <w:rFonts w:hint="eastAsia" w:hAnsi="宋体"/>
          <w:color w:val="auto"/>
          <w:szCs w:val="21"/>
        </w:rPr>
      </w:pPr>
    </w:p>
    <w:p w14:paraId="7E6ED47A">
      <w:pPr>
        <w:rPr>
          <w:rFonts w:hint="eastAsia" w:hAnsi="宋体"/>
          <w:color w:val="auto"/>
          <w:szCs w:val="21"/>
        </w:rPr>
      </w:pPr>
    </w:p>
    <w:p w14:paraId="13D6E9CA">
      <w:pPr>
        <w:rPr>
          <w:rFonts w:hint="eastAsia" w:hAnsi="宋体"/>
          <w:color w:val="auto"/>
          <w:szCs w:val="21"/>
        </w:rPr>
      </w:pPr>
    </w:p>
    <w:p w14:paraId="1E19DB6F">
      <w:pPr>
        <w:rPr>
          <w:rFonts w:hint="eastAsia" w:hAnsi="宋体"/>
          <w:color w:val="auto"/>
          <w:szCs w:val="21"/>
        </w:rPr>
      </w:pPr>
    </w:p>
    <w:p w14:paraId="6D651A34">
      <w:pPr>
        <w:rPr>
          <w:rFonts w:hint="eastAsia" w:hAnsi="宋体"/>
          <w:color w:val="auto"/>
          <w:szCs w:val="21"/>
        </w:rPr>
      </w:pPr>
    </w:p>
    <w:p w14:paraId="3EA1C0E8">
      <w:pPr>
        <w:rPr>
          <w:rFonts w:hint="eastAsia" w:hAnsi="宋体"/>
          <w:color w:val="auto"/>
          <w:szCs w:val="21"/>
        </w:rPr>
      </w:pPr>
    </w:p>
    <w:p w14:paraId="7B7931D1">
      <w:pPr>
        <w:rPr>
          <w:rFonts w:hint="eastAsia" w:hAnsi="宋体"/>
          <w:color w:val="auto"/>
          <w:szCs w:val="21"/>
        </w:rPr>
      </w:pPr>
    </w:p>
    <w:p w14:paraId="5835388E">
      <w:pPr>
        <w:rPr>
          <w:rFonts w:hint="eastAsia" w:hAnsi="宋体"/>
          <w:color w:val="auto"/>
          <w:szCs w:val="21"/>
        </w:rPr>
      </w:pPr>
    </w:p>
    <w:p w14:paraId="6C3C0DC9">
      <w:pPr>
        <w:rPr>
          <w:rFonts w:hint="eastAsia" w:hAnsi="宋体"/>
          <w:color w:val="auto"/>
          <w:szCs w:val="21"/>
        </w:rPr>
      </w:pPr>
    </w:p>
    <w:p w14:paraId="1DF762B0">
      <w:pPr>
        <w:rPr>
          <w:rFonts w:hint="eastAsia" w:hAnsi="宋体"/>
          <w:color w:val="auto"/>
          <w:szCs w:val="21"/>
        </w:rPr>
      </w:pPr>
    </w:p>
    <w:p w14:paraId="44A2ED0D">
      <w:pPr>
        <w:rPr>
          <w:rFonts w:hint="eastAsia" w:hAnsi="宋体"/>
          <w:color w:val="auto"/>
          <w:szCs w:val="21"/>
        </w:rPr>
      </w:pPr>
    </w:p>
    <w:p w14:paraId="4FF60196">
      <w:pPr>
        <w:rPr>
          <w:rFonts w:hint="eastAsia" w:hAnsi="宋体"/>
          <w:color w:val="auto"/>
          <w:szCs w:val="21"/>
        </w:rPr>
      </w:pPr>
    </w:p>
    <w:p w14:paraId="1966F3E9">
      <w:pPr>
        <w:pStyle w:val="2"/>
        <w:numPr>
          <w:ilvl w:val="0"/>
          <w:numId w:val="0"/>
        </w:numPr>
        <w:rPr>
          <w:rFonts w:hint="eastAsia"/>
          <w:color w:val="auto"/>
        </w:rPr>
      </w:pPr>
    </w:p>
    <w:p w14:paraId="4679A2F6">
      <w:pPr>
        <w:rPr>
          <w:rFonts w:hint="eastAsia" w:hAnsi="宋体"/>
          <w:color w:val="auto"/>
          <w:szCs w:val="21"/>
        </w:rPr>
      </w:pPr>
    </w:p>
    <w:p w14:paraId="0D8DDEEB">
      <w:pPr>
        <w:rPr>
          <w:rFonts w:hint="eastAsia" w:hAnsi="宋体"/>
          <w:color w:val="auto"/>
          <w:szCs w:val="21"/>
        </w:rPr>
      </w:pPr>
    </w:p>
    <w:p w14:paraId="10D8319E">
      <w:pPr>
        <w:rPr>
          <w:rFonts w:hint="eastAsia" w:hAnsi="宋体"/>
          <w:color w:val="auto"/>
          <w:szCs w:val="21"/>
        </w:rPr>
      </w:pPr>
    </w:p>
    <w:p w14:paraId="686C3010">
      <w:pPr>
        <w:pStyle w:val="14"/>
        <w:rPr>
          <w:rFonts w:hint="eastAsia" w:hAnsi="宋体"/>
          <w:color w:val="auto"/>
          <w:szCs w:val="21"/>
        </w:rPr>
      </w:pPr>
    </w:p>
    <w:p w14:paraId="3E131767">
      <w:pPr>
        <w:rPr>
          <w:rFonts w:hint="eastAsia" w:hAnsi="宋体"/>
          <w:color w:val="auto"/>
          <w:szCs w:val="21"/>
        </w:rPr>
      </w:pPr>
    </w:p>
    <w:p w14:paraId="29721108">
      <w:pPr>
        <w:pStyle w:val="14"/>
        <w:rPr>
          <w:rFonts w:hint="eastAsia"/>
          <w:color w:val="auto"/>
        </w:rPr>
      </w:pPr>
    </w:p>
    <w:p w14:paraId="23A78A8D">
      <w:pPr>
        <w:pStyle w:val="14"/>
        <w:rPr>
          <w:rFonts w:hint="eastAsia"/>
          <w:color w:val="auto"/>
          <w:lang w:val="en-US"/>
        </w:rPr>
      </w:pPr>
    </w:p>
    <w:p w14:paraId="709614F7">
      <w:pPr>
        <w:pStyle w:val="14"/>
        <w:rPr>
          <w:rFonts w:hint="eastAsia"/>
          <w:color w:val="auto"/>
          <w:lang w:val="en-US"/>
        </w:rPr>
      </w:pPr>
    </w:p>
    <w:p w14:paraId="2298AD93">
      <w:pPr>
        <w:rPr>
          <w:rFonts w:hint="eastAsia" w:hAnsi="宋体"/>
          <w:color w:val="auto"/>
          <w:szCs w:val="21"/>
        </w:rPr>
      </w:pPr>
    </w:p>
    <w:p w14:paraId="6FC8D266">
      <w:pPr>
        <w:pStyle w:val="18"/>
        <w:spacing w:line="600" w:lineRule="exact"/>
        <w:rPr>
          <w:rFonts w:hAnsi="宋体"/>
          <w:b/>
          <w:color w:val="auto"/>
          <w:sz w:val="28"/>
          <w:szCs w:val="28"/>
        </w:rPr>
      </w:pPr>
      <w:r>
        <w:rPr>
          <w:rFonts w:hint="eastAsia" w:hAnsi="宋体"/>
          <w:b/>
          <w:color w:val="auto"/>
          <w:sz w:val="28"/>
          <w:szCs w:val="28"/>
        </w:rPr>
        <w:t>格式8</w:t>
      </w:r>
      <w:r>
        <w:rPr>
          <w:rFonts w:hint="eastAsia" w:hAnsi="宋体"/>
          <w:b/>
          <w:color w:val="auto"/>
          <w:sz w:val="28"/>
          <w:szCs w:val="28"/>
          <w:lang w:val="en-US" w:eastAsia="zh-CN"/>
        </w:rPr>
        <w:t>-1</w:t>
      </w:r>
      <w:r>
        <w:rPr>
          <w:rFonts w:hint="eastAsia" w:hAnsi="宋体"/>
          <w:b/>
          <w:color w:val="auto"/>
          <w:sz w:val="28"/>
          <w:szCs w:val="28"/>
        </w:rPr>
        <w:t>：</w:t>
      </w:r>
    </w:p>
    <w:p w14:paraId="55558F7C">
      <w:pPr>
        <w:pStyle w:val="3"/>
        <w:numPr>
          <w:ilvl w:val="0"/>
          <w:numId w:val="0"/>
        </w:numPr>
        <w:tabs>
          <w:tab w:val="left" w:pos="1021"/>
        </w:tabs>
        <w:spacing w:after="120"/>
        <w:ind w:left="425"/>
        <w:jc w:val="center"/>
        <w:rPr>
          <w:rFonts w:ascii="宋体" w:hAnsi="宋体" w:eastAsia="宋体"/>
          <w:color w:val="auto"/>
        </w:rPr>
      </w:pPr>
      <w:bookmarkStart w:id="99" w:name="_Toc396092993"/>
      <w:bookmarkStart w:id="100" w:name="_Toc348010004"/>
      <w:bookmarkStart w:id="101" w:name="_Toc26814"/>
      <w:r>
        <w:rPr>
          <w:rFonts w:hint="eastAsia" w:ascii="宋体" w:hAnsi="宋体" w:eastAsia="宋体"/>
          <w:color w:val="auto"/>
        </w:rPr>
        <w:t>法定代表人身份证明书</w:t>
      </w:r>
      <w:bookmarkEnd w:id="99"/>
      <w:bookmarkEnd w:id="100"/>
      <w:bookmarkEnd w:id="101"/>
    </w:p>
    <w:p w14:paraId="613712B4">
      <w:pPr>
        <w:spacing w:line="440" w:lineRule="exact"/>
        <w:jc w:val="center"/>
        <w:rPr>
          <w:rFonts w:ascii="宋体" w:hAnsi="宋体"/>
          <w:b/>
          <w:color w:val="auto"/>
          <w:sz w:val="30"/>
          <w:szCs w:val="30"/>
        </w:rPr>
      </w:pPr>
    </w:p>
    <w:p w14:paraId="21BBD929">
      <w:pPr>
        <w:spacing w:line="360" w:lineRule="auto"/>
        <w:rPr>
          <w:rFonts w:ascii="宋体" w:hAnsi="宋体"/>
          <w:color w:val="auto"/>
          <w:szCs w:val="21"/>
        </w:rPr>
      </w:pPr>
      <w:r>
        <w:rPr>
          <w:rFonts w:hint="eastAsia" w:ascii="宋体" w:hAnsi="宋体"/>
          <w:color w:val="auto"/>
          <w:szCs w:val="21"/>
        </w:rPr>
        <w:t>投标人名称：</w:t>
      </w:r>
    </w:p>
    <w:p w14:paraId="4E289A80">
      <w:pPr>
        <w:spacing w:line="360" w:lineRule="auto"/>
        <w:rPr>
          <w:rFonts w:ascii="宋体" w:hAnsi="宋体"/>
          <w:color w:val="auto"/>
          <w:szCs w:val="21"/>
        </w:rPr>
      </w:pPr>
      <w:r>
        <w:rPr>
          <w:rFonts w:hint="eastAsia" w:ascii="宋体" w:hAnsi="宋体"/>
          <w:color w:val="auto"/>
          <w:szCs w:val="21"/>
        </w:rPr>
        <w:t>单位性质：</w:t>
      </w:r>
    </w:p>
    <w:p w14:paraId="6603B4F9">
      <w:pPr>
        <w:spacing w:line="360" w:lineRule="auto"/>
        <w:rPr>
          <w:rFonts w:ascii="宋体" w:hAnsi="宋体"/>
          <w:color w:val="auto"/>
          <w:szCs w:val="21"/>
        </w:rPr>
      </w:pPr>
      <w:r>
        <w:rPr>
          <w:rFonts w:hint="eastAsia" w:ascii="宋体" w:hAnsi="宋体"/>
          <w:color w:val="auto"/>
          <w:szCs w:val="21"/>
        </w:rPr>
        <w:t>成立时间：年月日</w:t>
      </w:r>
    </w:p>
    <w:p w14:paraId="292CE7B3">
      <w:pPr>
        <w:spacing w:line="360" w:lineRule="auto"/>
        <w:rPr>
          <w:rFonts w:ascii="宋体" w:hAnsi="宋体"/>
          <w:color w:val="auto"/>
          <w:szCs w:val="21"/>
        </w:rPr>
      </w:pPr>
      <w:r>
        <w:rPr>
          <w:rFonts w:hint="eastAsia" w:ascii="宋体" w:hAnsi="宋体"/>
          <w:color w:val="auto"/>
          <w:szCs w:val="21"/>
        </w:rPr>
        <w:t>经营期限：</w:t>
      </w:r>
    </w:p>
    <w:p w14:paraId="7774F301">
      <w:pPr>
        <w:spacing w:line="360" w:lineRule="auto"/>
        <w:rPr>
          <w:rFonts w:ascii="宋体" w:hAnsi="宋体"/>
          <w:color w:val="auto"/>
          <w:szCs w:val="21"/>
        </w:rPr>
      </w:pPr>
      <w:r>
        <w:rPr>
          <w:rFonts w:hint="eastAsia" w:ascii="宋体" w:hAnsi="宋体"/>
          <w:color w:val="auto"/>
          <w:szCs w:val="21"/>
        </w:rPr>
        <w:t>姓名：  性别：  年龄：  职务：</w:t>
      </w:r>
    </w:p>
    <w:p w14:paraId="4108B33D">
      <w:pPr>
        <w:spacing w:line="360" w:lineRule="auto"/>
        <w:rPr>
          <w:rFonts w:ascii="宋体" w:hAnsi="宋体"/>
          <w:color w:val="auto"/>
          <w:szCs w:val="21"/>
        </w:rPr>
      </w:pPr>
      <w:r>
        <w:rPr>
          <w:rFonts w:hint="eastAsia" w:ascii="宋体" w:hAnsi="宋体"/>
          <w:color w:val="auto"/>
          <w:szCs w:val="21"/>
        </w:rPr>
        <w:t>系（投标人名称）的法定代表人。</w:t>
      </w:r>
    </w:p>
    <w:p w14:paraId="0A013C4A">
      <w:pPr>
        <w:spacing w:line="360" w:lineRule="auto"/>
        <w:rPr>
          <w:rFonts w:ascii="宋体" w:hAnsi="宋体"/>
          <w:color w:val="auto"/>
          <w:szCs w:val="21"/>
        </w:rPr>
      </w:pPr>
    </w:p>
    <w:p w14:paraId="69A6CA0B">
      <w:pPr>
        <w:spacing w:line="360" w:lineRule="auto"/>
        <w:ind w:firstLine="420" w:firstLineChars="200"/>
        <w:rPr>
          <w:rFonts w:ascii="宋体" w:hAnsi="宋体"/>
          <w:color w:val="auto"/>
          <w:szCs w:val="21"/>
        </w:rPr>
      </w:pPr>
    </w:p>
    <w:p w14:paraId="10637EA4">
      <w:pPr>
        <w:spacing w:line="360" w:lineRule="auto"/>
        <w:ind w:firstLine="420" w:firstLineChars="200"/>
        <w:rPr>
          <w:rFonts w:ascii="宋体" w:hAnsi="宋体"/>
          <w:color w:val="auto"/>
          <w:szCs w:val="21"/>
        </w:rPr>
      </w:pPr>
      <w:r>
        <w:rPr>
          <w:rFonts w:hint="eastAsia" w:ascii="宋体" w:hAnsi="宋体"/>
          <w:color w:val="auto"/>
          <w:szCs w:val="21"/>
        </w:rPr>
        <w:t>特此证明。</w:t>
      </w:r>
    </w:p>
    <w:p w14:paraId="115BC3AD">
      <w:pPr>
        <w:spacing w:line="360" w:lineRule="auto"/>
        <w:rPr>
          <w:rFonts w:ascii="宋体" w:hAnsi="宋体"/>
          <w:color w:val="auto"/>
          <w:szCs w:val="21"/>
        </w:rPr>
      </w:pPr>
    </w:p>
    <w:p w14:paraId="103C6A64">
      <w:pPr>
        <w:spacing w:line="360" w:lineRule="auto"/>
        <w:rPr>
          <w:rFonts w:ascii="宋体" w:hAnsi="宋体"/>
          <w:color w:val="auto"/>
          <w:szCs w:val="21"/>
        </w:rPr>
      </w:pPr>
    </w:p>
    <w:p w14:paraId="51009C7F">
      <w:pPr>
        <w:pStyle w:val="18"/>
        <w:spacing w:line="500" w:lineRule="exact"/>
        <w:ind w:firstLine="420"/>
        <w:rPr>
          <w:rFonts w:hAnsi="宋体"/>
          <w:b/>
          <w:bCs/>
          <w:color w:val="auto"/>
          <w:szCs w:val="21"/>
        </w:rPr>
      </w:pPr>
      <w:r>
        <w:rPr>
          <w:rFonts w:hint="eastAsia" w:hAnsi="宋体"/>
          <w:b/>
          <w:bCs/>
          <w:color w:val="auto"/>
          <w:szCs w:val="21"/>
        </w:rPr>
        <w:t>注:后附法定代表人身份证</w:t>
      </w:r>
      <w:r>
        <w:rPr>
          <w:rFonts w:hint="eastAsia" w:hAnsi="宋体"/>
          <w:b/>
          <w:bCs/>
          <w:color w:val="auto"/>
          <w:szCs w:val="21"/>
          <w:lang w:val="en-US" w:eastAsia="zh-CN"/>
        </w:rPr>
        <w:t>原件扫描件</w:t>
      </w:r>
      <w:r>
        <w:rPr>
          <w:rFonts w:hint="eastAsia" w:hAnsi="宋体"/>
          <w:b/>
          <w:bCs/>
          <w:color w:val="auto"/>
          <w:szCs w:val="21"/>
        </w:rPr>
        <w:t>（双面）。</w:t>
      </w:r>
    </w:p>
    <w:p w14:paraId="7D75B809">
      <w:pPr>
        <w:spacing w:line="360" w:lineRule="auto"/>
        <w:rPr>
          <w:rFonts w:ascii="宋体" w:hAnsi="宋体"/>
          <w:color w:val="auto"/>
          <w:szCs w:val="21"/>
        </w:rPr>
      </w:pPr>
    </w:p>
    <w:p w14:paraId="58BF8A83">
      <w:pPr>
        <w:spacing w:line="360" w:lineRule="auto"/>
        <w:rPr>
          <w:rFonts w:ascii="宋体" w:hAnsi="宋体"/>
          <w:color w:val="auto"/>
          <w:szCs w:val="21"/>
        </w:rPr>
      </w:pPr>
    </w:p>
    <w:p w14:paraId="29E0E0E7">
      <w:pPr>
        <w:pStyle w:val="18"/>
        <w:spacing w:line="600" w:lineRule="exact"/>
        <w:jc w:val="right"/>
        <w:rPr>
          <w:rFonts w:hAnsi="宋体"/>
          <w:color w:val="auto"/>
          <w:sz w:val="21"/>
          <w:szCs w:val="21"/>
        </w:rPr>
      </w:pPr>
      <w:r>
        <w:rPr>
          <w:rFonts w:hint="eastAsia" w:hAnsi="宋体"/>
          <w:color w:val="auto"/>
          <w:sz w:val="21"/>
          <w:szCs w:val="21"/>
          <w:lang w:eastAsia="zh-CN"/>
        </w:rPr>
        <w:t>法定代表人</w:t>
      </w:r>
      <w:r>
        <w:rPr>
          <w:rFonts w:hint="eastAsia" w:hAnsi="宋体"/>
          <w:color w:val="auto"/>
          <w:sz w:val="21"/>
          <w:szCs w:val="21"/>
        </w:rPr>
        <w:t>：</w:t>
      </w:r>
      <w:r>
        <w:rPr>
          <w:rFonts w:hint="eastAsia" w:hAnsi="宋体"/>
          <w:color w:val="auto"/>
          <w:sz w:val="21"/>
          <w:szCs w:val="21"/>
          <w:u w:val="single"/>
        </w:rPr>
        <w:t xml:space="preserve">       </w:t>
      </w:r>
      <w:r>
        <w:rPr>
          <w:rFonts w:hAnsi="宋体"/>
          <w:color w:val="auto"/>
          <w:sz w:val="21"/>
          <w:szCs w:val="21"/>
          <w:u w:val="single"/>
        </w:rPr>
        <w:t>（</w:t>
      </w:r>
      <w:r>
        <w:rPr>
          <w:rFonts w:hint="eastAsia" w:hAnsi="宋体"/>
          <w:color w:val="auto"/>
          <w:sz w:val="21"/>
          <w:szCs w:val="21"/>
          <w:u w:val="single"/>
          <w:lang w:val="en-US" w:eastAsia="zh-CN"/>
        </w:rPr>
        <w:t>电子</w:t>
      </w:r>
      <w:r>
        <w:rPr>
          <w:rFonts w:hint="eastAsia" w:hAnsi="宋体"/>
          <w:color w:val="auto"/>
          <w:sz w:val="21"/>
          <w:szCs w:val="21"/>
          <w:u w:val="single"/>
          <w:lang w:eastAsia="zh-CN"/>
        </w:rPr>
        <w:t>签章</w:t>
      </w:r>
      <w:r>
        <w:rPr>
          <w:rFonts w:hAnsi="宋体"/>
          <w:color w:val="auto"/>
          <w:sz w:val="21"/>
          <w:szCs w:val="21"/>
          <w:u w:val="single"/>
        </w:rPr>
        <w:t>）</w:t>
      </w:r>
      <w:r>
        <w:rPr>
          <w:rFonts w:hint="eastAsia" w:hAnsi="宋体"/>
          <w:color w:val="auto"/>
          <w:sz w:val="21"/>
          <w:szCs w:val="21"/>
          <w:u w:val="single"/>
        </w:rPr>
        <w:t xml:space="preserve">         </w:t>
      </w:r>
    </w:p>
    <w:p w14:paraId="5ABFD75A">
      <w:pPr>
        <w:pStyle w:val="18"/>
        <w:spacing w:line="600" w:lineRule="exact"/>
        <w:jc w:val="right"/>
        <w:rPr>
          <w:rFonts w:hAnsi="宋体"/>
          <w:color w:val="auto"/>
          <w:sz w:val="21"/>
          <w:szCs w:val="21"/>
          <w:u w:val="single"/>
        </w:rPr>
      </w:pPr>
      <w:r>
        <w:rPr>
          <w:rFonts w:hint="eastAsia" w:hAnsi="宋体"/>
          <w:color w:val="auto"/>
          <w:sz w:val="21"/>
          <w:szCs w:val="21"/>
        </w:rPr>
        <w:t>投标人：</w:t>
      </w:r>
      <w:r>
        <w:rPr>
          <w:rFonts w:hint="eastAsia" w:hAnsi="宋体"/>
          <w:color w:val="auto"/>
          <w:sz w:val="21"/>
          <w:szCs w:val="21"/>
          <w:u w:val="single"/>
        </w:rPr>
        <w:t xml:space="preserve">          </w:t>
      </w:r>
      <w:r>
        <w:rPr>
          <w:rFonts w:hint="eastAsia" w:hAnsi="宋体"/>
          <w:color w:val="auto"/>
          <w:sz w:val="21"/>
          <w:szCs w:val="21"/>
          <w:u w:val="single"/>
          <w:lang w:val="en-US" w:eastAsia="zh-CN"/>
        </w:rPr>
        <w:t xml:space="preserve">          </w:t>
      </w:r>
      <w:r>
        <w:rPr>
          <w:rFonts w:hint="eastAsia" w:hAnsi="宋体"/>
          <w:color w:val="auto"/>
          <w:sz w:val="21"/>
          <w:szCs w:val="21"/>
          <w:u w:val="single"/>
        </w:rPr>
        <w:t>（</w:t>
      </w:r>
      <w:r>
        <w:rPr>
          <w:rFonts w:hAnsi="宋体"/>
          <w:color w:val="auto"/>
          <w:sz w:val="21"/>
          <w:szCs w:val="21"/>
          <w:u w:val="single"/>
        </w:rPr>
        <w:t>盖</w:t>
      </w:r>
      <w:r>
        <w:rPr>
          <w:rFonts w:hint="eastAsia" w:hAnsi="宋体"/>
          <w:color w:val="auto"/>
          <w:sz w:val="21"/>
          <w:szCs w:val="21"/>
          <w:u w:val="single"/>
        </w:rPr>
        <w:t>单位章</w:t>
      </w:r>
      <w:r>
        <w:rPr>
          <w:rFonts w:hint="eastAsia" w:hAnsi="宋体"/>
          <w:color w:val="auto"/>
          <w:sz w:val="21"/>
          <w:szCs w:val="21"/>
          <w:u w:val="single"/>
          <w:lang w:eastAsia="zh-CN"/>
        </w:rPr>
        <w:t>）</w:t>
      </w:r>
    </w:p>
    <w:p w14:paraId="00AEF084">
      <w:pPr>
        <w:pStyle w:val="18"/>
        <w:jc w:val="right"/>
        <w:rPr>
          <w:rFonts w:hAnsi="宋体"/>
          <w:color w:val="auto"/>
          <w:sz w:val="21"/>
          <w:szCs w:val="21"/>
        </w:rPr>
      </w:pPr>
    </w:p>
    <w:p w14:paraId="3FE50E28">
      <w:pPr>
        <w:pStyle w:val="18"/>
        <w:jc w:val="center"/>
        <w:rPr>
          <w:rFonts w:hint="eastAsia" w:hAnsi="宋体"/>
          <w:color w:val="auto"/>
          <w:sz w:val="21"/>
          <w:szCs w:val="21"/>
        </w:rPr>
      </w:pPr>
      <w:r>
        <w:rPr>
          <w:rFonts w:hint="eastAsia" w:hAnsi="宋体"/>
          <w:color w:val="auto"/>
          <w:sz w:val="21"/>
          <w:szCs w:val="21"/>
          <w:lang w:val="en-US" w:eastAsia="zh-CN"/>
        </w:rPr>
        <w:t xml:space="preserve">                  </w:t>
      </w:r>
      <w:r>
        <w:rPr>
          <w:rFonts w:hint="eastAsia" w:hAnsi="宋体"/>
          <w:color w:val="auto"/>
          <w:sz w:val="21"/>
          <w:szCs w:val="21"/>
        </w:rPr>
        <w:t>日期：</w:t>
      </w:r>
    </w:p>
    <w:p w14:paraId="4CEC1A74">
      <w:pPr>
        <w:spacing w:line="360" w:lineRule="auto"/>
        <w:rPr>
          <w:rFonts w:ascii="宋体" w:hAnsi="宋体"/>
          <w:color w:val="auto"/>
          <w:szCs w:val="21"/>
        </w:rPr>
      </w:pPr>
    </w:p>
    <w:p w14:paraId="48B18441">
      <w:pPr>
        <w:pStyle w:val="18"/>
        <w:spacing w:line="600" w:lineRule="exact"/>
        <w:rPr>
          <w:rFonts w:hAnsi="宋体"/>
          <w:b/>
          <w:color w:val="auto"/>
          <w:sz w:val="28"/>
          <w:szCs w:val="28"/>
        </w:rPr>
      </w:pPr>
      <w:r>
        <w:rPr>
          <w:rFonts w:hAnsi="宋体"/>
          <w:b/>
          <w:color w:val="auto"/>
          <w:szCs w:val="21"/>
        </w:rPr>
        <w:br w:type="page"/>
      </w:r>
      <w:r>
        <w:rPr>
          <w:rFonts w:hint="eastAsia" w:hAnsi="宋体"/>
          <w:b/>
          <w:color w:val="auto"/>
          <w:sz w:val="28"/>
          <w:szCs w:val="28"/>
        </w:rPr>
        <w:t>格式8-</w:t>
      </w:r>
      <w:r>
        <w:rPr>
          <w:rFonts w:hint="eastAsia" w:hAnsi="宋体"/>
          <w:b/>
          <w:color w:val="auto"/>
          <w:sz w:val="28"/>
          <w:szCs w:val="28"/>
          <w:lang w:val="en-US" w:eastAsia="zh-CN"/>
        </w:rPr>
        <w:t>2</w:t>
      </w:r>
      <w:r>
        <w:rPr>
          <w:rFonts w:hint="eastAsia" w:hAnsi="宋体"/>
          <w:b/>
          <w:color w:val="auto"/>
          <w:sz w:val="28"/>
          <w:szCs w:val="28"/>
        </w:rPr>
        <w:t>：</w:t>
      </w:r>
    </w:p>
    <w:p w14:paraId="285AB0D1">
      <w:pPr>
        <w:pStyle w:val="3"/>
        <w:numPr>
          <w:ilvl w:val="0"/>
          <w:numId w:val="0"/>
        </w:numPr>
        <w:tabs>
          <w:tab w:val="left" w:pos="1021"/>
        </w:tabs>
        <w:ind w:left="425"/>
        <w:jc w:val="center"/>
        <w:rPr>
          <w:rFonts w:ascii="宋体" w:hAnsi="宋体" w:eastAsia="宋体"/>
          <w:color w:val="auto"/>
          <w:sz w:val="32"/>
          <w:szCs w:val="32"/>
        </w:rPr>
      </w:pPr>
      <w:bookmarkStart w:id="102" w:name="_Toc213141107"/>
      <w:bookmarkStart w:id="103" w:name="_Toc16682"/>
      <w:bookmarkStart w:id="104" w:name="_Toc348010005"/>
      <w:bookmarkStart w:id="105" w:name="_Toc396092994"/>
      <w:r>
        <w:rPr>
          <w:rFonts w:hint="eastAsia" w:ascii="宋体" w:hAnsi="宋体" w:eastAsia="宋体"/>
          <w:color w:val="auto"/>
          <w:sz w:val="32"/>
          <w:szCs w:val="32"/>
        </w:rPr>
        <w:t>法定代表人授权委托书</w:t>
      </w:r>
      <w:bookmarkEnd w:id="102"/>
      <w:bookmarkEnd w:id="103"/>
      <w:bookmarkEnd w:id="104"/>
      <w:bookmarkEnd w:id="105"/>
    </w:p>
    <w:p w14:paraId="6C112023">
      <w:pPr>
        <w:pStyle w:val="18"/>
        <w:spacing w:line="500" w:lineRule="exact"/>
        <w:ind w:firstLine="480" w:firstLineChars="200"/>
        <w:rPr>
          <w:rFonts w:hAnsi="宋体"/>
          <w:color w:val="auto"/>
          <w:sz w:val="24"/>
          <w:szCs w:val="24"/>
        </w:rPr>
      </w:pPr>
    </w:p>
    <w:p w14:paraId="515AF0AA">
      <w:pPr>
        <w:spacing w:line="360" w:lineRule="auto"/>
        <w:ind w:firstLine="420" w:firstLineChars="200"/>
        <w:rPr>
          <w:rFonts w:ascii="宋体" w:hAnsi="宋体"/>
          <w:color w:val="auto"/>
          <w:szCs w:val="21"/>
        </w:rPr>
      </w:pPr>
      <w:r>
        <w:rPr>
          <w:rFonts w:hint="eastAsia" w:ascii="宋体" w:hAnsi="宋体"/>
          <w:color w:val="auto"/>
          <w:szCs w:val="21"/>
        </w:rPr>
        <w:t>本授权书声明：</w:t>
      </w:r>
      <w:r>
        <w:rPr>
          <w:rFonts w:hint="eastAsia" w:ascii="宋体" w:hAnsi="宋体"/>
          <w:color w:val="auto"/>
          <w:szCs w:val="21"/>
          <w:u w:val="single"/>
        </w:rPr>
        <w:t xml:space="preserve">  （投标人全称） </w:t>
      </w:r>
      <w:r>
        <w:rPr>
          <w:rFonts w:hint="eastAsia" w:ascii="宋体" w:hAnsi="宋体"/>
          <w:color w:val="auto"/>
          <w:szCs w:val="21"/>
        </w:rPr>
        <w:t>的法定代表人代表本公司授权</w:t>
      </w:r>
      <w:r>
        <w:rPr>
          <w:rFonts w:hint="eastAsia" w:ascii="宋体" w:hAnsi="宋体"/>
          <w:color w:val="auto"/>
          <w:szCs w:val="21"/>
          <w:u w:val="single"/>
        </w:rPr>
        <w:t>（委托代理人姓名</w:t>
      </w:r>
      <w:r>
        <w:rPr>
          <w:rFonts w:hint="eastAsia" w:ascii="宋体" w:hAnsi="宋体"/>
          <w:color w:val="auto"/>
          <w:szCs w:val="21"/>
          <w:u w:val="single"/>
          <w:lang w:eastAsia="zh-CN"/>
        </w:rPr>
        <w:t>、</w:t>
      </w:r>
      <w:r>
        <w:rPr>
          <w:rFonts w:hint="eastAsia" w:ascii="宋体" w:hAnsi="宋体"/>
          <w:color w:val="auto"/>
          <w:szCs w:val="21"/>
          <w:u w:val="single"/>
          <w:lang w:val="en-US" w:eastAsia="zh-CN"/>
        </w:rPr>
        <w:t>职务</w:t>
      </w:r>
      <w:r>
        <w:rPr>
          <w:rFonts w:hint="eastAsia" w:ascii="宋体" w:hAnsi="宋体"/>
          <w:color w:val="auto"/>
          <w:szCs w:val="21"/>
          <w:u w:val="single"/>
        </w:rPr>
        <w:t>）</w:t>
      </w:r>
      <w:r>
        <w:rPr>
          <w:rFonts w:hint="eastAsia" w:ascii="宋体" w:hAnsi="宋体"/>
          <w:color w:val="auto"/>
          <w:szCs w:val="21"/>
        </w:rPr>
        <w:t>为本公司合法代理人，就贵方组织的有关</w:t>
      </w:r>
      <w:r>
        <w:rPr>
          <w:rFonts w:hint="eastAsia" w:ascii="宋体" w:hAnsi="宋体"/>
          <w:color w:val="auto"/>
          <w:szCs w:val="21"/>
          <w:u w:val="single"/>
        </w:rPr>
        <w:t>（</w:t>
      </w:r>
      <w:r>
        <w:rPr>
          <w:rFonts w:hint="eastAsia" w:ascii="宋体" w:hAnsi="宋体"/>
          <w:color w:val="auto"/>
          <w:szCs w:val="21"/>
          <w:u w:val="single"/>
          <w:lang w:eastAsia="zh-CN"/>
        </w:rPr>
        <w:t>怒江职业技术学院民宿数字化实训室项目</w:t>
      </w:r>
      <w:r>
        <w:rPr>
          <w:rFonts w:hint="eastAsia" w:ascii="宋体" w:hAnsi="宋体"/>
          <w:color w:val="auto"/>
          <w:szCs w:val="21"/>
          <w:u w:val="single"/>
        </w:rPr>
        <w:t>）</w:t>
      </w:r>
      <w:r>
        <w:rPr>
          <w:rFonts w:hint="eastAsia" w:ascii="宋体" w:hAnsi="宋体"/>
          <w:color w:val="auto"/>
          <w:szCs w:val="21"/>
        </w:rPr>
        <w:t>项目（项目编号：）的</w:t>
      </w:r>
      <w:r>
        <w:rPr>
          <w:rFonts w:ascii="宋体" w:hAnsi="宋体"/>
          <w:color w:val="auto"/>
          <w:szCs w:val="21"/>
        </w:rPr>
        <w:t>招标</w:t>
      </w:r>
      <w:r>
        <w:rPr>
          <w:rFonts w:hint="eastAsia" w:ascii="宋体" w:hAnsi="宋体"/>
          <w:color w:val="auto"/>
          <w:szCs w:val="21"/>
        </w:rPr>
        <w:t>，以本单位名义</w:t>
      </w:r>
      <w:r>
        <w:rPr>
          <w:rFonts w:ascii="宋体" w:hAnsi="宋体"/>
          <w:color w:val="auto"/>
          <w:szCs w:val="21"/>
        </w:rPr>
        <w:t>投标</w:t>
      </w:r>
      <w:r>
        <w:rPr>
          <w:rFonts w:hint="eastAsia" w:ascii="宋体" w:hAnsi="宋体"/>
          <w:color w:val="auto"/>
          <w:szCs w:val="21"/>
        </w:rPr>
        <w:t>。</w:t>
      </w:r>
      <w:r>
        <w:rPr>
          <w:rFonts w:ascii="宋体" w:hAnsi="宋体"/>
          <w:color w:val="auto"/>
          <w:szCs w:val="21"/>
        </w:rPr>
        <w:t>代理人在本项目投标过程中所签署的一切文件和处理与之有关的一切事务，我方均予承认。</w:t>
      </w:r>
    </w:p>
    <w:p w14:paraId="152F5EED">
      <w:pPr>
        <w:pStyle w:val="18"/>
        <w:spacing w:line="500" w:lineRule="exact"/>
        <w:ind w:firstLine="420"/>
        <w:rPr>
          <w:rFonts w:hAnsi="宋体"/>
          <w:color w:val="auto"/>
          <w:szCs w:val="21"/>
        </w:rPr>
      </w:pPr>
      <w:r>
        <w:rPr>
          <w:rFonts w:hAnsi="宋体"/>
          <w:color w:val="auto"/>
          <w:szCs w:val="21"/>
        </w:rPr>
        <w:t>代理人无转委托权。</w:t>
      </w:r>
    </w:p>
    <w:p w14:paraId="4FB50432">
      <w:pPr>
        <w:pStyle w:val="18"/>
        <w:spacing w:line="500" w:lineRule="exact"/>
        <w:ind w:firstLine="420"/>
        <w:rPr>
          <w:rFonts w:hAnsi="宋体"/>
          <w:color w:val="auto"/>
          <w:szCs w:val="21"/>
        </w:rPr>
      </w:pPr>
    </w:p>
    <w:p w14:paraId="4D1D61BC">
      <w:pPr>
        <w:pStyle w:val="18"/>
        <w:spacing w:line="500" w:lineRule="exact"/>
        <w:ind w:firstLine="3428" w:firstLineChars="1714"/>
        <w:rPr>
          <w:rFonts w:hAnsi="宋体"/>
          <w:color w:val="auto"/>
          <w:szCs w:val="21"/>
          <w:u w:val="single"/>
        </w:rPr>
      </w:pPr>
      <w:r>
        <w:rPr>
          <w:rFonts w:hint="eastAsia" w:hAnsi="宋体"/>
          <w:color w:val="auto"/>
          <w:szCs w:val="21"/>
        </w:rPr>
        <w:t xml:space="preserve">                 法定代表人</w:t>
      </w:r>
      <w:r>
        <w:rPr>
          <w:rFonts w:hint="eastAsia" w:hAnsi="宋体"/>
          <w:color w:val="auto"/>
          <w:szCs w:val="21"/>
          <w:lang w:val="en-US" w:eastAsia="zh-CN"/>
        </w:rPr>
        <w:t>电子</w:t>
      </w:r>
      <w:r>
        <w:rPr>
          <w:rFonts w:hint="eastAsia" w:hAnsi="宋体"/>
          <w:color w:val="auto"/>
          <w:szCs w:val="21"/>
        </w:rPr>
        <w:t>签字：</w:t>
      </w:r>
    </w:p>
    <w:p w14:paraId="1D34EDF9">
      <w:pPr>
        <w:pStyle w:val="18"/>
        <w:spacing w:line="500" w:lineRule="exact"/>
        <w:ind w:firstLine="5140" w:firstLineChars="2570"/>
        <w:rPr>
          <w:rFonts w:hAnsi="宋体"/>
          <w:color w:val="auto"/>
          <w:szCs w:val="21"/>
        </w:rPr>
      </w:pPr>
    </w:p>
    <w:p w14:paraId="404AA5E8">
      <w:pPr>
        <w:pStyle w:val="18"/>
        <w:spacing w:line="500" w:lineRule="exact"/>
        <w:ind w:firstLine="5140" w:firstLineChars="2570"/>
        <w:rPr>
          <w:rFonts w:hAnsi="宋体"/>
          <w:color w:val="auto"/>
          <w:szCs w:val="21"/>
        </w:rPr>
      </w:pPr>
      <w:r>
        <w:rPr>
          <w:rFonts w:hint="eastAsia" w:hAnsi="宋体"/>
          <w:color w:val="auto"/>
          <w:szCs w:val="21"/>
        </w:rPr>
        <w:t>投标人全称：（盖单位章）</w:t>
      </w:r>
    </w:p>
    <w:p w14:paraId="03E9DE8D">
      <w:pPr>
        <w:pStyle w:val="18"/>
        <w:spacing w:line="500" w:lineRule="exact"/>
        <w:ind w:firstLine="5140" w:firstLineChars="2570"/>
        <w:rPr>
          <w:rFonts w:hAnsi="宋体"/>
          <w:color w:val="auto"/>
          <w:szCs w:val="21"/>
        </w:rPr>
      </w:pPr>
    </w:p>
    <w:p w14:paraId="22AD128D">
      <w:pPr>
        <w:pStyle w:val="18"/>
        <w:spacing w:line="500" w:lineRule="exact"/>
        <w:ind w:firstLine="5140" w:firstLineChars="2570"/>
        <w:rPr>
          <w:rFonts w:hAnsi="宋体"/>
          <w:color w:val="auto"/>
          <w:szCs w:val="21"/>
        </w:rPr>
      </w:pPr>
      <w:r>
        <w:rPr>
          <w:rFonts w:hint="eastAsia" w:hAnsi="宋体"/>
          <w:color w:val="auto"/>
          <w:szCs w:val="21"/>
        </w:rPr>
        <w:t>签发日期：年月日</w:t>
      </w:r>
    </w:p>
    <w:p w14:paraId="48D66237">
      <w:pPr>
        <w:pStyle w:val="18"/>
        <w:spacing w:line="500" w:lineRule="exact"/>
        <w:rPr>
          <w:rFonts w:hAnsi="宋体"/>
          <w:color w:val="auto"/>
          <w:szCs w:val="21"/>
        </w:rPr>
      </w:pPr>
      <w:r>
        <w:rPr>
          <w:rFonts w:hint="eastAsia" w:hAnsi="宋体"/>
          <w:color w:val="auto"/>
          <w:szCs w:val="21"/>
        </w:rPr>
        <w:t>______________________________________________________________________________________</w:t>
      </w:r>
    </w:p>
    <w:tbl>
      <w:tblPr>
        <w:tblStyle w:val="36"/>
        <w:tblW w:w="0" w:type="auto"/>
        <w:tblInd w:w="720" w:type="dxa"/>
        <w:tblLayout w:type="fixed"/>
        <w:tblCellMar>
          <w:top w:w="0" w:type="dxa"/>
          <w:left w:w="108" w:type="dxa"/>
          <w:bottom w:w="0" w:type="dxa"/>
          <w:right w:w="108" w:type="dxa"/>
        </w:tblCellMar>
      </w:tblPr>
      <w:tblGrid>
        <w:gridCol w:w="1908"/>
        <w:gridCol w:w="3960"/>
      </w:tblGrid>
      <w:tr w14:paraId="6A2B841D">
        <w:tblPrEx>
          <w:tblCellMar>
            <w:top w:w="0" w:type="dxa"/>
            <w:left w:w="108" w:type="dxa"/>
            <w:bottom w:w="0" w:type="dxa"/>
            <w:right w:w="108" w:type="dxa"/>
          </w:tblCellMar>
        </w:tblPrEx>
        <w:tc>
          <w:tcPr>
            <w:tcW w:w="1908" w:type="dxa"/>
            <w:tcBorders>
              <w:top w:val="nil"/>
              <w:left w:val="nil"/>
              <w:bottom w:val="nil"/>
              <w:right w:val="nil"/>
            </w:tcBorders>
            <w:noWrap w:val="0"/>
            <w:vAlign w:val="top"/>
          </w:tcPr>
          <w:p w14:paraId="52F53760">
            <w:pPr>
              <w:pStyle w:val="18"/>
              <w:spacing w:line="500" w:lineRule="exact"/>
              <w:rPr>
                <w:rFonts w:hAnsi="宋体"/>
                <w:color w:val="auto"/>
                <w:kern w:val="2"/>
                <w:sz w:val="21"/>
                <w:szCs w:val="21"/>
                <w:lang w:val="en-US" w:eastAsia="zh-CN"/>
              </w:rPr>
            </w:pPr>
            <w:r>
              <w:rPr>
                <w:rFonts w:hint="eastAsia" w:hAnsi="宋体"/>
                <w:color w:val="auto"/>
                <w:kern w:val="2"/>
                <w:sz w:val="21"/>
                <w:szCs w:val="21"/>
                <w:lang w:val="en-US" w:eastAsia="zh-CN"/>
              </w:rPr>
              <w:t xml:space="preserve">附： </w:t>
            </w:r>
          </w:p>
        </w:tc>
        <w:tc>
          <w:tcPr>
            <w:tcW w:w="3960" w:type="dxa"/>
            <w:tcBorders>
              <w:top w:val="nil"/>
              <w:left w:val="nil"/>
              <w:bottom w:val="nil"/>
              <w:right w:val="nil"/>
            </w:tcBorders>
            <w:noWrap w:val="0"/>
            <w:vAlign w:val="top"/>
          </w:tcPr>
          <w:p w14:paraId="21B7D42A">
            <w:pPr>
              <w:pStyle w:val="18"/>
              <w:spacing w:line="500" w:lineRule="exact"/>
              <w:rPr>
                <w:rFonts w:hAnsi="宋体"/>
                <w:color w:val="auto"/>
                <w:kern w:val="2"/>
                <w:sz w:val="21"/>
                <w:szCs w:val="21"/>
                <w:lang w:val="en-US" w:eastAsia="zh-CN"/>
              </w:rPr>
            </w:pPr>
            <w:r>
              <w:rPr>
                <w:rFonts w:hint="eastAsia" w:hAnsi="宋体"/>
                <w:color w:val="auto"/>
                <w:kern w:val="2"/>
                <w:sz w:val="21"/>
                <w:szCs w:val="21"/>
                <w:lang w:val="en-US" w:eastAsia="zh-CN"/>
              </w:rPr>
              <w:tab/>
            </w:r>
            <w:r>
              <w:rPr>
                <w:rFonts w:hint="eastAsia" w:hAnsi="宋体"/>
                <w:color w:val="auto"/>
                <w:kern w:val="2"/>
                <w:sz w:val="21"/>
                <w:szCs w:val="21"/>
                <w:lang w:val="en-US" w:eastAsia="zh-CN"/>
              </w:rPr>
              <w:tab/>
            </w:r>
            <w:r>
              <w:rPr>
                <w:rFonts w:hint="eastAsia" w:hAnsi="宋体"/>
                <w:color w:val="auto"/>
                <w:kern w:val="2"/>
                <w:sz w:val="21"/>
                <w:szCs w:val="21"/>
                <w:lang w:val="en-US" w:eastAsia="zh-CN"/>
              </w:rPr>
              <w:tab/>
            </w:r>
            <w:r>
              <w:rPr>
                <w:rFonts w:hint="eastAsia" w:hAnsi="宋体"/>
                <w:color w:val="auto"/>
                <w:kern w:val="2"/>
                <w:sz w:val="21"/>
                <w:szCs w:val="21"/>
                <w:lang w:val="en-US" w:eastAsia="zh-CN"/>
              </w:rPr>
              <w:tab/>
            </w:r>
            <w:r>
              <w:rPr>
                <w:rFonts w:hint="eastAsia" w:hAnsi="宋体"/>
                <w:color w:val="auto"/>
                <w:kern w:val="2"/>
                <w:sz w:val="21"/>
                <w:szCs w:val="21"/>
                <w:lang w:val="en-US" w:eastAsia="zh-CN"/>
              </w:rPr>
              <w:tab/>
            </w:r>
          </w:p>
        </w:tc>
      </w:tr>
      <w:tr w14:paraId="05107534">
        <w:tblPrEx>
          <w:tblCellMar>
            <w:top w:w="0" w:type="dxa"/>
            <w:left w:w="108" w:type="dxa"/>
            <w:bottom w:w="0" w:type="dxa"/>
            <w:right w:w="108" w:type="dxa"/>
          </w:tblCellMar>
        </w:tblPrEx>
        <w:tc>
          <w:tcPr>
            <w:tcW w:w="1908" w:type="dxa"/>
            <w:tcBorders>
              <w:top w:val="nil"/>
              <w:left w:val="nil"/>
              <w:bottom w:val="nil"/>
              <w:right w:val="nil"/>
            </w:tcBorders>
            <w:noWrap w:val="0"/>
            <w:vAlign w:val="top"/>
          </w:tcPr>
          <w:p w14:paraId="2458BBA5">
            <w:pPr>
              <w:pStyle w:val="18"/>
              <w:spacing w:line="500" w:lineRule="exact"/>
              <w:jc w:val="distribute"/>
              <w:rPr>
                <w:rFonts w:hAnsi="宋体"/>
                <w:color w:val="auto"/>
                <w:kern w:val="2"/>
                <w:sz w:val="21"/>
                <w:szCs w:val="21"/>
                <w:lang w:val="en-US" w:eastAsia="zh-CN"/>
              </w:rPr>
            </w:pPr>
            <w:r>
              <w:rPr>
                <w:rFonts w:hint="eastAsia" w:hAnsi="宋体"/>
                <w:color w:val="auto"/>
                <w:kern w:val="2"/>
                <w:sz w:val="21"/>
                <w:szCs w:val="21"/>
                <w:lang w:val="en-US" w:eastAsia="zh-CN"/>
              </w:rPr>
              <w:t>委托代理人姓名：</w:t>
            </w:r>
          </w:p>
        </w:tc>
        <w:tc>
          <w:tcPr>
            <w:tcW w:w="3960" w:type="dxa"/>
            <w:tcBorders>
              <w:top w:val="nil"/>
              <w:left w:val="nil"/>
              <w:bottom w:val="nil"/>
              <w:right w:val="nil"/>
            </w:tcBorders>
            <w:noWrap w:val="0"/>
            <w:vAlign w:val="top"/>
          </w:tcPr>
          <w:p w14:paraId="71060832">
            <w:pPr>
              <w:pStyle w:val="18"/>
              <w:spacing w:line="500" w:lineRule="exact"/>
              <w:rPr>
                <w:rFonts w:hAnsi="宋体"/>
                <w:color w:val="auto"/>
                <w:kern w:val="2"/>
                <w:sz w:val="21"/>
                <w:szCs w:val="21"/>
                <w:lang w:val="en-US" w:eastAsia="zh-CN"/>
              </w:rPr>
            </w:pPr>
          </w:p>
        </w:tc>
      </w:tr>
      <w:tr w14:paraId="3479FBFB">
        <w:tblPrEx>
          <w:tblCellMar>
            <w:top w:w="0" w:type="dxa"/>
            <w:left w:w="108" w:type="dxa"/>
            <w:bottom w:w="0" w:type="dxa"/>
            <w:right w:w="108" w:type="dxa"/>
          </w:tblCellMar>
        </w:tblPrEx>
        <w:tc>
          <w:tcPr>
            <w:tcW w:w="1908" w:type="dxa"/>
            <w:tcBorders>
              <w:top w:val="nil"/>
              <w:left w:val="nil"/>
              <w:bottom w:val="nil"/>
              <w:right w:val="nil"/>
            </w:tcBorders>
            <w:noWrap w:val="0"/>
            <w:vAlign w:val="top"/>
          </w:tcPr>
          <w:p w14:paraId="30917F5C">
            <w:pPr>
              <w:pStyle w:val="18"/>
              <w:spacing w:line="500" w:lineRule="exact"/>
              <w:jc w:val="distribute"/>
              <w:rPr>
                <w:rFonts w:hAnsi="宋体"/>
                <w:color w:val="auto"/>
                <w:kern w:val="2"/>
                <w:sz w:val="21"/>
                <w:szCs w:val="21"/>
                <w:lang w:val="en-US" w:eastAsia="zh-CN"/>
              </w:rPr>
            </w:pPr>
            <w:r>
              <w:rPr>
                <w:rFonts w:hint="eastAsia" w:hAnsi="宋体"/>
                <w:color w:val="auto"/>
                <w:kern w:val="2"/>
                <w:sz w:val="21"/>
                <w:szCs w:val="21"/>
                <w:lang w:val="en-US" w:eastAsia="zh-CN"/>
              </w:rPr>
              <w:t>职       务：</w:t>
            </w:r>
          </w:p>
        </w:tc>
        <w:tc>
          <w:tcPr>
            <w:tcW w:w="3960" w:type="dxa"/>
            <w:tcBorders>
              <w:top w:val="nil"/>
              <w:left w:val="nil"/>
              <w:bottom w:val="nil"/>
              <w:right w:val="nil"/>
            </w:tcBorders>
            <w:noWrap w:val="0"/>
            <w:vAlign w:val="top"/>
          </w:tcPr>
          <w:p w14:paraId="47FA3987">
            <w:pPr>
              <w:pStyle w:val="18"/>
              <w:spacing w:line="500" w:lineRule="exact"/>
              <w:rPr>
                <w:rFonts w:hAnsi="宋体"/>
                <w:color w:val="auto"/>
                <w:kern w:val="2"/>
                <w:sz w:val="21"/>
                <w:szCs w:val="21"/>
                <w:lang w:val="en-US" w:eastAsia="zh-CN"/>
              </w:rPr>
            </w:pPr>
          </w:p>
        </w:tc>
      </w:tr>
      <w:tr w14:paraId="17FE0A79">
        <w:tblPrEx>
          <w:tblCellMar>
            <w:top w:w="0" w:type="dxa"/>
            <w:left w:w="108" w:type="dxa"/>
            <w:bottom w:w="0" w:type="dxa"/>
            <w:right w:w="108" w:type="dxa"/>
          </w:tblCellMar>
        </w:tblPrEx>
        <w:tc>
          <w:tcPr>
            <w:tcW w:w="1908" w:type="dxa"/>
            <w:tcBorders>
              <w:top w:val="nil"/>
              <w:left w:val="nil"/>
              <w:bottom w:val="nil"/>
              <w:right w:val="nil"/>
            </w:tcBorders>
            <w:noWrap w:val="0"/>
            <w:vAlign w:val="top"/>
          </w:tcPr>
          <w:p w14:paraId="6A07452E">
            <w:pPr>
              <w:pStyle w:val="18"/>
              <w:spacing w:line="500" w:lineRule="exact"/>
              <w:jc w:val="distribute"/>
              <w:rPr>
                <w:rFonts w:hAnsi="宋体"/>
                <w:color w:val="auto"/>
                <w:kern w:val="2"/>
                <w:sz w:val="21"/>
                <w:szCs w:val="21"/>
                <w:lang w:val="en-US" w:eastAsia="zh-CN"/>
              </w:rPr>
            </w:pPr>
            <w:r>
              <w:rPr>
                <w:rFonts w:hint="eastAsia" w:hAnsi="宋体"/>
                <w:color w:val="auto"/>
                <w:kern w:val="2"/>
                <w:sz w:val="21"/>
                <w:szCs w:val="21"/>
                <w:lang w:val="en-US" w:eastAsia="zh-CN"/>
              </w:rPr>
              <w:t>身份证号码：</w:t>
            </w:r>
          </w:p>
        </w:tc>
        <w:tc>
          <w:tcPr>
            <w:tcW w:w="3960" w:type="dxa"/>
            <w:tcBorders>
              <w:top w:val="nil"/>
              <w:left w:val="nil"/>
              <w:bottom w:val="nil"/>
              <w:right w:val="nil"/>
            </w:tcBorders>
            <w:noWrap w:val="0"/>
            <w:vAlign w:val="top"/>
          </w:tcPr>
          <w:p w14:paraId="457812E9">
            <w:pPr>
              <w:pStyle w:val="18"/>
              <w:spacing w:line="500" w:lineRule="exact"/>
              <w:rPr>
                <w:rFonts w:hAnsi="宋体"/>
                <w:color w:val="auto"/>
                <w:kern w:val="2"/>
                <w:sz w:val="21"/>
                <w:szCs w:val="21"/>
                <w:lang w:val="en-US" w:eastAsia="zh-CN"/>
              </w:rPr>
            </w:pPr>
          </w:p>
        </w:tc>
      </w:tr>
      <w:tr w14:paraId="78F46E57">
        <w:tblPrEx>
          <w:tblCellMar>
            <w:top w:w="0" w:type="dxa"/>
            <w:left w:w="108" w:type="dxa"/>
            <w:bottom w:w="0" w:type="dxa"/>
            <w:right w:w="108" w:type="dxa"/>
          </w:tblCellMar>
        </w:tblPrEx>
        <w:tc>
          <w:tcPr>
            <w:tcW w:w="1908" w:type="dxa"/>
            <w:tcBorders>
              <w:top w:val="nil"/>
              <w:left w:val="nil"/>
              <w:bottom w:val="nil"/>
              <w:right w:val="nil"/>
            </w:tcBorders>
            <w:noWrap w:val="0"/>
            <w:vAlign w:val="top"/>
          </w:tcPr>
          <w:p w14:paraId="14B3901B">
            <w:pPr>
              <w:pStyle w:val="18"/>
              <w:spacing w:line="500" w:lineRule="exact"/>
              <w:jc w:val="distribute"/>
              <w:rPr>
                <w:rFonts w:hAnsi="宋体"/>
                <w:color w:val="auto"/>
                <w:kern w:val="2"/>
                <w:sz w:val="21"/>
                <w:szCs w:val="21"/>
                <w:lang w:val="en-US" w:eastAsia="zh-CN"/>
              </w:rPr>
            </w:pPr>
            <w:r>
              <w:rPr>
                <w:rFonts w:hint="eastAsia" w:hAnsi="宋体"/>
                <w:color w:val="auto"/>
                <w:kern w:val="2"/>
                <w:sz w:val="21"/>
                <w:szCs w:val="21"/>
                <w:lang w:val="en-US" w:eastAsia="zh-CN"/>
              </w:rPr>
              <w:t>详 细  地 址：</w:t>
            </w:r>
          </w:p>
        </w:tc>
        <w:tc>
          <w:tcPr>
            <w:tcW w:w="3960" w:type="dxa"/>
            <w:tcBorders>
              <w:top w:val="nil"/>
              <w:left w:val="nil"/>
              <w:bottom w:val="nil"/>
              <w:right w:val="nil"/>
            </w:tcBorders>
            <w:noWrap w:val="0"/>
            <w:vAlign w:val="top"/>
          </w:tcPr>
          <w:p w14:paraId="08818B65">
            <w:pPr>
              <w:pStyle w:val="18"/>
              <w:spacing w:line="500" w:lineRule="exact"/>
              <w:rPr>
                <w:rFonts w:hAnsi="宋体"/>
                <w:color w:val="auto"/>
                <w:kern w:val="2"/>
                <w:sz w:val="21"/>
                <w:szCs w:val="21"/>
                <w:lang w:val="en-US" w:eastAsia="zh-CN"/>
              </w:rPr>
            </w:pPr>
          </w:p>
        </w:tc>
      </w:tr>
      <w:tr w14:paraId="0E112450">
        <w:tblPrEx>
          <w:tblCellMar>
            <w:top w:w="0" w:type="dxa"/>
            <w:left w:w="108" w:type="dxa"/>
            <w:bottom w:w="0" w:type="dxa"/>
            <w:right w:w="108" w:type="dxa"/>
          </w:tblCellMar>
        </w:tblPrEx>
        <w:tc>
          <w:tcPr>
            <w:tcW w:w="1908" w:type="dxa"/>
            <w:tcBorders>
              <w:top w:val="nil"/>
              <w:left w:val="nil"/>
              <w:bottom w:val="nil"/>
              <w:right w:val="nil"/>
            </w:tcBorders>
            <w:noWrap w:val="0"/>
            <w:vAlign w:val="top"/>
          </w:tcPr>
          <w:p w14:paraId="360C1E2A">
            <w:pPr>
              <w:pStyle w:val="18"/>
              <w:spacing w:line="500" w:lineRule="exact"/>
              <w:jc w:val="distribute"/>
              <w:rPr>
                <w:rFonts w:hAnsi="宋体"/>
                <w:color w:val="auto"/>
                <w:kern w:val="2"/>
                <w:sz w:val="21"/>
                <w:szCs w:val="21"/>
                <w:lang w:val="en-US" w:eastAsia="zh-CN"/>
              </w:rPr>
            </w:pPr>
            <w:r>
              <w:rPr>
                <w:rFonts w:hint="eastAsia" w:hAnsi="宋体"/>
                <w:color w:val="auto"/>
                <w:kern w:val="2"/>
                <w:sz w:val="21"/>
                <w:szCs w:val="21"/>
                <w:lang w:val="en-US" w:eastAsia="zh-CN"/>
              </w:rPr>
              <w:t>电       话：</w:t>
            </w:r>
          </w:p>
        </w:tc>
        <w:tc>
          <w:tcPr>
            <w:tcW w:w="3960" w:type="dxa"/>
            <w:tcBorders>
              <w:top w:val="nil"/>
              <w:left w:val="nil"/>
              <w:bottom w:val="nil"/>
              <w:right w:val="nil"/>
            </w:tcBorders>
            <w:noWrap w:val="0"/>
            <w:vAlign w:val="top"/>
          </w:tcPr>
          <w:p w14:paraId="6298D057">
            <w:pPr>
              <w:pStyle w:val="18"/>
              <w:spacing w:line="500" w:lineRule="exact"/>
              <w:rPr>
                <w:rFonts w:hAnsi="宋体"/>
                <w:color w:val="auto"/>
                <w:kern w:val="2"/>
                <w:sz w:val="21"/>
                <w:szCs w:val="21"/>
                <w:lang w:val="en-US" w:eastAsia="zh-CN"/>
              </w:rPr>
            </w:pPr>
          </w:p>
        </w:tc>
      </w:tr>
    </w:tbl>
    <w:p w14:paraId="61ABF285">
      <w:pPr>
        <w:pStyle w:val="18"/>
        <w:spacing w:line="500" w:lineRule="exact"/>
        <w:rPr>
          <w:rFonts w:hAnsi="宋体"/>
          <w:color w:val="auto"/>
          <w:szCs w:val="21"/>
        </w:rPr>
      </w:pPr>
    </w:p>
    <w:p w14:paraId="181C61B7">
      <w:pPr>
        <w:pStyle w:val="18"/>
        <w:spacing w:line="500" w:lineRule="exact"/>
        <w:ind w:firstLine="644" w:firstLineChars="322"/>
        <w:rPr>
          <w:rFonts w:hAnsi="宋体"/>
          <w:b/>
          <w:bCs/>
          <w:color w:val="auto"/>
          <w:szCs w:val="21"/>
        </w:rPr>
      </w:pPr>
      <w:r>
        <w:rPr>
          <w:rFonts w:hint="eastAsia" w:hAnsi="宋体"/>
          <w:b/>
          <w:bCs/>
          <w:color w:val="auto"/>
          <w:szCs w:val="21"/>
        </w:rPr>
        <w:t>注:</w:t>
      </w:r>
      <w:r>
        <w:rPr>
          <w:rFonts w:hint="eastAsia" w:hAnsi="宋体"/>
          <w:b/>
          <w:bCs/>
          <w:color w:val="auto"/>
          <w:szCs w:val="21"/>
          <w:lang w:val="en-US" w:eastAsia="zh-CN"/>
        </w:rPr>
        <w:t>后</w:t>
      </w:r>
      <w:r>
        <w:rPr>
          <w:rFonts w:hint="eastAsia" w:hAnsi="宋体"/>
          <w:b/>
          <w:bCs/>
          <w:color w:val="auto"/>
          <w:szCs w:val="21"/>
        </w:rPr>
        <w:t>附法定代表人及委托代理人身份证</w:t>
      </w:r>
      <w:r>
        <w:rPr>
          <w:rFonts w:hint="eastAsia" w:hAnsi="宋体"/>
          <w:b/>
          <w:bCs/>
          <w:color w:val="auto"/>
          <w:szCs w:val="21"/>
          <w:lang w:val="en-US" w:eastAsia="zh-CN"/>
        </w:rPr>
        <w:t>原件扫描件</w:t>
      </w:r>
      <w:r>
        <w:rPr>
          <w:rFonts w:hint="eastAsia" w:hAnsi="宋体"/>
          <w:b/>
          <w:bCs/>
          <w:color w:val="auto"/>
          <w:szCs w:val="21"/>
        </w:rPr>
        <w:t>(双面)。</w:t>
      </w:r>
    </w:p>
    <w:p w14:paraId="4F674127">
      <w:pPr>
        <w:rPr>
          <w:rFonts w:hint="eastAsia" w:hAnsi="宋体"/>
          <w:color w:val="auto"/>
          <w:szCs w:val="21"/>
        </w:rPr>
      </w:pPr>
    </w:p>
    <w:p w14:paraId="088469F4">
      <w:pPr>
        <w:rPr>
          <w:rFonts w:hint="eastAsia" w:hAnsi="宋体"/>
          <w:color w:val="auto"/>
          <w:szCs w:val="21"/>
        </w:rPr>
      </w:pPr>
    </w:p>
    <w:p w14:paraId="13839805">
      <w:pPr>
        <w:rPr>
          <w:rFonts w:hint="eastAsia" w:hAnsi="宋体"/>
          <w:color w:val="auto"/>
          <w:szCs w:val="21"/>
        </w:rPr>
      </w:pPr>
    </w:p>
    <w:p w14:paraId="69FD4963">
      <w:pPr>
        <w:rPr>
          <w:rFonts w:hint="eastAsia" w:hAnsi="宋体"/>
          <w:color w:val="auto"/>
          <w:szCs w:val="21"/>
        </w:rPr>
      </w:pPr>
    </w:p>
    <w:p w14:paraId="6FF94E10">
      <w:pPr>
        <w:pStyle w:val="18"/>
        <w:spacing w:line="600" w:lineRule="exact"/>
        <w:rPr>
          <w:rFonts w:hAnsi="宋体"/>
          <w:b/>
          <w:color w:val="auto"/>
          <w:sz w:val="28"/>
          <w:szCs w:val="28"/>
        </w:rPr>
      </w:pPr>
      <w:r>
        <w:rPr>
          <w:rFonts w:hint="eastAsia" w:hAnsi="宋体"/>
          <w:b/>
          <w:color w:val="auto"/>
          <w:sz w:val="28"/>
          <w:szCs w:val="28"/>
        </w:rPr>
        <w:t>格式8-</w:t>
      </w:r>
      <w:r>
        <w:rPr>
          <w:rFonts w:hint="eastAsia" w:hAnsi="宋体"/>
          <w:b/>
          <w:color w:val="auto"/>
          <w:sz w:val="28"/>
          <w:szCs w:val="28"/>
          <w:lang w:val="en-US" w:eastAsia="zh-CN"/>
        </w:rPr>
        <w:t>3</w:t>
      </w:r>
      <w:r>
        <w:rPr>
          <w:rFonts w:hint="eastAsia" w:hAnsi="宋体"/>
          <w:b/>
          <w:color w:val="auto"/>
          <w:sz w:val="28"/>
          <w:szCs w:val="28"/>
        </w:rPr>
        <w:t>：</w:t>
      </w:r>
    </w:p>
    <w:p w14:paraId="17033389">
      <w:pPr>
        <w:pStyle w:val="3"/>
        <w:numPr>
          <w:ilvl w:val="0"/>
          <w:numId w:val="0"/>
        </w:numPr>
        <w:tabs>
          <w:tab w:val="left" w:pos="1021"/>
        </w:tabs>
        <w:ind w:left="425"/>
        <w:jc w:val="center"/>
        <w:rPr>
          <w:rFonts w:ascii="宋体" w:hAnsi="宋体" w:eastAsia="宋体"/>
          <w:color w:val="auto"/>
          <w:sz w:val="32"/>
          <w:szCs w:val="32"/>
        </w:rPr>
      </w:pPr>
      <w:bookmarkStart w:id="106" w:name="_Toc7564"/>
      <w:bookmarkStart w:id="107" w:name="_Toc348010006"/>
      <w:bookmarkStart w:id="108" w:name="_Toc396092995"/>
      <w:r>
        <w:rPr>
          <w:rFonts w:hint="eastAsia" w:ascii="宋体" w:hAnsi="宋体" w:eastAsia="宋体"/>
          <w:color w:val="auto"/>
          <w:sz w:val="32"/>
          <w:szCs w:val="32"/>
          <w:lang w:val="en-US" w:eastAsia="zh-CN"/>
        </w:rPr>
        <w:t>供应</w:t>
      </w:r>
      <w:r>
        <w:rPr>
          <w:rFonts w:hint="eastAsia" w:ascii="宋体" w:hAnsi="宋体" w:eastAsia="宋体"/>
          <w:color w:val="auto"/>
          <w:sz w:val="32"/>
          <w:szCs w:val="32"/>
        </w:rPr>
        <w:t>商具备参加政府采购活动条件承诺书</w:t>
      </w:r>
      <w:bookmarkEnd w:id="106"/>
      <w:bookmarkEnd w:id="107"/>
      <w:bookmarkEnd w:id="108"/>
    </w:p>
    <w:p w14:paraId="5E5F13C1">
      <w:pPr>
        <w:spacing w:line="440" w:lineRule="exact"/>
        <w:rPr>
          <w:rFonts w:ascii="宋体" w:hAnsi="宋体"/>
          <w:color w:val="auto"/>
          <w:szCs w:val="21"/>
        </w:rPr>
      </w:pPr>
      <w:r>
        <w:rPr>
          <w:rFonts w:hint="eastAsia" w:ascii="宋体" w:hAnsi="宋体"/>
          <w:color w:val="auto"/>
          <w:szCs w:val="21"/>
        </w:rPr>
        <w:t>致：</w:t>
      </w:r>
      <w:r>
        <w:rPr>
          <w:rFonts w:ascii="宋体" w:hAnsi="宋体"/>
          <w:color w:val="auto"/>
          <w:szCs w:val="21"/>
        </w:rPr>
        <w:t>（</w:t>
      </w:r>
      <w:r>
        <w:rPr>
          <w:rFonts w:hint="eastAsia" w:ascii="宋体" w:hAnsi="宋体"/>
          <w:color w:val="auto"/>
          <w:szCs w:val="21"/>
        </w:rPr>
        <w:t>采购</w:t>
      </w:r>
      <w:r>
        <w:rPr>
          <w:rFonts w:ascii="宋体" w:hAnsi="宋体"/>
          <w:color w:val="auto"/>
          <w:szCs w:val="21"/>
        </w:rPr>
        <w:t>人名称）：</w:t>
      </w:r>
    </w:p>
    <w:p w14:paraId="047511A4">
      <w:pPr>
        <w:ind w:firstLine="4410" w:firstLineChars="2100"/>
        <w:rPr>
          <w:rFonts w:ascii="宋体" w:hAnsi="宋体"/>
          <w:color w:val="auto"/>
        </w:rPr>
      </w:pPr>
    </w:p>
    <w:p w14:paraId="4B5ABF41">
      <w:pPr>
        <w:ind w:firstLine="4410" w:firstLineChars="2100"/>
        <w:rPr>
          <w:rFonts w:ascii="宋体" w:hAnsi="宋体"/>
          <w:color w:val="auto"/>
        </w:rPr>
      </w:pPr>
    </w:p>
    <w:p w14:paraId="108C719B">
      <w:pPr>
        <w:ind w:firstLine="735" w:firstLineChars="350"/>
        <w:rPr>
          <w:rFonts w:ascii="宋体" w:hAnsi="宋体"/>
          <w:color w:val="auto"/>
        </w:rPr>
      </w:pPr>
      <w:r>
        <w:rPr>
          <w:rFonts w:hint="eastAsia" w:ascii="宋体" w:hAnsi="宋体"/>
          <w:color w:val="auto"/>
        </w:rPr>
        <w:t>（投标自行承诺及说明，内容自拟）</w:t>
      </w:r>
    </w:p>
    <w:p w14:paraId="1B3E0F3D">
      <w:pPr>
        <w:spacing w:line="360" w:lineRule="auto"/>
        <w:jc w:val="left"/>
        <w:rPr>
          <w:rFonts w:ascii="宋体" w:hAnsi="宋体"/>
          <w:color w:val="auto"/>
          <w:sz w:val="24"/>
        </w:rPr>
      </w:pPr>
    </w:p>
    <w:p w14:paraId="19ADA8F2">
      <w:pPr>
        <w:spacing w:line="360" w:lineRule="auto"/>
        <w:jc w:val="left"/>
        <w:rPr>
          <w:rFonts w:ascii="宋体" w:hAnsi="宋体"/>
          <w:color w:val="auto"/>
          <w:sz w:val="24"/>
        </w:rPr>
      </w:pPr>
    </w:p>
    <w:p w14:paraId="6291BA43">
      <w:pPr>
        <w:spacing w:line="360" w:lineRule="auto"/>
        <w:jc w:val="left"/>
        <w:rPr>
          <w:rFonts w:ascii="宋体" w:hAnsi="宋体"/>
          <w:color w:val="auto"/>
          <w:sz w:val="24"/>
        </w:rPr>
      </w:pPr>
    </w:p>
    <w:p w14:paraId="28066603">
      <w:pPr>
        <w:spacing w:line="360" w:lineRule="auto"/>
        <w:jc w:val="left"/>
        <w:rPr>
          <w:rFonts w:ascii="宋体" w:hAnsi="宋体"/>
          <w:color w:val="auto"/>
          <w:sz w:val="24"/>
        </w:rPr>
      </w:pPr>
    </w:p>
    <w:p w14:paraId="3D600733">
      <w:pPr>
        <w:spacing w:line="360" w:lineRule="auto"/>
        <w:jc w:val="left"/>
        <w:rPr>
          <w:rFonts w:ascii="宋体" w:hAnsi="宋体"/>
          <w:color w:val="auto"/>
          <w:sz w:val="24"/>
        </w:rPr>
      </w:pPr>
    </w:p>
    <w:p w14:paraId="15EBEB5E">
      <w:pPr>
        <w:spacing w:line="360" w:lineRule="auto"/>
        <w:jc w:val="left"/>
        <w:rPr>
          <w:rFonts w:ascii="宋体" w:hAnsi="宋体"/>
          <w:color w:val="auto"/>
          <w:sz w:val="24"/>
        </w:rPr>
      </w:pPr>
    </w:p>
    <w:p w14:paraId="6111F858">
      <w:pPr>
        <w:spacing w:line="360" w:lineRule="auto"/>
        <w:jc w:val="left"/>
        <w:rPr>
          <w:rFonts w:ascii="宋体" w:hAnsi="宋体"/>
          <w:color w:val="auto"/>
          <w:sz w:val="24"/>
        </w:rPr>
      </w:pPr>
    </w:p>
    <w:p w14:paraId="5D54C103">
      <w:pPr>
        <w:pStyle w:val="18"/>
        <w:spacing w:line="600" w:lineRule="exact"/>
        <w:ind w:left="3540" w:leftChars="1686"/>
        <w:rPr>
          <w:rFonts w:hint="eastAsia" w:hAnsi="宋体"/>
          <w:color w:val="auto"/>
          <w:szCs w:val="21"/>
          <w:lang w:eastAsia="zh-CN"/>
        </w:rPr>
      </w:pPr>
      <w:r>
        <w:rPr>
          <w:rFonts w:hint="eastAsia" w:hAnsi="宋体"/>
          <w:color w:val="auto"/>
          <w:szCs w:val="21"/>
          <w:lang w:eastAsia="zh-CN"/>
        </w:rPr>
        <w:t>法定代表人</w:t>
      </w:r>
      <w:r>
        <w:rPr>
          <w:rFonts w:hint="eastAsia" w:hAnsi="宋体"/>
          <w:color w:val="auto"/>
          <w:szCs w:val="21"/>
        </w:rPr>
        <w:t>：</w:t>
      </w:r>
      <w:r>
        <w:rPr>
          <w:rFonts w:hint="eastAsia" w:hAnsi="宋体"/>
          <w:color w:val="auto"/>
          <w:szCs w:val="21"/>
          <w:u w:val="single"/>
        </w:rPr>
        <w:t xml:space="preserve">   </w:t>
      </w:r>
      <w:r>
        <w:rPr>
          <w:rFonts w:hint="eastAsia" w:hAnsi="宋体"/>
          <w:color w:val="auto"/>
          <w:sz w:val="21"/>
          <w:szCs w:val="21"/>
          <w:u w:val="single"/>
          <w:lang w:eastAsia="zh-CN"/>
        </w:rPr>
        <w:t>（</w:t>
      </w:r>
      <w:r>
        <w:rPr>
          <w:rFonts w:hint="eastAsia" w:hAnsi="宋体"/>
          <w:color w:val="auto"/>
          <w:sz w:val="21"/>
          <w:szCs w:val="21"/>
          <w:u w:val="single"/>
          <w:lang w:val="en-US" w:eastAsia="zh-CN"/>
        </w:rPr>
        <w:t>电子</w:t>
      </w:r>
      <w:r>
        <w:rPr>
          <w:rFonts w:hint="eastAsia" w:hAnsi="宋体"/>
          <w:color w:val="auto"/>
          <w:sz w:val="21"/>
          <w:szCs w:val="21"/>
          <w:u w:val="single"/>
          <w:lang w:eastAsia="zh-CN"/>
        </w:rPr>
        <w:t>签章）</w:t>
      </w:r>
    </w:p>
    <w:p w14:paraId="25373ABC">
      <w:pPr>
        <w:pStyle w:val="18"/>
        <w:spacing w:line="600" w:lineRule="exact"/>
        <w:ind w:left="3540" w:leftChars="1686"/>
        <w:rPr>
          <w:rFonts w:hAnsi="宋体"/>
          <w:color w:val="auto"/>
          <w:szCs w:val="21"/>
          <w:u w:val="single"/>
        </w:rPr>
      </w:pPr>
      <w:r>
        <w:rPr>
          <w:rFonts w:hint="eastAsia" w:hAnsi="宋体"/>
          <w:color w:val="auto"/>
          <w:szCs w:val="21"/>
        </w:rPr>
        <w:t>投标人：</w:t>
      </w:r>
      <w:r>
        <w:rPr>
          <w:rFonts w:hint="eastAsia" w:hAnsi="宋体"/>
          <w:color w:val="auto"/>
          <w:szCs w:val="21"/>
          <w:u w:val="single"/>
        </w:rPr>
        <w:t xml:space="preserve">         （</w:t>
      </w:r>
      <w:r>
        <w:rPr>
          <w:rFonts w:hAnsi="宋体"/>
          <w:color w:val="auto"/>
          <w:szCs w:val="21"/>
          <w:u w:val="single"/>
        </w:rPr>
        <w:t>盖</w:t>
      </w:r>
      <w:r>
        <w:rPr>
          <w:rFonts w:hint="eastAsia" w:hAnsi="宋体"/>
          <w:color w:val="auto"/>
          <w:szCs w:val="21"/>
          <w:u w:val="single"/>
        </w:rPr>
        <w:t xml:space="preserve">单位章）         </w:t>
      </w:r>
    </w:p>
    <w:p w14:paraId="643DBE21">
      <w:pPr>
        <w:pStyle w:val="18"/>
        <w:ind w:left="3540" w:leftChars="1686"/>
        <w:rPr>
          <w:rFonts w:hAnsi="宋体"/>
          <w:color w:val="auto"/>
          <w:szCs w:val="21"/>
        </w:rPr>
      </w:pPr>
    </w:p>
    <w:p w14:paraId="5180F29F">
      <w:pPr>
        <w:spacing w:line="360" w:lineRule="auto"/>
        <w:ind w:left="3540" w:leftChars="1686"/>
        <w:jc w:val="left"/>
        <w:rPr>
          <w:rFonts w:ascii="宋体" w:hAnsi="宋体"/>
          <w:color w:val="auto"/>
          <w:szCs w:val="21"/>
          <w:u w:val="single"/>
        </w:rPr>
      </w:pPr>
      <w:r>
        <w:rPr>
          <w:rFonts w:hint="eastAsia" w:ascii="宋体" w:hAnsi="宋体"/>
          <w:color w:val="auto"/>
          <w:szCs w:val="21"/>
        </w:rPr>
        <w:t>日  期：</w:t>
      </w:r>
    </w:p>
    <w:p w14:paraId="25832469">
      <w:pPr>
        <w:spacing w:line="360" w:lineRule="auto"/>
        <w:ind w:left="3540" w:leftChars="1686"/>
        <w:jc w:val="left"/>
        <w:rPr>
          <w:rFonts w:ascii="宋体" w:hAnsi="宋体"/>
          <w:color w:val="auto"/>
          <w:szCs w:val="21"/>
          <w:u w:val="single"/>
        </w:rPr>
      </w:pPr>
    </w:p>
    <w:p w14:paraId="3A7E2DE2">
      <w:pPr>
        <w:spacing w:line="360" w:lineRule="auto"/>
        <w:jc w:val="left"/>
        <w:rPr>
          <w:rFonts w:ascii="宋体" w:hAnsi="宋体"/>
          <w:color w:val="auto"/>
          <w:szCs w:val="21"/>
        </w:rPr>
      </w:pPr>
    </w:p>
    <w:p w14:paraId="62E069BB">
      <w:pPr>
        <w:spacing w:line="360" w:lineRule="auto"/>
        <w:ind w:firstLine="420" w:firstLineChars="200"/>
        <w:jc w:val="left"/>
        <w:rPr>
          <w:rFonts w:ascii="宋体" w:hAnsi="宋体"/>
          <w:color w:val="auto"/>
          <w:szCs w:val="21"/>
        </w:rPr>
      </w:pPr>
      <w:r>
        <w:rPr>
          <w:rFonts w:hint="eastAsia" w:ascii="宋体" w:hAnsi="宋体"/>
          <w:color w:val="auto"/>
          <w:szCs w:val="21"/>
        </w:rPr>
        <w:t>注：</w:t>
      </w:r>
    </w:p>
    <w:p w14:paraId="05CC8291">
      <w:pPr>
        <w:spacing w:line="360" w:lineRule="auto"/>
        <w:ind w:firstLine="420" w:firstLineChars="200"/>
        <w:jc w:val="left"/>
        <w:rPr>
          <w:rFonts w:ascii="宋体" w:hAnsi="宋体"/>
          <w:color w:val="auto"/>
          <w:szCs w:val="21"/>
        </w:rPr>
      </w:pPr>
      <w:r>
        <w:rPr>
          <w:rFonts w:hint="eastAsia" w:ascii="宋体" w:hAnsi="宋体"/>
          <w:color w:val="auto"/>
          <w:szCs w:val="21"/>
        </w:rPr>
        <w:t>1、投标人应对是否满足“具有独立承担民事责任的能力；良好的商业信誉和健全的财务会计制度；具有履行合同所必需的设备和专业技术能力；参加政府采购活动前三年内，在经营活动中没有重大违法记录；法律、行政法规规定的其他条件。”（《政府采购法》第二十二条规定）进行说明和承诺；</w:t>
      </w:r>
    </w:p>
    <w:p w14:paraId="546F5A2F">
      <w:pPr>
        <w:rPr>
          <w:rFonts w:hint="eastAsia" w:hAnsi="宋体"/>
          <w:color w:val="auto"/>
          <w:szCs w:val="21"/>
        </w:rPr>
      </w:pPr>
    </w:p>
    <w:p w14:paraId="4965A4A0">
      <w:pPr>
        <w:rPr>
          <w:rFonts w:hint="eastAsia" w:hAnsi="宋体"/>
          <w:color w:val="auto"/>
          <w:szCs w:val="21"/>
        </w:rPr>
      </w:pPr>
    </w:p>
    <w:p w14:paraId="2FF17567">
      <w:pPr>
        <w:rPr>
          <w:rFonts w:hint="eastAsia" w:hAnsi="宋体"/>
          <w:color w:val="auto"/>
          <w:szCs w:val="21"/>
        </w:rPr>
      </w:pPr>
    </w:p>
    <w:p w14:paraId="7FE7193C">
      <w:pPr>
        <w:rPr>
          <w:rFonts w:hint="eastAsia" w:hAnsi="宋体"/>
          <w:color w:val="auto"/>
          <w:szCs w:val="21"/>
        </w:rPr>
      </w:pPr>
    </w:p>
    <w:p w14:paraId="0A1A1568">
      <w:pPr>
        <w:pStyle w:val="14"/>
        <w:rPr>
          <w:rFonts w:hint="eastAsia" w:hAnsi="宋体"/>
          <w:color w:val="auto"/>
          <w:szCs w:val="21"/>
        </w:rPr>
      </w:pPr>
    </w:p>
    <w:p w14:paraId="7D76E2F2">
      <w:pPr>
        <w:pStyle w:val="18"/>
        <w:spacing w:line="600" w:lineRule="exact"/>
        <w:rPr>
          <w:rFonts w:hint="eastAsia" w:hAnsi="宋体"/>
          <w:b/>
          <w:color w:val="auto"/>
          <w:sz w:val="28"/>
          <w:szCs w:val="28"/>
          <w:lang w:val="en-US" w:eastAsia="zh-CN"/>
        </w:rPr>
      </w:pPr>
      <w:r>
        <w:rPr>
          <w:rFonts w:hint="eastAsia" w:hAnsi="宋体"/>
          <w:b/>
          <w:color w:val="auto"/>
          <w:sz w:val="28"/>
          <w:szCs w:val="28"/>
        </w:rPr>
        <w:t>格式8-</w:t>
      </w:r>
      <w:r>
        <w:rPr>
          <w:rFonts w:hint="eastAsia" w:hAnsi="宋体"/>
          <w:b/>
          <w:color w:val="auto"/>
          <w:sz w:val="28"/>
          <w:szCs w:val="28"/>
          <w:lang w:val="en-US" w:eastAsia="zh-CN"/>
        </w:rPr>
        <w:t>4</w:t>
      </w:r>
      <w:r>
        <w:rPr>
          <w:rFonts w:hint="eastAsia" w:hAnsi="宋体"/>
          <w:b/>
          <w:color w:val="auto"/>
          <w:sz w:val="28"/>
          <w:szCs w:val="28"/>
        </w:rPr>
        <w:t>：</w:t>
      </w:r>
      <w:r>
        <w:rPr>
          <w:rFonts w:hint="eastAsia" w:hAnsi="宋体"/>
          <w:b/>
          <w:color w:val="auto"/>
          <w:sz w:val="28"/>
          <w:szCs w:val="28"/>
          <w:lang w:val="en-US" w:eastAsia="zh-CN"/>
        </w:rPr>
        <w:t>投标保证金（</w:t>
      </w:r>
      <w:r>
        <w:rPr>
          <w:rFonts w:hint="eastAsia" w:hAnsi="宋体"/>
          <w:color w:val="auto"/>
          <w:sz w:val="24"/>
          <w:szCs w:val="40"/>
        </w:rPr>
        <w:t>附保证金缴纳回执</w:t>
      </w:r>
      <w:r>
        <w:rPr>
          <w:rFonts w:hint="eastAsia" w:hAnsi="宋体"/>
          <w:b/>
          <w:color w:val="auto"/>
          <w:sz w:val="28"/>
          <w:szCs w:val="28"/>
          <w:lang w:val="en-US" w:eastAsia="zh-CN"/>
        </w:rPr>
        <w:t>）</w:t>
      </w:r>
    </w:p>
    <w:p w14:paraId="50D8C931">
      <w:pPr>
        <w:pStyle w:val="18"/>
        <w:spacing w:line="600" w:lineRule="exact"/>
        <w:rPr>
          <w:rFonts w:hint="eastAsia" w:hAnsi="宋体"/>
          <w:b/>
          <w:color w:val="auto"/>
          <w:sz w:val="28"/>
          <w:szCs w:val="28"/>
        </w:rPr>
      </w:pPr>
    </w:p>
    <w:p w14:paraId="651A8A18">
      <w:pPr>
        <w:pStyle w:val="18"/>
        <w:spacing w:line="600" w:lineRule="exact"/>
        <w:rPr>
          <w:rFonts w:hint="eastAsia" w:hAnsi="宋体"/>
          <w:b/>
          <w:color w:val="auto"/>
          <w:sz w:val="28"/>
          <w:szCs w:val="28"/>
        </w:rPr>
      </w:pPr>
    </w:p>
    <w:p w14:paraId="259BB579">
      <w:pPr>
        <w:pStyle w:val="18"/>
        <w:spacing w:line="600" w:lineRule="exact"/>
        <w:rPr>
          <w:rFonts w:hint="eastAsia" w:hAnsi="宋体"/>
          <w:b/>
          <w:color w:val="auto"/>
          <w:sz w:val="28"/>
          <w:szCs w:val="28"/>
        </w:rPr>
      </w:pPr>
    </w:p>
    <w:p w14:paraId="35165ED7">
      <w:pPr>
        <w:pStyle w:val="18"/>
        <w:spacing w:line="600" w:lineRule="exact"/>
        <w:rPr>
          <w:rFonts w:hint="eastAsia" w:hAnsi="宋体"/>
          <w:b/>
          <w:color w:val="auto"/>
          <w:sz w:val="28"/>
          <w:szCs w:val="28"/>
        </w:rPr>
      </w:pPr>
    </w:p>
    <w:p w14:paraId="40BF77DE">
      <w:pPr>
        <w:pStyle w:val="18"/>
        <w:spacing w:line="600" w:lineRule="exact"/>
        <w:rPr>
          <w:rFonts w:hint="eastAsia" w:hAnsi="宋体"/>
          <w:b/>
          <w:color w:val="auto"/>
          <w:sz w:val="28"/>
          <w:szCs w:val="28"/>
        </w:rPr>
      </w:pPr>
    </w:p>
    <w:p w14:paraId="18C8443D">
      <w:pPr>
        <w:pStyle w:val="18"/>
        <w:spacing w:line="600" w:lineRule="exact"/>
        <w:rPr>
          <w:rFonts w:hint="eastAsia" w:hAnsi="宋体"/>
          <w:b/>
          <w:color w:val="auto"/>
          <w:sz w:val="28"/>
          <w:szCs w:val="28"/>
        </w:rPr>
      </w:pPr>
    </w:p>
    <w:p w14:paraId="69C77D9F">
      <w:pPr>
        <w:pStyle w:val="18"/>
        <w:spacing w:line="600" w:lineRule="exact"/>
        <w:rPr>
          <w:rFonts w:hint="eastAsia" w:hAnsi="宋体"/>
          <w:b/>
          <w:color w:val="auto"/>
          <w:sz w:val="28"/>
          <w:szCs w:val="28"/>
        </w:rPr>
      </w:pPr>
    </w:p>
    <w:p w14:paraId="5BE2B130">
      <w:pPr>
        <w:pStyle w:val="18"/>
        <w:spacing w:line="600" w:lineRule="exact"/>
        <w:rPr>
          <w:rFonts w:hint="eastAsia" w:hAnsi="宋体"/>
          <w:b/>
          <w:color w:val="auto"/>
          <w:sz w:val="28"/>
          <w:szCs w:val="28"/>
        </w:rPr>
      </w:pPr>
    </w:p>
    <w:p w14:paraId="3BB3312D">
      <w:pPr>
        <w:pStyle w:val="18"/>
        <w:spacing w:line="600" w:lineRule="exact"/>
        <w:rPr>
          <w:rFonts w:hint="eastAsia" w:hAnsi="宋体"/>
          <w:b/>
          <w:color w:val="auto"/>
          <w:sz w:val="28"/>
          <w:szCs w:val="28"/>
        </w:rPr>
      </w:pPr>
    </w:p>
    <w:p w14:paraId="144DBAB2">
      <w:pPr>
        <w:pStyle w:val="18"/>
        <w:spacing w:line="600" w:lineRule="exact"/>
        <w:rPr>
          <w:rFonts w:hint="eastAsia" w:hAnsi="宋体"/>
          <w:b/>
          <w:color w:val="auto"/>
          <w:sz w:val="28"/>
          <w:szCs w:val="28"/>
        </w:rPr>
      </w:pPr>
    </w:p>
    <w:p w14:paraId="7ADBE5DF">
      <w:pPr>
        <w:pStyle w:val="18"/>
        <w:spacing w:line="600" w:lineRule="exact"/>
        <w:rPr>
          <w:rFonts w:hint="eastAsia" w:hAnsi="宋体"/>
          <w:b/>
          <w:color w:val="auto"/>
          <w:sz w:val="28"/>
          <w:szCs w:val="28"/>
        </w:rPr>
      </w:pPr>
    </w:p>
    <w:p w14:paraId="7FBD5BF8">
      <w:pPr>
        <w:pStyle w:val="18"/>
        <w:spacing w:line="600" w:lineRule="exact"/>
        <w:rPr>
          <w:rFonts w:hint="eastAsia" w:hAnsi="宋体"/>
          <w:b/>
          <w:color w:val="auto"/>
          <w:sz w:val="28"/>
          <w:szCs w:val="28"/>
        </w:rPr>
      </w:pPr>
    </w:p>
    <w:p w14:paraId="6ED1063A">
      <w:pPr>
        <w:pStyle w:val="18"/>
        <w:spacing w:line="600" w:lineRule="exact"/>
        <w:rPr>
          <w:rFonts w:hint="eastAsia" w:hAnsi="宋体"/>
          <w:b/>
          <w:color w:val="auto"/>
          <w:sz w:val="28"/>
          <w:szCs w:val="28"/>
        </w:rPr>
      </w:pPr>
    </w:p>
    <w:p w14:paraId="721C0CA6">
      <w:pPr>
        <w:pStyle w:val="18"/>
        <w:spacing w:line="600" w:lineRule="exact"/>
        <w:rPr>
          <w:rFonts w:hint="eastAsia" w:hAnsi="宋体"/>
          <w:b/>
          <w:color w:val="auto"/>
          <w:sz w:val="28"/>
          <w:szCs w:val="28"/>
        </w:rPr>
      </w:pPr>
    </w:p>
    <w:p w14:paraId="1AEA3A3C">
      <w:pPr>
        <w:pStyle w:val="18"/>
        <w:spacing w:line="600" w:lineRule="exact"/>
        <w:rPr>
          <w:rFonts w:hint="eastAsia" w:hAnsi="宋体"/>
          <w:b/>
          <w:color w:val="auto"/>
          <w:sz w:val="28"/>
          <w:szCs w:val="28"/>
        </w:rPr>
      </w:pPr>
    </w:p>
    <w:p w14:paraId="4FAC33A9">
      <w:pPr>
        <w:pStyle w:val="18"/>
        <w:spacing w:line="600" w:lineRule="exact"/>
        <w:rPr>
          <w:rFonts w:hint="eastAsia" w:hAnsi="宋体"/>
          <w:b/>
          <w:color w:val="auto"/>
          <w:sz w:val="28"/>
          <w:szCs w:val="28"/>
        </w:rPr>
      </w:pPr>
    </w:p>
    <w:p w14:paraId="0E0DCAD3">
      <w:pPr>
        <w:pStyle w:val="18"/>
        <w:spacing w:line="600" w:lineRule="exact"/>
        <w:rPr>
          <w:rFonts w:hint="eastAsia" w:hAnsi="宋体"/>
          <w:b/>
          <w:color w:val="auto"/>
          <w:sz w:val="28"/>
          <w:szCs w:val="28"/>
        </w:rPr>
      </w:pPr>
    </w:p>
    <w:p w14:paraId="788B930A">
      <w:pPr>
        <w:pStyle w:val="18"/>
        <w:spacing w:line="600" w:lineRule="exact"/>
        <w:rPr>
          <w:rFonts w:hint="eastAsia" w:hAnsi="宋体"/>
          <w:b/>
          <w:color w:val="auto"/>
          <w:sz w:val="28"/>
          <w:szCs w:val="28"/>
        </w:rPr>
      </w:pPr>
    </w:p>
    <w:p w14:paraId="429EDA73">
      <w:pPr>
        <w:pStyle w:val="18"/>
        <w:spacing w:line="600" w:lineRule="exact"/>
        <w:rPr>
          <w:rFonts w:hint="eastAsia" w:hAnsi="宋体"/>
          <w:b/>
          <w:color w:val="auto"/>
          <w:sz w:val="28"/>
          <w:szCs w:val="28"/>
        </w:rPr>
      </w:pPr>
    </w:p>
    <w:p w14:paraId="0BAD7087">
      <w:pPr>
        <w:pStyle w:val="18"/>
        <w:spacing w:line="600" w:lineRule="exact"/>
        <w:rPr>
          <w:rFonts w:hint="eastAsia" w:hAnsi="宋体"/>
          <w:b/>
          <w:color w:val="auto"/>
          <w:sz w:val="28"/>
          <w:szCs w:val="28"/>
        </w:rPr>
      </w:pPr>
    </w:p>
    <w:p w14:paraId="69188801">
      <w:pPr>
        <w:pStyle w:val="18"/>
        <w:spacing w:line="600" w:lineRule="exact"/>
        <w:rPr>
          <w:rFonts w:hint="eastAsia" w:hAnsi="宋体"/>
          <w:b/>
          <w:color w:val="auto"/>
          <w:sz w:val="28"/>
          <w:szCs w:val="28"/>
        </w:rPr>
      </w:pPr>
    </w:p>
    <w:p w14:paraId="42099D5F">
      <w:pPr>
        <w:pStyle w:val="18"/>
        <w:spacing w:line="600" w:lineRule="exact"/>
        <w:rPr>
          <w:rFonts w:hint="eastAsia" w:hAnsi="宋体"/>
          <w:b/>
          <w:color w:val="auto"/>
          <w:sz w:val="28"/>
          <w:szCs w:val="28"/>
        </w:rPr>
      </w:pPr>
    </w:p>
    <w:p w14:paraId="287514D3">
      <w:pPr>
        <w:pStyle w:val="18"/>
        <w:spacing w:line="600" w:lineRule="exact"/>
        <w:rPr>
          <w:rFonts w:hint="eastAsia" w:hAnsi="宋体"/>
          <w:b/>
          <w:color w:val="auto"/>
          <w:sz w:val="28"/>
          <w:szCs w:val="28"/>
        </w:rPr>
      </w:pPr>
      <w:r>
        <w:rPr>
          <w:rFonts w:hint="eastAsia" w:hAnsi="宋体"/>
          <w:b/>
          <w:color w:val="auto"/>
          <w:sz w:val="28"/>
          <w:szCs w:val="28"/>
        </w:rPr>
        <w:t xml:space="preserve">格式8-5               </w:t>
      </w:r>
    </w:p>
    <w:p w14:paraId="6F673BDB">
      <w:pPr>
        <w:pStyle w:val="5"/>
        <w:spacing w:before="323" w:beforeLines="100"/>
        <w:ind w:firstLine="562"/>
        <w:jc w:val="center"/>
        <w:rPr>
          <w:rFonts w:hint="eastAsia" w:ascii="宋体" w:hAnsi="宋体"/>
          <w:b/>
          <w:color w:val="auto"/>
          <w:sz w:val="28"/>
          <w:szCs w:val="28"/>
        </w:rPr>
      </w:pPr>
      <w:r>
        <w:rPr>
          <w:rFonts w:hint="eastAsia" w:ascii="宋体" w:hAnsi="宋体"/>
          <w:b/>
          <w:color w:val="auto"/>
          <w:sz w:val="28"/>
          <w:szCs w:val="28"/>
        </w:rPr>
        <w:t>小微</w:t>
      </w:r>
      <w:r>
        <w:rPr>
          <w:rFonts w:ascii="宋体" w:hAnsi="宋体"/>
          <w:b/>
          <w:color w:val="auto"/>
          <w:sz w:val="28"/>
          <w:szCs w:val="28"/>
        </w:rPr>
        <w:t>企业声明函</w:t>
      </w:r>
      <w:r>
        <w:rPr>
          <w:rFonts w:hint="eastAsia" w:ascii="宋体" w:hAnsi="宋体"/>
          <w:b/>
          <w:color w:val="auto"/>
          <w:sz w:val="28"/>
          <w:szCs w:val="28"/>
        </w:rPr>
        <w:t>（若有）</w:t>
      </w:r>
    </w:p>
    <w:p w14:paraId="68D3AE19">
      <w:pPr>
        <w:pStyle w:val="34"/>
        <w:spacing w:line="560" w:lineRule="exact"/>
        <w:rPr>
          <w:color w:val="auto"/>
        </w:rPr>
      </w:pPr>
      <w:r>
        <w:rPr>
          <w:color w:val="auto"/>
        </w:rPr>
        <w:t>　　本公司郑重声明，根据《政府采购促进中小企业发展暂行办法》(财库[2011]181号)的规定，本公司为______(请填写：小型、微型)企业。即，本公司同时满足以下条件：</w:t>
      </w:r>
    </w:p>
    <w:p w14:paraId="066DE268">
      <w:pPr>
        <w:pStyle w:val="34"/>
        <w:spacing w:line="560" w:lineRule="exact"/>
        <w:rPr>
          <w:color w:val="auto"/>
        </w:rPr>
      </w:pPr>
      <w:r>
        <w:rPr>
          <w:color w:val="auto"/>
        </w:rPr>
        <w:t>　　1.根据《工业和信息化部、国家统计局、国家发展和改革委员会、财政部关于印发中小企业划型标准规定的通知》(工信部联企业[2011]300号)规定的划分标准，本公司为______(请填写：小型、微型)企业。</w:t>
      </w:r>
    </w:p>
    <w:p w14:paraId="7DA3CA1F">
      <w:pPr>
        <w:pStyle w:val="34"/>
        <w:spacing w:line="560" w:lineRule="exact"/>
        <w:rPr>
          <w:color w:val="auto"/>
        </w:rPr>
      </w:pPr>
      <w:r>
        <w:rPr>
          <w:color w:val="auto"/>
        </w:rPr>
        <w:t>　　2.本公司参加______单位的______项目采购活动提供本企业</w:t>
      </w:r>
      <w:r>
        <w:rPr>
          <w:rFonts w:hint="eastAsia"/>
          <w:color w:val="auto"/>
          <w:lang w:val="en-US" w:eastAsia="zh-CN"/>
        </w:rPr>
        <w:t>提供的服务</w:t>
      </w:r>
      <w:r>
        <w:rPr>
          <w:color w:val="auto"/>
        </w:rPr>
        <w:t>，由本企业承担工程、提供服务，或者提供其他______(请填写：小型、微型)企业制造的货物</w:t>
      </w:r>
      <w:r>
        <w:rPr>
          <w:rFonts w:hint="eastAsia"/>
          <w:color w:val="auto"/>
          <w:lang w:eastAsia="zh-CN"/>
        </w:rPr>
        <w:t>（</w:t>
      </w:r>
      <w:r>
        <w:rPr>
          <w:rFonts w:hint="eastAsia"/>
          <w:color w:val="auto"/>
          <w:lang w:val="en-US" w:eastAsia="zh-CN"/>
        </w:rPr>
        <w:t>服务</w:t>
      </w:r>
      <w:r>
        <w:rPr>
          <w:rFonts w:hint="eastAsia"/>
          <w:color w:val="auto"/>
          <w:lang w:eastAsia="zh-CN"/>
        </w:rPr>
        <w:t>）</w:t>
      </w:r>
      <w:r>
        <w:rPr>
          <w:color w:val="auto"/>
        </w:rPr>
        <w:t>。本条所称货物</w:t>
      </w:r>
      <w:r>
        <w:rPr>
          <w:rFonts w:hint="eastAsia"/>
          <w:color w:val="auto"/>
          <w:lang w:eastAsia="zh-CN"/>
        </w:rPr>
        <w:t>（</w:t>
      </w:r>
      <w:r>
        <w:rPr>
          <w:rFonts w:hint="eastAsia"/>
          <w:color w:val="auto"/>
          <w:lang w:val="en-US" w:eastAsia="zh-CN"/>
        </w:rPr>
        <w:t>服务</w:t>
      </w:r>
      <w:r>
        <w:rPr>
          <w:rFonts w:hint="eastAsia"/>
          <w:color w:val="auto"/>
          <w:lang w:eastAsia="zh-CN"/>
        </w:rPr>
        <w:t>）</w:t>
      </w:r>
      <w:r>
        <w:rPr>
          <w:color w:val="auto"/>
        </w:rPr>
        <w:t>不包括使用大型企业注册商标的货物</w:t>
      </w:r>
      <w:r>
        <w:rPr>
          <w:rFonts w:hint="eastAsia"/>
          <w:color w:val="auto"/>
          <w:lang w:eastAsia="zh-CN"/>
        </w:rPr>
        <w:t>（</w:t>
      </w:r>
      <w:r>
        <w:rPr>
          <w:rFonts w:hint="eastAsia"/>
          <w:color w:val="auto"/>
          <w:lang w:val="en-US" w:eastAsia="zh-CN"/>
        </w:rPr>
        <w:t>服务</w:t>
      </w:r>
      <w:r>
        <w:rPr>
          <w:rFonts w:hint="eastAsia"/>
          <w:color w:val="auto"/>
          <w:lang w:eastAsia="zh-CN"/>
        </w:rPr>
        <w:t>）</w:t>
      </w:r>
      <w:r>
        <w:rPr>
          <w:color w:val="auto"/>
        </w:rPr>
        <w:t>。</w:t>
      </w:r>
    </w:p>
    <w:p w14:paraId="7633E183">
      <w:pPr>
        <w:pStyle w:val="34"/>
        <w:spacing w:line="560" w:lineRule="exact"/>
        <w:rPr>
          <w:color w:val="auto"/>
        </w:rPr>
      </w:pPr>
      <w:r>
        <w:rPr>
          <w:color w:val="auto"/>
        </w:rPr>
        <w:t>　　本公司对上述声明的真实性负责。如有虚假，将依法承担相应责任。</w:t>
      </w:r>
    </w:p>
    <w:p w14:paraId="6D0E7852">
      <w:pPr>
        <w:pStyle w:val="18"/>
        <w:spacing w:line="600" w:lineRule="exact"/>
        <w:rPr>
          <w:rFonts w:hAnsi="宋体"/>
          <w:b/>
          <w:color w:val="auto"/>
          <w:sz w:val="28"/>
          <w:szCs w:val="28"/>
        </w:rPr>
      </w:pPr>
    </w:p>
    <w:p w14:paraId="3E1A3FD4">
      <w:pPr>
        <w:pStyle w:val="18"/>
        <w:spacing w:line="600" w:lineRule="exact"/>
        <w:ind w:left="3540" w:leftChars="1686"/>
        <w:rPr>
          <w:rFonts w:hint="eastAsia" w:hAnsi="宋体"/>
          <w:color w:val="auto"/>
          <w:szCs w:val="21"/>
          <w:lang w:eastAsia="zh-CN"/>
        </w:rPr>
      </w:pPr>
      <w:r>
        <w:rPr>
          <w:rFonts w:hint="eastAsia" w:hAnsi="宋体"/>
          <w:color w:val="auto"/>
          <w:szCs w:val="21"/>
          <w:lang w:eastAsia="zh-CN"/>
        </w:rPr>
        <w:t>法定代表人</w:t>
      </w:r>
      <w:r>
        <w:rPr>
          <w:rFonts w:hint="eastAsia" w:hAnsi="宋体"/>
          <w:color w:val="auto"/>
          <w:szCs w:val="21"/>
        </w:rPr>
        <w:t>：</w:t>
      </w:r>
      <w:r>
        <w:rPr>
          <w:rFonts w:hint="eastAsia" w:hAnsi="宋体"/>
          <w:color w:val="auto"/>
          <w:szCs w:val="21"/>
          <w:u w:val="single"/>
        </w:rPr>
        <w:t xml:space="preserve">   </w:t>
      </w:r>
      <w:r>
        <w:rPr>
          <w:rFonts w:hint="eastAsia" w:hAnsi="宋体"/>
          <w:color w:val="auto"/>
          <w:sz w:val="21"/>
          <w:szCs w:val="21"/>
          <w:u w:val="single"/>
          <w:lang w:eastAsia="zh-CN"/>
        </w:rPr>
        <w:t>（</w:t>
      </w:r>
      <w:r>
        <w:rPr>
          <w:rFonts w:hint="eastAsia" w:hAnsi="宋体"/>
          <w:color w:val="auto"/>
          <w:sz w:val="21"/>
          <w:szCs w:val="21"/>
          <w:u w:val="single"/>
          <w:lang w:val="en-US" w:eastAsia="zh-CN"/>
        </w:rPr>
        <w:t>电子</w:t>
      </w:r>
      <w:r>
        <w:rPr>
          <w:rFonts w:hint="eastAsia" w:hAnsi="宋体"/>
          <w:color w:val="auto"/>
          <w:sz w:val="21"/>
          <w:szCs w:val="21"/>
          <w:u w:val="single"/>
          <w:lang w:eastAsia="zh-CN"/>
        </w:rPr>
        <w:t>签章）</w:t>
      </w:r>
    </w:p>
    <w:p w14:paraId="70D140F0">
      <w:pPr>
        <w:pStyle w:val="18"/>
        <w:spacing w:line="600" w:lineRule="exact"/>
        <w:ind w:left="3540" w:leftChars="1686"/>
        <w:rPr>
          <w:rFonts w:hAnsi="宋体"/>
          <w:color w:val="auto"/>
          <w:szCs w:val="21"/>
          <w:u w:val="single"/>
        </w:rPr>
      </w:pPr>
      <w:r>
        <w:rPr>
          <w:rFonts w:hint="eastAsia" w:hAnsi="宋体"/>
          <w:color w:val="auto"/>
          <w:szCs w:val="21"/>
        </w:rPr>
        <w:t>投标人：</w:t>
      </w:r>
      <w:r>
        <w:rPr>
          <w:rFonts w:hint="eastAsia" w:hAnsi="宋体"/>
          <w:color w:val="auto"/>
          <w:szCs w:val="21"/>
          <w:u w:val="single"/>
        </w:rPr>
        <w:t xml:space="preserve">         （</w:t>
      </w:r>
      <w:r>
        <w:rPr>
          <w:rFonts w:hAnsi="宋体"/>
          <w:color w:val="auto"/>
          <w:szCs w:val="21"/>
          <w:u w:val="single"/>
        </w:rPr>
        <w:t>盖</w:t>
      </w:r>
      <w:r>
        <w:rPr>
          <w:rFonts w:hint="eastAsia" w:hAnsi="宋体"/>
          <w:color w:val="auto"/>
          <w:szCs w:val="21"/>
          <w:u w:val="single"/>
        </w:rPr>
        <w:t xml:space="preserve">单位章）         </w:t>
      </w:r>
    </w:p>
    <w:p w14:paraId="7F48F269">
      <w:pPr>
        <w:pStyle w:val="18"/>
        <w:ind w:left="3540" w:leftChars="1686"/>
        <w:rPr>
          <w:rFonts w:hAnsi="宋体"/>
          <w:color w:val="auto"/>
          <w:szCs w:val="21"/>
        </w:rPr>
      </w:pPr>
    </w:p>
    <w:p w14:paraId="40B5E306">
      <w:pPr>
        <w:spacing w:line="360" w:lineRule="auto"/>
        <w:ind w:left="3540" w:leftChars="1686"/>
        <w:jc w:val="left"/>
        <w:rPr>
          <w:rFonts w:ascii="宋体" w:hAnsi="宋体"/>
          <w:color w:val="auto"/>
          <w:szCs w:val="21"/>
          <w:u w:val="single"/>
        </w:rPr>
      </w:pPr>
      <w:r>
        <w:rPr>
          <w:rFonts w:hint="eastAsia" w:ascii="宋体" w:hAnsi="宋体"/>
          <w:color w:val="auto"/>
          <w:szCs w:val="21"/>
        </w:rPr>
        <w:t>日  期：</w:t>
      </w:r>
    </w:p>
    <w:p w14:paraId="06C5582B">
      <w:pPr>
        <w:pStyle w:val="18"/>
        <w:spacing w:line="600" w:lineRule="exact"/>
        <w:rPr>
          <w:rFonts w:hAnsi="宋体"/>
          <w:b/>
          <w:color w:val="auto"/>
          <w:sz w:val="28"/>
          <w:szCs w:val="28"/>
        </w:rPr>
      </w:pPr>
    </w:p>
    <w:p w14:paraId="196183F4">
      <w:pPr>
        <w:pStyle w:val="18"/>
        <w:spacing w:line="600" w:lineRule="exact"/>
        <w:rPr>
          <w:rFonts w:hAnsi="宋体"/>
          <w:b/>
          <w:color w:val="auto"/>
          <w:sz w:val="28"/>
          <w:szCs w:val="28"/>
        </w:rPr>
      </w:pPr>
    </w:p>
    <w:p w14:paraId="2969B0A3">
      <w:pPr>
        <w:adjustRightInd w:val="0"/>
        <w:snapToGrid w:val="0"/>
        <w:spacing w:line="600" w:lineRule="exact"/>
        <w:ind w:firstLine="630" w:firstLineChars="300"/>
        <w:rPr>
          <w:rFonts w:hint="eastAsia" w:ascii="宋体" w:hAnsi="宋体"/>
          <w:color w:val="auto"/>
          <w:szCs w:val="28"/>
        </w:rPr>
      </w:pPr>
      <w:r>
        <w:rPr>
          <w:rFonts w:hint="eastAsia" w:ascii="宋体" w:hAnsi="宋体"/>
          <w:color w:val="auto"/>
          <w:szCs w:val="28"/>
        </w:rPr>
        <w:t>注：附小微企业名录截图</w:t>
      </w:r>
    </w:p>
    <w:p w14:paraId="4C665062">
      <w:pPr>
        <w:pStyle w:val="18"/>
        <w:spacing w:line="600" w:lineRule="exact"/>
        <w:rPr>
          <w:rFonts w:hAnsi="宋体"/>
          <w:b/>
          <w:color w:val="auto"/>
          <w:sz w:val="28"/>
          <w:szCs w:val="28"/>
        </w:rPr>
      </w:pPr>
      <w:r>
        <w:rPr>
          <w:rFonts w:hAnsi="宋体"/>
          <w:b/>
          <w:color w:val="auto"/>
          <w:sz w:val="28"/>
          <w:szCs w:val="28"/>
        </w:rPr>
        <w:br w:type="page"/>
      </w:r>
      <w:r>
        <w:rPr>
          <w:rFonts w:hint="eastAsia" w:hAnsi="宋体"/>
          <w:b/>
          <w:color w:val="auto"/>
          <w:sz w:val="28"/>
          <w:szCs w:val="28"/>
        </w:rPr>
        <w:t>格式9：</w:t>
      </w:r>
    </w:p>
    <w:p w14:paraId="0C8D2E78">
      <w:pPr>
        <w:pStyle w:val="3"/>
        <w:numPr>
          <w:ilvl w:val="0"/>
          <w:numId w:val="0"/>
        </w:numPr>
        <w:tabs>
          <w:tab w:val="left" w:pos="1021"/>
        </w:tabs>
        <w:jc w:val="center"/>
        <w:rPr>
          <w:rFonts w:ascii="宋体" w:hAnsi="宋体" w:eastAsia="宋体"/>
          <w:color w:val="auto"/>
          <w:sz w:val="32"/>
          <w:szCs w:val="32"/>
        </w:rPr>
      </w:pPr>
      <w:bookmarkStart w:id="109" w:name="_Toc12512"/>
      <w:bookmarkStart w:id="110" w:name="_Toc396093000"/>
      <w:bookmarkStart w:id="111" w:name="_Toc348010011"/>
      <w:r>
        <w:rPr>
          <w:rFonts w:ascii="宋体" w:hAnsi="宋体" w:eastAsia="宋体"/>
          <w:color w:val="auto"/>
          <w:sz w:val="32"/>
          <w:szCs w:val="32"/>
        </w:rPr>
        <w:t>构成投标文件的其它资料</w:t>
      </w:r>
      <w:bookmarkEnd w:id="109"/>
      <w:bookmarkEnd w:id="110"/>
      <w:bookmarkEnd w:id="111"/>
    </w:p>
    <w:p w14:paraId="64B43FC6">
      <w:pPr>
        <w:spacing w:line="360" w:lineRule="auto"/>
        <w:jc w:val="center"/>
        <w:rPr>
          <w:rFonts w:ascii="宋体" w:hAnsi="宋体"/>
          <w:color w:val="auto"/>
          <w:sz w:val="32"/>
          <w:szCs w:val="32"/>
        </w:rPr>
      </w:pPr>
    </w:p>
    <w:p w14:paraId="7740E0FB">
      <w:pPr>
        <w:pStyle w:val="18"/>
        <w:spacing w:line="360" w:lineRule="auto"/>
        <w:ind w:firstLine="240" w:firstLineChars="100"/>
        <w:jc w:val="left"/>
        <w:rPr>
          <w:rFonts w:hAnsi="宋体"/>
          <w:b/>
          <w:bCs/>
          <w:color w:val="auto"/>
          <w:sz w:val="24"/>
        </w:rPr>
      </w:pPr>
    </w:p>
    <w:p w14:paraId="6660AFD6">
      <w:pPr>
        <w:spacing w:line="360" w:lineRule="auto"/>
        <w:ind w:firstLine="480" w:firstLineChars="200"/>
        <w:rPr>
          <w:rFonts w:ascii="宋体" w:hAnsi="宋体"/>
          <w:color w:val="auto"/>
          <w:sz w:val="24"/>
        </w:rPr>
      </w:pPr>
      <w:r>
        <w:rPr>
          <w:rFonts w:ascii="宋体" w:hAnsi="宋体"/>
          <w:color w:val="auto"/>
          <w:sz w:val="24"/>
        </w:rPr>
        <w:t>详见第二章“投标人须知前附表”第13.</w:t>
      </w:r>
      <w:r>
        <w:rPr>
          <w:rFonts w:hint="eastAsia" w:ascii="宋体" w:hAnsi="宋体"/>
          <w:color w:val="auto"/>
          <w:sz w:val="24"/>
        </w:rPr>
        <w:t>1.5</w:t>
      </w:r>
      <w:r>
        <w:rPr>
          <w:rFonts w:ascii="宋体" w:hAnsi="宋体"/>
          <w:color w:val="auto"/>
          <w:sz w:val="24"/>
        </w:rPr>
        <w:t>条，请自拟格式。</w:t>
      </w:r>
    </w:p>
    <w:p w14:paraId="22409E15">
      <w:pPr>
        <w:pStyle w:val="18"/>
        <w:spacing w:line="500" w:lineRule="exact"/>
        <w:ind w:firstLine="240" w:firstLineChars="100"/>
        <w:jc w:val="left"/>
        <w:rPr>
          <w:rFonts w:hAnsi="宋体"/>
          <w:color w:val="auto"/>
          <w:sz w:val="24"/>
          <w:szCs w:val="24"/>
        </w:rPr>
      </w:pPr>
    </w:p>
    <w:p w14:paraId="5AF97EF9">
      <w:pPr>
        <w:pStyle w:val="18"/>
        <w:spacing w:line="400" w:lineRule="exact"/>
        <w:rPr>
          <w:rFonts w:hAnsi="宋体"/>
          <w:color w:val="auto"/>
          <w:szCs w:val="21"/>
        </w:rPr>
      </w:pPr>
    </w:p>
    <w:p w14:paraId="00D4D630">
      <w:pPr>
        <w:pStyle w:val="18"/>
        <w:spacing w:line="400" w:lineRule="exact"/>
        <w:rPr>
          <w:rFonts w:hAnsi="宋体"/>
          <w:color w:val="auto"/>
          <w:szCs w:val="21"/>
        </w:rPr>
      </w:pPr>
    </w:p>
    <w:p w14:paraId="17929B52">
      <w:pPr>
        <w:pStyle w:val="18"/>
        <w:spacing w:line="400" w:lineRule="exact"/>
        <w:rPr>
          <w:rFonts w:hAnsi="宋体"/>
          <w:color w:val="auto"/>
          <w:szCs w:val="21"/>
        </w:rPr>
      </w:pPr>
    </w:p>
    <w:p w14:paraId="5D2C6553">
      <w:pPr>
        <w:pStyle w:val="18"/>
        <w:spacing w:line="400" w:lineRule="exact"/>
        <w:rPr>
          <w:rFonts w:hAnsi="宋体"/>
          <w:color w:val="auto"/>
          <w:szCs w:val="21"/>
        </w:rPr>
      </w:pPr>
    </w:p>
    <w:p w14:paraId="353A9574">
      <w:pPr>
        <w:pStyle w:val="18"/>
        <w:spacing w:line="400" w:lineRule="exact"/>
        <w:rPr>
          <w:rFonts w:hAnsi="宋体"/>
          <w:color w:val="auto"/>
          <w:szCs w:val="21"/>
        </w:rPr>
      </w:pPr>
    </w:p>
    <w:p w14:paraId="0E477AA9">
      <w:pPr>
        <w:pStyle w:val="18"/>
        <w:spacing w:line="400" w:lineRule="exact"/>
        <w:rPr>
          <w:rFonts w:hAnsi="宋体"/>
          <w:color w:val="auto"/>
          <w:szCs w:val="21"/>
        </w:rPr>
      </w:pPr>
    </w:p>
    <w:p w14:paraId="76D3964C">
      <w:pPr>
        <w:pStyle w:val="18"/>
        <w:spacing w:line="400" w:lineRule="exact"/>
        <w:rPr>
          <w:rFonts w:hAnsi="宋体"/>
          <w:color w:val="auto"/>
          <w:szCs w:val="21"/>
        </w:rPr>
      </w:pPr>
    </w:p>
    <w:p w14:paraId="2D4295C7">
      <w:pPr>
        <w:pStyle w:val="18"/>
        <w:spacing w:line="400" w:lineRule="exact"/>
        <w:rPr>
          <w:rFonts w:hAnsi="宋体"/>
          <w:color w:val="auto"/>
          <w:szCs w:val="21"/>
        </w:rPr>
      </w:pPr>
    </w:p>
    <w:p w14:paraId="78018289">
      <w:pPr>
        <w:pStyle w:val="18"/>
        <w:spacing w:line="400" w:lineRule="exact"/>
        <w:rPr>
          <w:rFonts w:hAnsi="宋体"/>
          <w:color w:val="auto"/>
          <w:szCs w:val="21"/>
        </w:rPr>
      </w:pPr>
    </w:p>
    <w:p w14:paraId="63FCF667">
      <w:pPr>
        <w:pStyle w:val="18"/>
        <w:spacing w:line="400" w:lineRule="exact"/>
        <w:rPr>
          <w:rFonts w:hAnsi="宋体"/>
          <w:color w:val="auto"/>
          <w:szCs w:val="21"/>
        </w:rPr>
      </w:pPr>
    </w:p>
    <w:p w14:paraId="0F83A594">
      <w:pPr>
        <w:pStyle w:val="18"/>
        <w:spacing w:line="400" w:lineRule="exact"/>
        <w:rPr>
          <w:rFonts w:hAnsi="宋体"/>
          <w:color w:val="auto"/>
          <w:szCs w:val="21"/>
        </w:rPr>
      </w:pPr>
    </w:p>
    <w:p w14:paraId="1E801021">
      <w:pPr>
        <w:pStyle w:val="18"/>
        <w:spacing w:line="400" w:lineRule="exact"/>
        <w:rPr>
          <w:rFonts w:hAnsi="宋体"/>
          <w:color w:val="auto"/>
          <w:szCs w:val="21"/>
        </w:rPr>
      </w:pPr>
    </w:p>
    <w:p w14:paraId="0894FAD8">
      <w:pPr>
        <w:pStyle w:val="18"/>
        <w:spacing w:line="400" w:lineRule="exact"/>
        <w:rPr>
          <w:rFonts w:hAnsi="宋体"/>
          <w:color w:val="auto"/>
          <w:szCs w:val="21"/>
        </w:rPr>
      </w:pPr>
    </w:p>
    <w:p w14:paraId="5EE200AB">
      <w:pPr>
        <w:pStyle w:val="18"/>
        <w:spacing w:line="400" w:lineRule="exact"/>
        <w:rPr>
          <w:rFonts w:hAnsi="宋体"/>
          <w:color w:val="auto"/>
          <w:szCs w:val="21"/>
        </w:rPr>
      </w:pPr>
    </w:p>
    <w:p w14:paraId="4F1458F3">
      <w:pPr>
        <w:pStyle w:val="18"/>
        <w:spacing w:line="400" w:lineRule="exact"/>
        <w:rPr>
          <w:rFonts w:hAnsi="宋体"/>
          <w:color w:val="auto"/>
          <w:szCs w:val="21"/>
        </w:rPr>
      </w:pPr>
    </w:p>
    <w:p w14:paraId="156EA294">
      <w:pPr>
        <w:pStyle w:val="18"/>
        <w:spacing w:line="400" w:lineRule="exact"/>
        <w:rPr>
          <w:rFonts w:hAnsi="宋体"/>
          <w:color w:val="auto"/>
          <w:szCs w:val="21"/>
        </w:rPr>
      </w:pPr>
    </w:p>
    <w:p w14:paraId="2287BA85">
      <w:pPr>
        <w:pStyle w:val="18"/>
        <w:spacing w:line="400" w:lineRule="exact"/>
        <w:rPr>
          <w:rFonts w:hAnsi="宋体"/>
          <w:color w:val="auto"/>
          <w:szCs w:val="21"/>
        </w:rPr>
      </w:pPr>
    </w:p>
    <w:p w14:paraId="55A4D779">
      <w:pPr>
        <w:pStyle w:val="18"/>
        <w:spacing w:line="400" w:lineRule="exact"/>
        <w:rPr>
          <w:rFonts w:hAnsi="宋体"/>
          <w:color w:val="auto"/>
          <w:szCs w:val="21"/>
        </w:rPr>
      </w:pPr>
    </w:p>
    <w:p w14:paraId="481C5AF9">
      <w:pPr>
        <w:pStyle w:val="18"/>
        <w:spacing w:line="400" w:lineRule="exact"/>
        <w:rPr>
          <w:rFonts w:hAnsi="宋体"/>
          <w:color w:val="auto"/>
          <w:szCs w:val="21"/>
        </w:rPr>
      </w:pPr>
    </w:p>
    <w:p w14:paraId="110F0611">
      <w:pPr>
        <w:pStyle w:val="18"/>
        <w:spacing w:line="400" w:lineRule="exact"/>
        <w:rPr>
          <w:rFonts w:hAnsi="宋体"/>
          <w:color w:val="auto"/>
          <w:szCs w:val="21"/>
        </w:rPr>
      </w:pPr>
    </w:p>
    <w:p w14:paraId="12B42899">
      <w:pPr>
        <w:pStyle w:val="18"/>
        <w:spacing w:line="400" w:lineRule="exact"/>
        <w:rPr>
          <w:rFonts w:hAnsi="宋体"/>
          <w:color w:val="auto"/>
          <w:szCs w:val="21"/>
        </w:rPr>
      </w:pPr>
    </w:p>
    <w:p w14:paraId="55266AAB">
      <w:pPr>
        <w:pStyle w:val="18"/>
        <w:spacing w:line="400" w:lineRule="exact"/>
        <w:rPr>
          <w:rFonts w:hAnsi="宋体"/>
          <w:color w:val="auto"/>
          <w:szCs w:val="21"/>
        </w:rPr>
      </w:pPr>
    </w:p>
    <w:p w14:paraId="179D6D14">
      <w:pPr>
        <w:rPr>
          <w:rFonts w:hAnsi="宋体"/>
          <w:color w:val="auto"/>
          <w:szCs w:val="21"/>
        </w:rPr>
      </w:pPr>
    </w:p>
    <w:p w14:paraId="2E33FB54">
      <w:pPr>
        <w:rPr>
          <w:rFonts w:hAnsi="宋体"/>
          <w:color w:val="auto"/>
          <w:szCs w:val="21"/>
        </w:rPr>
      </w:pPr>
    </w:p>
    <w:p w14:paraId="49A0AD7E">
      <w:pPr>
        <w:pStyle w:val="18"/>
        <w:spacing w:line="400" w:lineRule="exact"/>
        <w:rPr>
          <w:rFonts w:hAnsi="宋体"/>
          <w:color w:val="auto"/>
          <w:szCs w:val="21"/>
        </w:rPr>
      </w:pPr>
    </w:p>
    <w:p w14:paraId="3C0376D5">
      <w:pPr>
        <w:pStyle w:val="18"/>
        <w:spacing w:line="400" w:lineRule="exact"/>
        <w:rPr>
          <w:rFonts w:hAnsi="宋体"/>
          <w:color w:val="auto"/>
          <w:szCs w:val="21"/>
        </w:rPr>
      </w:pPr>
    </w:p>
    <w:p w14:paraId="121E711C">
      <w:pPr>
        <w:pStyle w:val="8"/>
        <w:ind w:left="0"/>
        <w:rPr>
          <w:rFonts w:hint="eastAsia" w:ascii="Times New Roman" w:hAnsi="Times New Roman"/>
          <w:color w:val="auto"/>
          <w:sz w:val="28"/>
        </w:rPr>
      </w:pPr>
      <w:r>
        <w:rPr>
          <w:rFonts w:hint="eastAsia"/>
          <w:color w:val="auto"/>
          <w:sz w:val="28"/>
          <w:szCs w:val="28"/>
        </w:rPr>
        <w:t>格式</w:t>
      </w:r>
      <w:r>
        <w:rPr>
          <w:rFonts w:hint="eastAsia"/>
          <w:color w:val="auto"/>
          <w:sz w:val="28"/>
          <w:szCs w:val="28"/>
          <w:lang w:val="en-US"/>
        </w:rPr>
        <w:t>10</w:t>
      </w:r>
      <w:r>
        <w:rPr>
          <w:rFonts w:hint="eastAsia"/>
          <w:color w:val="auto"/>
          <w:sz w:val="28"/>
          <w:szCs w:val="28"/>
        </w:rPr>
        <w:t>：</w:t>
      </w:r>
    </w:p>
    <w:p w14:paraId="491C7225">
      <w:pPr>
        <w:pStyle w:val="8"/>
        <w:ind w:left="0"/>
        <w:jc w:val="center"/>
        <w:rPr>
          <w:rFonts w:hint="eastAsia" w:ascii="Times New Roman"/>
          <w:color w:val="auto"/>
          <w:sz w:val="28"/>
        </w:rPr>
      </w:pPr>
      <w:r>
        <w:rPr>
          <w:rFonts w:hint="eastAsia" w:ascii="Times New Roman" w:hAnsi="Times New Roman"/>
          <w:color w:val="auto"/>
          <w:sz w:val="28"/>
        </w:rPr>
        <w:t>近三年类似</w:t>
      </w:r>
      <w:r>
        <w:rPr>
          <w:rFonts w:hint="eastAsia" w:ascii="Times New Roman"/>
          <w:color w:val="auto"/>
          <w:sz w:val="28"/>
        </w:rPr>
        <w:t>业绩一览表</w:t>
      </w:r>
    </w:p>
    <w:p w14:paraId="0A876C9E">
      <w:pPr>
        <w:rPr>
          <w:rFonts w:hint="eastAsia" w:ascii="Times New Roman"/>
          <w:b/>
          <w:bCs/>
          <w:color w:val="auto"/>
          <w:szCs w:val="20"/>
        </w:rPr>
      </w:pPr>
      <w:r>
        <w:rPr>
          <w:rFonts w:hint="eastAsia" w:ascii="Times New Roman"/>
          <w:b/>
          <w:bCs/>
          <w:color w:val="auto"/>
          <w:szCs w:val="20"/>
        </w:rPr>
        <w:t>投标单位（盖章）：</w:t>
      </w:r>
      <w:r>
        <w:rPr>
          <w:rFonts w:hint="eastAsia" w:ascii="Times New Roman"/>
          <w:b/>
          <w:bCs/>
          <w:color w:val="auto"/>
          <w:szCs w:val="20"/>
          <w:u w:val="single"/>
        </w:rPr>
        <w:t xml:space="preserve">                           </w:t>
      </w:r>
      <w:r>
        <w:rPr>
          <w:rFonts w:hint="eastAsia" w:ascii="Times New Roman"/>
          <w:b/>
          <w:bCs/>
          <w:color w:val="auto"/>
          <w:szCs w:val="20"/>
        </w:rPr>
        <w:t xml:space="preserve">     项目编号：              </w:t>
      </w:r>
    </w:p>
    <w:p w14:paraId="0ECF9122">
      <w:pPr>
        <w:pStyle w:val="14"/>
        <w:rPr>
          <w:color w:val="auto"/>
        </w:rPr>
      </w:pPr>
    </w:p>
    <w:tbl>
      <w:tblPr>
        <w:tblStyle w:val="36"/>
        <w:tblW w:w="8941" w:type="dxa"/>
        <w:jc w:val="center"/>
        <w:tblLayout w:type="fixed"/>
        <w:tblCellMar>
          <w:top w:w="0" w:type="dxa"/>
          <w:left w:w="54" w:type="dxa"/>
          <w:bottom w:w="0" w:type="dxa"/>
          <w:right w:w="54" w:type="dxa"/>
        </w:tblCellMar>
      </w:tblPr>
      <w:tblGrid>
        <w:gridCol w:w="835"/>
        <w:gridCol w:w="4205"/>
        <w:gridCol w:w="3901"/>
      </w:tblGrid>
      <w:tr w14:paraId="0679435F">
        <w:tblPrEx>
          <w:tblCellMar>
            <w:top w:w="0" w:type="dxa"/>
            <w:left w:w="54" w:type="dxa"/>
            <w:bottom w:w="0" w:type="dxa"/>
            <w:right w:w="54" w:type="dxa"/>
          </w:tblCellMar>
        </w:tblPrEx>
        <w:trPr>
          <w:cantSplit/>
          <w:trHeight w:val="437" w:hRule="atLeast"/>
          <w:jc w:val="center"/>
        </w:trPr>
        <w:tc>
          <w:tcPr>
            <w:tcW w:w="835" w:type="dxa"/>
            <w:tcBorders>
              <w:top w:val="single" w:color="auto" w:sz="6" w:space="0"/>
              <w:left w:val="single" w:color="auto" w:sz="6" w:space="0"/>
              <w:bottom w:val="single" w:color="auto" w:sz="4" w:space="0"/>
              <w:right w:val="single" w:color="auto" w:sz="4" w:space="0"/>
            </w:tcBorders>
            <w:noWrap w:val="0"/>
            <w:vAlign w:val="center"/>
          </w:tcPr>
          <w:p w14:paraId="4FE97629">
            <w:pPr>
              <w:spacing w:line="360" w:lineRule="auto"/>
              <w:jc w:val="center"/>
              <w:rPr>
                <w:rFonts w:ascii="宋体" w:hAnsi="宋体"/>
                <w:b/>
                <w:color w:val="auto"/>
                <w:sz w:val="24"/>
              </w:rPr>
            </w:pPr>
            <w:r>
              <w:rPr>
                <w:rFonts w:hint="eastAsia" w:ascii="宋体" w:hAnsi="宋体"/>
                <w:b/>
                <w:color w:val="auto"/>
                <w:sz w:val="24"/>
              </w:rPr>
              <w:t>序号</w:t>
            </w:r>
          </w:p>
        </w:tc>
        <w:tc>
          <w:tcPr>
            <w:tcW w:w="4205" w:type="dxa"/>
            <w:tcBorders>
              <w:top w:val="single" w:color="auto" w:sz="6" w:space="0"/>
              <w:left w:val="single" w:color="auto" w:sz="4" w:space="0"/>
              <w:bottom w:val="single" w:color="auto" w:sz="4" w:space="0"/>
              <w:right w:val="single" w:color="auto" w:sz="6" w:space="0"/>
            </w:tcBorders>
            <w:noWrap w:val="0"/>
            <w:vAlign w:val="center"/>
          </w:tcPr>
          <w:p w14:paraId="18492D6A">
            <w:pPr>
              <w:spacing w:line="360" w:lineRule="auto"/>
              <w:jc w:val="center"/>
              <w:rPr>
                <w:rFonts w:ascii="宋体" w:hAnsi="宋体"/>
                <w:b/>
                <w:color w:val="auto"/>
                <w:sz w:val="24"/>
              </w:rPr>
            </w:pPr>
            <w:r>
              <w:rPr>
                <w:rFonts w:hint="eastAsia" w:ascii="宋体" w:hAnsi="宋体"/>
                <w:b/>
                <w:color w:val="auto"/>
                <w:sz w:val="24"/>
              </w:rPr>
              <w:t>项目名称</w:t>
            </w:r>
          </w:p>
        </w:tc>
        <w:tc>
          <w:tcPr>
            <w:tcW w:w="3901" w:type="dxa"/>
            <w:tcBorders>
              <w:top w:val="single" w:color="auto" w:sz="6" w:space="0"/>
              <w:left w:val="single" w:color="auto" w:sz="6" w:space="0"/>
              <w:bottom w:val="single" w:color="auto" w:sz="4" w:space="0"/>
              <w:right w:val="single" w:color="auto" w:sz="4" w:space="0"/>
            </w:tcBorders>
            <w:noWrap w:val="0"/>
            <w:vAlign w:val="center"/>
          </w:tcPr>
          <w:p w14:paraId="02CC8D95">
            <w:pPr>
              <w:spacing w:line="360" w:lineRule="auto"/>
              <w:jc w:val="center"/>
              <w:rPr>
                <w:rFonts w:ascii="宋体" w:hAnsi="宋体"/>
                <w:b/>
                <w:color w:val="auto"/>
                <w:sz w:val="24"/>
              </w:rPr>
            </w:pPr>
            <w:r>
              <w:rPr>
                <w:rFonts w:hint="eastAsia" w:ascii="宋体" w:hAnsi="宋体"/>
                <w:b/>
                <w:color w:val="auto"/>
                <w:sz w:val="24"/>
              </w:rPr>
              <w:t>项目情况说明</w:t>
            </w:r>
          </w:p>
        </w:tc>
      </w:tr>
      <w:tr w14:paraId="58D8BA47">
        <w:tblPrEx>
          <w:tblCellMar>
            <w:top w:w="0" w:type="dxa"/>
            <w:left w:w="54" w:type="dxa"/>
            <w:bottom w:w="0" w:type="dxa"/>
            <w:right w:w="54" w:type="dxa"/>
          </w:tblCellMar>
        </w:tblPrEx>
        <w:trPr>
          <w:cantSplit/>
          <w:trHeight w:val="461" w:hRule="atLeast"/>
          <w:jc w:val="center"/>
        </w:trPr>
        <w:tc>
          <w:tcPr>
            <w:tcW w:w="835" w:type="dxa"/>
            <w:tcBorders>
              <w:top w:val="single" w:color="auto" w:sz="4" w:space="0"/>
              <w:left w:val="single" w:color="auto" w:sz="6" w:space="0"/>
              <w:bottom w:val="single" w:color="auto" w:sz="4" w:space="0"/>
              <w:right w:val="single" w:color="auto" w:sz="4" w:space="0"/>
            </w:tcBorders>
            <w:noWrap w:val="0"/>
            <w:vAlign w:val="center"/>
          </w:tcPr>
          <w:p w14:paraId="5C921010">
            <w:pPr>
              <w:spacing w:line="360" w:lineRule="auto"/>
              <w:jc w:val="center"/>
              <w:rPr>
                <w:rFonts w:ascii="宋体" w:hAnsi="宋体"/>
                <w:color w:val="auto"/>
                <w:sz w:val="24"/>
              </w:rPr>
            </w:pPr>
            <w:r>
              <w:rPr>
                <w:rFonts w:hint="eastAsia" w:ascii="宋体" w:hAnsi="宋体"/>
                <w:color w:val="auto"/>
                <w:sz w:val="24"/>
              </w:rPr>
              <w:t>1</w:t>
            </w:r>
          </w:p>
        </w:tc>
        <w:tc>
          <w:tcPr>
            <w:tcW w:w="4205" w:type="dxa"/>
            <w:tcBorders>
              <w:top w:val="single" w:color="auto" w:sz="4" w:space="0"/>
              <w:left w:val="single" w:color="auto" w:sz="4" w:space="0"/>
              <w:bottom w:val="single" w:color="auto" w:sz="4" w:space="0"/>
              <w:right w:val="single" w:color="auto" w:sz="6" w:space="0"/>
            </w:tcBorders>
            <w:noWrap w:val="0"/>
            <w:vAlign w:val="center"/>
          </w:tcPr>
          <w:p w14:paraId="1322566F">
            <w:pPr>
              <w:spacing w:line="360" w:lineRule="auto"/>
              <w:jc w:val="center"/>
              <w:rPr>
                <w:rFonts w:ascii="宋体" w:hAnsi="宋体"/>
                <w:b/>
                <w:color w:val="auto"/>
                <w:sz w:val="24"/>
              </w:rPr>
            </w:pPr>
          </w:p>
        </w:tc>
        <w:tc>
          <w:tcPr>
            <w:tcW w:w="3901" w:type="dxa"/>
            <w:tcBorders>
              <w:top w:val="single" w:color="auto" w:sz="4" w:space="0"/>
              <w:left w:val="single" w:color="auto" w:sz="6" w:space="0"/>
              <w:bottom w:val="single" w:color="auto" w:sz="4" w:space="0"/>
              <w:right w:val="single" w:color="auto" w:sz="6" w:space="0"/>
            </w:tcBorders>
            <w:noWrap w:val="0"/>
            <w:vAlign w:val="center"/>
          </w:tcPr>
          <w:p w14:paraId="117E3C2A">
            <w:pPr>
              <w:spacing w:line="360" w:lineRule="auto"/>
              <w:jc w:val="center"/>
              <w:rPr>
                <w:rFonts w:ascii="宋体" w:hAnsi="宋体"/>
                <w:b/>
                <w:color w:val="auto"/>
                <w:sz w:val="24"/>
              </w:rPr>
            </w:pPr>
          </w:p>
        </w:tc>
      </w:tr>
      <w:tr w14:paraId="3278C3A9">
        <w:tblPrEx>
          <w:tblCellMar>
            <w:top w:w="0" w:type="dxa"/>
            <w:left w:w="54" w:type="dxa"/>
            <w:bottom w:w="0" w:type="dxa"/>
            <w:right w:w="54" w:type="dxa"/>
          </w:tblCellMar>
        </w:tblPrEx>
        <w:trPr>
          <w:cantSplit/>
          <w:trHeight w:val="452" w:hRule="atLeast"/>
          <w:jc w:val="center"/>
        </w:trPr>
        <w:tc>
          <w:tcPr>
            <w:tcW w:w="835" w:type="dxa"/>
            <w:tcBorders>
              <w:top w:val="single" w:color="auto" w:sz="4" w:space="0"/>
              <w:left w:val="single" w:color="auto" w:sz="6" w:space="0"/>
              <w:bottom w:val="single" w:color="auto" w:sz="4" w:space="0"/>
              <w:right w:val="single" w:color="auto" w:sz="4" w:space="0"/>
            </w:tcBorders>
            <w:noWrap w:val="0"/>
            <w:vAlign w:val="center"/>
          </w:tcPr>
          <w:p w14:paraId="20788F58">
            <w:pPr>
              <w:spacing w:line="360" w:lineRule="auto"/>
              <w:jc w:val="center"/>
              <w:rPr>
                <w:rFonts w:ascii="宋体" w:hAnsi="宋体"/>
                <w:color w:val="auto"/>
                <w:sz w:val="24"/>
              </w:rPr>
            </w:pPr>
            <w:r>
              <w:rPr>
                <w:rFonts w:hint="eastAsia" w:ascii="宋体" w:hAnsi="宋体"/>
                <w:color w:val="auto"/>
                <w:sz w:val="24"/>
              </w:rPr>
              <w:t>2</w:t>
            </w:r>
          </w:p>
        </w:tc>
        <w:tc>
          <w:tcPr>
            <w:tcW w:w="4205" w:type="dxa"/>
            <w:tcBorders>
              <w:top w:val="single" w:color="auto" w:sz="4" w:space="0"/>
              <w:left w:val="single" w:color="auto" w:sz="4" w:space="0"/>
              <w:bottom w:val="single" w:color="auto" w:sz="4" w:space="0"/>
              <w:right w:val="single" w:color="auto" w:sz="6" w:space="0"/>
            </w:tcBorders>
            <w:noWrap w:val="0"/>
            <w:vAlign w:val="center"/>
          </w:tcPr>
          <w:p w14:paraId="4B8954FC">
            <w:pPr>
              <w:spacing w:line="360" w:lineRule="auto"/>
              <w:jc w:val="center"/>
              <w:rPr>
                <w:rFonts w:ascii="宋体" w:hAnsi="宋体"/>
                <w:color w:val="auto"/>
                <w:sz w:val="24"/>
              </w:rPr>
            </w:pPr>
          </w:p>
        </w:tc>
        <w:tc>
          <w:tcPr>
            <w:tcW w:w="3901" w:type="dxa"/>
            <w:tcBorders>
              <w:top w:val="single" w:color="auto" w:sz="4" w:space="0"/>
              <w:left w:val="single" w:color="auto" w:sz="6" w:space="0"/>
              <w:bottom w:val="single" w:color="auto" w:sz="4" w:space="0"/>
              <w:right w:val="single" w:color="auto" w:sz="6" w:space="0"/>
            </w:tcBorders>
            <w:noWrap w:val="0"/>
            <w:vAlign w:val="center"/>
          </w:tcPr>
          <w:p w14:paraId="78A510D5">
            <w:pPr>
              <w:spacing w:line="360" w:lineRule="auto"/>
              <w:jc w:val="center"/>
              <w:rPr>
                <w:rFonts w:ascii="宋体" w:hAnsi="宋体"/>
                <w:color w:val="auto"/>
                <w:sz w:val="24"/>
              </w:rPr>
            </w:pPr>
          </w:p>
        </w:tc>
      </w:tr>
      <w:tr w14:paraId="733EC87D">
        <w:tblPrEx>
          <w:tblCellMar>
            <w:top w:w="0" w:type="dxa"/>
            <w:left w:w="54" w:type="dxa"/>
            <w:bottom w:w="0" w:type="dxa"/>
            <w:right w:w="54" w:type="dxa"/>
          </w:tblCellMar>
        </w:tblPrEx>
        <w:trPr>
          <w:cantSplit/>
          <w:trHeight w:val="452" w:hRule="atLeast"/>
          <w:jc w:val="center"/>
        </w:trPr>
        <w:tc>
          <w:tcPr>
            <w:tcW w:w="835" w:type="dxa"/>
            <w:tcBorders>
              <w:top w:val="single" w:color="auto" w:sz="4" w:space="0"/>
              <w:left w:val="single" w:color="auto" w:sz="6" w:space="0"/>
              <w:bottom w:val="single" w:color="auto" w:sz="4" w:space="0"/>
              <w:right w:val="single" w:color="auto" w:sz="4" w:space="0"/>
            </w:tcBorders>
            <w:noWrap w:val="0"/>
            <w:vAlign w:val="center"/>
          </w:tcPr>
          <w:p w14:paraId="11D69413">
            <w:pPr>
              <w:spacing w:line="360" w:lineRule="auto"/>
              <w:jc w:val="center"/>
              <w:rPr>
                <w:rFonts w:ascii="宋体" w:hAnsi="宋体"/>
                <w:color w:val="auto"/>
                <w:sz w:val="24"/>
              </w:rPr>
            </w:pPr>
            <w:r>
              <w:rPr>
                <w:rFonts w:hint="eastAsia" w:ascii="宋体" w:hAnsi="宋体"/>
                <w:color w:val="auto"/>
                <w:sz w:val="24"/>
              </w:rPr>
              <w:t>3</w:t>
            </w:r>
          </w:p>
        </w:tc>
        <w:tc>
          <w:tcPr>
            <w:tcW w:w="4205" w:type="dxa"/>
            <w:tcBorders>
              <w:top w:val="single" w:color="auto" w:sz="4" w:space="0"/>
              <w:left w:val="single" w:color="auto" w:sz="4" w:space="0"/>
              <w:bottom w:val="single" w:color="auto" w:sz="4" w:space="0"/>
              <w:right w:val="single" w:color="auto" w:sz="6" w:space="0"/>
            </w:tcBorders>
            <w:noWrap w:val="0"/>
            <w:vAlign w:val="center"/>
          </w:tcPr>
          <w:p w14:paraId="401D9B21">
            <w:pPr>
              <w:spacing w:line="360" w:lineRule="auto"/>
              <w:jc w:val="center"/>
              <w:rPr>
                <w:rFonts w:ascii="宋体" w:hAnsi="宋体"/>
                <w:color w:val="auto"/>
                <w:sz w:val="24"/>
              </w:rPr>
            </w:pPr>
          </w:p>
        </w:tc>
        <w:tc>
          <w:tcPr>
            <w:tcW w:w="3901" w:type="dxa"/>
            <w:tcBorders>
              <w:top w:val="single" w:color="auto" w:sz="4" w:space="0"/>
              <w:left w:val="single" w:color="auto" w:sz="6" w:space="0"/>
              <w:bottom w:val="single" w:color="auto" w:sz="4" w:space="0"/>
              <w:right w:val="single" w:color="auto" w:sz="6" w:space="0"/>
            </w:tcBorders>
            <w:noWrap w:val="0"/>
            <w:vAlign w:val="center"/>
          </w:tcPr>
          <w:p w14:paraId="7D961594">
            <w:pPr>
              <w:spacing w:line="360" w:lineRule="auto"/>
              <w:jc w:val="center"/>
              <w:rPr>
                <w:rFonts w:ascii="宋体" w:hAnsi="宋体"/>
                <w:color w:val="auto"/>
                <w:sz w:val="24"/>
              </w:rPr>
            </w:pPr>
          </w:p>
        </w:tc>
      </w:tr>
      <w:tr w14:paraId="30408602">
        <w:tblPrEx>
          <w:tblCellMar>
            <w:top w:w="0" w:type="dxa"/>
            <w:left w:w="54" w:type="dxa"/>
            <w:bottom w:w="0" w:type="dxa"/>
            <w:right w:w="54" w:type="dxa"/>
          </w:tblCellMar>
        </w:tblPrEx>
        <w:trPr>
          <w:cantSplit/>
          <w:trHeight w:val="473" w:hRule="atLeast"/>
          <w:jc w:val="center"/>
        </w:trPr>
        <w:tc>
          <w:tcPr>
            <w:tcW w:w="835" w:type="dxa"/>
            <w:tcBorders>
              <w:top w:val="single" w:color="auto" w:sz="4" w:space="0"/>
              <w:left w:val="single" w:color="auto" w:sz="6" w:space="0"/>
              <w:bottom w:val="single" w:color="auto" w:sz="4" w:space="0"/>
              <w:right w:val="single" w:color="auto" w:sz="4" w:space="0"/>
            </w:tcBorders>
            <w:noWrap w:val="0"/>
            <w:vAlign w:val="center"/>
          </w:tcPr>
          <w:p w14:paraId="5AD764B2">
            <w:pPr>
              <w:spacing w:line="360" w:lineRule="auto"/>
              <w:jc w:val="center"/>
              <w:rPr>
                <w:rFonts w:ascii="宋体" w:hAnsi="宋体"/>
                <w:color w:val="auto"/>
                <w:sz w:val="24"/>
              </w:rPr>
            </w:pPr>
            <w:r>
              <w:rPr>
                <w:rFonts w:hint="eastAsia" w:ascii="宋体" w:hAnsi="宋体"/>
                <w:color w:val="auto"/>
                <w:sz w:val="24"/>
              </w:rPr>
              <w:t>……</w:t>
            </w:r>
          </w:p>
        </w:tc>
        <w:tc>
          <w:tcPr>
            <w:tcW w:w="4205" w:type="dxa"/>
            <w:tcBorders>
              <w:top w:val="single" w:color="auto" w:sz="4" w:space="0"/>
              <w:left w:val="single" w:color="auto" w:sz="4" w:space="0"/>
              <w:bottom w:val="single" w:color="auto" w:sz="4" w:space="0"/>
              <w:right w:val="single" w:color="auto" w:sz="6" w:space="0"/>
            </w:tcBorders>
            <w:noWrap w:val="0"/>
            <w:vAlign w:val="center"/>
          </w:tcPr>
          <w:p w14:paraId="188AA40E">
            <w:pPr>
              <w:spacing w:line="360" w:lineRule="auto"/>
              <w:jc w:val="center"/>
              <w:rPr>
                <w:rFonts w:ascii="宋体" w:hAnsi="宋体"/>
                <w:color w:val="auto"/>
                <w:sz w:val="24"/>
              </w:rPr>
            </w:pPr>
          </w:p>
        </w:tc>
        <w:tc>
          <w:tcPr>
            <w:tcW w:w="3901" w:type="dxa"/>
            <w:tcBorders>
              <w:top w:val="single" w:color="auto" w:sz="4" w:space="0"/>
              <w:left w:val="single" w:color="auto" w:sz="6" w:space="0"/>
              <w:bottom w:val="single" w:color="auto" w:sz="4" w:space="0"/>
              <w:right w:val="single" w:color="auto" w:sz="6" w:space="0"/>
            </w:tcBorders>
            <w:noWrap w:val="0"/>
            <w:vAlign w:val="center"/>
          </w:tcPr>
          <w:p w14:paraId="352CBC9C">
            <w:pPr>
              <w:spacing w:line="360" w:lineRule="auto"/>
              <w:jc w:val="center"/>
              <w:rPr>
                <w:rFonts w:ascii="宋体" w:hAnsi="宋体"/>
                <w:color w:val="auto"/>
                <w:sz w:val="24"/>
              </w:rPr>
            </w:pPr>
          </w:p>
        </w:tc>
      </w:tr>
    </w:tbl>
    <w:p w14:paraId="48B80431">
      <w:pPr>
        <w:spacing w:line="360" w:lineRule="auto"/>
        <w:rPr>
          <w:b/>
          <w:color w:val="auto"/>
        </w:rPr>
      </w:pPr>
      <w:r>
        <w:rPr>
          <w:rFonts w:hint="eastAsia"/>
          <w:b/>
          <w:color w:val="auto"/>
        </w:rPr>
        <w:t>供应商随本表附业绩证明资料（如：中标通知书或合同协议书等）</w:t>
      </w:r>
    </w:p>
    <w:p w14:paraId="5380C183">
      <w:pPr>
        <w:pStyle w:val="18"/>
        <w:spacing w:line="400" w:lineRule="exact"/>
        <w:rPr>
          <w:rFonts w:hAnsi="宋体"/>
          <w:color w:val="auto"/>
          <w:szCs w:val="21"/>
        </w:rPr>
      </w:pPr>
    </w:p>
    <w:p w14:paraId="223725DD">
      <w:pPr>
        <w:pStyle w:val="18"/>
        <w:spacing w:line="400" w:lineRule="exact"/>
        <w:rPr>
          <w:rFonts w:hAnsi="宋体"/>
          <w:color w:val="auto"/>
          <w:szCs w:val="21"/>
        </w:rPr>
        <w:sectPr>
          <w:footerReference r:id="rId11" w:type="first"/>
          <w:headerReference r:id="rId9" w:type="default"/>
          <w:footerReference r:id="rId10" w:type="default"/>
          <w:pgSz w:w="11907" w:h="16840"/>
          <w:pgMar w:top="1440" w:right="1752" w:bottom="1440" w:left="1752" w:header="851" w:footer="992" w:gutter="0"/>
          <w:cols w:space="720" w:num="1"/>
          <w:titlePg/>
          <w:docGrid w:type="linesAndChars" w:linePitch="323" w:charSpace="-2"/>
        </w:sectPr>
      </w:pPr>
      <w:r>
        <w:rPr>
          <w:rFonts w:hAnsi="宋体"/>
          <w:color w:val="auto"/>
          <w:szCs w:val="21"/>
        </w:rPr>
        <w:br w:type="page"/>
      </w:r>
    </w:p>
    <w:p w14:paraId="2F964CC6">
      <w:pPr>
        <w:pStyle w:val="18"/>
        <w:spacing w:line="400" w:lineRule="exact"/>
        <w:rPr>
          <w:rFonts w:hAnsi="宋体"/>
          <w:b/>
          <w:color w:val="auto"/>
          <w:sz w:val="28"/>
          <w:szCs w:val="28"/>
        </w:rPr>
      </w:pPr>
      <w:r>
        <w:rPr>
          <w:rFonts w:hint="eastAsia" w:hAnsi="宋体"/>
          <w:b/>
          <w:color w:val="auto"/>
          <w:sz w:val="28"/>
          <w:szCs w:val="28"/>
        </w:rPr>
        <w:t>格式1</w:t>
      </w:r>
      <w:r>
        <w:rPr>
          <w:rFonts w:hint="eastAsia" w:hAnsi="宋体"/>
          <w:b/>
          <w:color w:val="auto"/>
          <w:sz w:val="28"/>
          <w:szCs w:val="28"/>
          <w:lang w:val="en-US" w:eastAsia="zh-CN"/>
        </w:rPr>
        <w:t>1</w:t>
      </w:r>
      <w:r>
        <w:rPr>
          <w:rFonts w:hint="eastAsia" w:hAnsi="宋体"/>
          <w:b/>
          <w:color w:val="auto"/>
          <w:sz w:val="28"/>
          <w:szCs w:val="28"/>
        </w:rPr>
        <w:t xml:space="preserve">：                  </w:t>
      </w:r>
    </w:p>
    <w:p w14:paraId="202AF2E8">
      <w:pPr>
        <w:pStyle w:val="18"/>
        <w:spacing w:line="400" w:lineRule="exact"/>
        <w:jc w:val="center"/>
        <w:rPr>
          <w:rFonts w:hAnsi="宋体"/>
          <w:b/>
          <w:color w:val="auto"/>
          <w:sz w:val="32"/>
          <w:szCs w:val="32"/>
        </w:rPr>
      </w:pPr>
      <w:r>
        <w:rPr>
          <w:rFonts w:hint="eastAsia" w:hAnsi="宋体"/>
          <w:b/>
          <w:color w:val="auto"/>
          <w:sz w:val="32"/>
          <w:szCs w:val="32"/>
        </w:rPr>
        <w:t>投标人信息表</w:t>
      </w:r>
    </w:p>
    <w:p w14:paraId="3E1762C7">
      <w:pPr>
        <w:pStyle w:val="18"/>
        <w:spacing w:line="400" w:lineRule="exact"/>
        <w:jc w:val="center"/>
        <w:rPr>
          <w:rFonts w:hAnsi="宋体"/>
          <w:b/>
          <w:color w:val="auto"/>
          <w:sz w:val="24"/>
          <w:szCs w:val="24"/>
        </w:rPr>
      </w:pPr>
      <w:r>
        <w:rPr>
          <w:rFonts w:hint="eastAsia" w:hAnsi="宋体"/>
          <w:b/>
          <w:color w:val="auto"/>
          <w:sz w:val="24"/>
          <w:szCs w:val="24"/>
        </w:rPr>
        <w:t>（请投标人如实填写本表信息）</w:t>
      </w:r>
    </w:p>
    <w:tbl>
      <w:tblPr>
        <w:tblStyle w:val="36"/>
        <w:tblpPr w:leftFromText="180" w:rightFromText="180" w:vertAnchor="text" w:horzAnchor="margin" w:tblpXSpec="center" w:tblpY="3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6"/>
        <w:gridCol w:w="2591"/>
        <w:gridCol w:w="2701"/>
        <w:gridCol w:w="2036"/>
      </w:tblGrid>
      <w:tr w14:paraId="0EAE3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2916" w:type="dxa"/>
            <w:noWrap w:val="0"/>
            <w:vAlign w:val="center"/>
          </w:tcPr>
          <w:p w14:paraId="7BEC670D">
            <w:pPr>
              <w:pStyle w:val="18"/>
              <w:spacing w:line="480" w:lineRule="auto"/>
              <w:jc w:val="center"/>
              <w:rPr>
                <w:rFonts w:hAnsi="宋体"/>
                <w:color w:val="auto"/>
                <w:kern w:val="2"/>
                <w:sz w:val="21"/>
                <w:szCs w:val="21"/>
                <w:lang w:val="en-US" w:eastAsia="zh-CN"/>
              </w:rPr>
            </w:pPr>
            <w:bookmarkStart w:id="112" w:name="_Toc301186278"/>
            <w:r>
              <w:rPr>
                <w:rFonts w:hint="eastAsia" w:hAnsi="宋体"/>
                <w:color w:val="auto"/>
                <w:kern w:val="2"/>
                <w:sz w:val="21"/>
                <w:szCs w:val="21"/>
                <w:lang w:val="en-US" w:eastAsia="zh-CN"/>
              </w:rPr>
              <w:t>投标人名称：</w:t>
            </w:r>
          </w:p>
        </w:tc>
        <w:tc>
          <w:tcPr>
            <w:tcW w:w="7328" w:type="dxa"/>
            <w:gridSpan w:val="3"/>
            <w:noWrap w:val="0"/>
            <w:vAlign w:val="top"/>
          </w:tcPr>
          <w:p w14:paraId="55036FBF">
            <w:pPr>
              <w:pStyle w:val="18"/>
              <w:spacing w:line="480" w:lineRule="auto"/>
              <w:jc w:val="center"/>
              <w:rPr>
                <w:rFonts w:hAnsi="宋体"/>
                <w:color w:val="auto"/>
                <w:kern w:val="2"/>
                <w:sz w:val="21"/>
                <w:szCs w:val="21"/>
                <w:lang w:val="en-US" w:eastAsia="zh-CN"/>
              </w:rPr>
            </w:pPr>
          </w:p>
        </w:tc>
      </w:tr>
      <w:tr w14:paraId="21E53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2916" w:type="dxa"/>
            <w:noWrap w:val="0"/>
            <w:vAlign w:val="center"/>
          </w:tcPr>
          <w:p w14:paraId="6A9A63CF">
            <w:pPr>
              <w:pStyle w:val="18"/>
              <w:spacing w:line="480" w:lineRule="auto"/>
              <w:jc w:val="center"/>
              <w:rPr>
                <w:rFonts w:hAnsi="宋体"/>
                <w:color w:val="auto"/>
                <w:kern w:val="2"/>
                <w:sz w:val="21"/>
                <w:szCs w:val="21"/>
                <w:lang w:val="en-US" w:eastAsia="zh-CN"/>
              </w:rPr>
            </w:pPr>
            <w:r>
              <w:rPr>
                <w:rFonts w:hint="eastAsia" w:hAnsi="宋体"/>
                <w:color w:val="auto"/>
                <w:kern w:val="2"/>
                <w:sz w:val="21"/>
                <w:szCs w:val="21"/>
                <w:lang w:val="en-US" w:eastAsia="zh-CN"/>
              </w:rPr>
              <w:t>营业执照注册号：</w:t>
            </w:r>
          </w:p>
        </w:tc>
        <w:tc>
          <w:tcPr>
            <w:tcW w:w="7328" w:type="dxa"/>
            <w:gridSpan w:val="3"/>
            <w:noWrap w:val="0"/>
            <w:vAlign w:val="top"/>
          </w:tcPr>
          <w:p w14:paraId="02B32C32">
            <w:pPr>
              <w:pStyle w:val="18"/>
              <w:spacing w:line="480" w:lineRule="auto"/>
              <w:jc w:val="center"/>
              <w:rPr>
                <w:rFonts w:hAnsi="宋体"/>
                <w:color w:val="auto"/>
                <w:kern w:val="2"/>
                <w:sz w:val="21"/>
                <w:szCs w:val="21"/>
                <w:lang w:val="en-US" w:eastAsia="zh-CN"/>
              </w:rPr>
            </w:pPr>
          </w:p>
        </w:tc>
      </w:tr>
      <w:tr w14:paraId="28071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2916" w:type="dxa"/>
            <w:noWrap w:val="0"/>
            <w:vAlign w:val="center"/>
          </w:tcPr>
          <w:p w14:paraId="6520E439">
            <w:pPr>
              <w:pStyle w:val="18"/>
              <w:spacing w:line="480" w:lineRule="auto"/>
              <w:jc w:val="center"/>
              <w:rPr>
                <w:rFonts w:hAnsi="宋体"/>
                <w:color w:val="auto"/>
                <w:kern w:val="2"/>
                <w:sz w:val="21"/>
                <w:szCs w:val="21"/>
                <w:lang w:val="en-US" w:eastAsia="zh-CN"/>
              </w:rPr>
            </w:pPr>
            <w:r>
              <w:rPr>
                <w:rFonts w:hint="eastAsia" w:hAnsi="宋体"/>
                <w:color w:val="auto"/>
                <w:kern w:val="2"/>
                <w:sz w:val="21"/>
                <w:szCs w:val="21"/>
                <w:lang w:val="en-US" w:eastAsia="zh-CN"/>
              </w:rPr>
              <w:t>组织机构代码：</w:t>
            </w:r>
          </w:p>
        </w:tc>
        <w:tc>
          <w:tcPr>
            <w:tcW w:w="7328" w:type="dxa"/>
            <w:gridSpan w:val="3"/>
            <w:noWrap w:val="0"/>
            <w:vAlign w:val="top"/>
          </w:tcPr>
          <w:p w14:paraId="4B87AFCA">
            <w:pPr>
              <w:pStyle w:val="18"/>
              <w:spacing w:line="480" w:lineRule="auto"/>
              <w:jc w:val="center"/>
              <w:rPr>
                <w:rFonts w:hAnsi="宋体"/>
                <w:color w:val="auto"/>
                <w:kern w:val="2"/>
                <w:sz w:val="21"/>
                <w:szCs w:val="21"/>
                <w:lang w:val="en-US" w:eastAsia="zh-CN"/>
              </w:rPr>
            </w:pPr>
          </w:p>
        </w:tc>
      </w:tr>
      <w:tr w14:paraId="18F52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2916" w:type="dxa"/>
            <w:noWrap w:val="0"/>
            <w:vAlign w:val="center"/>
          </w:tcPr>
          <w:p w14:paraId="6F737A87">
            <w:pPr>
              <w:pStyle w:val="18"/>
              <w:spacing w:line="480" w:lineRule="auto"/>
              <w:jc w:val="center"/>
              <w:rPr>
                <w:rFonts w:hAnsi="宋体"/>
                <w:color w:val="auto"/>
                <w:kern w:val="2"/>
                <w:sz w:val="21"/>
                <w:szCs w:val="21"/>
                <w:lang w:val="en-US" w:eastAsia="zh-CN"/>
              </w:rPr>
            </w:pPr>
            <w:r>
              <w:rPr>
                <w:rFonts w:hint="eastAsia" w:hAnsi="宋体"/>
                <w:color w:val="auto"/>
                <w:kern w:val="2"/>
                <w:sz w:val="21"/>
                <w:szCs w:val="21"/>
                <w:lang w:val="en-US" w:eastAsia="zh-CN"/>
              </w:rPr>
              <w:t>税务登记证号：</w:t>
            </w:r>
          </w:p>
        </w:tc>
        <w:tc>
          <w:tcPr>
            <w:tcW w:w="7328" w:type="dxa"/>
            <w:gridSpan w:val="3"/>
            <w:noWrap w:val="0"/>
            <w:vAlign w:val="top"/>
          </w:tcPr>
          <w:p w14:paraId="205306F2">
            <w:pPr>
              <w:pStyle w:val="18"/>
              <w:spacing w:line="480" w:lineRule="auto"/>
              <w:jc w:val="center"/>
              <w:rPr>
                <w:rFonts w:hAnsi="宋体"/>
                <w:color w:val="auto"/>
                <w:kern w:val="2"/>
                <w:sz w:val="21"/>
                <w:szCs w:val="21"/>
                <w:lang w:val="en-US" w:eastAsia="zh-CN"/>
              </w:rPr>
            </w:pPr>
          </w:p>
        </w:tc>
      </w:tr>
      <w:tr w14:paraId="33C8C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2916" w:type="dxa"/>
            <w:noWrap w:val="0"/>
            <w:vAlign w:val="center"/>
          </w:tcPr>
          <w:p w14:paraId="1E9290BA">
            <w:pPr>
              <w:pStyle w:val="18"/>
              <w:spacing w:line="480" w:lineRule="auto"/>
              <w:jc w:val="center"/>
              <w:rPr>
                <w:rFonts w:hAnsi="宋体"/>
                <w:color w:val="auto"/>
                <w:kern w:val="2"/>
                <w:sz w:val="21"/>
                <w:szCs w:val="21"/>
                <w:lang w:val="en-US" w:eastAsia="zh-CN"/>
              </w:rPr>
            </w:pPr>
            <w:r>
              <w:rPr>
                <w:rFonts w:hint="eastAsia" w:hAnsi="宋体"/>
                <w:color w:val="auto"/>
                <w:kern w:val="2"/>
                <w:sz w:val="21"/>
                <w:szCs w:val="21"/>
                <w:lang w:val="en-US" w:eastAsia="zh-CN"/>
              </w:rPr>
              <w:t xml:space="preserve">注册资金： </w:t>
            </w:r>
          </w:p>
        </w:tc>
        <w:tc>
          <w:tcPr>
            <w:tcW w:w="2591" w:type="dxa"/>
            <w:noWrap w:val="0"/>
            <w:vAlign w:val="top"/>
          </w:tcPr>
          <w:p w14:paraId="3D496CC9">
            <w:pPr>
              <w:pStyle w:val="18"/>
              <w:spacing w:line="480" w:lineRule="auto"/>
              <w:jc w:val="center"/>
              <w:rPr>
                <w:rFonts w:hAnsi="宋体"/>
                <w:color w:val="auto"/>
                <w:kern w:val="2"/>
                <w:sz w:val="21"/>
                <w:szCs w:val="21"/>
                <w:lang w:val="en-US" w:eastAsia="zh-CN"/>
              </w:rPr>
            </w:pPr>
          </w:p>
        </w:tc>
        <w:tc>
          <w:tcPr>
            <w:tcW w:w="2701" w:type="dxa"/>
            <w:noWrap w:val="0"/>
            <w:vAlign w:val="center"/>
          </w:tcPr>
          <w:p w14:paraId="73CA1C3A">
            <w:pPr>
              <w:pStyle w:val="18"/>
              <w:spacing w:line="480" w:lineRule="auto"/>
              <w:jc w:val="center"/>
              <w:rPr>
                <w:rFonts w:hAnsi="宋体"/>
                <w:color w:val="auto"/>
                <w:kern w:val="2"/>
                <w:sz w:val="21"/>
                <w:szCs w:val="21"/>
                <w:lang w:val="en-US" w:eastAsia="zh-CN"/>
              </w:rPr>
            </w:pPr>
            <w:r>
              <w:rPr>
                <w:rFonts w:hint="eastAsia" w:hAnsi="宋体"/>
                <w:color w:val="auto"/>
                <w:kern w:val="2"/>
                <w:sz w:val="21"/>
                <w:szCs w:val="21"/>
                <w:lang w:val="en-US" w:eastAsia="zh-CN"/>
              </w:rPr>
              <w:t>邮政编码：</w:t>
            </w:r>
          </w:p>
        </w:tc>
        <w:tc>
          <w:tcPr>
            <w:tcW w:w="2036" w:type="dxa"/>
            <w:noWrap w:val="0"/>
            <w:vAlign w:val="top"/>
          </w:tcPr>
          <w:p w14:paraId="5B39F33C">
            <w:pPr>
              <w:pStyle w:val="18"/>
              <w:spacing w:line="480" w:lineRule="auto"/>
              <w:jc w:val="center"/>
              <w:rPr>
                <w:rFonts w:hAnsi="宋体"/>
                <w:color w:val="auto"/>
                <w:kern w:val="2"/>
                <w:sz w:val="21"/>
                <w:szCs w:val="21"/>
                <w:lang w:val="en-US" w:eastAsia="zh-CN"/>
              </w:rPr>
            </w:pPr>
          </w:p>
        </w:tc>
      </w:tr>
      <w:tr w14:paraId="5BB32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trPr>
        <w:tc>
          <w:tcPr>
            <w:tcW w:w="2916" w:type="dxa"/>
            <w:noWrap w:val="0"/>
            <w:vAlign w:val="center"/>
          </w:tcPr>
          <w:p w14:paraId="540FC882">
            <w:pPr>
              <w:pStyle w:val="18"/>
              <w:spacing w:line="480" w:lineRule="auto"/>
              <w:jc w:val="center"/>
              <w:rPr>
                <w:rFonts w:hAnsi="宋体"/>
                <w:color w:val="auto"/>
                <w:kern w:val="2"/>
                <w:sz w:val="21"/>
                <w:szCs w:val="21"/>
                <w:lang w:val="en-US" w:eastAsia="zh-CN"/>
              </w:rPr>
            </w:pPr>
            <w:r>
              <w:rPr>
                <w:rFonts w:hint="eastAsia" w:hAnsi="宋体"/>
                <w:color w:val="auto"/>
                <w:kern w:val="2"/>
                <w:sz w:val="21"/>
                <w:szCs w:val="21"/>
                <w:lang w:val="en-US" w:eastAsia="zh-CN"/>
              </w:rPr>
              <w:t xml:space="preserve">公司成立日期： </w:t>
            </w:r>
          </w:p>
        </w:tc>
        <w:tc>
          <w:tcPr>
            <w:tcW w:w="2591" w:type="dxa"/>
            <w:noWrap w:val="0"/>
            <w:vAlign w:val="top"/>
          </w:tcPr>
          <w:p w14:paraId="63D5B303">
            <w:pPr>
              <w:pStyle w:val="18"/>
              <w:spacing w:line="480" w:lineRule="auto"/>
              <w:jc w:val="center"/>
              <w:rPr>
                <w:rFonts w:hAnsi="宋体"/>
                <w:color w:val="auto"/>
                <w:kern w:val="2"/>
                <w:sz w:val="21"/>
                <w:szCs w:val="21"/>
                <w:lang w:val="en-US" w:eastAsia="zh-CN"/>
              </w:rPr>
            </w:pPr>
          </w:p>
        </w:tc>
        <w:tc>
          <w:tcPr>
            <w:tcW w:w="2701" w:type="dxa"/>
            <w:noWrap w:val="0"/>
            <w:vAlign w:val="center"/>
          </w:tcPr>
          <w:p w14:paraId="6528C591">
            <w:pPr>
              <w:pStyle w:val="18"/>
              <w:spacing w:line="480" w:lineRule="auto"/>
              <w:jc w:val="center"/>
              <w:rPr>
                <w:rFonts w:hAnsi="宋体"/>
                <w:color w:val="auto"/>
                <w:kern w:val="2"/>
                <w:sz w:val="21"/>
                <w:szCs w:val="21"/>
                <w:lang w:val="en-US" w:eastAsia="zh-CN"/>
              </w:rPr>
            </w:pPr>
            <w:r>
              <w:rPr>
                <w:rFonts w:hint="eastAsia" w:hAnsi="宋体"/>
                <w:color w:val="auto"/>
                <w:kern w:val="2"/>
                <w:sz w:val="21"/>
                <w:szCs w:val="21"/>
                <w:lang w:val="en-US" w:eastAsia="zh-CN"/>
              </w:rPr>
              <w:t>企业网站网址（如有）：</w:t>
            </w:r>
          </w:p>
        </w:tc>
        <w:tc>
          <w:tcPr>
            <w:tcW w:w="2036" w:type="dxa"/>
            <w:noWrap w:val="0"/>
            <w:vAlign w:val="top"/>
          </w:tcPr>
          <w:p w14:paraId="488D6D9F">
            <w:pPr>
              <w:pStyle w:val="18"/>
              <w:spacing w:line="480" w:lineRule="auto"/>
              <w:jc w:val="center"/>
              <w:rPr>
                <w:rFonts w:hAnsi="宋体"/>
                <w:color w:val="auto"/>
                <w:kern w:val="2"/>
                <w:sz w:val="21"/>
                <w:szCs w:val="21"/>
                <w:lang w:val="en-US" w:eastAsia="zh-CN"/>
              </w:rPr>
            </w:pPr>
          </w:p>
        </w:tc>
      </w:tr>
      <w:tr w14:paraId="65871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2916" w:type="dxa"/>
            <w:noWrap w:val="0"/>
            <w:vAlign w:val="center"/>
          </w:tcPr>
          <w:p w14:paraId="124E16AB">
            <w:pPr>
              <w:pStyle w:val="18"/>
              <w:spacing w:line="480" w:lineRule="auto"/>
              <w:jc w:val="center"/>
              <w:rPr>
                <w:rFonts w:hAnsi="宋体"/>
                <w:color w:val="auto"/>
                <w:kern w:val="2"/>
                <w:sz w:val="21"/>
                <w:szCs w:val="21"/>
                <w:lang w:val="en-US" w:eastAsia="zh-CN"/>
              </w:rPr>
            </w:pPr>
            <w:r>
              <w:rPr>
                <w:rFonts w:hint="eastAsia" w:hAnsi="宋体"/>
                <w:color w:val="auto"/>
                <w:kern w:val="2"/>
                <w:sz w:val="21"/>
                <w:szCs w:val="21"/>
                <w:lang w:val="en-US" w:eastAsia="zh-CN"/>
              </w:rPr>
              <w:t>企业电话：</w:t>
            </w:r>
          </w:p>
        </w:tc>
        <w:tc>
          <w:tcPr>
            <w:tcW w:w="2591" w:type="dxa"/>
            <w:noWrap w:val="0"/>
            <w:vAlign w:val="top"/>
          </w:tcPr>
          <w:p w14:paraId="73E8A305">
            <w:pPr>
              <w:pStyle w:val="18"/>
              <w:spacing w:line="480" w:lineRule="auto"/>
              <w:jc w:val="center"/>
              <w:rPr>
                <w:rFonts w:hAnsi="宋体"/>
                <w:color w:val="auto"/>
                <w:kern w:val="2"/>
                <w:sz w:val="21"/>
                <w:szCs w:val="21"/>
                <w:lang w:val="en-US" w:eastAsia="zh-CN"/>
              </w:rPr>
            </w:pPr>
          </w:p>
        </w:tc>
        <w:tc>
          <w:tcPr>
            <w:tcW w:w="2701" w:type="dxa"/>
            <w:noWrap w:val="0"/>
            <w:vAlign w:val="center"/>
          </w:tcPr>
          <w:p w14:paraId="536FCFE5">
            <w:pPr>
              <w:pStyle w:val="18"/>
              <w:spacing w:line="480" w:lineRule="auto"/>
              <w:jc w:val="center"/>
              <w:rPr>
                <w:rFonts w:hAnsi="宋体"/>
                <w:color w:val="auto"/>
                <w:kern w:val="2"/>
                <w:sz w:val="21"/>
                <w:szCs w:val="21"/>
                <w:lang w:val="en-US" w:eastAsia="zh-CN"/>
              </w:rPr>
            </w:pPr>
            <w:r>
              <w:rPr>
                <w:rFonts w:hint="eastAsia" w:hAnsi="宋体"/>
                <w:color w:val="auto"/>
                <w:kern w:val="2"/>
                <w:sz w:val="21"/>
                <w:szCs w:val="21"/>
                <w:lang w:val="en-US" w:eastAsia="zh-CN"/>
              </w:rPr>
              <w:t>通讯地址：</w:t>
            </w:r>
          </w:p>
        </w:tc>
        <w:tc>
          <w:tcPr>
            <w:tcW w:w="2036" w:type="dxa"/>
            <w:noWrap w:val="0"/>
            <w:vAlign w:val="top"/>
          </w:tcPr>
          <w:p w14:paraId="5837EDA3">
            <w:pPr>
              <w:pStyle w:val="18"/>
              <w:spacing w:line="480" w:lineRule="auto"/>
              <w:jc w:val="center"/>
              <w:rPr>
                <w:rFonts w:hAnsi="宋体"/>
                <w:color w:val="auto"/>
                <w:kern w:val="2"/>
                <w:sz w:val="21"/>
                <w:szCs w:val="21"/>
                <w:lang w:val="en-US" w:eastAsia="zh-CN"/>
              </w:rPr>
            </w:pPr>
          </w:p>
        </w:tc>
      </w:tr>
      <w:tr w14:paraId="58AB9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2916" w:type="dxa"/>
            <w:noWrap w:val="0"/>
            <w:vAlign w:val="center"/>
          </w:tcPr>
          <w:p w14:paraId="6D4741AD">
            <w:pPr>
              <w:pStyle w:val="18"/>
              <w:spacing w:line="480" w:lineRule="auto"/>
              <w:jc w:val="center"/>
              <w:rPr>
                <w:rFonts w:hAnsi="宋体"/>
                <w:color w:val="auto"/>
                <w:kern w:val="2"/>
                <w:sz w:val="21"/>
                <w:szCs w:val="21"/>
                <w:lang w:val="en-US" w:eastAsia="zh-CN"/>
              </w:rPr>
            </w:pPr>
            <w:r>
              <w:rPr>
                <w:rFonts w:hint="eastAsia" w:hAnsi="宋体"/>
                <w:color w:val="auto"/>
                <w:kern w:val="2"/>
                <w:sz w:val="21"/>
                <w:szCs w:val="21"/>
                <w:lang w:val="en-US" w:eastAsia="zh-CN"/>
              </w:rPr>
              <w:t>公司简介：</w:t>
            </w:r>
          </w:p>
        </w:tc>
        <w:tc>
          <w:tcPr>
            <w:tcW w:w="7328" w:type="dxa"/>
            <w:gridSpan w:val="3"/>
            <w:noWrap w:val="0"/>
            <w:vAlign w:val="top"/>
          </w:tcPr>
          <w:p w14:paraId="65B6B144">
            <w:pPr>
              <w:pStyle w:val="18"/>
              <w:spacing w:line="480" w:lineRule="auto"/>
              <w:jc w:val="center"/>
              <w:rPr>
                <w:rFonts w:hAnsi="宋体"/>
                <w:color w:val="auto"/>
                <w:kern w:val="2"/>
                <w:sz w:val="21"/>
                <w:szCs w:val="21"/>
                <w:lang w:val="en-US" w:eastAsia="zh-CN"/>
              </w:rPr>
            </w:pPr>
          </w:p>
        </w:tc>
      </w:tr>
      <w:tr w14:paraId="2A5DC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2916" w:type="dxa"/>
            <w:noWrap w:val="0"/>
            <w:vAlign w:val="center"/>
          </w:tcPr>
          <w:p w14:paraId="6F9C2550">
            <w:pPr>
              <w:pStyle w:val="18"/>
              <w:spacing w:line="480" w:lineRule="auto"/>
              <w:jc w:val="center"/>
              <w:rPr>
                <w:rFonts w:hAnsi="宋体"/>
                <w:color w:val="auto"/>
                <w:kern w:val="2"/>
                <w:sz w:val="21"/>
                <w:szCs w:val="21"/>
                <w:lang w:val="en-US" w:eastAsia="zh-CN"/>
              </w:rPr>
            </w:pPr>
            <w:r>
              <w:rPr>
                <w:rFonts w:hint="eastAsia" w:hAnsi="宋体"/>
                <w:color w:val="auto"/>
                <w:kern w:val="2"/>
                <w:sz w:val="21"/>
                <w:szCs w:val="21"/>
                <w:lang w:val="en-US" w:eastAsia="zh-CN"/>
              </w:rPr>
              <w:t>经营范围：</w:t>
            </w:r>
          </w:p>
        </w:tc>
        <w:tc>
          <w:tcPr>
            <w:tcW w:w="7328" w:type="dxa"/>
            <w:gridSpan w:val="3"/>
            <w:noWrap w:val="0"/>
            <w:vAlign w:val="top"/>
          </w:tcPr>
          <w:p w14:paraId="446AA040">
            <w:pPr>
              <w:pStyle w:val="18"/>
              <w:spacing w:line="480" w:lineRule="auto"/>
              <w:jc w:val="center"/>
              <w:rPr>
                <w:rFonts w:hAnsi="宋体"/>
                <w:color w:val="auto"/>
                <w:kern w:val="2"/>
                <w:sz w:val="21"/>
                <w:szCs w:val="21"/>
                <w:lang w:val="en-US" w:eastAsia="zh-CN"/>
              </w:rPr>
            </w:pPr>
          </w:p>
        </w:tc>
      </w:tr>
      <w:bookmarkEnd w:id="112"/>
    </w:tbl>
    <w:p w14:paraId="0A90F7B8">
      <w:pPr>
        <w:pStyle w:val="18"/>
        <w:spacing w:line="600" w:lineRule="exact"/>
        <w:jc w:val="right"/>
        <w:rPr>
          <w:rFonts w:hAnsi="宋体"/>
          <w:color w:val="auto"/>
          <w:sz w:val="21"/>
          <w:szCs w:val="21"/>
        </w:rPr>
      </w:pPr>
      <w:r>
        <w:rPr>
          <w:rFonts w:hint="eastAsia" w:hAnsi="宋体"/>
          <w:color w:val="auto"/>
          <w:sz w:val="21"/>
          <w:szCs w:val="21"/>
          <w:lang w:eastAsia="zh-CN"/>
        </w:rPr>
        <w:t>法定代表人</w:t>
      </w:r>
      <w:r>
        <w:rPr>
          <w:rFonts w:hint="eastAsia" w:hAnsi="宋体"/>
          <w:color w:val="auto"/>
          <w:sz w:val="21"/>
          <w:szCs w:val="21"/>
        </w:rPr>
        <w:t>：</w:t>
      </w:r>
      <w:r>
        <w:rPr>
          <w:rFonts w:hint="eastAsia" w:hAnsi="宋体"/>
          <w:color w:val="auto"/>
          <w:sz w:val="21"/>
          <w:szCs w:val="21"/>
          <w:u w:val="single"/>
        </w:rPr>
        <w:t xml:space="preserve">       （</w:t>
      </w:r>
      <w:r>
        <w:rPr>
          <w:rFonts w:hint="eastAsia" w:hAnsi="宋体"/>
          <w:color w:val="auto"/>
          <w:sz w:val="21"/>
          <w:szCs w:val="21"/>
          <w:u w:val="single"/>
          <w:lang w:val="en-US" w:eastAsia="zh-CN"/>
        </w:rPr>
        <w:t>电子</w:t>
      </w:r>
      <w:r>
        <w:rPr>
          <w:rFonts w:hint="eastAsia" w:hAnsi="宋体"/>
          <w:color w:val="auto"/>
          <w:sz w:val="21"/>
          <w:szCs w:val="21"/>
          <w:u w:val="single"/>
          <w:lang w:eastAsia="zh-CN"/>
        </w:rPr>
        <w:t>签章</w:t>
      </w:r>
      <w:r>
        <w:rPr>
          <w:rFonts w:hint="eastAsia" w:hAnsi="宋体"/>
          <w:color w:val="auto"/>
          <w:sz w:val="21"/>
          <w:szCs w:val="21"/>
          <w:u w:val="single"/>
        </w:rPr>
        <w:t xml:space="preserve">）         </w:t>
      </w:r>
    </w:p>
    <w:p w14:paraId="55905518">
      <w:pPr>
        <w:pStyle w:val="18"/>
        <w:spacing w:line="600" w:lineRule="exact"/>
        <w:jc w:val="right"/>
        <w:rPr>
          <w:rFonts w:hAnsi="宋体"/>
          <w:color w:val="auto"/>
          <w:sz w:val="21"/>
          <w:szCs w:val="21"/>
          <w:u w:val="single"/>
        </w:rPr>
      </w:pPr>
      <w:r>
        <w:rPr>
          <w:rFonts w:hint="eastAsia" w:hAnsi="宋体"/>
          <w:color w:val="auto"/>
          <w:sz w:val="21"/>
          <w:szCs w:val="21"/>
        </w:rPr>
        <w:t>投标人：</w:t>
      </w:r>
      <w:r>
        <w:rPr>
          <w:rFonts w:hint="eastAsia" w:hAnsi="宋体"/>
          <w:color w:val="auto"/>
          <w:sz w:val="21"/>
          <w:szCs w:val="21"/>
          <w:u w:val="single"/>
        </w:rPr>
        <w:t xml:space="preserve">          </w:t>
      </w:r>
      <w:r>
        <w:rPr>
          <w:rFonts w:hint="eastAsia" w:hAnsi="宋体"/>
          <w:color w:val="auto"/>
          <w:sz w:val="21"/>
          <w:szCs w:val="21"/>
          <w:u w:val="single"/>
          <w:lang w:val="en-US" w:eastAsia="zh-CN"/>
        </w:rPr>
        <w:t xml:space="preserve">          </w:t>
      </w:r>
      <w:r>
        <w:rPr>
          <w:rFonts w:hint="eastAsia" w:hAnsi="宋体"/>
          <w:color w:val="auto"/>
          <w:sz w:val="21"/>
          <w:szCs w:val="21"/>
          <w:u w:val="single"/>
        </w:rPr>
        <w:t>（</w:t>
      </w:r>
      <w:r>
        <w:rPr>
          <w:rFonts w:hAnsi="宋体"/>
          <w:color w:val="auto"/>
          <w:sz w:val="21"/>
          <w:szCs w:val="21"/>
          <w:u w:val="single"/>
        </w:rPr>
        <w:t>盖</w:t>
      </w:r>
      <w:r>
        <w:rPr>
          <w:rFonts w:hint="eastAsia" w:hAnsi="宋体"/>
          <w:color w:val="auto"/>
          <w:sz w:val="21"/>
          <w:szCs w:val="21"/>
          <w:u w:val="single"/>
        </w:rPr>
        <w:t>单位章</w:t>
      </w:r>
      <w:r>
        <w:rPr>
          <w:rFonts w:hint="eastAsia" w:hAnsi="宋体"/>
          <w:color w:val="auto"/>
          <w:sz w:val="21"/>
          <w:szCs w:val="21"/>
          <w:u w:val="single"/>
          <w:lang w:eastAsia="zh-CN"/>
        </w:rPr>
        <w:t>）</w:t>
      </w:r>
    </w:p>
    <w:p w14:paraId="20A1E0D5">
      <w:pPr>
        <w:pStyle w:val="18"/>
        <w:jc w:val="right"/>
        <w:rPr>
          <w:rFonts w:hAnsi="宋体"/>
          <w:color w:val="auto"/>
          <w:sz w:val="21"/>
          <w:szCs w:val="21"/>
        </w:rPr>
      </w:pPr>
    </w:p>
    <w:p w14:paraId="38E6967D">
      <w:pPr>
        <w:pStyle w:val="18"/>
        <w:jc w:val="center"/>
        <w:rPr>
          <w:rFonts w:hint="eastAsia" w:hAnsi="宋体" w:eastAsia="宋体"/>
          <w:color w:val="auto"/>
          <w:sz w:val="21"/>
          <w:szCs w:val="21"/>
          <w:lang w:val="en-US" w:eastAsia="zh-CN"/>
        </w:rPr>
      </w:pPr>
      <w:r>
        <w:rPr>
          <w:rFonts w:hint="eastAsia" w:hAnsi="宋体"/>
          <w:color w:val="auto"/>
          <w:sz w:val="21"/>
          <w:szCs w:val="21"/>
          <w:lang w:val="en-US" w:eastAsia="zh-CN"/>
        </w:rPr>
        <w:t xml:space="preserve">                  </w:t>
      </w:r>
      <w:r>
        <w:rPr>
          <w:rFonts w:hint="eastAsia" w:hAnsi="宋体"/>
          <w:color w:val="auto"/>
          <w:sz w:val="21"/>
          <w:szCs w:val="21"/>
        </w:rPr>
        <w:t>日期：</w:t>
      </w:r>
    </w:p>
    <w:p w14:paraId="2192213D">
      <w:pPr>
        <w:rPr>
          <w:rFonts w:hint="eastAsia" w:ascii="宋体" w:hAnsi="宋体"/>
          <w:color w:val="auto"/>
          <w:szCs w:val="21"/>
          <w:u w:val="single"/>
        </w:rPr>
      </w:pPr>
    </w:p>
    <w:p w14:paraId="3852C049">
      <w:pPr>
        <w:rPr>
          <w:rFonts w:hint="eastAsia" w:ascii="宋体" w:hAnsi="宋体"/>
          <w:color w:val="auto"/>
          <w:szCs w:val="21"/>
          <w:u w:val="single"/>
        </w:rPr>
      </w:pPr>
    </w:p>
    <w:p w14:paraId="423F16AF">
      <w:pPr>
        <w:rPr>
          <w:rFonts w:hint="eastAsia" w:ascii="宋体" w:hAnsi="宋体"/>
          <w:color w:val="auto"/>
          <w:szCs w:val="21"/>
          <w:u w:val="single"/>
        </w:rPr>
      </w:pPr>
    </w:p>
    <w:p w14:paraId="4607284A">
      <w:pPr>
        <w:rPr>
          <w:rFonts w:hint="eastAsia" w:ascii="宋体" w:hAnsi="宋体"/>
          <w:color w:val="auto"/>
          <w:szCs w:val="21"/>
          <w:u w:val="single"/>
        </w:rPr>
      </w:pPr>
    </w:p>
    <w:p w14:paraId="37DDFBA4">
      <w:pPr>
        <w:pStyle w:val="2"/>
        <w:numPr>
          <w:ilvl w:val="0"/>
          <w:numId w:val="0"/>
        </w:numPr>
        <w:spacing w:line="240" w:lineRule="auto"/>
        <w:jc w:val="center"/>
        <w:rPr>
          <w:rFonts w:ascii="宋体" w:hAnsi="宋体" w:eastAsia="宋体"/>
          <w:b w:val="0"/>
          <w:color w:val="auto"/>
          <w:sz w:val="36"/>
        </w:rPr>
        <w:sectPr>
          <w:type w:val="continuous"/>
          <w:pgSz w:w="11907" w:h="16840"/>
          <w:pgMar w:top="1440" w:right="1752" w:bottom="1440" w:left="1752" w:header="851" w:footer="992" w:gutter="0"/>
          <w:cols w:space="720" w:num="1"/>
          <w:titlePg/>
          <w:docGrid w:type="linesAndChars" w:linePitch="323" w:charSpace="-2"/>
        </w:sectPr>
      </w:pPr>
    </w:p>
    <w:p w14:paraId="7F8874FF">
      <w:pPr>
        <w:pStyle w:val="2"/>
        <w:numPr>
          <w:ilvl w:val="0"/>
          <w:numId w:val="0"/>
        </w:numPr>
        <w:spacing w:line="240" w:lineRule="auto"/>
        <w:jc w:val="center"/>
        <w:rPr>
          <w:rFonts w:hint="default" w:ascii="宋体" w:hAnsi="宋体"/>
          <w:bCs/>
          <w:color w:val="auto"/>
          <w:szCs w:val="21"/>
          <w:lang w:val="en-US"/>
        </w:rPr>
      </w:pPr>
      <w:bookmarkStart w:id="113" w:name="_Toc12584"/>
      <w:r>
        <w:rPr>
          <w:rFonts w:ascii="宋体" w:hAnsi="宋体" w:eastAsia="宋体"/>
          <w:b w:val="0"/>
          <w:color w:val="auto"/>
          <w:sz w:val="36"/>
        </w:rPr>
        <w:t xml:space="preserve">第五章  </w:t>
      </w:r>
      <w:bookmarkEnd w:id="113"/>
      <w:r>
        <w:rPr>
          <w:rFonts w:hint="eastAsia" w:ascii="宋体" w:hAnsi="宋体" w:eastAsia="宋体"/>
          <w:b w:val="0"/>
          <w:color w:val="auto"/>
          <w:sz w:val="36"/>
          <w:lang w:val="en-US" w:eastAsia="zh-CN"/>
        </w:rPr>
        <w:t>采购需求</w:t>
      </w:r>
    </w:p>
    <w:p w14:paraId="26D9457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eastAsia="宋体"/>
          <w:sz w:val="24"/>
          <w:szCs w:val="24"/>
          <w:lang w:eastAsia="zh-CN"/>
        </w:rPr>
      </w:pPr>
      <w:bookmarkStart w:id="114" w:name="_Toc213141118"/>
      <w:r>
        <w:rPr>
          <w:rFonts w:hint="eastAsia" w:ascii="宋体" w:hAnsi="宋体" w:eastAsia="宋体"/>
          <w:sz w:val="24"/>
          <w:szCs w:val="24"/>
          <w:lang w:eastAsia="zh-CN"/>
        </w:rPr>
        <w:t>本实训室以民宿行业岗位需求为导向，以数字化技术为支撑，以怒江民族文化为特色，建设集数字化运营、前厅接待、物联网智能模拟、主题客房实景服务、客房标准化作业于一体的现代化民宿数字化实训室，形成“前店后厂、上下联动、虚实结合、岗课赛证融通”的实训教学环境，打造区域内领先、特色鲜明的民宿专业实训基地。旨在培养具备数字化运营能力、实景服务技能与民族文化素养的复合型民宿人才，进一步有效衔接怒江民宿产业高质量发展与行业高端人才需求。</w:t>
      </w:r>
    </w:p>
    <w:p w14:paraId="03D25680">
      <w:pPr>
        <w:pStyle w:val="168"/>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4"/>
          <w:szCs w:val="24"/>
        </w:rPr>
      </w:pPr>
      <w:r>
        <w:rPr>
          <w:rFonts w:hint="eastAsia" w:ascii="宋体" w:hAnsi="宋体" w:eastAsia="宋体"/>
          <w:sz w:val="24"/>
          <w:szCs w:val="24"/>
        </w:rPr>
        <w:t>（一）具体目标</w:t>
      </w:r>
    </w:p>
    <w:p w14:paraId="5DA7A201">
      <w:pPr>
        <w:pStyle w:val="170"/>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sz w:val="24"/>
        </w:rPr>
      </w:pPr>
      <w:r>
        <w:rPr>
          <w:rFonts w:hint="eastAsia" w:ascii="宋体" w:hAnsi="宋体"/>
          <w:sz w:val="24"/>
        </w:rPr>
        <w:t>1.硬件环境</w:t>
      </w:r>
    </w:p>
    <w:p w14:paraId="77E6CAF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eastAsia="宋体"/>
          <w:sz w:val="24"/>
          <w:szCs w:val="24"/>
          <w:lang w:eastAsia="zh-CN"/>
        </w:rPr>
      </w:pPr>
      <w:r>
        <w:rPr>
          <w:rFonts w:hint="eastAsia" w:ascii="宋体" w:hAnsi="宋体" w:eastAsia="宋体"/>
          <w:sz w:val="24"/>
          <w:szCs w:val="24"/>
          <w:lang w:eastAsia="zh-CN"/>
        </w:rPr>
        <w:t>建成两间功能互补、场景完整的“民宿数字化运营中枢”与“民宿实景体验与实操中心”实训空间，实现满足每班不少于35人同时开展实训教学，配置多人触控民宿数智经营管理电子沙盘、民宿PMS运营管理系统、主题实景客房、人脸识别入住设备等全套实训装备，实现民宿全流程场景1:1还原。</w:t>
      </w:r>
    </w:p>
    <w:p w14:paraId="5CBB6DDE">
      <w:pPr>
        <w:pStyle w:val="170"/>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sz w:val="24"/>
        </w:rPr>
      </w:pPr>
      <w:r>
        <w:rPr>
          <w:rFonts w:hint="eastAsia" w:ascii="宋体" w:hAnsi="宋体"/>
          <w:sz w:val="24"/>
        </w:rPr>
        <w:t>2.教学实训</w:t>
      </w:r>
    </w:p>
    <w:p w14:paraId="6C4738C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eastAsia="宋体"/>
          <w:sz w:val="24"/>
          <w:szCs w:val="24"/>
          <w:lang w:eastAsia="zh-CN"/>
        </w:rPr>
      </w:pPr>
      <w:r>
        <w:rPr>
          <w:rFonts w:hint="eastAsia" w:ascii="宋体" w:hAnsi="宋体" w:eastAsia="宋体"/>
          <w:sz w:val="24"/>
          <w:szCs w:val="24"/>
          <w:lang w:eastAsia="zh-CN"/>
        </w:rPr>
        <w:t>构建覆盖民宿前厅接待、数字化运营、物联网智能控制、客房标准化服务、民族文创设计的完整实训课程体系。实现理实一体化、项目化、任务驱动式教学，紧扣民宿行业岗位标准，通过PBL项目式教学与岗课赛证融通考评模式，系统训练学生数字化工具应用、前厅服务礼仪、客房实操技能与智能设备运维能力，全面提升学生岗位适配能力、综合职业素养和就业竞争力。</w:t>
      </w:r>
    </w:p>
    <w:p w14:paraId="21D7A9BF">
      <w:pPr>
        <w:pStyle w:val="170"/>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sz w:val="24"/>
        </w:rPr>
      </w:pPr>
      <w:r>
        <w:rPr>
          <w:rFonts w:hint="eastAsia" w:ascii="宋体" w:hAnsi="宋体"/>
          <w:sz w:val="24"/>
        </w:rPr>
        <w:t>3.特色融合</w:t>
      </w:r>
    </w:p>
    <w:p w14:paraId="1F950F2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eastAsia="宋体"/>
          <w:sz w:val="24"/>
          <w:szCs w:val="24"/>
          <w:lang w:eastAsia="zh-CN"/>
        </w:rPr>
      </w:pPr>
      <w:r>
        <w:rPr>
          <w:rFonts w:hint="eastAsia" w:ascii="宋体" w:hAnsi="宋体" w:eastAsia="宋体"/>
          <w:sz w:val="24"/>
          <w:szCs w:val="24"/>
          <w:lang w:eastAsia="zh-CN"/>
        </w:rPr>
        <w:t>深度融入</w:t>
      </w:r>
      <w:r>
        <w:rPr>
          <w:rFonts w:hint="eastAsia" w:ascii="宋体" w:hAnsi="宋体"/>
          <w:sz w:val="24"/>
          <w:szCs w:val="24"/>
          <w:lang w:val="en-US" w:eastAsia="zh-CN"/>
        </w:rPr>
        <w:t>当地</w:t>
      </w:r>
      <w:r>
        <w:rPr>
          <w:rFonts w:hint="eastAsia" w:ascii="宋体" w:hAnsi="宋体" w:eastAsia="宋体"/>
          <w:sz w:val="24"/>
          <w:szCs w:val="24"/>
          <w:lang w:eastAsia="zh-CN"/>
        </w:rPr>
        <w:t>民族文化元素，打造具有地域辨识度的主题客房与实训场景，强化学生民族文化表达、民宿文创设计、在地化服务能力，形成民宿服务、民族文化、数字化技术的人才培养特色。</w:t>
      </w:r>
    </w:p>
    <w:p w14:paraId="539C2083">
      <w:pPr>
        <w:pStyle w:val="170"/>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sz w:val="24"/>
        </w:rPr>
      </w:pPr>
      <w:r>
        <w:rPr>
          <w:rFonts w:hint="eastAsia" w:ascii="宋体" w:hAnsi="宋体"/>
          <w:sz w:val="24"/>
        </w:rPr>
        <w:t>4.社会服务</w:t>
      </w:r>
    </w:p>
    <w:p w14:paraId="1AA0B81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eastAsia="宋体"/>
          <w:sz w:val="24"/>
          <w:szCs w:val="24"/>
          <w:lang w:eastAsia="zh-CN"/>
        </w:rPr>
      </w:pPr>
      <w:r>
        <w:rPr>
          <w:rFonts w:hint="eastAsia" w:ascii="宋体" w:hAnsi="宋体" w:eastAsia="宋体"/>
          <w:sz w:val="24"/>
          <w:szCs w:val="24"/>
          <w:lang w:eastAsia="zh-CN"/>
        </w:rPr>
        <w:t>面向怒江州民宿企业、乡村旅游合作社、自主创业人员开展数字化运营、客房服务、民族民宿设计等社会培训，打造集人才培养、技能培训、行业服务、竞赛承办于一体的综合服务平台。</w:t>
      </w:r>
    </w:p>
    <w:p w14:paraId="6D2629B8">
      <w:pPr>
        <w:pStyle w:val="170"/>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ascii="宋体" w:hAnsi="宋体"/>
          <w:sz w:val="24"/>
        </w:rPr>
      </w:pPr>
      <w:r>
        <w:rPr>
          <w:rFonts w:hint="eastAsia" w:ascii="宋体" w:hAnsi="宋体"/>
          <w:sz w:val="24"/>
        </w:rPr>
        <w:t>5.技能培训证书</w:t>
      </w:r>
    </w:p>
    <w:p w14:paraId="459261A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olor w:val="auto"/>
          <w:sz w:val="24"/>
          <w:szCs w:val="24"/>
          <w:lang w:val="en-US" w:eastAsia="zh-CN"/>
        </w:rPr>
      </w:pPr>
      <w:r>
        <w:rPr>
          <w:rFonts w:hint="eastAsia" w:ascii="宋体" w:hAnsi="宋体" w:eastAsia="宋体"/>
          <w:sz w:val="24"/>
          <w:szCs w:val="24"/>
          <w:lang w:eastAsia="zh-CN"/>
        </w:rPr>
        <w:t>获得民宿管家高级技工不少于5人。</w:t>
      </w:r>
    </w:p>
    <w:p w14:paraId="66214FAC">
      <w:pPr>
        <w:keepNext w:val="0"/>
        <w:keepLines w:val="0"/>
        <w:pageBreakBefore w:val="0"/>
        <w:widowControl w:val="0"/>
        <w:kinsoku/>
        <w:wordWrap/>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sz w:val="32"/>
          <w:szCs w:val="32"/>
          <w:lang w:val="en-US" w:eastAsia="zh-CN"/>
        </w:rPr>
      </w:pPr>
    </w:p>
    <w:p w14:paraId="6895FBE0">
      <w:pPr>
        <w:pStyle w:val="34"/>
        <w:shd w:val="clear" w:color="auto" w:fill="FFFFFF"/>
        <w:spacing w:before="0" w:beforeAutospacing="0" w:after="0" w:afterAutospacing="0" w:line="400" w:lineRule="exact"/>
        <w:jc w:val="both"/>
        <w:outlineLvl w:val="1"/>
        <w:rPr>
          <w:rStyle w:val="39"/>
          <w:rFonts w:hint="eastAsia"/>
          <w:color w:val="auto"/>
          <w:sz w:val="20"/>
          <w:szCs w:val="20"/>
        </w:rPr>
      </w:pPr>
    </w:p>
    <w:p w14:paraId="001C090C">
      <w:pPr>
        <w:pStyle w:val="34"/>
        <w:shd w:val="clear" w:color="auto" w:fill="FFFFFF"/>
        <w:spacing w:before="0" w:beforeAutospacing="0" w:after="0" w:afterAutospacing="0" w:line="400" w:lineRule="exact"/>
        <w:jc w:val="both"/>
        <w:outlineLvl w:val="1"/>
        <w:rPr>
          <w:rStyle w:val="39"/>
          <w:rFonts w:hint="eastAsia"/>
          <w:color w:val="auto"/>
          <w:sz w:val="20"/>
          <w:szCs w:val="20"/>
        </w:rPr>
      </w:pPr>
    </w:p>
    <w:p w14:paraId="1A20D928">
      <w:pPr>
        <w:pStyle w:val="34"/>
        <w:shd w:val="clear" w:color="auto" w:fill="FFFFFF"/>
        <w:spacing w:before="0" w:beforeAutospacing="0" w:after="0" w:afterAutospacing="0" w:line="400" w:lineRule="exact"/>
        <w:jc w:val="both"/>
        <w:outlineLvl w:val="1"/>
        <w:rPr>
          <w:rStyle w:val="39"/>
          <w:rFonts w:hint="eastAsia"/>
          <w:color w:val="auto"/>
          <w:sz w:val="20"/>
          <w:szCs w:val="20"/>
        </w:rPr>
      </w:pPr>
    </w:p>
    <w:p w14:paraId="5EECF6E9">
      <w:pPr>
        <w:pStyle w:val="3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40" w:lineRule="exact"/>
        <w:jc w:val="both"/>
        <w:textAlignment w:val="auto"/>
        <w:outlineLvl w:val="1"/>
        <w:rPr>
          <w:rStyle w:val="39"/>
          <w:rFonts w:hint="eastAsia"/>
          <w:color w:val="auto"/>
          <w:sz w:val="20"/>
          <w:szCs w:val="20"/>
        </w:rPr>
      </w:pPr>
      <w:r>
        <w:rPr>
          <w:rFonts w:hint="eastAsia" w:ascii="宋体" w:hAnsi="宋体" w:eastAsia="宋体"/>
          <w:sz w:val="44"/>
          <w:szCs w:val="44"/>
        </w:rPr>
        <w:t>附件一：</w:t>
      </w:r>
    </w:p>
    <w:tbl>
      <w:tblPr>
        <w:tblStyle w:val="36"/>
        <w:tblW w:w="8600" w:type="dxa"/>
        <w:tblInd w:w="0" w:type="dxa"/>
        <w:tblLayout w:type="fixed"/>
        <w:tblCellMar>
          <w:top w:w="0" w:type="dxa"/>
          <w:left w:w="108" w:type="dxa"/>
          <w:bottom w:w="0" w:type="dxa"/>
          <w:right w:w="108" w:type="dxa"/>
        </w:tblCellMar>
      </w:tblPr>
      <w:tblGrid>
        <w:gridCol w:w="409"/>
        <w:gridCol w:w="878"/>
        <w:gridCol w:w="4717"/>
        <w:gridCol w:w="404"/>
        <w:gridCol w:w="504"/>
        <w:gridCol w:w="823"/>
        <w:gridCol w:w="865"/>
      </w:tblGrid>
      <w:tr w14:paraId="2F3C548C">
        <w:tblPrEx>
          <w:tblCellMar>
            <w:top w:w="0" w:type="dxa"/>
            <w:left w:w="108" w:type="dxa"/>
            <w:bottom w:w="0" w:type="dxa"/>
            <w:right w:w="108" w:type="dxa"/>
          </w:tblCellMar>
        </w:tblPrEx>
        <w:trPr>
          <w:trHeight w:val="747" w:hRule="atLeast"/>
        </w:trPr>
        <w:tc>
          <w:tcPr>
            <w:tcW w:w="8600" w:type="dxa"/>
            <w:gridSpan w:val="7"/>
            <w:tcBorders>
              <w:top w:val="nil"/>
              <w:left w:val="nil"/>
              <w:bottom w:val="single" w:color="auto" w:sz="4" w:space="0"/>
              <w:right w:val="nil"/>
            </w:tcBorders>
            <w:noWrap/>
            <w:vAlign w:val="center"/>
          </w:tcPr>
          <w:p w14:paraId="15E938FF">
            <w:pPr>
              <w:widowControl/>
              <w:jc w:val="center"/>
              <w:rPr>
                <w:rFonts w:ascii="宋体" w:hAnsi="宋体" w:cs="宋体"/>
                <w:b/>
                <w:bCs/>
                <w:color w:val="000000"/>
                <w:kern w:val="0"/>
                <w:sz w:val="22"/>
                <w:szCs w:val="22"/>
              </w:rPr>
            </w:pPr>
            <w:r>
              <w:rPr>
                <w:rFonts w:hint="eastAsia" w:ascii="宋体" w:hAnsi="宋体" w:cs="宋体"/>
                <w:b/>
                <w:bCs/>
                <w:color w:val="000000"/>
                <w:kern w:val="0"/>
                <w:sz w:val="28"/>
                <w:szCs w:val="28"/>
              </w:rPr>
              <w:t>数字化民宿实训室清单</w:t>
            </w:r>
          </w:p>
        </w:tc>
      </w:tr>
      <w:tr w14:paraId="6312A314">
        <w:tblPrEx>
          <w:tblCellMar>
            <w:top w:w="0" w:type="dxa"/>
            <w:left w:w="108" w:type="dxa"/>
            <w:bottom w:w="0" w:type="dxa"/>
            <w:right w:w="108" w:type="dxa"/>
          </w:tblCellMar>
        </w:tblPrEx>
        <w:trPr>
          <w:trHeight w:val="955" w:hRule="atLeast"/>
        </w:trPr>
        <w:tc>
          <w:tcPr>
            <w:tcW w:w="409" w:type="dxa"/>
            <w:tcBorders>
              <w:top w:val="nil"/>
              <w:left w:val="single" w:color="auto" w:sz="4" w:space="0"/>
              <w:bottom w:val="single" w:color="auto" w:sz="4" w:space="0"/>
              <w:right w:val="single" w:color="auto" w:sz="4" w:space="0"/>
            </w:tcBorders>
            <w:shd w:val="clear" w:color="000000" w:fill="FFFFFF"/>
            <w:vAlign w:val="center"/>
          </w:tcPr>
          <w:p w14:paraId="38844465">
            <w:pPr>
              <w:widowControl/>
              <w:jc w:val="center"/>
              <w:rPr>
                <w:rFonts w:ascii="宋体" w:hAnsi="宋体" w:cs="宋体"/>
                <w:b/>
                <w:bCs/>
                <w:kern w:val="0"/>
                <w:sz w:val="20"/>
                <w:szCs w:val="20"/>
              </w:rPr>
            </w:pPr>
            <w:r>
              <w:rPr>
                <w:rFonts w:hint="eastAsia" w:ascii="宋体" w:hAnsi="宋体" w:cs="宋体"/>
                <w:b/>
                <w:bCs/>
                <w:kern w:val="0"/>
                <w:sz w:val="20"/>
                <w:szCs w:val="20"/>
              </w:rPr>
              <w:t>序号</w:t>
            </w:r>
          </w:p>
        </w:tc>
        <w:tc>
          <w:tcPr>
            <w:tcW w:w="878" w:type="dxa"/>
            <w:tcBorders>
              <w:top w:val="nil"/>
              <w:left w:val="nil"/>
              <w:bottom w:val="single" w:color="auto" w:sz="4" w:space="0"/>
              <w:right w:val="single" w:color="auto" w:sz="4" w:space="0"/>
            </w:tcBorders>
            <w:shd w:val="clear" w:color="000000" w:fill="FFFFFF"/>
            <w:vAlign w:val="center"/>
          </w:tcPr>
          <w:p w14:paraId="45409FBF">
            <w:pPr>
              <w:widowControl/>
              <w:jc w:val="center"/>
              <w:rPr>
                <w:rFonts w:ascii="宋体" w:hAnsi="宋体" w:cs="宋体"/>
                <w:b/>
                <w:bCs/>
                <w:kern w:val="0"/>
                <w:sz w:val="20"/>
                <w:szCs w:val="20"/>
              </w:rPr>
            </w:pPr>
            <w:r>
              <w:rPr>
                <w:rFonts w:hint="eastAsia" w:ascii="宋体" w:hAnsi="宋体" w:cs="宋体"/>
                <w:b/>
                <w:bCs/>
                <w:kern w:val="0"/>
                <w:sz w:val="20"/>
                <w:szCs w:val="20"/>
              </w:rPr>
              <w:t>名称</w:t>
            </w:r>
          </w:p>
        </w:tc>
        <w:tc>
          <w:tcPr>
            <w:tcW w:w="4717" w:type="dxa"/>
            <w:tcBorders>
              <w:top w:val="nil"/>
              <w:left w:val="nil"/>
              <w:bottom w:val="single" w:color="auto" w:sz="4" w:space="0"/>
              <w:right w:val="single" w:color="auto" w:sz="4" w:space="0"/>
            </w:tcBorders>
            <w:shd w:val="clear" w:color="000000" w:fill="FFFFFF"/>
            <w:vAlign w:val="center"/>
          </w:tcPr>
          <w:p w14:paraId="5B3D400C">
            <w:pPr>
              <w:widowControl/>
              <w:jc w:val="center"/>
              <w:rPr>
                <w:rFonts w:ascii="宋体" w:hAnsi="宋体" w:cs="宋体"/>
                <w:b/>
                <w:bCs/>
                <w:kern w:val="0"/>
                <w:sz w:val="20"/>
                <w:szCs w:val="20"/>
              </w:rPr>
            </w:pPr>
            <w:r>
              <w:rPr>
                <w:rFonts w:hint="eastAsia" w:ascii="宋体" w:hAnsi="宋体" w:cs="宋体"/>
                <w:b/>
                <w:bCs/>
                <w:kern w:val="0"/>
                <w:sz w:val="20"/>
                <w:szCs w:val="20"/>
              </w:rPr>
              <w:t>技术参数</w:t>
            </w:r>
          </w:p>
        </w:tc>
        <w:tc>
          <w:tcPr>
            <w:tcW w:w="404" w:type="dxa"/>
            <w:tcBorders>
              <w:top w:val="nil"/>
              <w:left w:val="nil"/>
              <w:bottom w:val="single" w:color="auto" w:sz="4" w:space="0"/>
              <w:right w:val="single" w:color="auto" w:sz="4" w:space="0"/>
            </w:tcBorders>
            <w:shd w:val="clear" w:color="000000" w:fill="FFFFFF"/>
            <w:vAlign w:val="center"/>
          </w:tcPr>
          <w:p w14:paraId="57CEE825">
            <w:pPr>
              <w:widowControl/>
              <w:jc w:val="center"/>
              <w:rPr>
                <w:rFonts w:ascii="宋体" w:hAnsi="宋体" w:cs="宋体"/>
                <w:b/>
                <w:bCs/>
                <w:kern w:val="0"/>
                <w:sz w:val="20"/>
                <w:szCs w:val="20"/>
              </w:rPr>
            </w:pPr>
            <w:r>
              <w:rPr>
                <w:rFonts w:hint="eastAsia" w:ascii="宋体" w:hAnsi="宋体" w:cs="宋体"/>
                <w:b/>
                <w:bCs/>
                <w:kern w:val="0"/>
                <w:sz w:val="20"/>
                <w:szCs w:val="20"/>
              </w:rPr>
              <w:t>数量</w:t>
            </w:r>
          </w:p>
        </w:tc>
        <w:tc>
          <w:tcPr>
            <w:tcW w:w="504" w:type="dxa"/>
            <w:tcBorders>
              <w:top w:val="nil"/>
              <w:left w:val="nil"/>
              <w:bottom w:val="single" w:color="auto" w:sz="4" w:space="0"/>
              <w:right w:val="single" w:color="auto" w:sz="4" w:space="0"/>
            </w:tcBorders>
            <w:shd w:val="clear" w:color="000000" w:fill="FFFFFF"/>
            <w:vAlign w:val="center"/>
          </w:tcPr>
          <w:p w14:paraId="37ACC0D6">
            <w:pPr>
              <w:widowControl/>
              <w:jc w:val="center"/>
              <w:rPr>
                <w:rFonts w:ascii="宋体" w:hAnsi="宋体" w:cs="宋体"/>
                <w:b/>
                <w:bCs/>
                <w:kern w:val="0"/>
                <w:sz w:val="20"/>
                <w:szCs w:val="20"/>
              </w:rPr>
            </w:pPr>
            <w:r>
              <w:rPr>
                <w:rFonts w:hint="eastAsia" w:ascii="宋体" w:hAnsi="宋体" w:cs="宋体"/>
                <w:b/>
                <w:bCs/>
                <w:kern w:val="0"/>
                <w:sz w:val="20"/>
                <w:szCs w:val="20"/>
              </w:rPr>
              <w:t>单位</w:t>
            </w:r>
          </w:p>
        </w:tc>
        <w:tc>
          <w:tcPr>
            <w:tcW w:w="823" w:type="dxa"/>
            <w:tcBorders>
              <w:top w:val="nil"/>
              <w:left w:val="nil"/>
              <w:bottom w:val="single" w:color="auto" w:sz="4" w:space="0"/>
              <w:right w:val="single" w:color="auto" w:sz="4" w:space="0"/>
            </w:tcBorders>
            <w:shd w:val="clear" w:color="000000" w:fill="FFFFFF"/>
            <w:vAlign w:val="center"/>
          </w:tcPr>
          <w:p w14:paraId="796EB312">
            <w:pPr>
              <w:widowControl/>
              <w:jc w:val="center"/>
              <w:rPr>
                <w:rFonts w:ascii="宋体" w:hAnsi="宋体" w:cs="宋体"/>
                <w:b/>
                <w:bCs/>
                <w:kern w:val="0"/>
                <w:sz w:val="20"/>
                <w:szCs w:val="20"/>
              </w:rPr>
            </w:pPr>
            <w:r>
              <w:rPr>
                <w:rFonts w:hint="eastAsia" w:ascii="宋体" w:hAnsi="宋体" w:cs="宋体"/>
                <w:b/>
                <w:bCs/>
                <w:kern w:val="0"/>
                <w:sz w:val="20"/>
                <w:szCs w:val="20"/>
              </w:rPr>
              <w:t>单价</w:t>
            </w:r>
          </w:p>
        </w:tc>
        <w:tc>
          <w:tcPr>
            <w:tcW w:w="865" w:type="dxa"/>
            <w:tcBorders>
              <w:top w:val="nil"/>
              <w:left w:val="nil"/>
              <w:bottom w:val="single" w:color="auto" w:sz="4" w:space="0"/>
              <w:right w:val="single" w:color="auto" w:sz="4" w:space="0"/>
            </w:tcBorders>
            <w:shd w:val="clear" w:color="000000" w:fill="FFFFFF"/>
            <w:vAlign w:val="center"/>
          </w:tcPr>
          <w:p w14:paraId="26D8B7DF">
            <w:pPr>
              <w:widowControl/>
              <w:jc w:val="center"/>
              <w:rPr>
                <w:rFonts w:ascii="宋体" w:hAnsi="宋体" w:cs="宋体"/>
                <w:b/>
                <w:bCs/>
                <w:kern w:val="0"/>
                <w:sz w:val="20"/>
                <w:szCs w:val="20"/>
              </w:rPr>
            </w:pPr>
            <w:r>
              <w:rPr>
                <w:rFonts w:hint="eastAsia" w:ascii="宋体" w:hAnsi="宋体" w:cs="宋体"/>
                <w:b/>
                <w:bCs/>
                <w:kern w:val="0"/>
                <w:sz w:val="20"/>
                <w:szCs w:val="20"/>
              </w:rPr>
              <w:t>金额</w:t>
            </w:r>
          </w:p>
        </w:tc>
      </w:tr>
      <w:tr w14:paraId="78B38967">
        <w:tblPrEx>
          <w:tblCellMar>
            <w:top w:w="0" w:type="dxa"/>
            <w:left w:w="108" w:type="dxa"/>
            <w:bottom w:w="0" w:type="dxa"/>
            <w:right w:w="108" w:type="dxa"/>
          </w:tblCellMar>
        </w:tblPrEx>
        <w:tc>
          <w:tcPr>
            <w:tcW w:w="409" w:type="dxa"/>
            <w:tcBorders>
              <w:top w:val="nil"/>
              <w:left w:val="single" w:color="auto" w:sz="4" w:space="0"/>
              <w:bottom w:val="single" w:color="auto" w:sz="4" w:space="0"/>
              <w:right w:val="single" w:color="auto" w:sz="4" w:space="0"/>
            </w:tcBorders>
            <w:shd w:val="clear" w:color="000000" w:fill="FFFFFF"/>
            <w:noWrap/>
            <w:vAlign w:val="center"/>
          </w:tcPr>
          <w:p w14:paraId="5D071187">
            <w:pPr>
              <w:widowControl/>
              <w:jc w:val="center"/>
              <w:rPr>
                <w:rFonts w:ascii="宋体" w:hAnsi="宋体" w:cs="宋体"/>
                <w:kern w:val="0"/>
                <w:sz w:val="18"/>
                <w:szCs w:val="18"/>
              </w:rPr>
            </w:pPr>
            <w:r>
              <w:rPr>
                <w:rFonts w:hint="eastAsia" w:ascii="宋体" w:hAnsi="宋体" w:cs="宋体"/>
                <w:kern w:val="0"/>
                <w:sz w:val="18"/>
                <w:szCs w:val="18"/>
              </w:rPr>
              <w:t>1</w:t>
            </w:r>
          </w:p>
        </w:tc>
        <w:tc>
          <w:tcPr>
            <w:tcW w:w="878" w:type="dxa"/>
            <w:tcBorders>
              <w:top w:val="nil"/>
              <w:left w:val="nil"/>
              <w:bottom w:val="single" w:color="auto" w:sz="4" w:space="0"/>
              <w:right w:val="single" w:color="auto" w:sz="4" w:space="0"/>
            </w:tcBorders>
            <w:shd w:val="clear" w:color="000000" w:fill="FFFFFF"/>
            <w:vAlign w:val="center"/>
          </w:tcPr>
          <w:p w14:paraId="73384B05">
            <w:pPr>
              <w:widowControl/>
              <w:jc w:val="center"/>
              <w:rPr>
                <w:rFonts w:ascii="宋体" w:hAnsi="宋体" w:cs="宋体"/>
                <w:kern w:val="0"/>
                <w:sz w:val="18"/>
                <w:szCs w:val="18"/>
              </w:rPr>
            </w:pPr>
            <w:r>
              <w:rPr>
                <w:rFonts w:hint="eastAsia" w:ascii="宋体" w:hAnsi="宋体" w:cs="宋体"/>
                <w:kern w:val="0"/>
                <w:sz w:val="18"/>
                <w:szCs w:val="18"/>
              </w:rPr>
              <w:t>酒店信息管理系统（含AI模拟训练）</w:t>
            </w:r>
          </w:p>
        </w:tc>
        <w:tc>
          <w:tcPr>
            <w:tcW w:w="4717" w:type="dxa"/>
            <w:tcBorders>
              <w:top w:val="nil"/>
              <w:left w:val="nil"/>
              <w:bottom w:val="single" w:color="auto" w:sz="4" w:space="0"/>
              <w:right w:val="single" w:color="auto" w:sz="4" w:space="0"/>
            </w:tcBorders>
            <w:shd w:val="clear" w:color="000000" w:fill="FFFFFF"/>
            <w:vAlign w:val="center"/>
          </w:tcPr>
          <w:p w14:paraId="4311ACEA">
            <w:pPr>
              <w:widowControl/>
              <w:numPr>
                <w:ilvl w:val="0"/>
                <w:numId w:val="5"/>
              </w:numPr>
              <w:jc w:val="left"/>
              <w:rPr>
                <w:rFonts w:hint="eastAsia" w:ascii="宋体" w:hAnsi="宋体" w:cs="宋体"/>
                <w:color w:val="auto"/>
                <w:kern w:val="0"/>
                <w:sz w:val="18"/>
                <w:szCs w:val="18"/>
              </w:rPr>
            </w:pPr>
            <w:r>
              <w:rPr>
                <w:rFonts w:hint="eastAsia" w:ascii="宋体" w:hAnsi="宋体" w:cs="宋体"/>
                <w:kern w:val="0"/>
                <w:sz w:val="18"/>
                <w:szCs w:val="18"/>
              </w:rPr>
              <w:t>预订模块</w:t>
            </w:r>
            <w:r>
              <w:rPr>
                <w:rFonts w:hint="eastAsia" w:ascii="宋体" w:hAnsi="宋体" w:cs="宋体"/>
                <w:kern w:val="0"/>
                <w:sz w:val="18"/>
                <w:szCs w:val="18"/>
              </w:rPr>
              <w:br w:type="textWrapping"/>
            </w:r>
            <w:r>
              <w:rPr>
                <w:rFonts w:hint="eastAsia" w:ascii="宋体" w:hAnsi="宋体" w:cs="宋体"/>
                <w:kern w:val="0"/>
                <w:sz w:val="18"/>
                <w:szCs w:val="18"/>
              </w:rPr>
              <w:t>1.1 散客预订：支持多房间、多房类预订，同张预订单客人联房、多客户类型预订，可关联佣金码、销售员、协议单位、会员号、中介</w:t>
            </w:r>
            <w:r>
              <w:rPr>
                <w:rFonts w:hint="eastAsia" w:ascii="宋体" w:hAnsi="宋体" w:cs="宋体"/>
                <w:kern w:val="0"/>
                <w:sz w:val="18"/>
                <w:szCs w:val="18"/>
              </w:rPr>
              <w:br w:type="textWrapping"/>
            </w:r>
            <w:r>
              <w:rPr>
                <w:rFonts w:hint="eastAsia" w:ascii="宋体" w:hAnsi="宋体" w:cs="宋体"/>
                <w:kern w:val="0"/>
                <w:sz w:val="18"/>
                <w:szCs w:val="18"/>
              </w:rPr>
              <w:t>1.2 团队预订：支持多房类预订，团队成员间默认联房，可关联佣金码、销售员</w:t>
            </w:r>
            <w:r>
              <w:rPr>
                <w:rFonts w:hint="eastAsia" w:ascii="宋体" w:hAnsi="宋体" w:cs="宋体"/>
                <w:kern w:val="0"/>
                <w:sz w:val="18"/>
                <w:szCs w:val="18"/>
              </w:rPr>
              <w:br w:type="textWrapping"/>
            </w:r>
            <w:r>
              <w:rPr>
                <w:rFonts w:hint="eastAsia" w:ascii="宋体" w:hAnsi="宋体" w:cs="宋体"/>
                <w:kern w:val="0"/>
                <w:sz w:val="18"/>
                <w:szCs w:val="18"/>
              </w:rPr>
              <w:t>1.3 预订定金：支持现金预收款、储值卡、支票和信用卡预授权操作、第三方支付、第三方预付</w:t>
            </w:r>
            <w:r>
              <w:rPr>
                <w:rFonts w:hint="eastAsia" w:ascii="宋体" w:hAnsi="宋体" w:cs="宋体"/>
                <w:kern w:val="0"/>
                <w:sz w:val="18"/>
                <w:szCs w:val="18"/>
              </w:rPr>
              <w:br w:type="textWrapping"/>
            </w:r>
            <w:r>
              <w:rPr>
                <w:rFonts w:hint="eastAsia" w:ascii="宋体" w:hAnsi="宋体" w:cs="宋体"/>
                <w:kern w:val="0"/>
                <w:sz w:val="18"/>
                <w:szCs w:val="18"/>
              </w:rPr>
              <w:t>1.4 订单维护：可进行订单的修改、取消、删除、恢复</w:t>
            </w:r>
            <w:r>
              <w:rPr>
                <w:rFonts w:hint="eastAsia" w:ascii="宋体" w:hAnsi="宋体" w:cs="宋体"/>
                <w:kern w:val="0"/>
                <w:sz w:val="18"/>
                <w:szCs w:val="18"/>
              </w:rPr>
              <w:br w:type="textWrapping"/>
            </w:r>
            <w:r>
              <w:rPr>
                <w:rFonts w:hint="eastAsia" w:ascii="宋体" w:hAnsi="宋体" w:cs="宋体"/>
                <w:kern w:val="0"/>
                <w:sz w:val="18"/>
                <w:szCs w:val="18"/>
              </w:rPr>
              <w:t>1.5 住客信息：填写具体客房入住人信息</w:t>
            </w:r>
            <w:r>
              <w:rPr>
                <w:rFonts w:hint="eastAsia" w:ascii="宋体" w:hAnsi="宋体" w:cs="宋体"/>
                <w:kern w:val="0"/>
                <w:sz w:val="18"/>
                <w:szCs w:val="18"/>
              </w:rPr>
              <w:br w:type="textWrapping"/>
            </w:r>
            <w:r>
              <w:rPr>
                <w:rFonts w:hint="eastAsia" w:ascii="宋体" w:hAnsi="宋体" w:cs="宋体"/>
                <w:kern w:val="0"/>
                <w:sz w:val="18"/>
                <w:szCs w:val="18"/>
              </w:rPr>
              <w:t>1.6 预订客人办理入住全流程（证件扫描、入住确定、制作房卡、录入押金/预授权、打印登记单）集成同一页面，避免SOP步骤错漏（需提供详细、清晰的系统界面截图）</w:t>
            </w:r>
            <w:r>
              <w:rPr>
                <w:rFonts w:hint="eastAsia" w:ascii="宋体" w:hAnsi="宋体" w:cs="宋体"/>
                <w:kern w:val="0"/>
                <w:sz w:val="18"/>
                <w:szCs w:val="18"/>
              </w:rPr>
              <w:br w:type="textWrapping"/>
            </w:r>
            <w:r>
              <w:rPr>
                <w:rFonts w:hint="eastAsia" w:ascii="宋体" w:hAnsi="宋体" w:cs="宋体"/>
                <w:kern w:val="0"/>
                <w:sz w:val="18"/>
                <w:szCs w:val="18"/>
              </w:rPr>
              <w:t>1.7 支持因岗位职责不同，自行定义所需功能模块，绑定员工个人工号；支持根据工作内容，自定添加所需报表，快速查找（需提供详细、清晰的系统界面截图）</w:t>
            </w:r>
            <w:r>
              <w:rPr>
                <w:rFonts w:hint="eastAsia" w:ascii="宋体" w:hAnsi="宋体" w:cs="宋体"/>
                <w:kern w:val="0"/>
                <w:sz w:val="18"/>
                <w:szCs w:val="18"/>
              </w:rPr>
              <w:br w:type="textWrapping"/>
            </w:r>
            <w:r>
              <w:rPr>
                <w:rFonts w:hint="eastAsia" w:ascii="宋体" w:hAnsi="宋体" w:cs="宋体"/>
                <w:kern w:val="0"/>
                <w:sz w:val="18"/>
                <w:szCs w:val="18"/>
              </w:rPr>
              <w:t>1.8 支持碰一下预订、碰一下入住、碰一下客房服务、碰一下收银、碰一下核销早餐（需提供照片并配合文字清晰说明各项操作）</w:t>
            </w:r>
            <w:r>
              <w:rPr>
                <w:rFonts w:hint="eastAsia" w:ascii="宋体" w:hAnsi="宋体" w:cs="宋体"/>
                <w:kern w:val="0"/>
                <w:sz w:val="18"/>
                <w:szCs w:val="18"/>
              </w:rPr>
              <w:br w:type="textWrapping"/>
            </w:r>
            <w:r>
              <w:rPr>
                <w:rFonts w:hint="eastAsia" w:ascii="宋体" w:hAnsi="宋体" w:cs="宋体"/>
                <w:kern w:val="0"/>
                <w:sz w:val="18"/>
                <w:szCs w:val="18"/>
              </w:rPr>
              <w:t>1.9 提供不少于4种语言的操作界面，适应国际化员工的操作习惯（需提供照片配合文字详细说明各操作步骤）</w:t>
            </w:r>
            <w:r>
              <w:rPr>
                <w:rFonts w:hint="eastAsia" w:ascii="宋体" w:hAnsi="宋体" w:cs="宋体"/>
                <w:kern w:val="0"/>
                <w:sz w:val="18"/>
                <w:szCs w:val="18"/>
              </w:rPr>
              <w:br w:type="textWrapping"/>
            </w:r>
            <w:r>
              <w:rPr>
                <w:rFonts w:hint="eastAsia" w:ascii="宋体" w:hAnsi="宋体" w:cs="宋体"/>
                <w:kern w:val="0"/>
                <w:sz w:val="18"/>
                <w:szCs w:val="18"/>
              </w:rPr>
              <w:t>1.10 可设置应急报表，在断网情况下手工记录入住、退房（需提供照片配合文字详细说明各操作步骤）</w:t>
            </w:r>
            <w:r>
              <w:rPr>
                <w:rFonts w:hint="eastAsia" w:ascii="宋体" w:hAnsi="宋体" w:cs="宋体"/>
                <w:kern w:val="0"/>
                <w:sz w:val="18"/>
                <w:szCs w:val="18"/>
              </w:rPr>
              <w:br w:type="textWrapping"/>
            </w:r>
            <w:r>
              <w:rPr>
                <w:rFonts w:hint="eastAsia" w:ascii="宋体" w:hAnsi="宋体" w:cs="宋体"/>
                <w:kern w:val="0"/>
                <w:sz w:val="18"/>
                <w:szCs w:val="18"/>
              </w:rPr>
              <w:t>1.11 内含数据包，可直接用于教学（需提供照片配合文字详细说明各操作步骤）</w:t>
            </w:r>
            <w:r>
              <w:rPr>
                <w:rFonts w:hint="eastAsia" w:ascii="宋体" w:hAnsi="宋体" w:cs="宋体"/>
                <w:kern w:val="0"/>
                <w:sz w:val="18"/>
                <w:szCs w:val="18"/>
              </w:rPr>
              <w:br w:type="textWrapping"/>
            </w:r>
            <w:r>
              <w:rPr>
                <w:rFonts w:hint="eastAsia" w:ascii="宋体" w:hAnsi="宋体" w:cs="宋体"/>
                <w:kern w:val="0"/>
                <w:sz w:val="18"/>
                <w:szCs w:val="18"/>
              </w:rPr>
              <w:t>2、接待模块</w:t>
            </w:r>
            <w:r>
              <w:rPr>
                <w:rFonts w:hint="eastAsia" w:ascii="宋体" w:hAnsi="宋体" w:cs="宋体"/>
                <w:kern w:val="0"/>
                <w:sz w:val="18"/>
                <w:szCs w:val="18"/>
              </w:rPr>
              <w:br w:type="textWrapping"/>
            </w:r>
            <w:r>
              <w:rPr>
                <w:rFonts w:hint="eastAsia" w:ascii="宋体" w:hAnsi="宋体" w:cs="宋体"/>
                <w:kern w:val="0"/>
                <w:sz w:val="18"/>
                <w:szCs w:val="18"/>
              </w:rPr>
              <w:t>2.1 散客入住：支持多种方式快速进行散客登记入住</w:t>
            </w:r>
            <w:r>
              <w:rPr>
                <w:rFonts w:hint="eastAsia" w:ascii="宋体" w:hAnsi="宋体" w:cs="宋体"/>
                <w:kern w:val="0"/>
                <w:sz w:val="18"/>
                <w:szCs w:val="18"/>
              </w:rPr>
              <w:br w:type="textWrapping"/>
            </w:r>
            <w:r>
              <w:rPr>
                <w:rFonts w:hint="eastAsia" w:ascii="宋体" w:hAnsi="宋体" w:cs="宋体"/>
                <w:kern w:val="0"/>
                <w:sz w:val="18"/>
                <w:szCs w:val="18"/>
              </w:rPr>
              <w:t>2.2 预订入住：支持多种方式快速转登记，可灵活进行联房操作</w:t>
            </w:r>
            <w:r>
              <w:rPr>
                <w:rFonts w:hint="eastAsia" w:ascii="宋体" w:hAnsi="宋体" w:cs="宋体"/>
                <w:kern w:val="0"/>
                <w:sz w:val="18"/>
                <w:szCs w:val="18"/>
              </w:rPr>
              <w:br w:type="textWrapping"/>
            </w:r>
            <w:r>
              <w:rPr>
                <w:rFonts w:hint="eastAsia" w:ascii="宋体" w:hAnsi="宋体" w:cs="宋体"/>
                <w:kern w:val="0"/>
                <w:sz w:val="18"/>
                <w:szCs w:val="18"/>
              </w:rPr>
              <w:t>2.3 排房：支持自动排房与手动排房，批量选择，自动提示冲突房、可根据楼层房态、特征筛选房间等</w:t>
            </w:r>
            <w:r>
              <w:rPr>
                <w:rFonts w:hint="eastAsia" w:ascii="宋体" w:hAnsi="宋体" w:cs="宋体"/>
                <w:kern w:val="0"/>
                <w:sz w:val="18"/>
                <w:szCs w:val="18"/>
              </w:rPr>
              <w:br w:type="textWrapping"/>
            </w:r>
            <w:r>
              <w:rPr>
                <w:rFonts w:hint="eastAsia" w:ascii="宋体" w:hAnsi="宋体" w:cs="宋体"/>
                <w:kern w:val="0"/>
                <w:sz w:val="18"/>
                <w:szCs w:val="18"/>
              </w:rPr>
              <w:t>2.4 联房：支持将R/S/I/O状态的房间联房</w:t>
            </w:r>
            <w:r>
              <w:rPr>
                <w:rFonts w:hint="eastAsia" w:ascii="宋体" w:hAnsi="宋体" w:cs="宋体"/>
                <w:kern w:val="0"/>
                <w:sz w:val="18"/>
                <w:szCs w:val="18"/>
              </w:rPr>
              <w:br w:type="textWrapping"/>
            </w:r>
            <w:r>
              <w:rPr>
                <w:rFonts w:hint="eastAsia" w:ascii="宋体" w:hAnsi="宋体" w:cs="宋体"/>
                <w:kern w:val="0"/>
                <w:sz w:val="18"/>
                <w:szCs w:val="18"/>
              </w:rPr>
              <w:t>2.5 团队入住：支持批量入住，批量设置房价码，散客入团及成员出团</w:t>
            </w:r>
            <w:r>
              <w:rPr>
                <w:rFonts w:hint="eastAsia" w:ascii="宋体" w:hAnsi="宋体" w:cs="宋体"/>
                <w:kern w:val="0"/>
                <w:sz w:val="18"/>
                <w:szCs w:val="18"/>
              </w:rPr>
              <w:br w:type="textWrapping"/>
            </w:r>
            <w:r>
              <w:rPr>
                <w:rFonts w:hint="eastAsia" w:ascii="宋体" w:hAnsi="宋体" w:cs="宋体"/>
                <w:kern w:val="0"/>
                <w:sz w:val="18"/>
                <w:szCs w:val="18"/>
              </w:rPr>
              <w:t>2.6 单据打印：预订单、登记单、押金单、房卡等可据客人类别分开打印</w:t>
            </w:r>
            <w:r>
              <w:rPr>
                <w:rFonts w:hint="eastAsia" w:ascii="宋体" w:hAnsi="宋体" w:cs="宋体"/>
                <w:kern w:val="0"/>
                <w:sz w:val="18"/>
                <w:szCs w:val="18"/>
              </w:rPr>
              <w:br w:type="textWrapping"/>
            </w:r>
            <w:r>
              <w:rPr>
                <w:rFonts w:hint="eastAsia" w:ascii="宋体" w:hAnsi="宋体" w:cs="宋体"/>
                <w:kern w:val="0"/>
                <w:sz w:val="18"/>
                <w:szCs w:val="18"/>
              </w:rPr>
              <w:t>2.7 重新入住：当天结账客人重新入住</w:t>
            </w:r>
            <w:r>
              <w:rPr>
                <w:rFonts w:hint="eastAsia" w:ascii="宋体" w:hAnsi="宋体" w:cs="宋体"/>
                <w:kern w:val="0"/>
                <w:sz w:val="18"/>
                <w:szCs w:val="18"/>
              </w:rPr>
              <w:br w:type="textWrapping"/>
            </w:r>
            <w:r>
              <w:rPr>
                <w:rFonts w:hint="eastAsia" w:ascii="宋体" w:hAnsi="宋体" w:cs="宋体"/>
                <w:kern w:val="0"/>
                <w:sz w:val="18"/>
                <w:szCs w:val="18"/>
              </w:rPr>
              <w:t>2.8 钟点房：支持钟点房、会员钟点房、钟点房超时提醒</w:t>
            </w:r>
            <w:r>
              <w:rPr>
                <w:rFonts w:hint="eastAsia" w:ascii="宋体" w:hAnsi="宋体" w:cs="宋体"/>
                <w:kern w:val="0"/>
                <w:sz w:val="18"/>
                <w:szCs w:val="18"/>
              </w:rPr>
              <w:br w:type="textWrapping"/>
            </w:r>
            <w:r>
              <w:rPr>
                <w:rFonts w:hint="eastAsia" w:ascii="宋体" w:hAnsi="宋体" w:cs="宋体"/>
                <w:kern w:val="0"/>
                <w:sz w:val="18"/>
                <w:szCs w:val="18"/>
              </w:rPr>
              <w:t>2.9 特殊设定：支持早餐券、留言、结账提醒、日志、制卡、叫早、周期收费、保密房、VIP、特殊要求、生日提醒等设置</w:t>
            </w:r>
            <w:r>
              <w:rPr>
                <w:rFonts w:hint="eastAsia" w:ascii="宋体" w:hAnsi="宋体" w:cs="宋体"/>
                <w:kern w:val="0"/>
                <w:sz w:val="18"/>
                <w:szCs w:val="18"/>
              </w:rPr>
              <w:br w:type="textWrapping"/>
            </w:r>
            <w:r>
              <w:rPr>
                <w:rFonts w:hint="eastAsia" w:ascii="宋体" w:hAnsi="宋体" w:cs="宋体"/>
                <w:kern w:val="0"/>
                <w:sz w:val="18"/>
                <w:szCs w:val="18"/>
              </w:rPr>
              <w:t>2.10 长租房：支持长租房的登记、入住天数改变每日房价会自动更新</w:t>
            </w:r>
            <w:r>
              <w:rPr>
                <w:rFonts w:hint="eastAsia" w:ascii="宋体" w:hAnsi="宋体" w:cs="宋体"/>
                <w:kern w:val="0"/>
                <w:sz w:val="18"/>
                <w:szCs w:val="18"/>
              </w:rPr>
              <w:br w:type="textWrapping"/>
            </w:r>
            <w:r>
              <w:rPr>
                <w:rFonts w:hint="eastAsia" w:ascii="宋体" w:hAnsi="宋体" w:cs="宋体"/>
                <w:kern w:val="0"/>
                <w:sz w:val="18"/>
                <w:szCs w:val="18"/>
              </w:rPr>
              <w:t>2.11 自动生成宾客档案：客人办理登记扫描证件后，可自动生成宾客档案</w:t>
            </w:r>
            <w:r>
              <w:rPr>
                <w:rFonts w:hint="eastAsia" w:ascii="宋体" w:hAnsi="宋体" w:cs="宋体"/>
                <w:kern w:val="0"/>
                <w:sz w:val="18"/>
                <w:szCs w:val="18"/>
              </w:rPr>
              <w:br w:type="textWrapping"/>
            </w:r>
            <w:r>
              <w:rPr>
                <w:rFonts w:hint="eastAsia" w:ascii="宋体" w:hAnsi="宋体" w:cs="宋体"/>
                <w:kern w:val="0"/>
                <w:sz w:val="18"/>
                <w:szCs w:val="18"/>
              </w:rPr>
              <w:t>2.12 宾客档案餐饮喜好与POS餐饮系统信息互通，共享数据库内容（需提供详细、清晰的系统界面截图）</w:t>
            </w:r>
            <w:r>
              <w:rPr>
                <w:rFonts w:hint="eastAsia" w:ascii="宋体" w:hAnsi="宋体" w:cs="宋体"/>
                <w:kern w:val="0"/>
                <w:sz w:val="18"/>
                <w:szCs w:val="18"/>
              </w:rPr>
              <w:br w:type="textWrapping"/>
            </w:r>
            <w:r>
              <w:rPr>
                <w:rFonts w:hint="eastAsia" w:ascii="宋体" w:hAnsi="宋体" w:cs="宋体"/>
                <w:kern w:val="0"/>
                <w:sz w:val="18"/>
                <w:szCs w:val="18"/>
              </w:rPr>
              <w:t>3、帐务模块</w:t>
            </w:r>
            <w:r>
              <w:rPr>
                <w:rFonts w:hint="eastAsia" w:ascii="宋体" w:hAnsi="宋体" w:cs="宋体"/>
                <w:kern w:val="0"/>
                <w:sz w:val="18"/>
                <w:szCs w:val="18"/>
              </w:rPr>
              <w:br w:type="textWrapping"/>
            </w:r>
            <w:r>
              <w:rPr>
                <w:rFonts w:hint="eastAsia" w:ascii="宋体" w:hAnsi="宋体" w:cs="宋体"/>
                <w:kern w:val="0"/>
                <w:sz w:val="18"/>
                <w:szCs w:val="18"/>
              </w:rPr>
              <w:t>3.1 定金管理：支持定金、预授权、储值卡处理第三方支付（微信支付宝等）、第三方预付</w:t>
            </w:r>
            <w:r>
              <w:rPr>
                <w:rFonts w:hint="eastAsia" w:ascii="宋体" w:hAnsi="宋体" w:cs="宋体"/>
                <w:kern w:val="0"/>
                <w:sz w:val="18"/>
                <w:szCs w:val="18"/>
              </w:rPr>
              <w:br w:type="textWrapping"/>
            </w:r>
            <w:r>
              <w:rPr>
                <w:rFonts w:hint="eastAsia" w:ascii="宋体" w:hAnsi="宋体" w:cs="宋体"/>
                <w:kern w:val="0"/>
                <w:sz w:val="18"/>
                <w:szCs w:val="18"/>
              </w:rPr>
              <w:t>3.2 信用授权：信用卡预授权、储值卡冻结，及相关处理</w:t>
            </w:r>
            <w:r>
              <w:rPr>
                <w:rFonts w:hint="eastAsia" w:ascii="宋体" w:hAnsi="宋体" w:cs="宋体"/>
                <w:kern w:val="0"/>
                <w:sz w:val="18"/>
                <w:szCs w:val="18"/>
              </w:rPr>
              <w:br w:type="textWrapping"/>
            </w:r>
            <w:r>
              <w:rPr>
                <w:rFonts w:hint="eastAsia" w:ascii="宋体" w:hAnsi="宋体" w:cs="宋体"/>
                <w:kern w:val="0"/>
                <w:sz w:val="18"/>
                <w:szCs w:val="18"/>
              </w:rPr>
              <w:t>3.3 账务查询：支持多种入口进入帐务查询</w:t>
            </w:r>
            <w:r>
              <w:rPr>
                <w:rFonts w:hint="eastAsia" w:ascii="宋体" w:hAnsi="宋体" w:cs="宋体"/>
                <w:kern w:val="0"/>
                <w:sz w:val="18"/>
                <w:szCs w:val="18"/>
              </w:rPr>
              <w:br w:type="textWrapping"/>
            </w:r>
            <w:r>
              <w:rPr>
                <w:rFonts w:hint="eastAsia" w:ascii="宋体" w:hAnsi="宋体" w:cs="宋体"/>
                <w:kern w:val="0"/>
                <w:sz w:val="18"/>
                <w:szCs w:val="18"/>
              </w:rPr>
              <w:t>3.4 帐务处理：支持快速地入帐、冲帐、调帐、转帐、分账、部分结帐、挂帐、结帐、选房结账、拆账等操作；支持多帐户处理</w:t>
            </w:r>
            <w:r>
              <w:rPr>
                <w:rFonts w:hint="eastAsia" w:ascii="宋体" w:hAnsi="宋体" w:cs="宋体"/>
                <w:kern w:val="0"/>
                <w:sz w:val="18"/>
                <w:szCs w:val="18"/>
              </w:rPr>
              <w:br w:type="textWrapping"/>
            </w:r>
            <w:r>
              <w:rPr>
                <w:rFonts w:hint="eastAsia" w:ascii="宋体" w:hAnsi="宋体" w:cs="宋体"/>
                <w:kern w:val="0"/>
                <w:sz w:val="18"/>
                <w:szCs w:val="18"/>
              </w:rPr>
              <w:t>3.5 账务显示：所有账、有效账，当前客房账及联单账，分类账、明细账</w:t>
            </w:r>
            <w:r>
              <w:rPr>
                <w:rFonts w:hint="eastAsia" w:ascii="宋体" w:hAnsi="宋体" w:cs="宋体"/>
                <w:kern w:val="0"/>
                <w:sz w:val="18"/>
                <w:szCs w:val="18"/>
              </w:rPr>
              <w:br w:type="textWrapping"/>
            </w:r>
            <w:r>
              <w:rPr>
                <w:rFonts w:hint="eastAsia" w:ascii="宋体" w:hAnsi="宋体" w:cs="宋体"/>
                <w:kern w:val="0"/>
                <w:sz w:val="18"/>
                <w:szCs w:val="18"/>
              </w:rPr>
              <w:t>3.6 房费加收：可自动和手工加收全天、半天或钟点房费，凌晨房自动处理</w:t>
            </w:r>
            <w:r>
              <w:rPr>
                <w:rFonts w:hint="eastAsia" w:ascii="宋体" w:hAnsi="宋体" w:cs="宋体"/>
                <w:kern w:val="0"/>
                <w:sz w:val="18"/>
                <w:szCs w:val="18"/>
              </w:rPr>
              <w:br w:type="textWrapping"/>
            </w:r>
            <w:r>
              <w:rPr>
                <w:rFonts w:hint="eastAsia" w:ascii="宋体" w:hAnsi="宋体" w:cs="宋体"/>
                <w:kern w:val="0"/>
                <w:sz w:val="18"/>
                <w:szCs w:val="18"/>
              </w:rPr>
              <w:t>3.7 结帐处理：全结、部分结账，联房客人联结或单结、团队快结、选房结账，钟点房计时及结账，退房不结账（临时挂账），挂账结账，结账提醒</w:t>
            </w:r>
            <w:r>
              <w:rPr>
                <w:rFonts w:hint="eastAsia" w:ascii="宋体" w:hAnsi="宋体" w:cs="宋体"/>
                <w:kern w:val="0"/>
                <w:sz w:val="18"/>
                <w:szCs w:val="18"/>
              </w:rPr>
              <w:br w:type="textWrapping"/>
            </w:r>
            <w:r>
              <w:rPr>
                <w:rFonts w:hint="eastAsia" w:ascii="宋体" w:hAnsi="宋体" w:cs="宋体"/>
                <w:kern w:val="0"/>
                <w:sz w:val="18"/>
                <w:szCs w:val="18"/>
              </w:rPr>
              <w:t>3.8 撤销结账：当日客人结账后撤销</w:t>
            </w:r>
            <w:r>
              <w:rPr>
                <w:rFonts w:hint="eastAsia" w:ascii="宋体" w:hAnsi="宋体" w:cs="宋体"/>
                <w:kern w:val="0"/>
                <w:sz w:val="18"/>
                <w:szCs w:val="18"/>
              </w:rPr>
              <w:br w:type="textWrapping"/>
            </w:r>
            <w:r>
              <w:rPr>
                <w:rFonts w:hint="eastAsia" w:ascii="宋体" w:hAnsi="宋体" w:cs="宋体"/>
                <w:kern w:val="0"/>
                <w:sz w:val="18"/>
                <w:szCs w:val="18"/>
              </w:rPr>
              <w:t>3.9 现付帐：针对非入住客人，可快速方便进行收银操作</w:t>
            </w:r>
            <w:r>
              <w:rPr>
                <w:rFonts w:hint="eastAsia" w:ascii="宋体" w:hAnsi="宋体" w:cs="宋体"/>
                <w:kern w:val="0"/>
                <w:sz w:val="18"/>
                <w:szCs w:val="18"/>
              </w:rPr>
              <w:br w:type="textWrapping"/>
            </w:r>
            <w:r>
              <w:rPr>
                <w:rFonts w:hint="eastAsia" w:ascii="宋体" w:hAnsi="宋体" w:cs="宋体"/>
                <w:kern w:val="0"/>
                <w:sz w:val="18"/>
                <w:szCs w:val="18"/>
              </w:rPr>
              <w:t>3.10 小商品：住客购买小商品，可多选快速入账</w:t>
            </w:r>
            <w:r>
              <w:rPr>
                <w:rFonts w:hint="eastAsia" w:ascii="宋体" w:hAnsi="宋体" w:cs="宋体"/>
                <w:kern w:val="0"/>
                <w:sz w:val="18"/>
                <w:szCs w:val="18"/>
              </w:rPr>
              <w:br w:type="textWrapping"/>
            </w:r>
            <w:r>
              <w:rPr>
                <w:rFonts w:hint="eastAsia" w:ascii="宋体" w:hAnsi="宋体" w:cs="宋体"/>
                <w:kern w:val="0"/>
                <w:sz w:val="18"/>
                <w:szCs w:val="18"/>
              </w:rPr>
              <w:t>3.11 电子券：支持电子券抵扣房费等一系列其他消费</w:t>
            </w:r>
            <w:r>
              <w:rPr>
                <w:rFonts w:hint="eastAsia" w:ascii="宋体" w:hAnsi="宋体" w:cs="宋体"/>
                <w:kern w:val="0"/>
                <w:sz w:val="18"/>
                <w:szCs w:val="18"/>
              </w:rPr>
              <w:br w:type="textWrapping"/>
            </w:r>
            <w:r>
              <w:rPr>
                <w:rFonts w:hint="eastAsia" w:ascii="宋体" w:hAnsi="宋体" w:cs="宋体"/>
                <w:kern w:val="0"/>
                <w:sz w:val="18"/>
                <w:szCs w:val="18"/>
              </w:rPr>
              <w:t>3.12 一键开票：根据开票项目支持一键开票</w:t>
            </w:r>
            <w:r>
              <w:rPr>
                <w:rFonts w:hint="eastAsia" w:ascii="宋体" w:hAnsi="宋体" w:cs="宋体"/>
                <w:kern w:val="0"/>
                <w:sz w:val="18"/>
                <w:szCs w:val="18"/>
              </w:rPr>
              <w:br w:type="textWrapping"/>
            </w:r>
            <w:r>
              <w:rPr>
                <w:rFonts w:hint="eastAsia" w:ascii="宋体" w:hAnsi="宋体" w:cs="宋体"/>
                <w:kern w:val="0"/>
                <w:sz w:val="18"/>
                <w:szCs w:val="18"/>
              </w:rPr>
              <w:t>3.13 消费帐管理：可设定消费帐户处理各种特殊帐务：现付账、调账等</w:t>
            </w:r>
            <w:r>
              <w:rPr>
                <w:rFonts w:hint="eastAsia" w:ascii="宋体" w:hAnsi="宋体" w:cs="宋体"/>
                <w:kern w:val="0"/>
                <w:sz w:val="18"/>
                <w:szCs w:val="18"/>
              </w:rPr>
              <w:br w:type="textWrapping"/>
            </w:r>
            <w:r>
              <w:rPr>
                <w:rFonts w:hint="eastAsia" w:ascii="宋体" w:hAnsi="宋体" w:cs="宋体"/>
                <w:kern w:val="0"/>
                <w:sz w:val="18"/>
                <w:szCs w:val="18"/>
              </w:rPr>
              <w:t>3.14 中文帐单：可方便快速打印各类结帐单</w:t>
            </w:r>
            <w:r>
              <w:rPr>
                <w:rFonts w:hint="eastAsia" w:ascii="宋体" w:hAnsi="宋体" w:cs="宋体"/>
                <w:kern w:val="0"/>
                <w:sz w:val="18"/>
                <w:szCs w:val="18"/>
              </w:rPr>
              <w:br w:type="textWrapping"/>
            </w:r>
            <w:r>
              <w:rPr>
                <w:rFonts w:hint="eastAsia" w:ascii="宋体" w:hAnsi="宋体" w:cs="宋体"/>
                <w:kern w:val="0"/>
                <w:sz w:val="18"/>
                <w:szCs w:val="18"/>
              </w:rPr>
              <w:t>3.15 早餐处理：设定早餐份数，及房费、餐费自动分拆</w:t>
            </w:r>
            <w:r>
              <w:rPr>
                <w:rFonts w:hint="eastAsia" w:ascii="宋体" w:hAnsi="宋体" w:cs="宋体"/>
                <w:kern w:val="0"/>
                <w:sz w:val="18"/>
                <w:szCs w:val="18"/>
              </w:rPr>
              <w:br w:type="textWrapping"/>
            </w:r>
            <w:r>
              <w:rPr>
                <w:rFonts w:hint="eastAsia" w:ascii="宋体" w:hAnsi="宋体" w:cs="宋体"/>
                <w:kern w:val="0"/>
                <w:sz w:val="18"/>
                <w:szCs w:val="18"/>
              </w:rPr>
              <w:t>3.16 前台查账：组合查询客人各种账务信息</w:t>
            </w:r>
            <w:r>
              <w:rPr>
                <w:rFonts w:hint="eastAsia" w:ascii="宋体" w:hAnsi="宋体" w:cs="宋体"/>
                <w:kern w:val="0"/>
                <w:sz w:val="18"/>
                <w:szCs w:val="18"/>
              </w:rPr>
              <w:br w:type="textWrapping"/>
            </w:r>
            <w:r>
              <w:rPr>
                <w:rFonts w:hint="eastAsia" w:ascii="宋体" w:hAnsi="宋体" w:cs="宋体"/>
                <w:kern w:val="0"/>
                <w:sz w:val="18"/>
                <w:szCs w:val="18"/>
              </w:rPr>
              <w:t>3.17 交接班：备用金，交接班提醒及处理，交接班报表及明细</w:t>
            </w:r>
            <w:r>
              <w:rPr>
                <w:rFonts w:hint="eastAsia" w:ascii="宋体" w:hAnsi="宋体" w:cs="宋体"/>
                <w:kern w:val="0"/>
                <w:sz w:val="18"/>
                <w:szCs w:val="18"/>
              </w:rPr>
              <w:br w:type="textWrapping"/>
            </w:r>
            <w:r>
              <w:rPr>
                <w:rFonts w:hint="eastAsia" w:ascii="宋体" w:hAnsi="宋体" w:cs="宋体"/>
                <w:kern w:val="0"/>
                <w:sz w:val="18"/>
                <w:szCs w:val="18"/>
              </w:rPr>
              <w:t>4、客房模块</w:t>
            </w:r>
            <w:r>
              <w:rPr>
                <w:rFonts w:hint="eastAsia" w:ascii="宋体" w:hAnsi="宋体" w:cs="宋体"/>
                <w:kern w:val="0"/>
                <w:sz w:val="18"/>
                <w:szCs w:val="18"/>
              </w:rPr>
              <w:br w:type="textWrapping"/>
            </w:r>
            <w:r>
              <w:rPr>
                <w:rFonts w:hint="eastAsia" w:ascii="宋体" w:hAnsi="宋体" w:cs="宋体"/>
                <w:kern w:val="0"/>
                <w:sz w:val="18"/>
                <w:szCs w:val="18"/>
              </w:rPr>
              <w:t>4.1 房态图：多入口，房态图上显示丰富的客房及住客信息、房间详情</w:t>
            </w:r>
            <w:r>
              <w:rPr>
                <w:rFonts w:hint="eastAsia" w:ascii="宋体" w:hAnsi="宋体" w:cs="宋体"/>
                <w:kern w:val="0"/>
                <w:sz w:val="18"/>
                <w:szCs w:val="18"/>
              </w:rPr>
              <w:br w:type="textWrapping"/>
            </w:r>
            <w:r>
              <w:rPr>
                <w:rFonts w:hint="eastAsia" w:ascii="宋体" w:hAnsi="宋体" w:cs="宋体"/>
                <w:kern w:val="0"/>
                <w:sz w:val="18"/>
                <w:szCs w:val="18"/>
              </w:rPr>
              <w:t>4.2 房态修改：可快速方便地进行各种房态操作</w:t>
            </w:r>
            <w:r>
              <w:rPr>
                <w:rFonts w:hint="eastAsia" w:ascii="宋体" w:hAnsi="宋体" w:cs="宋体"/>
                <w:kern w:val="0"/>
                <w:sz w:val="18"/>
                <w:szCs w:val="18"/>
              </w:rPr>
              <w:br w:type="textWrapping"/>
            </w:r>
            <w:r>
              <w:rPr>
                <w:rFonts w:hint="eastAsia" w:ascii="宋体" w:hAnsi="宋体" w:cs="宋体"/>
                <w:kern w:val="0"/>
                <w:sz w:val="18"/>
                <w:szCs w:val="18"/>
              </w:rPr>
              <w:t>4.3 房态图快登：可以房态图上直接进行快速多房间的预订、登记操作</w:t>
            </w:r>
            <w:r>
              <w:rPr>
                <w:rFonts w:hint="eastAsia" w:ascii="宋体" w:hAnsi="宋体" w:cs="宋体"/>
                <w:kern w:val="0"/>
                <w:sz w:val="18"/>
                <w:szCs w:val="18"/>
              </w:rPr>
              <w:br w:type="textWrapping"/>
            </w:r>
            <w:r>
              <w:rPr>
                <w:rFonts w:hint="eastAsia" w:ascii="宋体" w:hAnsi="宋体" w:cs="宋体"/>
                <w:kern w:val="0"/>
                <w:sz w:val="18"/>
                <w:szCs w:val="18"/>
              </w:rPr>
              <w:t>4.4 房态概况：通过图表方式直观显示当前及未来的客房情况</w:t>
            </w:r>
            <w:r>
              <w:rPr>
                <w:rFonts w:hint="eastAsia" w:ascii="宋体" w:hAnsi="宋体" w:cs="宋体"/>
                <w:kern w:val="0"/>
                <w:sz w:val="18"/>
                <w:szCs w:val="18"/>
              </w:rPr>
              <w:br w:type="textWrapping"/>
            </w:r>
            <w:r>
              <w:rPr>
                <w:rFonts w:hint="eastAsia" w:ascii="宋体" w:hAnsi="宋体" w:cs="宋体"/>
                <w:kern w:val="0"/>
                <w:sz w:val="18"/>
                <w:szCs w:val="18"/>
              </w:rPr>
              <w:t>4.5 房态简图：在主桌面就可见酒店的当前房间使用情况</w:t>
            </w:r>
            <w:r>
              <w:rPr>
                <w:rFonts w:hint="eastAsia" w:ascii="宋体" w:hAnsi="宋体" w:cs="宋体"/>
                <w:kern w:val="0"/>
                <w:sz w:val="18"/>
                <w:szCs w:val="18"/>
              </w:rPr>
              <w:br w:type="textWrapping"/>
            </w:r>
            <w:r>
              <w:rPr>
                <w:rFonts w:hint="eastAsia" w:ascii="宋体" w:hAnsi="宋体" w:cs="宋体"/>
                <w:kern w:val="0"/>
                <w:sz w:val="18"/>
                <w:szCs w:val="18"/>
              </w:rPr>
              <w:t>4.6 房态图查询：根据房类、房号、楼层查询；房间特征、状态可筛选等</w:t>
            </w:r>
            <w:r>
              <w:rPr>
                <w:rFonts w:hint="eastAsia" w:ascii="宋体" w:hAnsi="宋体" w:cs="宋体"/>
                <w:kern w:val="0"/>
                <w:sz w:val="18"/>
                <w:szCs w:val="18"/>
              </w:rPr>
              <w:br w:type="textWrapping"/>
            </w:r>
            <w:r>
              <w:rPr>
                <w:rFonts w:hint="eastAsia" w:ascii="宋体" w:hAnsi="宋体" w:cs="宋体"/>
                <w:kern w:val="0"/>
                <w:sz w:val="18"/>
                <w:szCs w:val="18"/>
              </w:rPr>
              <w:t>4.7 维修房、临时态：区间设置和解除维修房、临时态</w:t>
            </w:r>
            <w:r>
              <w:rPr>
                <w:rFonts w:hint="eastAsia" w:ascii="宋体" w:hAnsi="宋体" w:cs="宋体"/>
                <w:kern w:val="0"/>
                <w:sz w:val="18"/>
                <w:szCs w:val="18"/>
              </w:rPr>
              <w:br w:type="textWrapping"/>
            </w:r>
            <w:r>
              <w:rPr>
                <w:rFonts w:hint="eastAsia" w:ascii="宋体" w:hAnsi="宋体" w:cs="宋体"/>
                <w:kern w:val="0"/>
                <w:sz w:val="18"/>
                <w:szCs w:val="18"/>
              </w:rPr>
              <w:t>4.8 客房清洁：根据日期、员工，查询客房清洁状况和员工分值</w:t>
            </w:r>
            <w:r>
              <w:rPr>
                <w:rFonts w:hint="eastAsia" w:ascii="宋体" w:hAnsi="宋体" w:cs="宋体"/>
                <w:kern w:val="0"/>
                <w:sz w:val="18"/>
                <w:szCs w:val="18"/>
              </w:rPr>
              <w:br w:type="textWrapping"/>
            </w:r>
            <w:r>
              <w:rPr>
                <w:rFonts w:hint="eastAsia" w:ascii="宋体" w:hAnsi="宋体" w:cs="宋体"/>
                <w:kern w:val="0"/>
                <w:sz w:val="18"/>
                <w:szCs w:val="18"/>
              </w:rPr>
              <w:t>4.9 超预留设置：设置可以超出实际房数预订的房间数</w:t>
            </w:r>
            <w:r>
              <w:rPr>
                <w:rFonts w:hint="eastAsia" w:ascii="宋体" w:hAnsi="宋体" w:cs="宋体"/>
                <w:kern w:val="0"/>
                <w:sz w:val="18"/>
                <w:szCs w:val="18"/>
              </w:rPr>
              <w:br w:type="textWrapping"/>
            </w:r>
            <w:r>
              <w:rPr>
                <w:rFonts w:hint="eastAsia" w:ascii="宋体" w:hAnsi="宋体" w:cs="宋体"/>
                <w:kern w:val="0"/>
                <w:sz w:val="18"/>
                <w:szCs w:val="18"/>
              </w:rPr>
              <w:t>4.10 房情：查看实时房情、未来房情和占用情况等，房情穿透查询</w:t>
            </w:r>
            <w:r>
              <w:rPr>
                <w:rFonts w:hint="eastAsia" w:ascii="宋体" w:hAnsi="宋体" w:cs="宋体"/>
                <w:kern w:val="0"/>
                <w:sz w:val="18"/>
                <w:szCs w:val="18"/>
              </w:rPr>
              <w:br w:type="textWrapping"/>
            </w:r>
            <w:r>
              <w:rPr>
                <w:rFonts w:hint="eastAsia" w:ascii="宋体" w:hAnsi="宋体" w:cs="宋体"/>
                <w:kern w:val="0"/>
                <w:sz w:val="18"/>
                <w:szCs w:val="18"/>
              </w:rPr>
              <w:t>4.11 制卡：制临时卡可用于客户看房制卡等</w:t>
            </w:r>
            <w:r>
              <w:rPr>
                <w:rFonts w:hint="eastAsia" w:ascii="宋体" w:hAnsi="宋体" w:cs="宋体"/>
                <w:kern w:val="0"/>
                <w:sz w:val="18"/>
                <w:szCs w:val="18"/>
              </w:rPr>
              <w:br w:type="textWrapping"/>
            </w:r>
            <w:r>
              <w:rPr>
                <w:rFonts w:hint="eastAsia" w:ascii="宋体" w:hAnsi="宋体" w:cs="宋体"/>
                <w:kern w:val="0"/>
                <w:sz w:val="18"/>
                <w:szCs w:val="18"/>
              </w:rPr>
              <w:t>4.12 遗留物品：遗留物品的查询、详情记录</w:t>
            </w:r>
            <w:r>
              <w:rPr>
                <w:rFonts w:hint="eastAsia" w:ascii="宋体" w:hAnsi="宋体" w:cs="宋体"/>
                <w:kern w:val="0"/>
                <w:sz w:val="18"/>
                <w:szCs w:val="18"/>
              </w:rPr>
              <w:br w:type="textWrapping"/>
            </w:r>
            <w:r>
              <w:rPr>
                <w:rFonts w:hint="eastAsia" w:ascii="宋体" w:hAnsi="宋体" w:cs="宋体"/>
                <w:kern w:val="0"/>
                <w:sz w:val="18"/>
                <w:szCs w:val="18"/>
              </w:rPr>
              <w:t>5、代码模块</w:t>
            </w:r>
            <w:r>
              <w:rPr>
                <w:rFonts w:hint="eastAsia" w:ascii="宋体" w:hAnsi="宋体" w:cs="宋体"/>
                <w:kern w:val="0"/>
                <w:sz w:val="18"/>
                <w:szCs w:val="18"/>
              </w:rPr>
              <w:br w:type="textWrapping"/>
            </w:r>
            <w:r>
              <w:rPr>
                <w:rFonts w:hint="eastAsia" w:ascii="宋体" w:hAnsi="宋体" w:cs="宋体"/>
                <w:kern w:val="0"/>
                <w:sz w:val="18"/>
                <w:szCs w:val="18"/>
              </w:rPr>
              <w:t>5.1 房价类：共分九大类房价体系（门市、团队、协议、中介、会员、促销、长包、免费、钟点），分别处理，方便和规范操作</w:t>
            </w:r>
            <w:r>
              <w:rPr>
                <w:rFonts w:hint="eastAsia" w:ascii="宋体" w:hAnsi="宋体" w:cs="宋体"/>
                <w:kern w:val="0"/>
                <w:sz w:val="18"/>
                <w:szCs w:val="18"/>
              </w:rPr>
              <w:br w:type="textWrapping"/>
            </w:r>
            <w:r>
              <w:rPr>
                <w:rFonts w:hint="eastAsia" w:ascii="宋体" w:hAnsi="宋体" w:cs="宋体"/>
                <w:kern w:val="0"/>
                <w:sz w:val="18"/>
                <w:szCs w:val="18"/>
              </w:rPr>
              <w:t>5.2 房价码：可根据销售策略设定各类房价码，以规范房价体系；支持每日房价；支持服务费、税收、附加费、早餐设置等</w:t>
            </w:r>
            <w:r>
              <w:rPr>
                <w:rFonts w:hint="eastAsia" w:ascii="宋体" w:hAnsi="宋体" w:cs="宋体"/>
                <w:kern w:val="0"/>
                <w:sz w:val="18"/>
                <w:szCs w:val="18"/>
              </w:rPr>
              <w:br w:type="textWrapping"/>
            </w:r>
            <w:r>
              <w:rPr>
                <w:rFonts w:hint="eastAsia" w:ascii="宋体" w:hAnsi="宋体" w:cs="宋体"/>
                <w:kern w:val="0"/>
                <w:sz w:val="18"/>
                <w:szCs w:val="18"/>
              </w:rPr>
              <w:t>5.3 公司档案：管理各类公司档案：协议单位、旅行社及订房中心</w:t>
            </w:r>
            <w:r>
              <w:rPr>
                <w:rFonts w:hint="eastAsia" w:ascii="宋体" w:hAnsi="宋体" w:cs="宋体"/>
                <w:kern w:val="0"/>
                <w:sz w:val="18"/>
                <w:szCs w:val="18"/>
              </w:rPr>
              <w:br w:type="textWrapping"/>
            </w:r>
            <w:r>
              <w:rPr>
                <w:rFonts w:hint="eastAsia" w:ascii="宋体" w:hAnsi="宋体" w:cs="宋体"/>
                <w:kern w:val="0"/>
                <w:sz w:val="18"/>
                <w:szCs w:val="18"/>
              </w:rPr>
              <w:t>5.4 宾客档案：管理各类宾客信息：喜好、VIP级别、房价码等，潜在客户、正常档案、黑名单，永久档案及有效期，消费历史及业绩累积</w:t>
            </w:r>
            <w:r>
              <w:rPr>
                <w:rFonts w:hint="eastAsia" w:ascii="宋体" w:hAnsi="宋体" w:cs="宋体"/>
                <w:kern w:val="0"/>
                <w:sz w:val="18"/>
                <w:szCs w:val="18"/>
              </w:rPr>
              <w:br w:type="textWrapping"/>
            </w:r>
            <w:r>
              <w:rPr>
                <w:rFonts w:hint="eastAsia" w:ascii="宋体" w:hAnsi="宋体" w:cs="宋体"/>
                <w:kern w:val="0"/>
                <w:sz w:val="18"/>
                <w:szCs w:val="18"/>
              </w:rPr>
              <w:t>5.5 会员：会员计划：制定不同会员计划提供酒店使用</w:t>
            </w:r>
            <w:r>
              <w:rPr>
                <w:rFonts w:hint="eastAsia" w:ascii="宋体" w:hAnsi="宋体" w:cs="宋体"/>
                <w:kern w:val="0"/>
                <w:sz w:val="18"/>
                <w:szCs w:val="18"/>
              </w:rPr>
              <w:br w:type="textWrapping"/>
            </w:r>
            <w:r>
              <w:rPr>
                <w:rFonts w:hint="eastAsia" w:ascii="宋体" w:hAnsi="宋体" w:cs="宋体"/>
                <w:kern w:val="0"/>
                <w:sz w:val="18"/>
                <w:szCs w:val="18"/>
              </w:rPr>
              <w:t>5.6 会员预订/入住：会员做预订和入住操作</w:t>
            </w:r>
            <w:r>
              <w:rPr>
                <w:rFonts w:hint="eastAsia" w:ascii="宋体" w:hAnsi="宋体" w:cs="宋体"/>
                <w:kern w:val="0"/>
                <w:sz w:val="18"/>
                <w:szCs w:val="18"/>
              </w:rPr>
              <w:br w:type="textWrapping"/>
            </w:r>
            <w:r>
              <w:rPr>
                <w:rFonts w:hint="eastAsia" w:ascii="宋体" w:hAnsi="宋体" w:cs="宋体"/>
                <w:kern w:val="0"/>
                <w:sz w:val="18"/>
                <w:szCs w:val="18"/>
              </w:rPr>
              <w:t>5.7 会员储值：会员储值卡可以储值并用于酒店消费，储值卡金额冻结</w:t>
            </w:r>
            <w:r>
              <w:rPr>
                <w:rFonts w:hint="eastAsia" w:ascii="宋体" w:hAnsi="宋体" w:cs="宋体"/>
                <w:kern w:val="0"/>
                <w:sz w:val="18"/>
                <w:szCs w:val="18"/>
              </w:rPr>
              <w:br w:type="textWrapping"/>
            </w:r>
            <w:r>
              <w:rPr>
                <w:rFonts w:hint="eastAsia" w:ascii="宋体" w:hAnsi="宋体" w:cs="宋体"/>
                <w:kern w:val="0"/>
                <w:sz w:val="18"/>
                <w:szCs w:val="18"/>
              </w:rPr>
              <w:t>5.8 一人多卡：同一会员办理多种不同性质的会员卡</w:t>
            </w:r>
            <w:r>
              <w:rPr>
                <w:rFonts w:hint="eastAsia" w:ascii="宋体" w:hAnsi="宋体" w:cs="宋体"/>
                <w:kern w:val="0"/>
                <w:sz w:val="18"/>
                <w:szCs w:val="18"/>
              </w:rPr>
              <w:br w:type="textWrapping"/>
            </w:r>
            <w:r>
              <w:rPr>
                <w:rFonts w:hint="eastAsia" w:ascii="宋体" w:hAnsi="宋体" w:cs="宋体"/>
                <w:kern w:val="0"/>
                <w:sz w:val="18"/>
                <w:szCs w:val="18"/>
              </w:rPr>
              <w:t>5.9 会员积分：会员消费后统计积分</w:t>
            </w:r>
            <w:r>
              <w:rPr>
                <w:rFonts w:hint="eastAsia" w:ascii="宋体" w:hAnsi="宋体" w:cs="宋体"/>
                <w:kern w:val="0"/>
                <w:sz w:val="18"/>
                <w:szCs w:val="18"/>
              </w:rPr>
              <w:br w:type="textWrapping"/>
            </w:r>
            <w:r>
              <w:rPr>
                <w:rFonts w:hint="eastAsia" w:ascii="宋体" w:hAnsi="宋体" w:cs="宋体"/>
                <w:kern w:val="0"/>
                <w:sz w:val="18"/>
                <w:szCs w:val="18"/>
              </w:rPr>
              <w:t>5.10 积分兑换：积分用于消费和兑换物品</w:t>
            </w:r>
            <w:r>
              <w:rPr>
                <w:rFonts w:hint="eastAsia" w:ascii="宋体" w:hAnsi="宋体" w:cs="宋体"/>
                <w:kern w:val="0"/>
                <w:sz w:val="18"/>
                <w:szCs w:val="18"/>
              </w:rPr>
              <w:br w:type="textWrapping"/>
            </w:r>
            <w:r>
              <w:rPr>
                <w:rFonts w:hint="eastAsia" w:ascii="宋体" w:hAnsi="宋体" w:cs="宋体"/>
                <w:kern w:val="0"/>
                <w:sz w:val="18"/>
                <w:szCs w:val="18"/>
              </w:rPr>
              <w:t>6、查询模块</w:t>
            </w:r>
            <w:r>
              <w:rPr>
                <w:rFonts w:hint="eastAsia" w:ascii="宋体" w:hAnsi="宋体" w:cs="宋体"/>
                <w:kern w:val="0"/>
                <w:sz w:val="18"/>
                <w:szCs w:val="18"/>
              </w:rPr>
              <w:br w:type="textWrapping"/>
            </w:r>
            <w:r>
              <w:rPr>
                <w:rFonts w:hint="eastAsia" w:ascii="宋体" w:hAnsi="宋体" w:cs="宋体"/>
                <w:kern w:val="0"/>
                <w:sz w:val="18"/>
                <w:szCs w:val="18"/>
              </w:rPr>
              <w:t>6.1 智能搜索：智能搜索预订人、入住人、预订号、手机、名称、房号等，快速到达</w:t>
            </w:r>
            <w:r>
              <w:rPr>
                <w:rFonts w:hint="eastAsia" w:ascii="宋体" w:hAnsi="宋体" w:cs="宋体"/>
                <w:kern w:val="0"/>
                <w:sz w:val="18"/>
                <w:szCs w:val="18"/>
              </w:rPr>
              <w:br w:type="textWrapping"/>
            </w:r>
            <w:r>
              <w:rPr>
                <w:rFonts w:hint="eastAsia" w:ascii="宋体" w:hAnsi="宋体" w:cs="宋体"/>
                <w:kern w:val="0"/>
                <w:sz w:val="18"/>
                <w:szCs w:val="18"/>
              </w:rPr>
              <w:t>6.2 标签：通过分类以缩小操作范围</w:t>
            </w:r>
            <w:r>
              <w:rPr>
                <w:rFonts w:hint="eastAsia" w:ascii="宋体" w:hAnsi="宋体" w:cs="宋体"/>
                <w:kern w:val="0"/>
                <w:sz w:val="18"/>
                <w:szCs w:val="18"/>
              </w:rPr>
              <w:br w:type="textWrapping"/>
            </w:r>
            <w:r>
              <w:rPr>
                <w:rFonts w:hint="eastAsia" w:ascii="宋体" w:hAnsi="宋体" w:cs="宋体"/>
                <w:kern w:val="0"/>
                <w:sz w:val="18"/>
                <w:szCs w:val="18"/>
              </w:rPr>
              <w:t>6.3 列表：所有列表，可按任意字段排序，以方便查看</w:t>
            </w:r>
            <w:r>
              <w:rPr>
                <w:rFonts w:hint="eastAsia" w:ascii="宋体" w:hAnsi="宋体" w:cs="宋体"/>
                <w:kern w:val="0"/>
                <w:sz w:val="18"/>
                <w:szCs w:val="18"/>
              </w:rPr>
              <w:br w:type="textWrapping"/>
            </w:r>
            <w:r>
              <w:rPr>
                <w:rFonts w:hint="eastAsia" w:ascii="宋体" w:hAnsi="宋体" w:cs="宋体"/>
                <w:kern w:val="0"/>
                <w:sz w:val="18"/>
                <w:szCs w:val="18"/>
              </w:rPr>
              <w:t>6.4 检索：组合查询、模糊查询</w:t>
            </w:r>
            <w:r>
              <w:rPr>
                <w:rFonts w:hint="eastAsia" w:ascii="宋体" w:hAnsi="宋体" w:cs="宋体"/>
                <w:kern w:val="0"/>
                <w:sz w:val="18"/>
                <w:szCs w:val="18"/>
              </w:rPr>
              <w:br w:type="textWrapping"/>
            </w:r>
            <w:r>
              <w:rPr>
                <w:rFonts w:hint="eastAsia" w:ascii="宋体" w:hAnsi="宋体" w:cs="宋体"/>
                <w:kern w:val="0"/>
                <w:sz w:val="18"/>
                <w:szCs w:val="18"/>
              </w:rPr>
              <w:t>6.5 历史记录：预订、入住、取消等历史记录查询，日志查询</w:t>
            </w:r>
            <w:r>
              <w:rPr>
                <w:rFonts w:hint="eastAsia" w:ascii="宋体" w:hAnsi="宋体" w:cs="宋体"/>
                <w:kern w:val="0"/>
                <w:sz w:val="18"/>
                <w:szCs w:val="18"/>
              </w:rPr>
              <w:br w:type="textWrapping"/>
            </w:r>
            <w:r>
              <w:rPr>
                <w:rFonts w:hint="eastAsia" w:ascii="宋体" w:hAnsi="宋体" w:cs="宋体"/>
                <w:kern w:val="0"/>
                <w:sz w:val="18"/>
                <w:szCs w:val="18"/>
              </w:rPr>
              <w:t>7、审核模块</w:t>
            </w:r>
            <w:r>
              <w:rPr>
                <w:rFonts w:hint="eastAsia" w:ascii="宋体" w:hAnsi="宋体" w:cs="宋体"/>
                <w:kern w:val="0"/>
                <w:sz w:val="18"/>
                <w:szCs w:val="18"/>
              </w:rPr>
              <w:br w:type="textWrapping"/>
            </w:r>
            <w:r>
              <w:rPr>
                <w:rFonts w:hint="eastAsia" w:ascii="宋体" w:hAnsi="宋体" w:cs="宋体"/>
                <w:kern w:val="0"/>
                <w:sz w:val="18"/>
                <w:szCs w:val="18"/>
              </w:rPr>
              <w:t>7.1 查账功能：提供多种途径进行系统查账</w:t>
            </w:r>
            <w:r>
              <w:rPr>
                <w:rFonts w:hint="eastAsia" w:ascii="宋体" w:hAnsi="宋体" w:cs="宋体"/>
                <w:kern w:val="0"/>
                <w:sz w:val="18"/>
                <w:szCs w:val="18"/>
              </w:rPr>
              <w:br w:type="textWrapping"/>
            </w:r>
            <w:r>
              <w:rPr>
                <w:rFonts w:hint="eastAsia" w:ascii="宋体" w:hAnsi="宋体" w:cs="宋体"/>
                <w:kern w:val="0"/>
                <w:sz w:val="18"/>
                <w:szCs w:val="18"/>
              </w:rPr>
              <w:t>7.2 关键数据：对关键数据或重要数据进行监控，以减少操作失误</w:t>
            </w:r>
            <w:r>
              <w:rPr>
                <w:rFonts w:hint="eastAsia" w:ascii="宋体" w:hAnsi="宋体" w:cs="宋体"/>
                <w:kern w:val="0"/>
                <w:sz w:val="18"/>
                <w:szCs w:val="18"/>
              </w:rPr>
              <w:br w:type="textWrapping"/>
            </w:r>
            <w:r>
              <w:rPr>
                <w:rFonts w:hint="eastAsia" w:ascii="宋体" w:hAnsi="宋体" w:cs="宋体"/>
                <w:kern w:val="0"/>
                <w:sz w:val="18"/>
                <w:szCs w:val="18"/>
              </w:rPr>
              <w:t>7.3 房租入账：房租预审、房租调整、房租入账及报表等</w:t>
            </w:r>
            <w:r>
              <w:rPr>
                <w:rFonts w:hint="eastAsia" w:ascii="宋体" w:hAnsi="宋体" w:cs="宋体"/>
                <w:kern w:val="0"/>
                <w:sz w:val="18"/>
                <w:szCs w:val="18"/>
              </w:rPr>
              <w:br w:type="textWrapping"/>
            </w:r>
            <w:r>
              <w:rPr>
                <w:rFonts w:hint="eastAsia" w:ascii="宋体" w:hAnsi="宋体" w:cs="宋体"/>
                <w:kern w:val="0"/>
                <w:sz w:val="18"/>
                <w:szCs w:val="18"/>
              </w:rPr>
              <w:t>7.4 夜间稽核：统计生成各种报表，并对营业日期进行更新，数据更新</w:t>
            </w:r>
            <w:r>
              <w:rPr>
                <w:rFonts w:hint="eastAsia" w:ascii="宋体" w:hAnsi="宋体" w:cs="宋体"/>
                <w:kern w:val="0"/>
                <w:sz w:val="18"/>
                <w:szCs w:val="18"/>
              </w:rPr>
              <w:br w:type="textWrapping"/>
            </w:r>
            <w:r>
              <w:rPr>
                <w:rFonts w:hint="eastAsia" w:ascii="宋体" w:hAnsi="宋体" w:cs="宋体"/>
                <w:kern w:val="0"/>
                <w:sz w:val="18"/>
                <w:szCs w:val="18"/>
              </w:rPr>
              <w:t>7.5 帐务重建：是夜间稽核的辅助功能</w:t>
            </w:r>
            <w:r>
              <w:rPr>
                <w:rFonts w:hint="eastAsia" w:ascii="宋体" w:hAnsi="宋体" w:cs="宋体"/>
                <w:kern w:val="0"/>
                <w:sz w:val="18"/>
                <w:szCs w:val="18"/>
              </w:rPr>
              <w:br w:type="textWrapping"/>
            </w:r>
            <w:r>
              <w:rPr>
                <w:rFonts w:hint="eastAsia" w:ascii="宋体" w:hAnsi="宋体" w:cs="宋体"/>
                <w:kern w:val="0"/>
                <w:sz w:val="18"/>
                <w:szCs w:val="18"/>
              </w:rPr>
              <w:t>7.6 自动夜审：在系统指定时间进行夜间稽核，不需操作员干预</w:t>
            </w:r>
            <w:r>
              <w:rPr>
                <w:rFonts w:hint="eastAsia" w:ascii="宋体" w:hAnsi="宋体" w:cs="宋体"/>
                <w:kern w:val="0"/>
                <w:sz w:val="18"/>
                <w:szCs w:val="18"/>
              </w:rPr>
              <w:br w:type="textWrapping"/>
            </w:r>
            <w:r>
              <w:rPr>
                <w:rFonts w:hint="eastAsia" w:ascii="宋体" w:hAnsi="宋体" w:cs="宋体"/>
                <w:kern w:val="0"/>
                <w:sz w:val="18"/>
                <w:szCs w:val="18"/>
              </w:rPr>
              <w:t>8、报表模块</w:t>
            </w:r>
            <w:r>
              <w:rPr>
                <w:rFonts w:hint="eastAsia" w:ascii="宋体" w:hAnsi="宋体" w:cs="宋体"/>
                <w:kern w:val="0"/>
                <w:sz w:val="18"/>
                <w:szCs w:val="18"/>
              </w:rPr>
              <w:br w:type="textWrapping"/>
            </w:r>
            <w:r>
              <w:rPr>
                <w:rFonts w:hint="eastAsia" w:ascii="宋体" w:hAnsi="宋体" w:cs="宋体"/>
                <w:kern w:val="0"/>
                <w:sz w:val="18"/>
                <w:szCs w:val="18"/>
              </w:rPr>
              <w:t>8.1 交接班报表：服务员当天、昨天，本班、本日的有关交接班报表</w:t>
            </w:r>
            <w:r>
              <w:rPr>
                <w:rFonts w:hint="eastAsia" w:ascii="宋体" w:hAnsi="宋体" w:cs="宋体"/>
                <w:kern w:val="0"/>
                <w:sz w:val="18"/>
                <w:szCs w:val="18"/>
              </w:rPr>
              <w:br w:type="textWrapping"/>
            </w:r>
            <w:r>
              <w:rPr>
                <w:rFonts w:hint="eastAsia" w:ascii="宋体" w:hAnsi="宋体" w:cs="宋体"/>
                <w:kern w:val="0"/>
                <w:sz w:val="18"/>
                <w:szCs w:val="18"/>
              </w:rPr>
              <w:t>8.2 预订报表：多种散客、团队预订报表</w:t>
            </w:r>
            <w:r>
              <w:rPr>
                <w:rFonts w:hint="eastAsia" w:ascii="宋体" w:hAnsi="宋体" w:cs="宋体"/>
                <w:kern w:val="0"/>
                <w:sz w:val="18"/>
                <w:szCs w:val="18"/>
              </w:rPr>
              <w:br w:type="textWrapping"/>
            </w:r>
            <w:r>
              <w:rPr>
                <w:rFonts w:hint="eastAsia" w:ascii="宋体" w:hAnsi="宋体" w:cs="宋体"/>
                <w:kern w:val="0"/>
                <w:sz w:val="18"/>
                <w:szCs w:val="18"/>
              </w:rPr>
              <w:t>8.3 抵住离报表：抵住离、客人信息相关的各类报表</w:t>
            </w:r>
            <w:r>
              <w:rPr>
                <w:rFonts w:hint="eastAsia" w:ascii="宋体" w:hAnsi="宋体" w:cs="宋体"/>
                <w:kern w:val="0"/>
                <w:sz w:val="18"/>
                <w:szCs w:val="18"/>
              </w:rPr>
              <w:br w:type="textWrapping"/>
            </w:r>
            <w:r>
              <w:rPr>
                <w:rFonts w:hint="eastAsia" w:ascii="宋体" w:hAnsi="宋体" w:cs="宋体"/>
                <w:kern w:val="0"/>
                <w:sz w:val="18"/>
                <w:szCs w:val="18"/>
              </w:rPr>
              <w:t>8.4 稽核报表：房租报表、挂帐报表、试算平衡表、稽核底表、客房营业日报等</w:t>
            </w:r>
            <w:r>
              <w:rPr>
                <w:rFonts w:hint="eastAsia" w:ascii="宋体" w:hAnsi="宋体" w:cs="宋体"/>
                <w:kern w:val="0"/>
                <w:sz w:val="18"/>
                <w:szCs w:val="18"/>
              </w:rPr>
              <w:br w:type="textWrapping"/>
            </w:r>
            <w:r>
              <w:rPr>
                <w:rFonts w:hint="eastAsia" w:ascii="宋体" w:hAnsi="宋体" w:cs="宋体"/>
                <w:kern w:val="0"/>
                <w:sz w:val="18"/>
                <w:szCs w:val="18"/>
              </w:rPr>
              <w:t>8.5 客房报表：楼房房态报表、临时态、维修房、锁定房报表等</w:t>
            </w:r>
            <w:r>
              <w:rPr>
                <w:rFonts w:hint="eastAsia" w:ascii="宋体" w:hAnsi="宋体" w:cs="宋体"/>
                <w:kern w:val="0"/>
                <w:sz w:val="18"/>
                <w:szCs w:val="18"/>
              </w:rPr>
              <w:br w:type="textWrapping"/>
            </w:r>
            <w:r>
              <w:rPr>
                <w:rFonts w:hint="eastAsia" w:ascii="宋体" w:hAnsi="宋体" w:cs="宋体"/>
                <w:kern w:val="0"/>
                <w:sz w:val="18"/>
                <w:szCs w:val="18"/>
              </w:rPr>
              <w:t>8.6 销售报表：销售员业绩相关、销售分析相关等报表</w:t>
            </w:r>
            <w:r>
              <w:rPr>
                <w:rFonts w:hint="eastAsia" w:ascii="宋体" w:hAnsi="宋体" w:cs="宋体"/>
                <w:kern w:val="0"/>
                <w:sz w:val="18"/>
                <w:szCs w:val="18"/>
              </w:rPr>
              <w:br w:type="textWrapping"/>
            </w:r>
            <w:r>
              <w:rPr>
                <w:rFonts w:hint="eastAsia" w:ascii="宋体" w:hAnsi="宋体" w:cs="宋体"/>
                <w:kern w:val="0"/>
                <w:sz w:val="18"/>
                <w:szCs w:val="18"/>
              </w:rPr>
              <w:t>9、应收帐</w:t>
            </w:r>
            <w:r>
              <w:rPr>
                <w:rFonts w:hint="eastAsia" w:ascii="宋体" w:hAnsi="宋体" w:cs="宋体"/>
                <w:kern w:val="0"/>
                <w:sz w:val="18"/>
                <w:szCs w:val="18"/>
              </w:rPr>
              <w:br w:type="textWrapping"/>
            </w:r>
            <w:r>
              <w:rPr>
                <w:rFonts w:hint="eastAsia" w:ascii="宋体" w:hAnsi="宋体" w:cs="宋体"/>
                <w:kern w:val="0"/>
                <w:sz w:val="18"/>
                <w:szCs w:val="18"/>
              </w:rPr>
              <w:t>9.1 应收帐建立：应收帐类别（政府、企业、个人、事业单位等），消费限额、信用定义，有效期，催帐周期，联系信息等</w:t>
            </w:r>
            <w:r>
              <w:rPr>
                <w:rFonts w:hint="eastAsia" w:ascii="宋体" w:hAnsi="宋体" w:cs="宋体"/>
                <w:kern w:val="0"/>
                <w:sz w:val="18"/>
                <w:szCs w:val="18"/>
              </w:rPr>
              <w:br w:type="textWrapping"/>
            </w:r>
            <w:r>
              <w:rPr>
                <w:rFonts w:hint="eastAsia" w:ascii="宋体" w:hAnsi="宋体" w:cs="宋体"/>
                <w:kern w:val="0"/>
                <w:sz w:val="18"/>
                <w:szCs w:val="18"/>
              </w:rPr>
              <w:t>9.2 账务处理：入账、转账、调整、账单、催帐、信用、联账、允许记账</w:t>
            </w:r>
            <w:r>
              <w:rPr>
                <w:rFonts w:hint="eastAsia" w:ascii="宋体" w:hAnsi="宋体" w:cs="宋体"/>
                <w:kern w:val="0"/>
                <w:sz w:val="18"/>
                <w:szCs w:val="18"/>
              </w:rPr>
              <w:br w:type="textWrapping"/>
            </w:r>
            <w:r>
              <w:rPr>
                <w:rFonts w:hint="eastAsia" w:ascii="宋体" w:hAnsi="宋体" w:cs="宋体"/>
                <w:kern w:val="0"/>
                <w:sz w:val="18"/>
                <w:szCs w:val="18"/>
              </w:rPr>
              <w:t>9.3 审核：审核、批量审核、核销、历史核销、清户等</w:t>
            </w:r>
            <w:r>
              <w:rPr>
                <w:rFonts w:hint="eastAsia" w:ascii="宋体" w:hAnsi="宋体" w:cs="宋体"/>
                <w:kern w:val="0"/>
                <w:sz w:val="18"/>
                <w:szCs w:val="18"/>
              </w:rPr>
              <w:br w:type="textWrapping"/>
            </w:r>
            <w:r>
              <w:rPr>
                <w:rFonts w:hint="eastAsia" w:ascii="宋体" w:hAnsi="宋体" w:cs="宋体"/>
                <w:kern w:val="0"/>
                <w:sz w:val="18"/>
                <w:szCs w:val="18"/>
              </w:rPr>
              <w:t>9.4 查询分析：账龄分析、往来账、明细账、有效账、日志等</w:t>
            </w:r>
            <w:r>
              <w:rPr>
                <w:rFonts w:hint="eastAsia" w:ascii="宋体" w:hAnsi="宋体" w:cs="宋体"/>
                <w:kern w:val="0"/>
                <w:sz w:val="18"/>
                <w:szCs w:val="18"/>
              </w:rPr>
              <w:br w:type="textWrapping"/>
            </w:r>
            <w:r>
              <w:rPr>
                <w:rFonts w:hint="eastAsia" w:ascii="宋体" w:hAnsi="宋体" w:cs="宋体"/>
                <w:kern w:val="0"/>
                <w:sz w:val="18"/>
                <w:szCs w:val="18"/>
              </w:rPr>
              <w:t>10、系统接口</w:t>
            </w:r>
            <w:r>
              <w:rPr>
                <w:rFonts w:hint="eastAsia" w:ascii="宋体" w:hAnsi="宋体" w:cs="宋体"/>
                <w:kern w:val="0"/>
                <w:sz w:val="18"/>
                <w:szCs w:val="18"/>
              </w:rPr>
              <w:br w:type="textWrapping"/>
            </w:r>
            <w:r>
              <w:rPr>
                <w:rFonts w:hint="eastAsia" w:ascii="宋体" w:hAnsi="宋体" w:cs="宋体"/>
                <w:kern w:val="0"/>
                <w:sz w:val="18"/>
                <w:szCs w:val="18"/>
              </w:rPr>
              <w:t>10.1 电话计费：电话交换机计费、等级控制等</w:t>
            </w:r>
            <w:r>
              <w:rPr>
                <w:rFonts w:hint="eastAsia" w:ascii="宋体" w:hAnsi="宋体" w:cs="宋体"/>
                <w:kern w:val="0"/>
                <w:sz w:val="18"/>
                <w:szCs w:val="18"/>
              </w:rPr>
              <w:br w:type="textWrapping"/>
            </w:r>
            <w:r>
              <w:rPr>
                <w:rFonts w:hint="eastAsia" w:ascii="宋体" w:hAnsi="宋体" w:cs="宋体"/>
                <w:kern w:val="0"/>
                <w:sz w:val="18"/>
                <w:szCs w:val="18"/>
              </w:rPr>
              <w:t>10.2 电子门锁：电子门锁的相关接口</w:t>
            </w:r>
            <w:r>
              <w:rPr>
                <w:rFonts w:hint="eastAsia" w:ascii="宋体" w:hAnsi="宋体" w:cs="宋体"/>
                <w:kern w:val="0"/>
                <w:sz w:val="18"/>
                <w:szCs w:val="18"/>
              </w:rPr>
              <w:br w:type="textWrapping"/>
            </w:r>
            <w:r>
              <w:rPr>
                <w:rFonts w:hint="eastAsia" w:ascii="宋体" w:hAnsi="宋体" w:cs="宋体"/>
                <w:kern w:val="0"/>
                <w:sz w:val="18"/>
                <w:szCs w:val="18"/>
              </w:rPr>
              <w:t>10.3 身份证：二代身份证读写接口</w:t>
            </w:r>
            <w:r>
              <w:rPr>
                <w:rFonts w:hint="eastAsia" w:ascii="宋体" w:hAnsi="宋体" w:cs="宋体"/>
                <w:kern w:val="0"/>
                <w:sz w:val="18"/>
                <w:szCs w:val="18"/>
              </w:rPr>
              <w:br w:type="textWrapping"/>
            </w:r>
            <w:r>
              <w:rPr>
                <w:rFonts w:hint="eastAsia" w:ascii="宋体" w:hAnsi="宋体" w:cs="宋体"/>
                <w:kern w:val="0"/>
                <w:sz w:val="18"/>
                <w:szCs w:val="18"/>
              </w:rPr>
              <w:t>10.4 其他接口：酒店需要的其他相关接口</w:t>
            </w:r>
            <w:r>
              <w:rPr>
                <w:rFonts w:hint="eastAsia" w:ascii="宋体" w:hAnsi="宋体" w:cs="宋体"/>
                <w:kern w:val="0"/>
                <w:sz w:val="18"/>
                <w:szCs w:val="18"/>
              </w:rPr>
              <w:br w:type="textWrapping"/>
            </w:r>
            <w:r>
              <w:rPr>
                <w:rFonts w:hint="eastAsia" w:ascii="宋体" w:hAnsi="宋体" w:cs="宋体"/>
                <w:kern w:val="0"/>
                <w:sz w:val="18"/>
                <w:szCs w:val="18"/>
              </w:rPr>
              <w:t>11、模拟训练场景</w:t>
            </w:r>
            <w:r>
              <w:rPr>
                <w:rFonts w:hint="eastAsia" w:ascii="宋体" w:hAnsi="宋体" w:cs="宋体"/>
                <w:kern w:val="0"/>
                <w:sz w:val="18"/>
                <w:szCs w:val="18"/>
              </w:rPr>
              <w:br w:type="textWrapping"/>
            </w:r>
            <w:r>
              <w:rPr>
                <w:rFonts w:hint="eastAsia" w:ascii="宋体" w:hAnsi="宋体" w:cs="宋体"/>
                <w:kern w:val="0"/>
                <w:sz w:val="18"/>
                <w:szCs w:val="18"/>
              </w:rPr>
              <w:t>11.1 模拟训练软件包含≥130个典型工作场景</w:t>
            </w:r>
            <w:r>
              <w:rPr>
                <w:rFonts w:hint="eastAsia" w:ascii="宋体" w:hAnsi="宋体" w:cs="宋体"/>
                <w:kern w:val="0"/>
                <w:sz w:val="18"/>
                <w:szCs w:val="18"/>
              </w:rPr>
              <w:br w:type="textWrapping"/>
            </w:r>
            <w:r>
              <w:rPr>
                <w:rFonts w:hint="eastAsia" w:ascii="宋体" w:hAnsi="宋体" w:cs="宋体"/>
                <w:kern w:val="0"/>
                <w:sz w:val="18"/>
                <w:szCs w:val="18"/>
              </w:rPr>
              <w:t>12、教师管理功能</w:t>
            </w:r>
            <w:r>
              <w:rPr>
                <w:rFonts w:hint="eastAsia" w:ascii="宋体" w:hAnsi="宋体" w:cs="宋体"/>
                <w:kern w:val="0"/>
                <w:sz w:val="18"/>
                <w:szCs w:val="18"/>
              </w:rPr>
              <w:br w:type="textWrapping"/>
            </w:r>
            <w:r>
              <w:rPr>
                <w:rFonts w:hint="eastAsia" w:ascii="宋体" w:hAnsi="宋体" w:cs="宋体"/>
                <w:kern w:val="0"/>
                <w:sz w:val="18"/>
                <w:szCs w:val="18"/>
              </w:rPr>
              <w:t>12.1 教师角色可综合查询查看学习进度、分析薄弱技能点等重要信息</w:t>
            </w:r>
            <w:r>
              <w:rPr>
                <w:rFonts w:hint="eastAsia" w:ascii="宋体" w:hAnsi="宋体" w:cs="宋体"/>
                <w:kern w:val="0"/>
                <w:sz w:val="18"/>
                <w:szCs w:val="18"/>
              </w:rPr>
              <w:br w:type="textWrapping"/>
            </w:r>
            <w:r>
              <w:rPr>
                <w:rFonts w:hint="eastAsia" w:ascii="宋体" w:hAnsi="宋体" w:cs="宋体"/>
                <w:color w:val="auto"/>
                <w:kern w:val="0"/>
                <w:sz w:val="18"/>
                <w:szCs w:val="18"/>
              </w:rPr>
              <w:t>12.2 教师角色选择PK模式与作业模式发布练习任务</w:t>
            </w:r>
          </w:p>
          <w:p w14:paraId="51A2FCFF">
            <w:pPr>
              <w:widowControl/>
              <w:numPr>
                <w:ilvl w:val="0"/>
                <w:numId w:val="0"/>
              </w:numPr>
              <w:jc w:val="left"/>
              <w:rPr>
                <w:rFonts w:ascii="宋体" w:hAnsi="宋体" w:cs="宋体"/>
                <w:kern w:val="0"/>
                <w:sz w:val="18"/>
                <w:szCs w:val="18"/>
              </w:rPr>
            </w:pPr>
            <w:r>
              <w:rPr>
                <w:rFonts w:hint="eastAsia" w:ascii="宋体" w:hAnsi="宋体" w:cs="宋体"/>
                <w:kern w:val="0"/>
                <w:sz w:val="18"/>
                <w:szCs w:val="18"/>
              </w:rPr>
              <w:t>13、AI智能评估功能</w:t>
            </w:r>
            <w:r>
              <w:rPr>
                <w:rFonts w:hint="eastAsia" w:ascii="宋体" w:hAnsi="宋体" w:cs="宋体"/>
                <w:kern w:val="0"/>
                <w:sz w:val="18"/>
                <w:szCs w:val="18"/>
              </w:rPr>
              <w:br w:type="textWrapping"/>
            </w:r>
            <w:r>
              <w:rPr>
                <w:rFonts w:hint="eastAsia" w:ascii="宋体" w:hAnsi="宋体" w:cs="宋体"/>
                <w:kern w:val="0"/>
                <w:sz w:val="18"/>
                <w:szCs w:val="18"/>
              </w:rPr>
              <w:t>13.1 系统可通过AI技术模拟客人，同时通过AI技术自动评估学员的“表情”、“话术”、“流程”、“操作”四个维度的表现</w:t>
            </w:r>
            <w:r>
              <w:rPr>
                <w:rFonts w:hint="eastAsia" w:ascii="宋体" w:hAnsi="宋体" w:cs="宋体"/>
                <w:kern w:val="0"/>
                <w:sz w:val="18"/>
                <w:szCs w:val="18"/>
              </w:rPr>
              <w:br w:type="textWrapping"/>
            </w:r>
            <w:r>
              <w:rPr>
                <w:rFonts w:hint="eastAsia" w:ascii="宋体" w:hAnsi="宋体" w:cs="宋体"/>
                <w:kern w:val="0"/>
                <w:sz w:val="18"/>
                <w:szCs w:val="18"/>
              </w:rPr>
              <w:t>13.2 支持人机对话、表情管理，任务完成后自动生成评估报告</w:t>
            </w:r>
            <w:r>
              <w:rPr>
                <w:rFonts w:hint="eastAsia" w:ascii="宋体" w:hAnsi="宋体" w:cs="宋体"/>
                <w:kern w:val="0"/>
                <w:sz w:val="18"/>
                <w:szCs w:val="18"/>
              </w:rPr>
              <w:br w:type="textWrapping"/>
            </w:r>
            <w:r>
              <w:rPr>
                <w:rFonts w:hint="eastAsia" w:ascii="宋体" w:hAnsi="宋体" w:cs="宋体"/>
                <w:kern w:val="0"/>
                <w:sz w:val="18"/>
                <w:szCs w:val="18"/>
              </w:rPr>
              <w:t>14、场景数量要求</w:t>
            </w:r>
            <w:r>
              <w:rPr>
                <w:rFonts w:hint="eastAsia" w:ascii="宋体" w:hAnsi="宋体" w:cs="宋体"/>
                <w:kern w:val="0"/>
                <w:sz w:val="18"/>
                <w:szCs w:val="18"/>
              </w:rPr>
              <w:br w:type="textWrapping"/>
            </w:r>
            <w:r>
              <w:rPr>
                <w:rFonts w:hint="eastAsia" w:ascii="宋体" w:hAnsi="宋体" w:cs="宋体"/>
                <w:kern w:val="0"/>
                <w:sz w:val="18"/>
                <w:szCs w:val="18"/>
              </w:rPr>
              <w:t>14.1 查询:报表场景≥18个; 历史预订场景≥2个; 历史在住≥2个; 房态查询场景≥3个; 留言场景≥2个; 客房可用场景≥5个; 客房预测场景≥1个; 事务列表场景≥1个; 实时房情场景≥1个</w:t>
            </w:r>
            <w:r>
              <w:rPr>
                <w:rFonts w:hint="eastAsia" w:ascii="宋体" w:hAnsi="宋体" w:cs="宋体"/>
                <w:kern w:val="0"/>
                <w:sz w:val="18"/>
                <w:szCs w:val="18"/>
              </w:rPr>
              <w:br w:type="textWrapping"/>
            </w:r>
            <w:r>
              <w:rPr>
                <w:rFonts w:hint="eastAsia" w:ascii="宋体" w:hAnsi="宋体" w:cs="宋体"/>
                <w:kern w:val="0"/>
                <w:sz w:val="18"/>
                <w:szCs w:val="18"/>
              </w:rPr>
              <w:t>15、客房预定场景</w:t>
            </w:r>
            <w:r>
              <w:rPr>
                <w:rFonts w:hint="eastAsia" w:ascii="宋体" w:hAnsi="宋体" w:cs="宋体"/>
                <w:kern w:val="0"/>
                <w:sz w:val="18"/>
                <w:szCs w:val="18"/>
              </w:rPr>
              <w:br w:type="textWrapping"/>
            </w:r>
            <w:r>
              <w:rPr>
                <w:rFonts w:hint="eastAsia" w:ascii="宋体" w:hAnsi="宋体" w:cs="宋体"/>
                <w:kern w:val="0"/>
                <w:sz w:val="18"/>
                <w:szCs w:val="18"/>
              </w:rPr>
              <w:t>15.1 散客预订:普通客人预订场景≥6个; 协议单位预订场景≥4个; 会员卡客人预订场景≥1个; 免费房或自用房场景≥2个; 预订个性化需求场景≥13个</w:t>
            </w:r>
            <w:r>
              <w:rPr>
                <w:rFonts w:hint="eastAsia" w:ascii="宋体" w:hAnsi="宋体" w:cs="宋体"/>
                <w:kern w:val="0"/>
                <w:sz w:val="18"/>
                <w:szCs w:val="18"/>
              </w:rPr>
              <w:br w:type="textWrapping"/>
            </w:r>
            <w:r>
              <w:rPr>
                <w:rFonts w:hint="eastAsia" w:ascii="宋体" w:hAnsi="宋体" w:cs="宋体"/>
                <w:kern w:val="0"/>
                <w:sz w:val="18"/>
                <w:szCs w:val="18"/>
              </w:rPr>
              <w:t>15.2 团队预订场景≥2个</w:t>
            </w:r>
            <w:r>
              <w:rPr>
                <w:rFonts w:hint="eastAsia" w:ascii="宋体" w:hAnsi="宋体" w:cs="宋体"/>
                <w:kern w:val="0"/>
                <w:sz w:val="18"/>
                <w:szCs w:val="18"/>
              </w:rPr>
              <w:br w:type="textWrapping"/>
            </w:r>
            <w:r>
              <w:rPr>
                <w:rFonts w:hint="eastAsia" w:ascii="宋体" w:hAnsi="宋体" w:cs="宋体"/>
                <w:kern w:val="0"/>
                <w:sz w:val="18"/>
                <w:szCs w:val="18"/>
              </w:rPr>
              <w:t>15.3 预订修改: 预订信息修改场景≥6个, 预定取消或应到未到场景≥8个; 升级场景≥4个</w:t>
            </w:r>
            <w:r>
              <w:rPr>
                <w:rFonts w:hint="eastAsia" w:ascii="宋体" w:hAnsi="宋体" w:cs="宋体"/>
                <w:kern w:val="0"/>
                <w:sz w:val="18"/>
                <w:szCs w:val="18"/>
              </w:rPr>
              <w:br w:type="textWrapping"/>
            </w:r>
            <w:r>
              <w:rPr>
                <w:rFonts w:hint="eastAsia" w:ascii="宋体" w:hAnsi="宋体" w:cs="宋体"/>
                <w:kern w:val="0"/>
                <w:sz w:val="18"/>
                <w:szCs w:val="18"/>
              </w:rPr>
              <w:t>15.4 同住场景≥2个、联房场景≥4个、散团转化场景≥3个、批量修改场景≥2个</w:t>
            </w:r>
            <w:r>
              <w:rPr>
                <w:rFonts w:hint="eastAsia" w:ascii="宋体" w:hAnsi="宋体" w:cs="宋体"/>
                <w:kern w:val="0"/>
                <w:sz w:val="18"/>
                <w:szCs w:val="18"/>
              </w:rPr>
              <w:br w:type="textWrapping"/>
            </w:r>
            <w:r>
              <w:rPr>
                <w:rFonts w:hint="eastAsia" w:ascii="宋体" w:hAnsi="宋体" w:cs="宋体"/>
                <w:kern w:val="0"/>
                <w:sz w:val="18"/>
                <w:szCs w:val="18"/>
              </w:rPr>
              <w:t>16、前台接待场景</w:t>
            </w:r>
            <w:r>
              <w:rPr>
                <w:rFonts w:hint="eastAsia" w:ascii="宋体" w:hAnsi="宋体" w:cs="宋体"/>
                <w:kern w:val="0"/>
                <w:sz w:val="18"/>
                <w:szCs w:val="18"/>
              </w:rPr>
              <w:br w:type="textWrapping"/>
            </w:r>
            <w:r>
              <w:rPr>
                <w:rFonts w:hint="eastAsia" w:ascii="宋体" w:hAnsi="宋体" w:cs="宋体"/>
                <w:kern w:val="0"/>
                <w:sz w:val="18"/>
                <w:szCs w:val="18"/>
              </w:rPr>
              <w:t>16.1 准备工作: 预先排房场景≥5个</w:t>
            </w:r>
            <w:r>
              <w:rPr>
                <w:rFonts w:hint="eastAsia" w:ascii="宋体" w:hAnsi="宋体" w:cs="宋体"/>
                <w:kern w:val="0"/>
                <w:sz w:val="18"/>
                <w:szCs w:val="18"/>
              </w:rPr>
              <w:br w:type="textWrapping"/>
            </w:r>
            <w:r>
              <w:rPr>
                <w:rFonts w:hint="eastAsia" w:ascii="宋体" w:hAnsi="宋体" w:cs="宋体"/>
                <w:kern w:val="0"/>
                <w:sz w:val="18"/>
                <w:szCs w:val="18"/>
              </w:rPr>
              <w:t>16.2 办理登记: 散客预订入住场景≥3个、团队预订入住场景≥1个、直接上门场景≥2个</w:t>
            </w:r>
            <w:r>
              <w:rPr>
                <w:rFonts w:hint="eastAsia" w:ascii="宋体" w:hAnsi="宋体" w:cs="宋体"/>
                <w:kern w:val="0"/>
                <w:sz w:val="18"/>
                <w:szCs w:val="18"/>
              </w:rPr>
              <w:br w:type="textWrapping"/>
            </w:r>
            <w:r>
              <w:rPr>
                <w:rFonts w:hint="eastAsia" w:ascii="宋体" w:hAnsi="宋体" w:cs="宋体"/>
                <w:kern w:val="0"/>
                <w:sz w:val="18"/>
                <w:szCs w:val="18"/>
              </w:rPr>
              <w:t>16.3 在住客人相关: 查询在住客人场景≥2个；租赁≥5个场景；换房≥3个场景；续住≥1个场景</w:t>
            </w:r>
            <w:r>
              <w:rPr>
                <w:rFonts w:hint="eastAsia" w:ascii="宋体" w:hAnsi="宋体" w:cs="宋体"/>
                <w:kern w:val="0"/>
                <w:sz w:val="18"/>
                <w:szCs w:val="18"/>
              </w:rPr>
              <w:br w:type="textWrapping"/>
            </w:r>
            <w:r>
              <w:rPr>
                <w:rFonts w:hint="eastAsia" w:ascii="宋体" w:hAnsi="宋体" w:cs="宋体"/>
                <w:kern w:val="0"/>
                <w:sz w:val="18"/>
                <w:szCs w:val="18"/>
              </w:rPr>
              <w:t>17、 前台收银场景</w:t>
            </w:r>
            <w:r>
              <w:rPr>
                <w:rFonts w:hint="eastAsia" w:ascii="宋体" w:hAnsi="宋体" w:cs="宋体"/>
                <w:kern w:val="0"/>
                <w:sz w:val="18"/>
                <w:szCs w:val="18"/>
              </w:rPr>
              <w:br w:type="textWrapping"/>
            </w:r>
            <w:r>
              <w:rPr>
                <w:rFonts w:hint="eastAsia" w:ascii="宋体" w:hAnsi="宋体" w:cs="宋体"/>
                <w:kern w:val="0"/>
                <w:sz w:val="18"/>
                <w:szCs w:val="18"/>
              </w:rPr>
              <w:t>17.1 账务处理: 客账余额查询≥1个场景、本日将离场景≥1个</w:t>
            </w:r>
            <w:r>
              <w:rPr>
                <w:rFonts w:hint="eastAsia" w:ascii="宋体" w:hAnsi="宋体" w:cs="宋体"/>
                <w:kern w:val="0"/>
                <w:sz w:val="18"/>
                <w:szCs w:val="18"/>
              </w:rPr>
              <w:br w:type="textWrapping"/>
            </w:r>
            <w:r>
              <w:rPr>
                <w:rFonts w:hint="eastAsia" w:ascii="宋体" w:hAnsi="宋体" w:cs="宋体"/>
                <w:kern w:val="0"/>
                <w:sz w:val="18"/>
                <w:szCs w:val="18"/>
              </w:rPr>
              <w:t>17.2 账务录入:押金收取场景≥5个、消费录入场景≥4个</w:t>
            </w:r>
            <w:r>
              <w:rPr>
                <w:rFonts w:hint="eastAsia" w:ascii="宋体" w:hAnsi="宋体" w:cs="宋体"/>
                <w:kern w:val="0"/>
                <w:sz w:val="18"/>
                <w:szCs w:val="18"/>
              </w:rPr>
              <w:br w:type="textWrapping"/>
            </w:r>
            <w:r>
              <w:rPr>
                <w:rFonts w:hint="eastAsia" w:ascii="宋体" w:hAnsi="宋体" w:cs="宋体"/>
                <w:kern w:val="0"/>
                <w:sz w:val="18"/>
                <w:szCs w:val="18"/>
              </w:rPr>
              <w:t>17.3 错账补救:冲账场景≥1个、调整场景≥1个、明细错账场景≥2个；Rebate冲减场景≥1个</w:t>
            </w:r>
            <w:r>
              <w:rPr>
                <w:rFonts w:hint="eastAsia" w:ascii="宋体" w:hAnsi="宋体" w:cs="宋体"/>
                <w:kern w:val="0"/>
                <w:sz w:val="18"/>
                <w:szCs w:val="18"/>
              </w:rPr>
              <w:br w:type="textWrapping"/>
            </w:r>
            <w:r>
              <w:rPr>
                <w:rFonts w:hint="eastAsia" w:ascii="宋体" w:hAnsi="宋体" w:cs="宋体"/>
                <w:kern w:val="0"/>
                <w:sz w:val="18"/>
                <w:szCs w:val="18"/>
              </w:rPr>
              <w:t>17.4 账务其他:分账场景≥2个、选账场景≥3个、转账场景≥2个、账单打印场景≥1个</w:t>
            </w:r>
            <w:r>
              <w:rPr>
                <w:rFonts w:hint="eastAsia" w:ascii="宋体" w:hAnsi="宋体" w:cs="宋体"/>
                <w:kern w:val="0"/>
                <w:sz w:val="18"/>
                <w:szCs w:val="18"/>
              </w:rPr>
              <w:br w:type="textWrapping"/>
            </w:r>
            <w:r>
              <w:rPr>
                <w:rFonts w:hint="eastAsia" w:ascii="宋体" w:hAnsi="宋体" w:cs="宋体"/>
                <w:kern w:val="0"/>
                <w:sz w:val="18"/>
                <w:szCs w:val="18"/>
              </w:rPr>
              <w:t>17.5 结账:散客结账场景≥6个、同住客结账场景≥2个、联房客人结账场景≥4个</w:t>
            </w:r>
            <w:r>
              <w:rPr>
                <w:rFonts w:hint="eastAsia" w:ascii="宋体" w:hAnsi="宋体" w:cs="宋体"/>
                <w:kern w:val="0"/>
                <w:sz w:val="18"/>
                <w:szCs w:val="18"/>
              </w:rPr>
              <w:br w:type="textWrapping"/>
            </w:r>
            <w:r>
              <w:rPr>
                <w:rFonts w:hint="eastAsia" w:ascii="宋体" w:hAnsi="宋体" w:cs="宋体"/>
                <w:kern w:val="0"/>
                <w:sz w:val="18"/>
                <w:szCs w:val="18"/>
              </w:rPr>
              <w:t>17.6 交接班:交班报表场景≥1个；账务查询场景≥1个</w:t>
            </w:r>
            <w:r>
              <w:rPr>
                <w:rFonts w:hint="eastAsia" w:ascii="宋体" w:hAnsi="宋体" w:cs="宋体"/>
                <w:kern w:val="0"/>
                <w:sz w:val="18"/>
                <w:szCs w:val="18"/>
              </w:rPr>
              <w:br w:type="textWrapping"/>
            </w:r>
            <w:r>
              <w:rPr>
                <w:rFonts w:hint="eastAsia" w:ascii="宋体" w:hAnsi="宋体" w:cs="宋体"/>
                <w:kern w:val="0"/>
                <w:sz w:val="18"/>
                <w:szCs w:val="18"/>
              </w:rPr>
              <w:t>17.7 夜审:夜审操作场景≥1个</w:t>
            </w:r>
          </w:p>
        </w:tc>
        <w:tc>
          <w:tcPr>
            <w:tcW w:w="404" w:type="dxa"/>
            <w:tcBorders>
              <w:top w:val="nil"/>
              <w:left w:val="nil"/>
              <w:bottom w:val="single" w:color="auto" w:sz="4" w:space="0"/>
              <w:right w:val="single" w:color="auto" w:sz="4" w:space="0"/>
            </w:tcBorders>
            <w:shd w:val="clear" w:color="000000" w:fill="FFFFFF"/>
            <w:vAlign w:val="center"/>
          </w:tcPr>
          <w:p w14:paraId="74D097FA">
            <w:pPr>
              <w:widowControl/>
              <w:jc w:val="center"/>
              <w:rPr>
                <w:rFonts w:ascii="宋体" w:hAnsi="宋体" w:cs="宋体"/>
                <w:kern w:val="0"/>
                <w:sz w:val="18"/>
                <w:szCs w:val="18"/>
              </w:rPr>
            </w:pPr>
            <w:r>
              <w:rPr>
                <w:rFonts w:hint="eastAsia" w:ascii="宋体" w:hAnsi="宋体" w:cs="宋体"/>
                <w:kern w:val="0"/>
                <w:sz w:val="18"/>
                <w:szCs w:val="18"/>
              </w:rPr>
              <w:t>1</w:t>
            </w:r>
          </w:p>
        </w:tc>
        <w:tc>
          <w:tcPr>
            <w:tcW w:w="504" w:type="dxa"/>
            <w:tcBorders>
              <w:top w:val="nil"/>
              <w:left w:val="nil"/>
              <w:bottom w:val="single" w:color="auto" w:sz="4" w:space="0"/>
              <w:right w:val="single" w:color="auto" w:sz="4" w:space="0"/>
            </w:tcBorders>
            <w:shd w:val="clear" w:color="000000" w:fill="FFFFFF"/>
            <w:vAlign w:val="center"/>
          </w:tcPr>
          <w:p w14:paraId="01634DC2">
            <w:pPr>
              <w:widowControl/>
              <w:jc w:val="center"/>
              <w:rPr>
                <w:rFonts w:ascii="宋体" w:hAnsi="宋体" w:cs="宋体"/>
                <w:kern w:val="0"/>
                <w:sz w:val="18"/>
                <w:szCs w:val="18"/>
              </w:rPr>
            </w:pPr>
            <w:r>
              <w:rPr>
                <w:rFonts w:hint="eastAsia" w:ascii="宋体" w:hAnsi="宋体" w:cs="宋体"/>
                <w:kern w:val="0"/>
                <w:sz w:val="18"/>
                <w:szCs w:val="18"/>
              </w:rPr>
              <w:t>套</w:t>
            </w:r>
          </w:p>
        </w:tc>
        <w:tc>
          <w:tcPr>
            <w:tcW w:w="823" w:type="dxa"/>
            <w:tcBorders>
              <w:top w:val="nil"/>
              <w:left w:val="nil"/>
              <w:bottom w:val="single" w:color="auto" w:sz="4" w:space="0"/>
              <w:right w:val="single" w:color="auto" w:sz="4" w:space="0"/>
            </w:tcBorders>
            <w:shd w:val="clear" w:color="000000" w:fill="FFFFFF"/>
            <w:vAlign w:val="center"/>
          </w:tcPr>
          <w:p w14:paraId="59AAA95F">
            <w:pPr>
              <w:widowControl/>
              <w:jc w:val="left"/>
              <w:rPr>
                <w:rFonts w:ascii="宋体" w:hAnsi="宋体" w:cs="宋体"/>
                <w:kern w:val="0"/>
                <w:sz w:val="18"/>
                <w:szCs w:val="18"/>
              </w:rPr>
            </w:pPr>
            <w:r>
              <w:rPr>
                <w:rFonts w:hint="eastAsia" w:ascii="宋体" w:hAnsi="宋体" w:cs="宋体"/>
                <w:kern w:val="0"/>
                <w:sz w:val="18"/>
                <w:szCs w:val="18"/>
              </w:rPr>
              <w:t xml:space="preserve">167000 </w:t>
            </w:r>
          </w:p>
        </w:tc>
        <w:tc>
          <w:tcPr>
            <w:tcW w:w="865" w:type="dxa"/>
            <w:tcBorders>
              <w:top w:val="nil"/>
              <w:left w:val="nil"/>
              <w:bottom w:val="single" w:color="auto" w:sz="4" w:space="0"/>
              <w:right w:val="single" w:color="auto" w:sz="4" w:space="0"/>
            </w:tcBorders>
            <w:shd w:val="clear" w:color="000000" w:fill="FFFFFF"/>
            <w:vAlign w:val="center"/>
          </w:tcPr>
          <w:p w14:paraId="03308D90">
            <w:pPr>
              <w:widowControl/>
              <w:jc w:val="left"/>
              <w:rPr>
                <w:rFonts w:ascii="宋体" w:hAnsi="宋体" w:cs="宋体"/>
                <w:kern w:val="0"/>
                <w:sz w:val="18"/>
                <w:szCs w:val="18"/>
              </w:rPr>
            </w:pPr>
            <w:r>
              <w:rPr>
                <w:rFonts w:hint="eastAsia" w:ascii="宋体" w:hAnsi="宋体" w:cs="宋体"/>
                <w:kern w:val="0"/>
                <w:sz w:val="18"/>
                <w:szCs w:val="18"/>
              </w:rPr>
              <w:t xml:space="preserve">167000 </w:t>
            </w:r>
          </w:p>
        </w:tc>
      </w:tr>
      <w:tr w14:paraId="4F7B1EFB">
        <w:tblPrEx>
          <w:tblCellMar>
            <w:top w:w="0" w:type="dxa"/>
            <w:left w:w="108" w:type="dxa"/>
            <w:bottom w:w="0" w:type="dxa"/>
            <w:right w:w="108" w:type="dxa"/>
          </w:tblCellMar>
        </w:tblPrEx>
        <w:trPr>
          <w:trHeight w:val="3271" w:hRule="atLeast"/>
        </w:trPr>
        <w:tc>
          <w:tcPr>
            <w:tcW w:w="409" w:type="dxa"/>
            <w:tcBorders>
              <w:top w:val="nil"/>
              <w:left w:val="single" w:color="auto" w:sz="4" w:space="0"/>
              <w:bottom w:val="single" w:color="auto" w:sz="4" w:space="0"/>
              <w:right w:val="single" w:color="auto" w:sz="4" w:space="0"/>
            </w:tcBorders>
            <w:shd w:val="clear" w:color="000000" w:fill="FFFFFF"/>
            <w:noWrap/>
            <w:vAlign w:val="center"/>
          </w:tcPr>
          <w:p w14:paraId="1AAB2830">
            <w:pPr>
              <w:widowControl/>
              <w:jc w:val="center"/>
              <w:rPr>
                <w:rFonts w:ascii="宋体" w:hAnsi="宋体" w:cs="宋体"/>
                <w:kern w:val="0"/>
                <w:sz w:val="18"/>
                <w:szCs w:val="18"/>
              </w:rPr>
            </w:pPr>
            <w:r>
              <w:rPr>
                <w:rFonts w:hint="eastAsia" w:ascii="宋体" w:hAnsi="宋体" w:cs="宋体"/>
                <w:kern w:val="0"/>
                <w:sz w:val="18"/>
                <w:szCs w:val="18"/>
              </w:rPr>
              <w:t>2</w:t>
            </w:r>
          </w:p>
        </w:tc>
        <w:tc>
          <w:tcPr>
            <w:tcW w:w="878" w:type="dxa"/>
            <w:tcBorders>
              <w:top w:val="nil"/>
              <w:left w:val="nil"/>
              <w:bottom w:val="single" w:color="auto" w:sz="4" w:space="0"/>
              <w:right w:val="single" w:color="auto" w:sz="4" w:space="0"/>
            </w:tcBorders>
            <w:shd w:val="clear" w:color="000000" w:fill="FFFFFF"/>
            <w:vAlign w:val="center"/>
          </w:tcPr>
          <w:p w14:paraId="333175E8">
            <w:pPr>
              <w:widowControl/>
              <w:jc w:val="center"/>
              <w:rPr>
                <w:rFonts w:ascii="宋体" w:hAnsi="宋体" w:cs="宋体"/>
                <w:kern w:val="0"/>
                <w:sz w:val="18"/>
                <w:szCs w:val="18"/>
              </w:rPr>
            </w:pPr>
            <w:r>
              <w:rPr>
                <w:rFonts w:hint="eastAsia" w:ascii="宋体" w:hAnsi="宋体" w:cs="宋体"/>
                <w:kern w:val="0"/>
                <w:sz w:val="18"/>
                <w:szCs w:val="18"/>
              </w:rPr>
              <w:t>PMS系统（民宿版）</w:t>
            </w:r>
          </w:p>
        </w:tc>
        <w:tc>
          <w:tcPr>
            <w:tcW w:w="4717" w:type="dxa"/>
            <w:tcBorders>
              <w:top w:val="nil"/>
              <w:left w:val="nil"/>
              <w:bottom w:val="single" w:color="auto" w:sz="4" w:space="0"/>
              <w:right w:val="single" w:color="auto" w:sz="4" w:space="0"/>
            </w:tcBorders>
            <w:shd w:val="clear" w:color="000000" w:fill="FFFFFF"/>
            <w:vAlign w:val="center"/>
          </w:tcPr>
          <w:p w14:paraId="0B850F2A">
            <w:pPr>
              <w:widowControl/>
              <w:jc w:val="left"/>
              <w:rPr>
                <w:rFonts w:ascii="宋体" w:hAnsi="宋体" w:cs="宋体"/>
                <w:color w:val="FF0000"/>
                <w:kern w:val="0"/>
                <w:sz w:val="18"/>
                <w:szCs w:val="18"/>
              </w:rPr>
            </w:pPr>
            <w:r>
              <w:rPr>
                <w:rFonts w:hint="eastAsia" w:ascii="宋体" w:hAnsi="宋体" w:cs="宋体"/>
                <w:kern w:val="0"/>
                <w:sz w:val="18"/>
                <w:szCs w:val="18"/>
              </w:rPr>
              <w:t>1、预订模块</w:t>
            </w:r>
            <w:r>
              <w:rPr>
                <w:rFonts w:hint="eastAsia" w:ascii="宋体" w:hAnsi="宋体" w:cs="宋体"/>
                <w:kern w:val="0"/>
                <w:sz w:val="18"/>
                <w:szCs w:val="18"/>
              </w:rPr>
              <w:br w:type="textWrapping"/>
            </w:r>
            <w:r>
              <w:rPr>
                <w:rFonts w:hint="eastAsia" w:ascii="宋体" w:hAnsi="宋体" w:cs="宋体"/>
                <w:kern w:val="0"/>
                <w:sz w:val="18"/>
                <w:szCs w:val="18"/>
              </w:rPr>
              <w:t>1.1 预订管理</w:t>
            </w:r>
            <w:r>
              <w:rPr>
                <w:rFonts w:hint="eastAsia" w:ascii="宋体" w:hAnsi="宋体" w:cs="宋体"/>
                <w:kern w:val="0"/>
                <w:sz w:val="18"/>
                <w:szCs w:val="18"/>
              </w:rPr>
              <w:br w:type="textWrapping"/>
            </w:r>
            <w:r>
              <w:rPr>
                <w:rFonts w:hint="eastAsia" w:ascii="宋体" w:hAnsi="宋体" w:cs="宋体"/>
                <w:kern w:val="0"/>
                <w:sz w:val="18"/>
                <w:szCs w:val="18"/>
              </w:rPr>
              <w:t>1.1.1 散客预订：支持多房间、多房类预订，同张预订单客人联房、多客户类型预订，可关联佣金码、销售员、协议单位、会员号、中介</w:t>
            </w:r>
            <w:r>
              <w:rPr>
                <w:rFonts w:hint="eastAsia" w:ascii="宋体" w:hAnsi="宋体" w:cs="宋体"/>
                <w:kern w:val="0"/>
                <w:sz w:val="18"/>
                <w:szCs w:val="18"/>
              </w:rPr>
              <w:br w:type="textWrapping"/>
            </w:r>
            <w:r>
              <w:rPr>
                <w:rFonts w:hint="eastAsia" w:ascii="宋体" w:hAnsi="宋体" w:cs="宋体"/>
                <w:kern w:val="0"/>
                <w:sz w:val="18"/>
                <w:szCs w:val="18"/>
              </w:rPr>
              <w:t>1.1.2 团队预订：支持多房类预订，团队成员间默认联房，可关联佣金码、销售员</w:t>
            </w:r>
            <w:r>
              <w:rPr>
                <w:rFonts w:hint="eastAsia" w:ascii="宋体" w:hAnsi="宋体" w:cs="宋体"/>
                <w:kern w:val="0"/>
                <w:sz w:val="18"/>
                <w:szCs w:val="18"/>
              </w:rPr>
              <w:br w:type="textWrapping"/>
            </w:r>
            <w:r>
              <w:rPr>
                <w:rFonts w:hint="eastAsia" w:ascii="宋体" w:hAnsi="宋体" w:cs="宋体"/>
                <w:kern w:val="0"/>
                <w:sz w:val="18"/>
                <w:szCs w:val="18"/>
              </w:rPr>
              <w:t>1.1.3 自用/免费房预订：酒店自用房、免费房预订</w:t>
            </w:r>
            <w:r>
              <w:rPr>
                <w:rFonts w:hint="eastAsia" w:ascii="宋体" w:hAnsi="宋体" w:cs="宋体"/>
                <w:kern w:val="0"/>
                <w:sz w:val="18"/>
                <w:szCs w:val="18"/>
              </w:rPr>
              <w:br w:type="textWrapping"/>
            </w:r>
            <w:r>
              <w:rPr>
                <w:rFonts w:hint="eastAsia" w:ascii="宋体" w:hAnsi="宋体" w:cs="宋体"/>
                <w:kern w:val="0"/>
                <w:sz w:val="18"/>
                <w:szCs w:val="18"/>
              </w:rPr>
              <w:t>1.1.4 房价保密：支持房价保密</w:t>
            </w:r>
            <w:r>
              <w:rPr>
                <w:rFonts w:hint="eastAsia" w:ascii="宋体" w:hAnsi="宋体" w:cs="宋体"/>
                <w:kern w:val="0"/>
                <w:sz w:val="18"/>
                <w:szCs w:val="18"/>
              </w:rPr>
              <w:br w:type="textWrapping"/>
            </w:r>
            <w:r>
              <w:rPr>
                <w:rFonts w:hint="eastAsia" w:ascii="宋体" w:hAnsi="宋体" w:cs="宋体"/>
                <w:kern w:val="0"/>
                <w:sz w:val="18"/>
                <w:szCs w:val="18"/>
              </w:rPr>
              <w:t>1.1.5 预订账务处理：预订单可以入押金等其他费用</w:t>
            </w:r>
            <w:r>
              <w:rPr>
                <w:rFonts w:hint="eastAsia" w:ascii="宋体" w:hAnsi="宋体" w:cs="宋体"/>
                <w:kern w:val="0"/>
                <w:sz w:val="18"/>
                <w:szCs w:val="18"/>
              </w:rPr>
              <w:br w:type="textWrapping"/>
            </w:r>
            <w:r>
              <w:rPr>
                <w:rFonts w:hint="eastAsia" w:ascii="宋体" w:hAnsi="宋体" w:cs="宋体"/>
                <w:kern w:val="0"/>
                <w:sz w:val="18"/>
                <w:szCs w:val="18"/>
              </w:rPr>
              <w:t>2、接待模块</w:t>
            </w:r>
            <w:r>
              <w:rPr>
                <w:rFonts w:hint="eastAsia" w:ascii="宋体" w:hAnsi="宋体" w:cs="宋体"/>
                <w:kern w:val="0"/>
                <w:sz w:val="18"/>
                <w:szCs w:val="18"/>
              </w:rPr>
              <w:br w:type="textWrapping"/>
            </w:r>
            <w:r>
              <w:rPr>
                <w:rFonts w:hint="eastAsia" w:ascii="宋体" w:hAnsi="宋体" w:cs="宋体"/>
                <w:kern w:val="0"/>
                <w:sz w:val="18"/>
                <w:szCs w:val="18"/>
              </w:rPr>
              <w:t>2.1 接待管理</w:t>
            </w:r>
            <w:r>
              <w:rPr>
                <w:rFonts w:hint="eastAsia" w:ascii="宋体" w:hAnsi="宋体" w:cs="宋体"/>
                <w:kern w:val="0"/>
                <w:sz w:val="18"/>
                <w:szCs w:val="18"/>
              </w:rPr>
              <w:br w:type="textWrapping"/>
            </w:r>
            <w:r>
              <w:rPr>
                <w:rFonts w:hint="eastAsia" w:ascii="宋体" w:hAnsi="宋体" w:cs="宋体"/>
                <w:kern w:val="0"/>
                <w:sz w:val="18"/>
                <w:szCs w:val="18"/>
              </w:rPr>
              <w:t>2.1.1 walk-in登记：登记单隐藏来源、市场、活动码</w:t>
            </w:r>
            <w:r>
              <w:rPr>
                <w:rFonts w:hint="eastAsia" w:ascii="宋体" w:hAnsi="宋体" w:cs="宋体"/>
                <w:kern w:val="0"/>
                <w:sz w:val="18"/>
                <w:szCs w:val="18"/>
              </w:rPr>
              <w:br w:type="textWrapping"/>
            </w:r>
            <w:r>
              <w:rPr>
                <w:rFonts w:hint="eastAsia" w:ascii="宋体" w:hAnsi="宋体" w:cs="宋体"/>
                <w:kern w:val="0"/>
                <w:sz w:val="18"/>
                <w:szCs w:val="18"/>
              </w:rPr>
              <w:t>2.1.2 钟点房登记：登记时选择类型</w:t>
            </w:r>
            <w:r>
              <w:rPr>
                <w:rFonts w:hint="eastAsia" w:ascii="宋体" w:hAnsi="宋体" w:cs="宋体"/>
                <w:kern w:val="0"/>
                <w:sz w:val="18"/>
                <w:szCs w:val="18"/>
              </w:rPr>
              <w:br w:type="textWrapping"/>
            </w:r>
            <w:r>
              <w:rPr>
                <w:rFonts w:hint="eastAsia" w:ascii="宋体" w:hAnsi="宋体" w:cs="宋体"/>
                <w:kern w:val="0"/>
                <w:sz w:val="18"/>
                <w:szCs w:val="18"/>
              </w:rPr>
              <w:t>2.1.3 房态图快速登记：可以从房态图选房快速入住</w:t>
            </w:r>
            <w:r>
              <w:rPr>
                <w:rFonts w:hint="eastAsia" w:ascii="宋体" w:hAnsi="宋体" w:cs="宋体"/>
                <w:kern w:val="0"/>
                <w:sz w:val="18"/>
                <w:szCs w:val="18"/>
              </w:rPr>
              <w:br w:type="textWrapping"/>
            </w:r>
            <w:r>
              <w:rPr>
                <w:rFonts w:hint="eastAsia" w:ascii="宋体" w:hAnsi="宋体" w:cs="宋体"/>
                <w:kern w:val="0"/>
                <w:sz w:val="18"/>
                <w:szCs w:val="18"/>
              </w:rPr>
              <w:t>2.1.4 团队登记：团队客人预订登记</w:t>
            </w:r>
            <w:r>
              <w:rPr>
                <w:rFonts w:hint="eastAsia" w:ascii="宋体" w:hAnsi="宋体" w:cs="宋体"/>
                <w:kern w:val="0"/>
                <w:sz w:val="18"/>
                <w:szCs w:val="18"/>
              </w:rPr>
              <w:br w:type="textWrapping"/>
            </w:r>
            <w:r>
              <w:rPr>
                <w:rFonts w:hint="eastAsia" w:ascii="宋体" w:hAnsi="宋体" w:cs="宋体"/>
                <w:kern w:val="0"/>
                <w:sz w:val="18"/>
                <w:szCs w:val="18"/>
              </w:rPr>
              <w:t>2.1.5 换房：给客人更换房间</w:t>
            </w:r>
            <w:r>
              <w:rPr>
                <w:rFonts w:hint="eastAsia" w:ascii="宋体" w:hAnsi="宋体" w:cs="宋体"/>
                <w:kern w:val="0"/>
                <w:sz w:val="18"/>
                <w:szCs w:val="18"/>
              </w:rPr>
              <w:br w:type="textWrapping"/>
            </w:r>
            <w:r>
              <w:rPr>
                <w:rFonts w:hint="eastAsia" w:ascii="宋体" w:hAnsi="宋体" w:cs="宋体"/>
                <w:kern w:val="0"/>
                <w:sz w:val="18"/>
                <w:szCs w:val="18"/>
              </w:rPr>
              <w:t>2.1.6 同住加人/共享：增加同住人</w:t>
            </w:r>
            <w:r>
              <w:rPr>
                <w:rFonts w:hint="eastAsia" w:ascii="宋体" w:hAnsi="宋体" w:cs="宋体"/>
                <w:kern w:val="0"/>
                <w:sz w:val="18"/>
                <w:szCs w:val="18"/>
              </w:rPr>
              <w:br w:type="textWrapping"/>
            </w:r>
            <w:r>
              <w:rPr>
                <w:rFonts w:hint="eastAsia" w:ascii="宋体" w:hAnsi="宋体" w:cs="宋体"/>
                <w:kern w:val="0"/>
                <w:sz w:val="18"/>
                <w:szCs w:val="18"/>
              </w:rPr>
              <w:t>2.1.7 单据打印：打印入住相关单据</w:t>
            </w:r>
            <w:r>
              <w:rPr>
                <w:rFonts w:hint="eastAsia" w:ascii="宋体" w:hAnsi="宋体" w:cs="宋体"/>
                <w:kern w:val="0"/>
                <w:sz w:val="18"/>
                <w:szCs w:val="18"/>
              </w:rPr>
              <w:br w:type="textWrapping"/>
            </w:r>
            <w:r>
              <w:rPr>
                <w:rFonts w:hint="eastAsia" w:ascii="宋体" w:hAnsi="宋体" w:cs="宋体"/>
                <w:kern w:val="0"/>
                <w:sz w:val="18"/>
                <w:szCs w:val="18"/>
              </w:rPr>
              <w:t>2.1.8 钟点房退房提醒：钟点房到时间客人提醒</w:t>
            </w:r>
            <w:r>
              <w:rPr>
                <w:rFonts w:hint="eastAsia" w:ascii="宋体" w:hAnsi="宋体" w:cs="宋体"/>
                <w:kern w:val="0"/>
                <w:sz w:val="18"/>
                <w:szCs w:val="18"/>
              </w:rPr>
              <w:br w:type="textWrapping"/>
            </w:r>
            <w:r>
              <w:rPr>
                <w:rFonts w:hint="eastAsia" w:ascii="宋体" w:hAnsi="宋体" w:cs="宋体"/>
                <w:kern w:val="0"/>
                <w:sz w:val="18"/>
                <w:szCs w:val="18"/>
              </w:rPr>
              <w:t>3、收银模块</w:t>
            </w:r>
            <w:r>
              <w:rPr>
                <w:rFonts w:hint="eastAsia" w:ascii="宋体" w:hAnsi="宋体" w:cs="宋体"/>
                <w:kern w:val="0"/>
                <w:sz w:val="18"/>
                <w:szCs w:val="18"/>
              </w:rPr>
              <w:br w:type="textWrapping"/>
            </w:r>
            <w:r>
              <w:rPr>
                <w:rFonts w:hint="eastAsia" w:ascii="宋体" w:hAnsi="宋体" w:cs="宋体"/>
                <w:kern w:val="0"/>
                <w:sz w:val="18"/>
                <w:szCs w:val="18"/>
              </w:rPr>
              <w:t>3.1 收银管理</w:t>
            </w:r>
            <w:r>
              <w:rPr>
                <w:rFonts w:hint="eastAsia" w:ascii="宋体" w:hAnsi="宋体" w:cs="宋体"/>
                <w:kern w:val="0"/>
                <w:sz w:val="18"/>
                <w:szCs w:val="18"/>
              </w:rPr>
              <w:br w:type="textWrapping"/>
            </w:r>
            <w:r>
              <w:rPr>
                <w:rFonts w:hint="eastAsia" w:ascii="宋体" w:hAnsi="宋体" w:cs="宋体"/>
                <w:kern w:val="0"/>
                <w:sz w:val="18"/>
                <w:szCs w:val="18"/>
              </w:rPr>
              <w:t>3.1.1 押金：收取押金</w:t>
            </w:r>
            <w:r>
              <w:rPr>
                <w:rFonts w:hint="eastAsia" w:ascii="宋体" w:hAnsi="宋体" w:cs="宋体"/>
                <w:kern w:val="0"/>
                <w:sz w:val="18"/>
                <w:szCs w:val="18"/>
              </w:rPr>
              <w:br w:type="textWrapping"/>
            </w:r>
            <w:r>
              <w:rPr>
                <w:rFonts w:hint="eastAsia" w:ascii="宋体" w:hAnsi="宋体" w:cs="宋体"/>
                <w:kern w:val="0"/>
                <w:sz w:val="18"/>
                <w:szCs w:val="18"/>
              </w:rPr>
              <w:t>3.1.2 入账：费用入账</w:t>
            </w:r>
            <w:r>
              <w:rPr>
                <w:rFonts w:hint="eastAsia" w:ascii="宋体" w:hAnsi="宋体" w:cs="宋体"/>
                <w:kern w:val="0"/>
                <w:sz w:val="18"/>
                <w:szCs w:val="18"/>
              </w:rPr>
              <w:br w:type="textWrapping"/>
            </w:r>
            <w:r>
              <w:rPr>
                <w:rFonts w:hint="eastAsia" w:ascii="宋体" w:hAnsi="宋体" w:cs="宋体"/>
                <w:kern w:val="0"/>
                <w:sz w:val="18"/>
                <w:szCs w:val="18"/>
              </w:rPr>
              <w:t>3.1.3 商品管理：小商品管理</w:t>
            </w:r>
            <w:r>
              <w:rPr>
                <w:rFonts w:hint="eastAsia" w:ascii="宋体" w:hAnsi="宋体" w:cs="宋体"/>
                <w:kern w:val="0"/>
                <w:sz w:val="18"/>
                <w:szCs w:val="18"/>
              </w:rPr>
              <w:br w:type="textWrapping"/>
            </w:r>
            <w:r>
              <w:rPr>
                <w:rFonts w:hint="eastAsia" w:ascii="宋体" w:hAnsi="宋体" w:cs="宋体"/>
                <w:kern w:val="0"/>
                <w:sz w:val="18"/>
                <w:szCs w:val="18"/>
              </w:rPr>
              <w:t>3.1.4 调账：对账务进行调整</w:t>
            </w:r>
            <w:r>
              <w:rPr>
                <w:rFonts w:hint="eastAsia" w:ascii="宋体" w:hAnsi="宋体" w:cs="宋体"/>
                <w:kern w:val="0"/>
                <w:sz w:val="18"/>
                <w:szCs w:val="18"/>
              </w:rPr>
              <w:br w:type="textWrapping"/>
            </w:r>
            <w:r>
              <w:rPr>
                <w:rFonts w:hint="eastAsia" w:ascii="宋体" w:hAnsi="宋体" w:cs="宋体"/>
                <w:kern w:val="0"/>
                <w:sz w:val="18"/>
                <w:szCs w:val="18"/>
              </w:rPr>
              <w:t>3.1.5 选账/转账：选中特定条件的账务</w:t>
            </w:r>
            <w:r>
              <w:rPr>
                <w:rFonts w:hint="eastAsia" w:ascii="宋体" w:hAnsi="宋体" w:cs="宋体"/>
                <w:kern w:val="0"/>
                <w:sz w:val="18"/>
                <w:szCs w:val="18"/>
              </w:rPr>
              <w:br w:type="textWrapping"/>
            </w:r>
            <w:r>
              <w:rPr>
                <w:rFonts w:hint="eastAsia" w:ascii="宋体" w:hAnsi="宋体" w:cs="宋体"/>
                <w:kern w:val="0"/>
                <w:sz w:val="18"/>
                <w:szCs w:val="18"/>
              </w:rPr>
              <w:t>3.1.6 结账：客户离店时的重要环节，涉及费用结算、账单核对及支付方式处理</w:t>
            </w:r>
            <w:r>
              <w:rPr>
                <w:rFonts w:hint="eastAsia" w:ascii="宋体" w:hAnsi="宋体" w:cs="宋体"/>
                <w:kern w:val="0"/>
                <w:sz w:val="18"/>
                <w:szCs w:val="18"/>
              </w:rPr>
              <w:br w:type="textWrapping"/>
            </w:r>
            <w:r>
              <w:rPr>
                <w:rFonts w:hint="eastAsia" w:ascii="宋体" w:hAnsi="宋体" w:cs="宋体"/>
                <w:kern w:val="0"/>
                <w:sz w:val="18"/>
                <w:szCs w:val="18"/>
              </w:rPr>
              <w:t>3.1.7 部分结账：选中部分账务结账</w:t>
            </w:r>
            <w:r>
              <w:rPr>
                <w:rFonts w:hint="eastAsia" w:ascii="宋体" w:hAnsi="宋体" w:cs="宋体"/>
                <w:kern w:val="0"/>
                <w:sz w:val="18"/>
                <w:szCs w:val="18"/>
              </w:rPr>
              <w:br w:type="textWrapping"/>
            </w:r>
            <w:r>
              <w:rPr>
                <w:rFonts w:hint="eastAsia" w:ascii="宋体" w:hAnsi="宋体" w:cs="宋体"/>
                <w:kern w:val="0"/>
                <w:sz w:val="18"/>
                <w:szCs w:val="18"/>
              </w:rPr>
              <w:t>3.1.8 撤销结账：撤销当天结账账务</w:t>
            </w:r>
            <w:r>
              <w:rPr>
                <w:rFonts w:hint="eastAsia" w:ascii="宋体" w:hAnsi="宋体" w:cs="宋体"/>
                <w:kern w:val="0"/>
                <w:sz w:val="18"/>
                <w:szCs w:val="18"/>
              </w:rPr>
              <w:br w:type="textWrapping"/>
            </w:r>
            <w:r>
              <w:rPr>
                <w:rFonts w:hint="eastAsia" w:ascii="宋体" w:hAnsi="宋体" w:cs="宋体"/>
                <w:kern w:val="0"/>
                <w:sz w:val="18"/>
                <w:szCs w:val="18"/>
              </w:rPr>
              <w:t>3.1.9 重新入住：退房后重新入住房间</w:t>
            </w:r>
            <w:r>
              <w:rPr>
                <w:rFonts w:hint="eastAsia" w:ascii="宋体" w:hAnsi="宋体" w:cs="宋体"/>
                <w:kern w:val="0"/>
                <w:sz w:val="18"/>
                <w:szCs w:val="18"/>
              </w:rPr>
              <w:br w:type="textWrapping"/>
            </w:r>
            <w:r>
              <w:rPr>
                <w:rFonts w:hint="eastAsia" w:ascii="宋体" w:hAnsi="宋体" w:cs="宋体"/>
                <w:kern w:val="0"/>
                <w:sz w:val="18"/>
                <w:szCs w:val="18"/>
              </w:rPr>
              <w:t>3.1.10 临时挂账：退房不结账</w:t>
            </w:r>
            <w:r>
              <w:rPr>
                <w:rFonts w:hint="eastAsia" w:ascii="宋体" w:hAnsi="宋体" w:cs="宋体"/>
                <w:kern w:val="0"/>
                <w:sz w:val="18"/>
                <w:szCs w:val="18"/>
              </w:rPr>
              <w:br w:type="textWrapping"/>
            </w:r>
            <w:r>
              <w:rPr>
                <w:rFonts w:hint="eastAsia" w:ascii="宋体" w:hAnsi="宋体" w:cs="宋体"/>
                <w:kern w:val="0"/>
                <w:sz w:val="18"/>
                <w:szCs w:val="18"/>
              </w:rPr>
              <w:t>3.1.11 账单打印：打印对应的账单</w:t>
            </w:r>
            <w:r>
              <w:rPr>
                <w:rFonts w:hint="eastAsia" w:ascii="宋体" w:hAnsi="宋体" w:cs="宋体"/>
                <w:kern w:val="0"/>
                <w:sz w:val="18"/>
                <w:szCs w:val="18"/>
              </w:rPr>
              <w:br w:type="textWrapping"/>
            </w:r>
            <w:r>
              <w:rPr>
                <w:rFonts w:hint="eastAsia" w:ascii="宋体" w:hAnsi="宋体" w:cs="宋体"/>
                <w:kern w:val="0"/>
                <w:sz w:val="18"/>
                <w:szCs w:val="18"/>
              </w:rPr>
              <w:br w:type="textWrapping"/>
            </w:r>
            <w:r>
              <w:rPr>
                <w:rFonts w:hint="eastAsia" w:ascii="宋体" w:hAnsi="宋体" w:cs="宋体"/>
                <w:kern w:val="0"/>
                <w:sz w:val="18"/>
                <w:szCs w:val="18"/>
              </w:rPr>
              <w:t>4、客房模块</w:t>
            </w:r>
            <w:r>
              <w:rPr>
                <w:rFonts w:hint="eastAsia" w:ascii="宋体" w:hAnsi="宋体" w:cs="宋体"/>
                <w:kern w:val="0"/>
                <w:sz w:val="18"/>
                <w:szCs w:val="18"/>
              </w:rPr>
              <w:br w:type="textWrapping"/>
            </w:r>
            <w:r>
              <w:rPr>
                <w:rFonts w:hint="eastAsia" w:ascii="宋体" w:hAnsi="宋体" w:cs="宋体"/>
                <w:kern w:val="0"/>
                <w:sz w:val="18"/>
                <w:szCs w:val="18"/>
              </w:rPr>
              <w:t>4.1 客房中心管理</w:t>
            </w:r>
            <w:r>
              <w:rPr>
                <w:rFonts w:hint="eastAsia" w:ascii="宋体" w:hAnsi="宋体" w:cs="宋体"/>
                <w:kern w:val="0"/>
                <w:sz w:val="18"/>
                <w:szCs w:val="18"/>
              </w:rPr>
              <w:br w:type="textWrapping"/>
            </w:r>
            <w:r>
              <w:rPr>
                <w:rFonts w:hint="eastAsia" w:ascii="宋体" w:hAnsi="宋体" w:cs="宋体"/>
                <w:kern w:val="0"/>
                <w:sz w:val="18"/>
                <w:szCs w:val="18"/>
              </w:rPr>
              <w:t>4.1.1 转账：账务转移</w:t>
            </w:r>
            <w:r>
              <w:rPr>
                <w:rFonts w:hint="eastAsia" w:ascii="宋体" w:hAnsi="宋体" w:cs="宋体"/>
                <w:kern w:val="0"/>
                <w:sz w:val="18"/>
                <w:szCs w:val="18"/>
              </w:rPr>
              <w:br w:type="textWrapping"/>
            </w:r>
            <w:r>
              <w:rPr>
                <w:rFonts w:hint="eastAsia" w:ascii="宋体" w:hAnsi="宋体" w:cs="宋体"/>
                <w:kern w:val="0"/>
                <w:sz w:val="18"/>
                <w:szCs w:val="18"/>
              </w:rPr>
              <w:t>4.1.2 房态管理：客房状态维护与管理</w:t>
            </w:r>
            <w:r>
              <w:rPr>
                <w:rFonts w:hint="eastAsia" w:ascii="宋体" w:hAnsi="宋体" w:cs="宋体"/>
                <w:kern w:val="0"/>
                <w:sz w:val="18"/>
                <w:szCs w:val="18"/>
              </w:rPr>
              <w:br w:type="textWrapping"/>
            </w:r>
            <w:r>
              <w:rPr>
                <w:rFonts w:hint="eastAsia" w:ascii="宋体" w:hAnsi="宋体" w:cs="宋体"/>
                <w:kern w:val="0"/>
                <w:sz w:val="18"/>
                <w:szCs w:val="18"/>
              </w:rPr>
              <w:br w:type="textWrapping"/>
            </w:r>
            <w:r>
              <w:rPr>
                <w:rFonts w:hint="eastAsia" w:ascii="宋体" w:hAnsi="宋体" w:cs="宋体"/>
                <w:kern w:val="0"/>
                <w:sz w:val="18"/>
                <w:szCs w:val="18"/>
              </w:rPr>
              <w:t>5、店长模块</w:t>
            </w:r>
            <w:r>
              <w:rPr>
                <w:rFonts w:hint="eastAsia" w:ascii="宋体" w:hAnsi="宋体" w:cs="宋体"/>
                <w:kern w:val="0"/>
                <w:sz w:val="18"/>
                <w:szCs w:val="18"/>
              </w:rPr>
              <w:br w:type="textWrapping"/>
            </w:r>
            <w:r>
              <w:rPr>
                <w:rFonts w:hint="eastAsia" w:ascii="宋体" w:hAnsi="宋体" w:cs="宋体"/>
                <w:kern w:val="0"/>
                <w:sz w:val="18"/>
                <w:szCs w:val="18"/>
              </w:rPr>
              <w:t>5.1 应收帐管理</w:t>
            </w:r>
            <w:r>
              <w:rPr>
                <w:rFonts w:hint="eastAsia" w:ascii="宋体" w:hAnsi="宋体" w:cs="宋体"/>
                <w:kern w:val="0"/>
                <w:sz w:val="18"/>
                <w:szCs w:val="18"/>
              </w:rPr>
              <w:br w:type="textWrapping"/>
            </w:r>
            <w:r>
              <w:rPr>
                <w:rFonts w:hint="eastAsia" w:ascii="宋体" w:hAnsi="宋体" w:cs="宋体"/>
                <w:kern w:val="0"/>
                <w:sz w:val="18"/>
                <w:szCs w:val="18"/>
              </w:rPr>
              <w:t>5.1.1 应收帐建立：应收帐类别（政府、企业、个人、事业单位等），消费限额、信用定义，有效期，催帐周期，联系信息等</w:t>
            </w:r>
            <w:r>
              <w:rPr>
                <w:rFonts w:hint="eastAsia" w:ascii="宋体" w:hAnsi="宋体" w:cs="宋体"/>
                <w:kern w:val="0"/>
                <w:sz w:val="18"/>
                <w:szCs w:val="18"/>
              </w:rPr>
              <w:br w:type="textWrapping"/>
            </w:r>
            <w:r>
              <w:rPr>
                <w:rFonts w:hint="eastAsia" w:ascii="宋体" w:hAnsi="宋体" w:cs="宋体"/>
                <w:kern w:val="0"/>
                <w:sz w:val="18"/>
                <w:szCs w:val="18"/>
              </w:rPr>
              <w:t>5.1.2 账务处理：入账、转账、调整、账单、催帐、信用、联账、允许记账</w:t>
            </w:r>
            <w:r>
              <w:rPr>
                <w:rFonts w:hint="eastAsia" w:ascii="宋体" w:hAnsi="宋体" w:cs="宋体"/>
                <w:kern w:val="0"/>
                <w:sz w:val="18"/>
                <w:szCs w:val="18"/>
              </w:rPr>
              <w:br w:type="textWrapping"/>
            </w:r>
            <w:r>
              <w:rPr>
                <w:rFonts w:hint="eastAsia" w:ascii="宋体" w:hAnsi="宋体" w:cs="宋体"/>
                <w:kern w:val="0"/>
                <w:sz w:val="18"/>
                <w:szCs w:val="18"/>
              </w:rPr>
              <w:t>5.1.3 审核：应收账账务审核</w:t>
            </w:r>
            <w:r>
              <w:rPr>
                <w:rFonts w:hint="eastAsia" w:ascii="宋体" w:hAnsi="宋体" w:cs="宋体"/>
                <w:kern w:val="0"/>
                <w:sz w:val="18"/>
                <w:szCs w:val="18"/>
              </w:rPr>
              <w:br w:type="textWrapping"/>
            </w:r>
            <w:r>
              <w:rPr>
                <w:rFonts w:hint="eastAsia" w:ascii="宋体" w:hAnsi="宋体" w:cs="宋体"/>
                <w:kern w:val="0"/>
                <w:sz w:val="18"/>
                <w:szCs w:val="18"/>
              </w:rPr>
              <w:t>5.1.4 核销：应收账核销功能</w:t>
            </w:r>
            <w:r>
              <w:rPr>
                <w:rFonts w:hint="eastAsia" w:ascii="宋体" w:hAnsi="宋体" w:cs="宋体"/>
                <w:kern w:val="0"/>
                <w:sz w:val="18"/>
                <w:szCs w:val="18"/>
              </w:rPr>
              <w:br w:type="textWrapping"/>
            </w:r>
            <w:r>
              <w:rPr>
                <w:rFonts w:hint="eastAsia" w:ascii="宋体" w:hAnsi="宋体" w:cs="宋体"/>
                <w:kern w:val="0"/>
                <w:sz w:val="18"/>
                <w:szCs w:val="18"/>
              </w:rPr>
              <w:t>5.1.5 历史核销：历史核销记录管理</w:t>
            </w:r>
            <w:r>
              <w:rPr>
                <w:rFonts w:hint="eastAsia" w:ascii="宋体" w:hAnsi="宋体" w:cs="宋体"/>
                <w:kern w:val="0"/>
                <w:sz w:val="18"/>
                <w:szCs w:val="18"/>
              </w:rPr>
              <w:br w:type="textWrapping"/>
            </w:r>
            <w:r>
              <w:rPr>
                <w:rFonts w:hint="eastAsia" w:ascii="宋体" w:hAnsi="宋体" w:cs="宋体"/>
                <w:kern w:val="0"/>
                <w:sz w:val="18"/>
                <w:szCs w:val="18"/>
              </w:rPr>
              <w:t>5.1.6 清户：清除应收账账户</w:t>
            </w:r>
            <w:r>
              <w:rPr>
                <w:rFonts w:hint="eastAsia" w:ascii="宋体" w:hAnsi="宋体" w:cs="宋体"/>
                <w:kern w:val="0"/>
                <w:sz w:val="18"/>
                <w:szCs w:val="18"/>
              </w:rPr>
              <w:br w:type="textWrapping"/>
            </w:r>
            <w:r>
              <w:rPr>
                <w:rFonts w:hint="eastAsia" w:ascii="宋体" w:hAnsi="宋体" w:cs="宋体"/>
                <w:kern w:val="0"/>
                <w:sz w:val="18"/>
                <w:szCs w:val="18"/>
              </w:rPr>
              <w:t>5.1.7 账务查询：账龄分析、往来账、明细账、有效账、日志等</w:t>
            </w:r>
            <w:r>
              <w:rPr>
                <w:rFonts w:hint="eastAsia" w:ascii="宋体" w:hAnsi="宋体" w:cs="宋体"/>
                <w:kern w:val="0"/>
                <w:sz w:val="18"/>
                <w:szCs w:val="18"/>
              </w:rPr>
              <w:br w:type="textWrapping"/>
            </w:r>
            <w:r>
              <w:rPr>
                <w:rFonts w:hint="eastAsia" w:ascii="宋体" w:hAnsi="宋体" w:cs="宋体"/>
                <w:kern w:val="0"/>
                <w:sz w:val="18"/>
                <w:szCs w:val="18"/>
              </w:rPr>
              <w:t>5.2 夜审处理</w:t>
            </w:r>
            <w:r>
              <w:rPr>
                <w:rFonts w:hint="eastAsia" w:ascii="宋体" w:hAnsi="宋体" w:cs="宋体"/>
                <w:kern w:val="0"/>
                <w:sz w:val="18"/>
                <w:szCs w:val="18"/>
              </w:rPr>
              <w:br w:type="textWrapping"/>
            </w:r>
            <w:r>
              <w:rPr>
                <w:rFonts w:hint="eastAsia" w:ascii="宋体" w:hAnsi="宋体" w:cs="宋体"/>
                <w:kern w:val="0"/>
                <w:sz w:val="18"/>
                <w:szCs w:val="18"/>
              </w:rPr>
              <w:t>5.2.1 夜审检查：统计生成各种报表，并对营业日期进行更新，数据更新</w:t>
            </w:r>
            <w:r>
              <w:rPr>
                <w:rFonts w:hint="eastAsia" w:ascii="宋体" w:hAnsi="宋体" w:cs="宋体"/>
                <w:kern w:val="0"/>
                <w:sz w:val="18"/>
                <w:szCs w:val="18"/>
              </w:rPr>
              <w:br w:type="textWrapping"/>
            </w:r>
            <w:r>
              <w:rPr>
                <w:rFonts w:hint="eastAsia" w:ascii="宋体" w:hAnsi="宋体" w:cs="宋体"/>
                <w:kern w:val="0"/>
                <w:sz w:val="18"/>
                <w:szCs w:val="18"/>
              </w:rPr>
              <w:t>5.2.2 房租入账：房租预审、房租调整、房租入账及报表等</w:t>
            </w:r>
            <w:r>
              <w:rPr>
                <w:rFonts w:hint="eastAsia" w:ascii="宋体" w:hAnsi="宋体" w:cs="宋体"/>
                <w:kern w:val="0"/>
                <w:sz w:val="18"/>
                <w:szCs w:val="18"/>
              </w:rPr>
              <w:br w:type="textWrapping"/>
            </w:r>
            <w:r>
              <w:rPr>
                <w:rFonts w:hint="eastAsia" w:ascii="宋体" w:hAnsi="宋体" w:cs="宋体"/>
                <w:kern w:val="0"/>
                <w:sz w:val="18"/>
                <w:szCs w:val="18"/>
              </w:rPr>
              <w:t>5.2.3 自动夜审：在系统指定时间进行夜间稽核，不需操作员干预</w:t>
            </w:r>
            <w:r>
              <w:rPr>
                <w:rFonts w:hint="eastAsia" w:ascii="宋体" w:hAnsi="宋体" w:cs="宋体"/>
                <w:kern w:val="0"/>
                <w:sz w:val="18"/>
                <w:szCs w:val="18"/>
              </w:rPr>
              <w:br w:type="textWrapping"/>
            </w:r>
            <w:r>
              <w:rPr>
                <w:rFonts w:hint="eastAsia" w:ascii="宋体" w:hAnsi="宋体" w:cs="宋体"/>
                <w:kern w:val="0"/>
                <w:sz w:val="18"/>
                <w:szCs w:val="18"/>
              </w:rPr>
              <w:t>5.3 报表及查询</w:t>
            </w:r>
            <w:r>
              <w:rPr>
                <w:rFonts w:hint="eastAsia" w:ascii="宋体" w:hAnsi="宋体" w:cs="宋体"/>
                <w:kern w:val="0"/>
                <w:sz w:val="18"/>
                <w:szCs w:val="18"/>
              </w:rPr>
              <w:br w:type="textWrapping"/>
            </w:r>
            <w:r>
              <w:rPr>
                <w:rFonts w:hint="eastAsia" w:ascii="宋体" w:hAnsi="宋体" w:cs="宋体"/>
                <w:kern w:val="0"/>
                <w:sz w:val="18"/>
                <w:szCs w:val="18"/>
              </w:rPr>
              <w:t>5.3.1 报表中心：提供行业标准报表，可查看、打印；功能隐藏新增、修改、复制、删除；标签页保留所有、前台、财务等</w:t>
            </w:r>
            <w:r>
              <w:rPr>
                <w:rFonts w:hint="eastAsia" w:ascii="宋体" w:hAnsi="宋体" w:cs="宋体"/>
                <w:kern w:val="0"/>
                <w:sz w:val="18"/>
                <w:szCs w:val="18"/>
              </w:rPr>
              <w:br w:type="textWrapping"/>
            </w:r>
            <w:r>
              <w:rPr>
                <w:rFonts w:hint="eastAsia" w:ascii="宋体" w:hAnsi="宋体" w:cs="宋体"/>
                <w:kern w:val="0"/>
                <w:sz w:val="18"/>
                <w:szCs w:val="18"/>
              </w:rPr>
              <w:t>5.3.2 客房可用：查看客房可用与占用、有超预留设置；可用页面隐藏本日将离、资源重建；超预留图标改成文字“超预留”</w:t>
            </w:r>
            <w:r>
              <w:rPr>
                <w:rFonts w:hint="eastAsia" w:ascii="宋体" w:hAnsi="宋体" w:cs="宋体"/>
                <w:kern w:val="0"/>
                <w:sz w:val="18"/>
                <w:szCs w:val="18"/>
              </w:rPr>
              <w:br w:type="textWrapping"/>
            </w:r>
            <w:r>
              <w:rPr>
                <w:rFonts w:hint="eastAsia" w:ascii="宋体" w:hAnsi="宋体" w:cs="宋体"/>
                <w:kern w:val="0"/>
                <w:sz w:val="18"/>
                <w:szCs w:val="18"/>
              </w:rPr>
              <w:t>5.3.3 日志查询：记录操作员操作系统的日志记录</w:t>
            </w:r>
            <w:r>
              <w:rPr>
                <w:rFonts w:hint="eastAsia" w:ascii="宋体" w:hAnsi="宋体" w:cs="宋体"/>
                <w:kern w:val="0"/>
                <w:sz w:val="18"/>
                <w:szCs w:val="18"/>
              </w:rPr>
              <w:br w:type="textWrapping"/>
            </w:r>
            <w:r>
              <w:rPr>
                <w:rFonts w:hint="eastAsia" w:ascii="宋体" w:hAnsi="宋体" w:cs="宋体"/>
                <w:kern w:val="0"/>
                <w:sz w:val="18"/>
                <w:szCs w:val="18"/>
              </w:rPr>
              <w:t>5.3.4 交班报表：前台交班报表</w:t>
            </w:r>
            <w:r>
              <w:rPr>
                <w:rFonts w:hint="eastAsia" w:ascii="宋体" w:hAnsi="宋体" w:cs="宋体"/>
                <w:kern w:val="0"/>
                <w:sz w:val="18"/>
                <w:szCs w:val="18"/>
              </w:rPr>
              <w:br w:type="textWrapping"/>
            </w:r>
            <w:r>
              <w:rPr>
                <w:rFonts w:hint="eastAsia" w:ascii="宋体" w:hAnsi="宋体" w:cs="宋体"/>
                <w:kern w:val="0"/>
                <w:sz w:val="18"/>
                <w:szCs w:val="18"/>
              </w:rPr>
              <w:t>5.4 系统对接与设置</w:t>
            </w:r>
            <w:r>
              <w:rPr>
                <w:rFonts w:hint="eastAsia" w:ascii="宋体" w:hAnsi="宋体" w:cs="宋体"/>
                <w:kern w:val="0"/>
                <w:sz w:val="18"/>
                <w:szCs w:val="18"/>
              </w:rPr>
              <w:br w:type="textWrapping"/>
            </w:r>
            <w:r>
              <w:rPr>
                <w:rFonts w:hint="eastAsia" w:ascii="宋体" w:hAnsi="宋体" w:cs="宋体"/>
                <w:color w:val="auto"/>
                <w:kern w:val="0"/>
                <w:sz w:val="18"/>
                <w:szCs w:val="18"/>
              </w:rPr>
              <w:t xml:space="preserve">5.4.1 </w:t>
            </w:r>
            <w:bookmarkStart w:id="115" w:name="_Hlk231900572"/>
            <w:r>
              <w:rPr>
                <w:rFonts w:hint="eastAsia" w:ascii="宋体" w:hAnsi="宋体" w:cs="宋体"/>
                <w:color w:val="auto"/>
                <w:kern w:val="0"/>
                <w:sz w:val="18"/>
                <w:szCs w:val="18"/>
              </w:rPr>
              <w:t>OTA直连：能够与主流OTA平台实现标准化API数据对接</w:t>
            </w:r>
            <w:bookmarkEnd w:id="115"/>
            <w:r>
              <w:rPr>
                <w:rFonts w:hint="eastAsia" w:ascii="宋体" w:hAnsi="宋体" w:cs="宋体"/>
                <w:color w:val="auto"/>
                <w:kern w:val="0"/>
                <w:sz w:val="18"/>
                <w:szCs w:val="18"/>
              </w:rPr>
              <w:t>。</w:t>
            </w:r>
          </w:p>
          <w:p w14:paraId="3BDEC481">
            <w:pPr>
              <w:widowControl/>
              <w:jc w:val="left"/>
            </w:pPr>
            <w:r>
              <w:rPr>
                <w:rFonts w:hint="eastAsia" w:ascii="宋体" w:hAnsi="宋体" w:cs="宋体"/>
                <w:kern w:val="0"/>
                <w:sz w:val="18"/>
                <w:szCs w:val="18"/>
              </w:rPr>
              <w:t>5.4.2 设置单据：提供的免费模板上增加酒店名显示</w:t>
            </w:r>
            <w:r>
              <w:rPr>
                <w:rFonts w:hint="eastAsia" w:ascii="宋体" w:hAnsi="宋体" w:cs="宋体"/>
                <w:kern w:val="0"/>
                <w:sz w:val="18"/>
                <w:szCs w:val="18"/>
              </w:rPr>
              <w:br w:type="textWrapping"/>
            </w:r>
            <w:r>
              <w:rPr>
                <w:rFonts w:hint="eastAsia" w:ascii="宋体" w:hAnsi="宋体" w:cs="宋体"/>
                <w:kern w:val="0"/>
                <w:sz w:val="18"/>
                <w:szCs w:val="18"/>
              </w:rPr>
              <w:t>5.4.3 门锁对接：提供门锁对接支持</w:t>
            </w:r>
            <w:r>
              <w:rPr>
                <w:rFonts w:hint="eastAsia" w:ascii="宋体" w:hAnsi="宋体" w:cs="宋体"/>
                <w:kern w:val="0"/>
                <w:sz w:val="18"/>
                <w:szCs w:val="18"/>
              </w:rPr>
              <w:br w:type="textWrapping"/>
            </w:r>
            <w:r>
              <w:rPr>
                <w:rFonts w:hint="eastAsia" w:ascii="宋体" w:hAnsi="宋体" w:cs="宋体"/>
                <w:kern w:val="0"/>
                <w:sz w:val="18"/>
                <w:szCs w:val="18"/>
              </w:rPr>
              <w:t>5.4.4 更多服务：服务互联入口</w:t>
            </w:r>
            <w:r>
              <w:rPr>
                <w:rFonts w:hint="eastAsia" w:ascii="宋体" w:hAnsi="宋体" w:cs="宋体"/>
                <w:kern w:val="0"/>
                <w:sz w:val="18"/>
                <w:szCs w:val="18"/>
              </w:rPr>
              <w:br w:type="textWrapping"/>
            </w:r>
            <w:r>
              <w:rPr>
                <w:rFonts w:hint="eastAsia" w:ascii="宋体" w:hAnsi="宋体" w:cs="宋体"/>
                <w:kern w:val="0"/>
                <w:sz w:val="18"/>
                <w:szCs w:val="18"/>
              </w:rPr>
              <w:t>5.4.5 帮助：帮助入口</w:t>
            </w:r>
            <w:r>
              <w:rPr>
                <w:rFonts w:hint="eastAsia" w:ascii="宋体" w:hAnsi="宋体" w:cs="宋体"/>
                <w:kern w:val="0"/>
                <w:sz w:val="18"/>
                <w:szCs w:val="18"/>
              </w:rPr>
              <w:br w:type="textWrapping"/>
            </w:r>
            <w:r>
              <w:rPr>
                <w:rFonts w:hint="eastAsia" w:ascii="宋体" w:hAnsi="宋体" w:cs="宋体"/>
                <w:kern w:val="0"/>
                <w:sz w:val="18"/>
                <w:szCs w:val="18"/>
              </w:rPr>
              <w:t>5.5 用户权限及代码体系管理</w:t>
            </w:r>
            <w:r>
              <w:rPr>
                <w:rFonts w:hint="eastAsia" w:ascii="宋体" w:hAnsi="宋体" w:cs="宋体"/>
                <w:kern w:val="0"/>
                <w:sz w:val="18"/>
                <w:szCs w:val="18"/>
              </w:rPr>
              <w:br w:type="textWrapping"/>
            </w:r>
            <w:r>
              <w:rPr>
                <w:rFonts w:hint="eastAsia" w:ascii="宋体" w:hAnsi="宋体" w:cs="宋体"/>
                <w:kern w:val="0"/>
                <w:sz w:val="18"/>
                <w:szCs w:val="18"/>
              </w:rPr>
              <w:t>5.5.1 用户管理：对操作员的个人信息及其角色、权限的管理</w:t>
            </w:r>
            <w:r>
              <w:rPr>
                <w:rFonts w:hint="eastAsia" w:ascii="宋体" w:hAnsi="宋体" w:cs="宋体"/>
                <w:kern w:val="0"/>
                <w:sz w:val="18"/>
                <w:szCs w:val="18"/>
              </w:rPr>
              <w:br w:type="textWrapping"/>
            </w:r>
            <w:r>
              <w:rPr>
                <w:rFonts w:hint="eastAsia" w:ascii="宋体" w:hAnsi="宋体" w:cs="宋体"/>
                <w:kern w:val="0"/>
                <w:sz w:val="18"/>
                <w:szCs w:val="18"/>
              </w:rPr>
              <w:t>5.5.2 角色管理：对酒店用户角色及权限管理</w:t>
            </w:r>
            <w:r>
              <w:rPr>
                <w:rFonts w:hint="eastAsia" w:ascii="宋体" w:hAnsi="宋体" w:cs="宋体"/>
                <w:kern w:val="0"/>
                <w:sz w:val="18"/>
                <w:szCs w:val="18"/>
              </w:rPr>
              <w:br w:type="textWrapping"/>
            </w:r>
            <w:r>
              <w:rPr>
                <w:rFonts w:hint="eastAsia" w:ascii="宋体" w:hAnsi="宋体" w:cs="宋体"/>
                <w:kern w:val="0"/>
                <w:sz w:val="18"/>
                <w:szCs w:val="18"/>
              </w:rPr>
              <w:t>5.5.3 权限管理：PMS能完成单店的相关配置</w:t>
            </w:r>
            <w:r>
              <w:rPr>
                <w:rFonts w:hint="eastAsia" w:ascii="宋体" w:hAnsi="宋体" w:cs="宋体"/>
                <w:kern w:val="0"/>
                <w:sz w:val="18"/>
                <w:szCs w:val="18"/>
              </w:rPr>
              <w:br w:type="textWrapping"/>
            </w:r>
            <w:r>
              <w:rPr>
                <w:rFonts w:hint="eastAsia" w:ascii="宋体" w:hAnsi="宋体" w:cs="宋体"/>
                <w:kern w:val="0"/>
                <w:sz w:val="18"/>
                <w:szCs w:val="18"/>
              </w:rPr>
              <w:t>5.5.4 代码配置：集成原在IGROUP配置的门店个性代码</w:t>
            </w:r>
            <w:r>
              <w:rPr>
                <w:rFonts w:hint="eastAsia" w:ascii="宋体" w:hAnsi="宋体" w:cs="宋体"/>
                <w:kern w:val="0"/>
                <w:sz w:val="18"/>
                <w:szCs w:val="18"/>
              </w:rPr>
              <w:br w:type="textWrapping"/>
            </w:r>
            <w:r>
              <w:rPr>
                <w:rFonts w:hint="eastAsia" w:ascii="宋体" w:hAnsi="宋体" w:cs="宋体"/>
                <w:kern w:val="0"/>
                <w:sz w:val="18"/>
                <w:szCs w:val="18"/>
              </w:rPr>
              <w:t>5.6 客户管理</w:t>
            </w:r>
            <w:r>
              <w:rPr>
                <w:rFonts w:hint="eastAsia" w:ascii="宋体" w:hAnsi="宋体" w:cs="宋体"/>
                <w:kern w:val="0"/>
                <w:sz w:val="18"/>
                <w:szCs w:val="18"/>
              </w:rPr>
              <w:br w:type="textWrapping"/>
            </w:r>
            <w:r>
              <w:rPr>
                <w:rFonts w:hint="eastAsia" w:ascii="宋体" w:hAnsi="宋体" w:cs="宋体"/>
                <w:kern w:val="0"/>
                <w:sz w:val="18"/>
                <w:szCs w:val="18"/>
              </w:rPr>
              <w:t>5.6.1 宾客档案：含黑名单</w:t>
            </w:r>
            <w:r>
              <w:rPr>
                <w:rFonts w:hint="eastAsia" w:ascii="宋体" w:hAnsi="宋体" w:cs="宋体"/>
                <w:kern w:val="0"/>
                <w:sz w:val="18"/>
                <w:szCs w:val="18"/>
              </w:rPr>
              <w:br w:type="textWrapping"/>
            </w:r>
            <w:r>
              <w:rPr>
                <w:rFonts w:hint="eastAsia" w:ascii="宋体" w:hAnsi="宋体" w:cs="宋体"/>
                <w:kern w:val="0"/>
                <w:sz w:val="18"/>
                <w:szCs w:val="18"/>
              </w:rPr>
              <w:t>5.7 协议管理</w:t>
            </w:r>
            <w:r>
              <w:rPr>
                <w:rFonts w:hint="eastAsia" w:ascii="宋体" w:hAnsi="宋体" w:cs="宋体"/>
                <w:kern w:val="0"/>
                <w:sz w:val="18"/>
                <w:szCs w:val="18"/>
              </w:rPr>
              <w:br w:type="textWrapping"/>
            </w:r>
            <w:r>
              <w:rPr>
                <w:rFonts w:hint="eastAsia" w:ascii="宋体" w:hAnsi="宋体" w:cs="宋体"/>
                <w:kern w:val="0"/>
                <w:sz w:val="18"/>
                <w:szCs w:val="18"/>
              </w:rPr>
              <w:t>5.7.1 公司档案：公司档案功能中细分，隐藏来源码、市场码</w:t>
            </w:r>
            <w:r>
              <w:rPr>
                <w:rFonts w:hint="eastAsia" w:ascii="宋体" w:hAnsi="宋体" w:cs="宋体"/>
                <w:kern w:val="0"/>
                <w:sz w:val="18"/>
                <w:szCs w:val="18"/>
              </w:rPr>
              <w:br w:type="textWrapping"/>
            </w:r>
            <w:r>
              <w:rPr>
                <w:rFonts w:hint="eastAsia" w:ascii="宋体" w:hAnsi="宋体" w:cs="宋体"/>
                <w:kern w:val="0"/>
                <w:sz w:val="18"/>
                <w:szCs w:val="18"/>
              </w:rPr>
              <w:t>5.8 销售员管理</w:t>
            </w:r>
            <w:r>
              <w:rPr>
                <w:rFonts w:hint="eastAsia" w:ascii="宋体" w:hAnsi="宋体" w:cs="宋体"/>
                <w:kern w:val="0"/>
                <w:sz w:val="18"/>
                <w:szCs w:val="18"/>
              </w:rPr>
              <w:br w:type="textWrapping"/>
            </w:r>
            <w:r>
              <w:rPr>
                <w:rFonts w:hint="eastAsia" w:ascii="宋体" w:hAnsi="宋体" w:cs="宋体"/>
                <w:kern w:val="0"/>
                <w:sz w:val="18"/>
                <w:szCs w:val="18"/>
              </w:rPr>
              <w:t>5.8.1 销售组别：可进行销售员管理和业绩统计</w:t>
            </w:r>
            <w:r>
              <w:rPr>
                <w:rFonts w:hint="eastAsia" w:ascii="宋体" w:hAnsi="宋体" w:cs="宋体"/>
                <w:kern w:val="0"/>
                <w:sz w:val="18"/>
                <w:szCs w:val="18"/>
              </w:rPr>
              <w:br w:type="textWrapping"/>
            </w:r>
            <w:r>
              <w:rPr>
                <w:rFonts w:hint="eastAsia" w:ascii="宋体" w:hAnsi="宋体" w:cs="宋体"/>
                <w:kern w:val="0"/>
                <w:sz w:val="18"/>
                <w:szCs w:val="18"/>
              </w:rPr>
              <w:t>5.8.2 销售员：可进行销售员管理和业绩统计</w:t>
            </w:r>
            <w:r>
              <w:rPr>
                <w:rFonts w:hint="eastAsia" w:ascii="宋体" w:hAnsi="宋体" w:cs="宋体"/>
                <w:kern w:val="0"/>
                <w:sz w:val="18"/>
                <w:szCs w:val="18"/>
              </w:rPr>
              <w:br w:type="textWrapping"/>
            </w:r>
            <w:r>
              <w:rPr>
                <w:rFonts w:hint="eastAsia" w:ascii="宋体" w:hAnsi="宋体" w:cs="宋体"/>
                <w:kern w:val="0"/>
                <w:sz w:val="18"/>
                <w:szCs w:val="18"/>
              </w:rPr>
              <w:t>5.9 房价及佣金体系管理</w:t>
            </w:r>
            <w:r>
              <w:rPr>
                <w:rFonts w:hint="eastAsia" w:ascii="宋体" w:hAnsi="宋体" w:cs="宋体"/>
                <w:kern w:val="0"/>
                <w:sz w:val="18"/>
                <w:szCs w:val="18"/>
              </w:rPr>
              <w:br w:type="textWrapping"/>
            </w:r>
            <w:r>
              <w:rPr>
                <w:rFonts w:hint="eastAsia" w:ascii="宋体" w:hAnsi="宋体" w:cs="宋体"/>
                <w:kern w:val="0"/>
                <w:sz w:val="18"/>
                <w:szCs w:val="18"/>
              </w:rPr>
              <w:t>5.9.1 房价码新建：共分九大类房价体系（门市、团队、协议、中介、会员、促销、长包、免费、钟点），分别处理，方便和规范操作</w:t>
            </w:r>
            <w:r>
              <w:rPr>
                <w:rFonts w:hint="eastAsia" w:ascii="宋体" w:hAnsi="宋体" w:cs="宋体"/>
                <w:kern w:val="0"/>
                <w:sz w:val="18"/>
                <w:szCs w:val="18"/>
              </w:rPr>
              <w:br w:type="textWrapping"/>
            </w:r>
            <w:r>
              <w:rPr>
                <w:rFonts w:hint="eastAsia" w:ascii="宋体" w:hAnsi="宋体" w:cs="宋体"/>
                <w:kern w:val="0"/>
                <w:sz w:val="18"/>
                <w:szCs w:val="18"/>
              </w:rPr>
              <w:t>5.9.2 房价码修改：房价码修改</w:t>
            </w:r>
            <w:r>
              <w:rPr>
                <w:rFonts w:hint="eastAsia" w:ascii="宋体" w:hAnsi="宋体" w:cs="宋体"/>
                <w:kern w:val="0"/>
                <w:sz w:val="18"/>
                <w:szCs w:val="18"/>
              </w:rPr>
              <w:br w:type="textWrapping"/>
            </w:r>
            <w:r>
              <w:rPr>
                <w:rFonts w:hint="eastAsia" w:ascii="宋体" w:hAnsi="宋体" w:cs="宋体"/>
                <w:kern w:val="0"/>
                <w:sz w:val="18"/>
                <w:szCs w:val="18"/>
              </w:rPr>
              <w:t>5.9.3 房价码明细设置：房价码价格明细设置</w:t>
            </w:r>
          </w:p>
        </w:tc>
        <w:tc>
          <w:tcPr>
            <w:tcW w:w="404" w:type="dxa"/>
            <w:tcBorders>
              <w:top w:val="nil"/>
              <w:left w:val="nil"/>
              <w:bottom w:val="single" w:color="auto" w:sz="4" w:space="0"/>
              <w:right w:val="single" w:color="auto" w:sz="4" w:space="0"/>
            </w:tcBorders>
            <w:shd w:val="clear" w:color="000000" w:fill="FFFFFF"/>
            <w:vAlign w:val="center"/>
          </w:tcPr>
          <w:p w14:paraId="6C255404">
            <w:pPr>
              <w:widowControl/>
              <w:jc w:val="center"/>
              <w:rPr>
                <w:rFonts w:ascii="宋体" w:hAnsi="宋体" w:cs="宋体"/>
                <w:kern w:val="0"/>
                <w:sz w:val="18"/>
                <w:szCs w:val="18"/>
              </w:rPr>
            </w:pPr>
            <w:r>
              <w:rPr>
                <w:rFonts w:hint="eastAsia" w:ascii="宋体" w:hAnsi="宋体" w:cs="宋体"/>
                <w:kern w:val="0"/>
                <w:sz w:val="18"/>
                <w:szCs w:val="18"/>
              </w:rPr>
              <w:t>1</w:t>
            </w:r>
          </w:p>
        </w:tc>
        <w:tc>
          <w:tcPr>
            <w:tcW w:w="504" w:type="dxa"/>
            <w:tcBorders>
              <w:top w:val="nil"/>
              <w:left w:val="nil"/>
              <w:bottom w:val="single" w:color="auto" w:sz="4" w:space="0"/>
              <w:right w:val="single" w:color="auto" w:sz="4" w:space="0"/>
            </w:tcBorders>
            <w:shd w:val="clear" w:color="000000" w:fill="FFFFFF"/>
            <w:vAlign w:val="center"/>
          </w:tcPr>
          <w:p w14:paraId="6F14FE68">
            <w:pPr>
              <w:widowControl/>
              <w:jc w:val="center"/>
              <w:rPr>
                <w:rFonts w:ascii="宋体" w:hAnsi="宋体" w:cs="宋体"/>
                <w:kern w:val="0"/>
                <w:sz w:val="18"/>
                <w:szCs w:val="18"/>
              </w:rPr>
            </w:pPr>
            <w:r>
              <w:rPr>
                <w:rFonts w:hint="eastAsia" w:ascii="宋体" w:hAnsi="宋体" w:cs="宋体"/>
                <w:kern w:val="0"/>
                <w:sz w:val="18"/>
                <w:szCs w:val="18"/>
              </w:rPr>
              <w:t>套</w:t>
            </w:r>
          </w:p>
        </w:tc>
        <w:tc>
          <w:tcPr>
            <w:tcW w:w="823" w:type="dxa"/>
            <w:tcBorders>
              <w:top w:val="nil"/>
              <w:left w:val="nil"/>
              <w:bottom w:val="single" w:color="auto" w:sz="4" w:space="0"/>
              <w:right w:val="single" w:color="auto" w:sz="4" w:space="0"/>
            </w:tcBorders>
            <w:shd w:val="clear" w:color="000000" w:fill="FFFFFF"/>
            <w:vAlign w:val="center"/>
          </w:tcPr>
          <w:p w14:paraId="1370DDC9">
            <w:pPr>
              <w:widowControl/>
              <w:jc w:val="left"/>
              <w:rPr>
                <w:rFonts w:ascii="宋体" w:hAnsi="宋体" w:cs="宋体"/>
                <w:kern w:val="0"/>
                <w:sz w:val="18"/>
                <w:szCs w:val="18"/>
              </w:rPr>
            </w:pPr>
            <w:r>
              <w:rPr>
                <w:rFonts w:hint="eastAsia" w:ascii="宋体" w:hAnsi="宋体" w:cs="宋体"/>
                <w:kern w:val="0"/>
                <w:sz w:val="18"/>
                <w:szCs w:val="18"/>
              </w:rPr>
              <w:t xml:space="preserve">76000 </w:t>
            </w:r>
          </w:p>
        </w:tc>
        <w:tc>
          <w:tcPr>
            <w:tcW w:w="865" w:type="dxa"/>
            <w:tcBorders>
              <w:top w:val="nil"/>
              <w:left w:val="nil"/>
              <w:bottom w:val="single" w:color="auto" w:sz="4" w:space="0"/>
              <w:right w:val="single" w:color="auto" w:sz="4" w:space="0"/>
            </w:tcBorders>
            <w:shd w:val="clear" w:color="000000" w:fill="FFFFFF"/>
            <w:vAlign w:val="center"/>
          </w:tcPr>
          <w:p w14:paraId="6BF92130">
            <w:pPr>
              <w:widowControl/>
              <w:jc w:val="left"/>
              <w:rPr>
                <w:rFonts w:ascii="宋体" w:hAnsi="宋体" w:cs="宋体"/>
                <w:kern w:val="0"/>
                <w:sz w:val="18"/>
                <w:szCs w:val="18"/>
              </w:rPr>
            </w:pPr>
            <w:r>
              <w:rPr>
                <w:rFonts w:hint="eastAsia" w:ascii="宋体" w:hAnsi="宋体" w:cs="宋体"/>
                <w:kern w:val="0"/>
                <w:sz w:val="18"/>
                <w:szCs w:val="18"/>
              </w:rPr>
              <w:t xml:space="preserve">76000 </w:t>
            </w:r>
          </w:p>
        </w:tc>
      </w:tr>
      <w:tr w14:paraId="179B06C6">
        <w:tblPrEx>
          <w:tblCellMar>
            <w:top w:w="0" w:type="dxa"/>
            <w:left w:w="108" w:type="dxa"/>
            <w:bottom w:w="0" w:type="dxa"/>
            <w:right w:w="108" w:type="dxa"/>
          </w:tblCellMar>
        </w:tblPrEx>
        <w:trPr>
          <w:trHeight w:val="2687" w:hRule="atLeast"/>
        </w:trPr>
        <w:tc>
          <w:tcPr>
            <w:tcW w:w="409" w:type="dxa"/>
            <w:tcBorders>
              <w:top w:val="nil"/>
              <w:left w:val="single" w:color="auto" w:sz="4" w:space="0"/>
              <w:bottom w:val="single" w:color="auto" w:sz="4" w:space="0"/>
              <w:right w:val="single" w:color="auto" w:sz="4" w:space="0"/>
            </w:tcBorders>
            <w:shd w:val="clear" w:color="000000" w:fill="FFFFFF"/>
            <w:noWrap/>
            <w:vAlign w:val="center"/>
          </w:tcPr>
          <w:p w14:paraId="4160566E">
            <w:pPr>
              <w:widowControl/>
              <w:jc w:val="center"/>
              <w:rPr>
                <w:rFonts w:ascii="宋体" w:hAnsi="宋体" w:cs="宋体"/>
                <w:kern w:val="0"/>
                <w:sz w:val="18"/>
                <w:szCs w:val="18"/>
              </w:rPr>
            </w:pPr>
            <w:r>
              <w:rPr>
                <w:rFonts w:hint="eastAsia" w:ascii="宋体" w:hAnsi="宋体" w:cs="宋体"/>
                <w:kern w:val="0"/>
                <w:sz w:val="18"/>
                <w:szCs w:val="18"/>
              </w:rPr>
              <w:t>3</w:t>
            </w:r>
          </w:p>
        </w:tc>
        <w:tc>
          <w:tcPr>
            <w:tcW w:w="878" w:type="dxa"/>
            <w:tcBorders>
              <w:top w:val="nil"/>
              <w:left w:val="nil"/>
              <w:bottom w:val="single" w:color="auto" w:sz="4" w:space="0"/>
              <w:right w:val="single" w:color="auto" w:sz="4" w:space="0"/>
            </w:tcBorders>
            <w:shd w:val="clear" w:color="000000" w:fill="FFFFFF"/>
            <w:vAlign w:val="center"/>
          </w:tcPr>
          <w:p w14:paraId="27E08C3C">
            <w:pPr>
              <w:widowControl/>
              <w:jc w:val="center"/>
              <w:rPr>
                <w:rFonts w:ascii="宋体" w:hAnsi="宋体" w:cs="宋体"/>
                <w:kern w:val="0"/>
                <w:sz w:val="18"/>
                <w:szCs w:val="18"/>
              </w:rPr>
            </w:pPr>
            <w:r>
              <w:rPr>
                <w:rFonts w:hint="eastAsia" w:ascii="宋体" w:hAnsi="宋体" w:cs="宋体"/>
                <w:kern w:val="0"/>
                <w:sz w:val="18"/>
                <w:szCs w:val="18"/>
              </w:rPr>
              <w:t>AI数智经营分析系统</w:t>
            </w:r>
          </w:p>
        </w:tc>
        <w:tc>
          <w:tcPr>
            <w:tcW w:w="4717" w:type="dxa"/>
            <w:tcBorders>
              <w:top w:val="nil"/>
              <w:left w:val="nil"/>
              <w:bottom w:val="single" w:color="auto" w:sz="4" w:space="0"/>
              <w:right w:val="single" w:color="auto" w:sz="4" w:space="0"/>
            </w:tcBorders>
            <w:shd w:val="clear" w:color="000000" w:fill="FFFFFF"/>
            <w:vAlign w:val="center"/>
          </w:tcPr>
          <w:p w14:paraId="6C709E34">
            <w:pPr>
              <w:widowControl/>
              <w:jc w:val="left"/>
              <w:rPr>
                <w:rFonts w:ascii="宋体" w:hAnsi="宋体" w:cs="宋体"/>
                <w:kern w:val="0"/>
                <w:sz w:val="18"/>
                <w:szCs w:val="18"/>
              </w:rPr>
            </w:pPr>
            <w:r>
              <w:rPr>
                <w:rFonts w:hint="eastAsia" w:ascii="宋体" w:hAnsi="宋体" w:cs="宋体"/>
                <w:kern w:val="0"/>
                <w:sz w:val="18"/>
                <w:szCs w:val="18"/>
              </w:rPr>
              <w:t>1.1、今日实时监控</w:t>
            </w:r>
            <w:r>
              <w:rPr>
                <w:rFonts w:hint="eastAsia" w:ascii="宋体" w:hAnsi="宋体" w:cs="宋体"/>
                <w:kern w:val="0"/>
                <w:sz w:val="18"/>
                <w:szCs w:val="18"/>
              </w:rPr>
              <w:br w:type="textWrapping"/>
            </w:r>
            <w:r>
              <w:rPr>
                <w:rFonts w:hint="eastAsia" w:ascii="宋体" w:hAnsi="宋体" w:cs="宋体"/>
                <w:kern w:val="0"/>
                <w:sz w:val="18"/>
                <w:szCs w:val="18"/>
              </w:rPr>
              <w:t>1.1.1 关键数据看板</w:t>
            </w:r>
            <w:r>
              <w:rPr>
                <w:rFonts w:hint="eastAsia" w:ascii="宋体" w:hAnsi="宋体" w:cs="宋体"/>
                <w:kern w:val="0"/>
                <w:sz w:val="18"/>
                <w:szCs w:val="18"/>
              </w:rPr>
              <w:br w:type="textWrapping"/>
            </w:r>
            <w:r>
              <w:rPr>
                <w:rFonts w:hint="eastAsia" w:ascii="宋体" w:hAnsi="宋体" w:cs="宋体"/>
                <w:kern w:val="0"/>
                <w:sz w:val="18"/>
                <w:szCs w:val="18"/>
              </w:rPr>
              <w:t xml:space="preserve">    1.1.1.1 需实时展示当日总营收，细分包含房费收入、餐饮收入及其他收入。</w:t>
            </w:r>
            <w:r>
              <w:rPr>
                <w:rFonts w:hint="eastAsia" w:ascii="宋体" w:hAnsi="宋体" w:cs="宋体"/>
                <w:kern w:val="0"/>
                <w:sz w:val="18"/>
                <w:szCs w:val="18"/>
              </w:rPr>
              <w:br w:type="textWrapping"/>
            </w:r>
            <w:r>
              <w:rPr>
                <w:rFonts w:hint="eastAsia" w:ascii="宋体" w:hAnsi="宋体" w:cs="宋体"/>
                <w:kern w:val="0"/>
                <w:sz w:val="18"/>
                <w:szCs w:val="18"/>
              </w:rPr>
              <w:t xml:space="preserve">    1.1.1.2 需实时监控核心经营指标：出租率、平均房价（ADR）及每房产出（RevPAR）。</w:t>
            </w:r>
            <w:r>
              <w:rPr>
                <w:rFonts w:hint="eastAsia" w:ascii="宋体" w:hAnsi="宋体" w:cs="宋体"/>
                <w:kern w:val="0"/>
                <w:sz w:val="18"/>
                <w:szCs w:val="18"/>
              </w:rPr>
              <w:br w:type="textWrapping"/>
            </w:r>
            <w:r>
              <w:rPr>
                <w:rFonts w:hint="eastAsia" w:ascii="宋体" w:hAnsi="宋体" w:cs="宋体"/>
                <w:kern w:val="0"/>
                <w:sz w:val="18"/>
                <w:szCs w:val="18"/>
              </w:rPr>
              <w:t xml:space="preserve">    1.1.1.3 需实时统计房态数据，包含可卖房、占用房、维修房、免费房及自用房的数量。</w:t>
            </w:r>
            <w:r>
              <w:rPr>
                <w:rFonts w:hint="eastAsia" w:ascii="宋体" w:hAnsi="宋体" w:cs="宋体"/>
                <w:kern w:val="0"/>
                <w:sz w:val="18"/>
                <w:szCs w:val="18"/>
              </w:rPr>
              <w:br w:type="textWrapping"/>
            </w:r>
            <w:r>
              <w:rPr>
                <w:rFonts w:hint="eastAsia" w:ascii="宋体" w:hAnsi="宋体" w:cs="宋体"/>
                <w:kern w:val="0"/>
                <w:sz w:val="18"/>
                <w:szCs w:val="18"/>
              </w:rPr>
              <w:t>1.1.2 平均房价与出租率分析</w:t>
            </w:r>
            <w:r>
              <w:rPr>
                <w:rFonts w:hint="eastAsia" w:ascii="宋体" w:hAnsi="宋体" w:cs="宋体"/>
                <w:kern w:val="0"/>
                <w:sz w:val="18"/>
                <w:szCs w:val="18"/>
              </w:rPr>
              <w:br w:type="textWrapping"/>
            </w:r>
            <w:r>
              <w:rPr>
                <w:rFonts w:hint="eastAsia" w:ascii="宋体" w:hAnsi="宋体" w:cs="宋体"/>
                <w:kern w:val="0"/>
                <w:sz w:val="18"/>
                <w:szCs w:val="18"/>
              </w:rPr>
              <w:t xml:space="preserve">    1.1.2.1 需支持按房型、渠道、来源、市场四个维度进行实时联动分析。</w:t>
            </w:r>
            <w:r>
              <w:rPr>
                <w:rFonts w:hint="eastAsia" w:ascii="宋体" w:hAnsi="宋体" w:cs="宋体"/>
                <w:kern w:val="0"/>
                <w:sz w:val="18"/>
                <w:szCs w:val="18"/>
              </w:rPr>
              <w:br w:type="textWrapping"/>
            </w:r>
            <w:r>
              <w:rPr>
                <w:rFonts w:hint="eastAsia" w:ascii="宋体" w:hAnsi="宋体" w:cs="宋体"/>
                <w:kern w:val="0"/>
                <w:sz w:val="18"/>
                <w:szCs w:val="18"/>
              </w:rPr>
              <w:t xml:space="preserve">    1.1.2.2 需提供柱状-折线图、气泡图、表格三种展示形式。</w:t>
            </w:r>
            <w:r>
              <w:rPr>
                <w:rFonts w:hint="eastAsia" w:ascii="宋体" w:hAnsi="宋体" w:cs="宋体"/>
                <w:kern w:val="0"/>
                <w:sz w:val="18"/>
                <w:szCs w:val="18"/>
              </w:rPr>
              <w:br w:type="textWrapping"/>
            </w:r>
            <w:r>
              <w:rPr>
                <w:rFonts w:hint="eastAsia" w:ascii="宋体" w:hAnsi="宋体" w:cs="宋体"/>
                <w:kern w:val="0"/>
                <w:sz w:val="18"/>
                <w:szCs w:val="18"/>
              </w:rPr>
              <w:t xml:space="preserve">    1.1.2.3 气泡图需具备四象限分析功能，通过空间位置、面积大小、颜色分类三重编码，直观区分“明星房型”、“问题房型”等业务状态。</w:t>
            </w:r>
            <w:r>
              <w:rPr>
                <w:rFonts w:hint="eastAsia" w:ascii="宋体" w:hAnsi="宋体" w:cs="宋体"/>
                <w:kern w:val="0"/>
                <w:sz w:val="18"/>
                <w:szCs w:val="18"/>
              </w:rPr>
              <w:br w:type="textWrapping"/>
            </w:r>
            <w:r>
              <w:rPr>
                <w:rFonts w:hint="eastAsia" w:ascii="宋体" w:hAnsi="宋体" w:cs="宋体"/>
                <w:kern w:val="0"/>
                <w:sz w:val="18"/>
                <w:szCs w:val="18"/>
              </w:rPr>
              <w:t>1.1.3 收入分析</w:t>
            </w:r>
            <w:r>
              <w:rPr>
                <w:rFonts w:hint="eastAsia" w:ascii="宋体" w:hAnsi="宋体" w:cs="宋体"/>
                <w:kern w:val="0"/>
                <w:sz w:val="18"/>
                <w:szCs w:val="18"/>
              </w:rPr>
              <w:br w:type="textWrapping"/>
            </w:r>
            <w:r>
              <w:rPr>
                <w:rFonts w:hint="eastAsia" w:ascii="宋体" w:hAnsi="宋体" w:cs="宋体"/>
                <w:kern w:val="0"/>
                <w:sz w:val="18"/>
                <w:szCs w:val="18"/>
              </w:rPr>
              <w:t xml:space="preserve">    1.1.3.1 需实时查询各维度（房型/渠道/来源/市场）预计带来的房费收入。</w:t>
            </w:r>
            <w:r>
              <w:rPr>
                <w:rFonts w:hint="eastAsia" w:ascii="宋体" w:hAnsi="宋体" w:cs="宋体"/>
                <w:kern w:val="0"/>
                <w:sz w:val="18"/>
                <w:szCs w:val="18"/>
              </w:rPr>
              <w:br w:type="textWrapping"/>
            </w:r>
            <w:r>
              <w:rPr>
                <w:rFonts w:hint="eastAsia" w:ascii="宋体" w:hAnsi="宋体" w:cs="宋体"/>
                <w:kern w:val="0"/>
                <w:sz w:val="18"/>
                <w:szCs w:val="18"/>
              </w:rPr>
              <w:t xml:space="preserve">    1.1.3.2 数据展示需支持玫瑰图形式，以花瓣面积代表房费收入大小。</w:t>
            </w:r>
            <w:r>
              <w:rPr>
                <w:rFonts w:hint="eastAsia" w:ascii="宋体" w:hAnsi="宋体" w:cs="宋体"/>
                <w:kern w:val="0"/>
                <w:sz w:val="18"/>
                <w:szCs w:val="18"/>
              </w:rPr>
              <w:br w:type="textWrapping"/>
            </w:r>
            <w:r>
              <w:rPr>
                <w:rFonts w:hint="eastAsia" w:ascii="宋体" w:hAnsi="宋体" w:cs="宋体"/>
                <w:kern w:val="0"/>
                <w:sz w:val="18"/>
                <w:szCs w:val="18"/>
              </w:rPr>
              <w:t>1.2、 历史数据分析（按日/月度）</w:t>
            </w:r>
            <w:r>
              <w:rPr>
                <w:rFonts w:hint="eastAsia" w:ascii="宋体" w:hAnsi="宋体" w:cs="宋体"/>
                <w:kern w:val="0"/>
                <w:sz w:val="18"/>
                <w:szCs w:val="18"/>
              </w:rPr>
              <w:br w:type="textWrapping"/>
            </w:r>
            <w:r>
              <w:rPr>
                <w:rFonts w:hint="eastAsia" w:ascii="宋体" w:hAnsi="宋体" w:cs="宋体"/>
                <w:kern w:val="0"/>
                <w:sz w:val="18"/>
                <w:szCs w:val="18"/>
              </w:rPr>
              <w:t>1.2.1 营业日报配置</w:t>
            </w:r>
            <w:r>
              <w:rPr>
                <w:rFonts w:hint="eastAsia" w:ascii="宋体" w:hAnsi="宋体" w:cs="宋体"/>
                <w:kern w:val="0"/>
                <w:sz w:val="18"/>
                <w:szCs w:val="18"/>
              </w:rPr>
              <w:br w:type="textWrapping"/>
            </w:r>
            <w:r>
              <w:rPr>
                <w:rFonts w:hint="eastAsia" w:ascii="宋体" w:hAnsi="宋体" w:cs="宋体"/>
                <w:kern w:val="0"/>
                <w:sz w:val="18"/>
                <w:szCs w:val="18"/>
              </w:rPr>
              <w:t xml:space="preserve">    1.2.1.1 需支持自定义配置营业日报项目。</w:t>
            </w:r>
            <w:r>
              <w:rPr>
                <w:rFonts w:hint="eastAsia" w:ascii="宋体" w:hAnsi="宋体" w:cs="宋体"/>
                <w:kern w:val="0"/>
                <w:sz w:val="18"/>
                <w:szCs w:val="18"/>
              </w:rPr>
              <w:br w:type="textWrapping"/>
            </w:r>
            <w:r>
              <w:rPr>
                <w:rFonts w:hint="eastAsia" w:ascii="宋体" w:hAnsi="宋体" w:cs="宋体"/>
                <w:kern w:val="0"/>
                <w:sz w:val="18"/>
                <w:szCs w:val="18"/>
              </w:rPr>
              <w:t xml:space="preserve">    1.2.1.2 需支持查看昨日及历史月份的累计总营收（含客房、餐饮、商务中心、康乐等所有收入）。</w:t>
            </w:r>
            <w:r>
              <w:rPr>
                <w:rFonts w:hint="eastAsia" w:ascii="宋体" w:hAnsi="宋体" w:cs="宋体"/>
                <w:kern w:val="0"/>
                <w:sz w:val="18"/>
                <w:szCs w:val="18"/>
              </w:rPr>
              <w:br w:type="textWrapping"/>
            </w:r>
            <w:r>
              <w:rPr>
                <w:rFonts w:hint="eastAsia" w:ascii="宋体" w:hAnsi="宋体" w:cs="宋体"/>
                <w:kern w:val="0"/>
                <w:sz w:val="18"/>
                <w:szCs w:val="18"/>
              </w:rPr>
              <w:t>1.2.2 收益与结构分析</w:t>
            </w:r>
            <w:r>
              <w:rPr>
                <w:rFonts w:hint="eastAsia" w:ascii="宋体" w:hAnsi="宋体" w:cs="宋体"/>
                <w:kern w:val="0"/>
                <w:sz w:val="18"/>
                <w:szCs w:val="18"/>
              </w:rPr>
              <w:br w:type="textWrapping"/>
            </w:r>
            <w:r>
              <w:rPr>
                <w:rFonts w:hint="eastAsia" w:ascii="宋体" w:hAnsi="宋体" w:cs="宋体"/>
                <w:kern w:val="0"/>
                <w:sz w:val="18"/>
                <w:szCs w:val="18"/>
              </w:rPr>
              <w:t xml:space="preserve">    1.2.2.1 需支持按日/月维度分析平均房价与出租率的关系。</w:t>
            </w:r>
            <w:r>
              <w:rPr>
                <w:rFonts w:hint="eastAsia" w:ascii="宋体" w:hAnsi="宋体" w:cs="宋体"/>
                <w:kern w:val="0"/>
                <w:sz w:val="18"/>
                <w:szCs w:val="18"/>
              </w:rPr>
              <w:br w:type="textWrapping"/>
            </w:r>
            <w:r>
              <w:rPr>
                <w:rFonts w:hint="eastAsia" w:ascii="宋体" w:hAnsi="宋体" w:cs="宋体"/>
                <w:kern w:val="0"/>
                <w:sz w:val="18"/>
                <w:szCs w:val="18"/>
              </w:rPr>
              <w:t xml:space="preserve">    1.2.2.2 需支持按日/月查看各维度房费收入（玫瑰图）。</w:t>
            </w:r>
            <w:r>
              <w:rPr>
                <w:rFonts w:hint="eastAsia" w:ascii="宋体" w:hAnsi="宋体" w:cs="宋体"/>
                <w:kern w:val="0"/>
                <w:sz w:val="18"/>
                <w:szCs w:val="18"/>
              </w:rPr>
              <w:br w:type="textWrapping"/>
            </w:r>
            <w:r>
              <w:rPr>
                <w:rFonts w:hint="eastAsia" w:ascii="宋体" w:hAnsi="宋体" w:cs="宋体"/>
                <w:kern w:val="0"/>
                <w:sz w:val="18"/>
                <w:szCs w:val="18"/>
              </w:rPr>
              <w:t xml:space="preserve">    1.2.2.3 需支持收入结构分析，以饼图展示各收入项目的历史占比。</w:t>
            </w:r>
            <w:r>
              <w:rPr>
                <w:rFonts w:hint="eastAsia" w:ascii="宋体" w:hAnsi="宋体" w:cs="宋体"/>
                <w:kern w:val="0"/>
                <w:sz w:val="18"/>
                <w:szCs w:val="18"/>
              </w:rPr>
              <w:br w:type="textWrapping"/>
            </w:r>
            <w:r>
              <w:rPr>
                <w:rFonts w:hint="eastAsia" w:ascii="宋体" w:hAnsi="宋体" w:cs="宋体"/>
                <w:kern w:val="0"/>
                <w:sz w:val="18"/>
                <w:szCs w:val="18"/>
              </w:rPr>
              <w:t>1.3、未来收益预测</w:t>
            </w:r>
            <w:r>
              <w:rPr>
                <w:rFonts w:hint="eastAsia" w:ascii="宋体" w:hAnsi="宋体" w:cs="宋体"/>
                <w:kern w:val="0"/>
                <w:sz w:val="18"/>
                <w:szCs w:val="18"/>
              </w:rPr>
              <w:br w:type="textWrapping"/>
            </w:r>
            <w:r>
              <w:rPr>
                <w:rFonts w:hint="eastAsia" w:ascii="宋体" w:hAnsi="宋体" w:cs="宋体"/>
                <w:kern w:val="0"/>
                <w:sz w:val="18"/>
                <w:szCs w:val="18"/>
              </w:rPr>
              <w:t>1.3.1 房量与价格预测</w:t>
            </w:r>
            <w:r>
              <w:rPr>
                <w:rFonts w:hint="eastAsia" w:ascii="宋体" w:hAnsi="宋体" w:cs="宋体"/>
                <w:kern w:val="0"/>
                <w:sz w:val="18"/>
                <w:szCs w:val="18"/>
              </w:rPr>
              <w:br w:type="textWrapping"/>
            </w:r>
            <w:r>
              <w:rPr>
                <w:rFonts w:hint="eastAsia" w:ascii="宋体" w:hAnsi="宋体" w:cs="宋体"/>
                <w:kern w:val="0"/>
                <w:sz w:val="18"/>
                <w:szCs w:val="18"/>
              </w:rPr>
              <w:t xml:space="preserve">    1.3.1.1 需支持查询未来7日各房型的可卖房数量。</w:t>
            </w:r>
            <w:r>
              <w:rPr>
                <w:rFonts w:hint="eastAsia" w:ascii="宋体" w:hAnsi="宋体" w:cs="宋体"/>
                <w:kern w:val="0"/>
                <w:sz w:val="18"/>
                <w:szCs w:val="18"/>
              </w:rPr>
              <w:br w:type="textWrapping"/>
            </w:r>
            <w:r>
              <w:rPr>
                <w:rFonts w:hint="eastAsia" w:ascii="宋体" w:hAnsi="宋体" w:cs="宋体"/>
                <w:kern w:val="0"/>
                <w:sz w:val="18"/>
                <w:szCs w:val="18"/>
              </w:rPr>
              <w:t xml:space="preserve">    1.3.1.2 需支持预测未来7日各维度（房型/渠道/来源/市场）的平均房价及出租率。</w:t>
            </w:r>
            <w:r>
              <w:rPr>
                <w:rFonts w:hint="eastAsia" w:ascii="宋体" w:hAnsi="宋体" w:cs="宋体"/>
                <w:kern w:val="0"/>
                <w:sz w:val="18"/>
                <w:szCs w:val="18"/>
              </w:rPr>
              <w:br w:type="textWrapping"/>
            </w:r>
            <w:r>
              <w:rPr>
                <w:rFonts w:hint="eastAsia" w:ascii="宋体" w:hAnsi="宋体" w:cs="宋体"/>
                <w:kern w:val="0"/>
                <w:sz w:val="18"/>
                <w:szCs w:val="18"/>
              </w:rPr>
              <w:t>1.3.2 收入预测</w:t>
            </w:r>
            <w:r>
              <w:rPr>
                <w:rFonts w:hint="eastAsia" w:ascii="宋体" w:hAnsi="宋体" w:cs="宋体"/>
                <w:kern w:val="0"/>
                <w:sz w:val="18"/>
                <w:szCs w:val="18"/>
              </w:rPr>
              <w:br w:type="textWrapping"/>
            </w:r>
            <w:r>
              <w:rPr>
                <w:rFonts w:hint="eastAsia" w:ascii="宋体" w:hAnsi="宋体" w:cs="宋体"/>
                <w:kern w:val="0"/>
                <w:sz w:val="18"/>
                <w:szCs w:val="18"/>
              </w:rPr>
              <w:t xml:space="preserve">    1.3.2.1 需支持预测未来7日各维度预计带来的房费收入。</w:t>
            </w:r>
            <w:r>
              <w:rPr>
                <w:rFonts w:hint="eastAsia" w:ascii="宋体" w:hAnsi="宋体" w:cs="宋体"/>
                <w:kern w:val="0"/>
                <w:sz w:val="18"/>
                <w:szCs w:val="18"/>
              </w:rPr>
              <w:br w:type="textWrapping"/>
            </w:r>
            <w:r>
              <w:rPr>
                <w:rFonts w:hint="eastAsia" w:ascii="宋体" w:hAnsi="宋体" w:cs="宋体"/>
                <w:kern w:val="0"/>
                <w:sz w:val="18"/>
                <w:szCs w:val="18"/>
              </w:rPr>
              <w:t xml:space="preserve">    1.3.2.2 预测结果需支持以玫瑰图形式进行可视化展示。</w:t>
            </w:r>
            <w:r>
              <w:rPr>
                <w:rFonts w:hint="eastAsia" w:ascii="宋体" w:hAnsi="宋体" w:cs="宋体"/>
                <w:kern w:val="0"/>
                <w:sz w:val="18"/>
                <w:szCs w:val="18"/>
              </w:rPr>
              <w:br w:type="textWrapping"/>
            </w:r>
            <w:r>
              <w:rPr>
                <w:rFonts w:hint="eastAsia" w:ascii="宋体" w:hAnsi="宋体" w:cs="宋体"/>
                <w:kern w:val="0"/>
                <w:sz w:val="18"/>
                <w:szCs w:val="18"/>
              </w:rPr>
              <w:t>2、前厅与宾客服务系统</w:t>
            </w:r>
            <w:r>
              <w:rPr>
                <w:rFonts w:hint="eastAsia" w:ascii="宋体" w:hAnsi="宋体" w:cs="宋体"/>
                <w:kern w:val="0"/>
                <w:sz w:val="18"/>
                <w:szCs w:val="18"/>
              </w:rPr>
              <w:br w:type="textWrapping"/>
            </w:r>
            <w:r>
              <w:rPr>
                <w:rFonts w:hint="eastAsia" w:ascii="宋体" w:hAnsi="宋体" w:cs="宋体"/>
                <w:kern w:val="0"/>
                <w:sz w:val="18"/>
                <w:szCs w:val="18"/>
              </w:rPr>
              <w:t>需集成自助设备数据，实现前厅服务效率的数字化管理。</w:t>
            </w:r>
            <w:r>
              <w:rPr>
                <w:rFonts w:hint="eastAsia" w:ascii="宋体" w:hAnsi="宋体" w:cs="宋体"/>
                <w:kern w:val="0"/>
                <w:sz w:val="18"/>
                <w:szCs w:val="18"/>
              </w:rPr>
              <w:br w:type="textWrapping"/>
            </w:r>
            <w:r>
              <w:rPr>
                <w:rFonts w:hint="eastAsia" w:ascii="宋体" w:hAnsi="宋体" w:cs="宋体"/>
                <w:kern w:val="0"/>
                <w:sz w:val="18"/>
                <w:szCs w:val="18"/>
              </w:rPr>
              <w:t>2.1 宾客画像管理</w:t>
            </w:r>
            <w:r>
              <w:rPr>
                <w:rFonts w:hint="eastAsia" w:ascii="宋体" w:hAnsi="宋体" w:cs="宋体"/>
                <w:kern w:val="0"/>
                <w:sz w:val="18"/>
                <w:szCs w:val="18"/>
              </w:rPr>
              <w:br w:type="textWrapping"/>
            </w:r>
            <w:r>
              <w:rPr>
                <w:rFonts w:hint="eastAsia" w:ascii="宋体" w:hAnsi="宋体" w:cs="宋体"/>
                <w:kern w:val="0"/>
                <w:sz w:val="18"/>
                <w:szCs w:val="18"/>
              </w:rPr>
              <w:t>2.1.1 需实时展示当日入住的 VIP 客人列表。</w:t>
            </w:r>
            <w:r>
              <w:rPr>
                <w:rFonts w:hint="eastAsia" w:ascii="宋体" w:hAnsi="宋体" w:cs="宋体"/>
                <w:kern w:val="0"/>
                <w:sz w:val="18"/>
                <w:szCs w:val="18"/>
              </w:rPr>
              <w:br w:type="textWrapping"/>
            </w:r>
            <w:r>
              <w:rPr>
                <w:rFonts w:hint="eastAsia" w:ascii="宋体" w:hAnsi="宋体" w:cs="宋体"/>
                <w:kern w:val="0"/>
                <w:sz w:val="18"/>
                <w:szCs w:val="18"/>
              </w:rPr>
              <w:t>2.1.2 需实时展示当日入住的寿星（生日客人）列表，并支持查看详情。</w:t>
            </w:r>
            <w:r>
              <w:rPr>
                <w:rFonts w:hint="eastAsia" w:ascii="宋体" w:hAnsi="宋体" w:cs="宋体"/>
                <w:kern w:val="0"/>
                <w:sz w:val="18"/>
                <w:szCs w:val="18"/>
              </w:rPr>
              <w:br w:type="textWrapping"/>
            </w:r>
            <w:r>
              <w:rPr>
                <w:rFonts w:hint="eastAsia" w:ascii="宋体" w:hAnsi="宋体" w:cs="宋体"/>
                <w:kern w:val="0"/>
                <w:sz w:val="18"/>
                <w:szCs w:val="18"/>
              </w:rPr>
              <w:t>2.2 自助入住统计</w:t>
            </w:r>
            <w:r>
              <w:rPr>
                <w:rFonts w:hint="eastAsia" w:ascii="宋体" w:hAnsi="宋体" w:cs="宋体"/>
                <w:kern w:val="0"/>
                <w:sz w:val="18"/>
                <w:szCs w:val="18"/>
              </w:rPr>
              <w:br w:type="textWrapping"/>
            </w:r>
            <w:r>
              <w:rPr>
                <w:rFonts w:hint="eastAsia" w:ascii="宋体" w:hAnsi="宋体" w:cs="宋体"/>
                <w:kern w:val="0"/>
                <w:sz w:val="18"/>
                <w:szCs w:val="18"/>
              </w:rPr>
              <w:t>2.2.1 需实时统计并展示自助办理、手持机办理及小程序办理的人数及占比。</w:t>
            </w:r>
            <w:r>
              <w:rPr>
                <w:rFonts w:hint="eastAsia" w:ascii="宋体" w:hAnsi="宋体" w:cs="宋体"/>
                <w:kern w:val="0"/>
                <w:sz w:val="18"/>
                <w:szCs w:val="18"/>
              </w:rPr>
              <w:br w:type="textWrapping"/>
            </w:r>
            <w:r>
              <w:rPr>
                <w:rFonts w:hint="eastAsia" w:ascii="宋体" w:hAnsi="宋体" w:cs="宋体"/>
                <w:kern w:val="0"/>
                <w:sz w:val="18"/>
                <w:szCs w:val="18"/>
              </w:rPr>
              <w:t>2.2.2 需支持按月度查询累计设备办理入住人数及占比数据。</w:t>
            </w:r>
            <w:r>
              <w:rPr>
                <w:rFonts w:hint="eastAsia" w:ascii="宋体" w:hAnsi="宋体" w:cs="宋体"/>
                <w:kern w:val="0"/>
                <w:sz w:val="18"/>
                <w:szCs w:val="18"/>
              </w:rPr>
              <w:br w:type="textWrapping"/>
            </w:r>
            <w:r>
              <w:rPr>
                <w:rFonts w:hint="eastAsia" w:ascii="宋体" w:hAnsi="宋体" w:cs="宋体"/>
                <w:kern w:val="0"/>
                <w:sz w:val="18"/>
                <w:szCs w:val="18"/>
              </w:rPr>
              <w:t>3、客房与工程运维系统</w:t>
            </w:r>
          </w:p>
          <w:p w14:paraId="31E3A220">
            <w:pPr>
              <w:widowControl/>
              <w:jc w:val="left"/>
              <w:rPr>
                <w:rFonts w:ascii="宋体" w:hAnsi="宋体" w:cs="宋体"/>
                <w:kern w:val="0"/>
                <w:sz w:val="18"/>
                <w:szCs w:val="18"/>
              </w:rPr>
            </w:pPr>
            <w:bookmarkStart w:id="116" w:name="_Hlk231900614"/>
            <w:r>
              <w:rPr>
                <w:rFonts w:hint="eastAsia" w:ascii="宋体" w:hAnsi="宋体" w:cs="宋体"/>
                <w:color w:val="auto"/>
                <w:kern w:val="0"/>
                <w:sz w:val="18"/>
                <w:szCs w:val="18"/>
              </w:rPr>
              <w:t>需对接客房数字化管理系统，实现人员排班、清洁进度及工程报修的全流程监控。</w:t>
            </w:r>
            <w:bookmarkEnd w:id="116"/>
            <w:r>
              <w:rPr>
                <w:rFonts w:hint="eastAsia" w:ascii="宋体" w:hAnsi="宋体" w:cs="宋体"/>
                <w:kern w:val="0"/>
                <w:sz w:val="18"/>
                <w:szCs w:val="18"/>
              </w:rPr>
              <w:br w:type="textWrapping"/>
            </w:r>
            <w:r>
              <w:rPr>
                <w:rFonts w:hint="eastAsia" w:ascii="宋体" w:hAnsi="宋体" w:cs="宋体"/>
                <w:kern w:val="0"/>
                <w:sz w:val="18"/>
                <w:szCs w:val="18"/>
              </w:rPr>
              <w:t>3.1 人员与排班管理</w:t>
            </w:r>
            <w:r>
              <w:rPr>
                <w:rFonts w:hint="eastAsia" w:ascii="宋体" w:hAnsi="宋体" w:cs="宋体"/>
                <w:kern w:val="0"/>
                <w:sz w:val="18"/>
                <w:szCs w:val="18"/>
              </w:rPr>
              <w:br w:type="textWrapping"/>
            </w:r>
            <w:r>
              <w:rPr>
                <w:rFonts w:hint="eastAsia" w:ascii="宋体" w:hAnsi="宋体" w:cs="宋体"/>
                <w:kern w:val="0"/>
                <w:sz w:val="18"/>
                <w:szCs w:val="18"/>
              </w:rPr>
              <w:t>3.1.1 需支持实时及按日查询客房部与工程部（涵盖经理、主管、领班至员工）的在班排班情况。</w:t>
            </w:r>
            <w:r>
              <w:rPr>
                <w:rFonts w:hint="eastAsia" w:ascii="宋体" w:hAnsi="宋体" w:cs="宋体"/>
                <w:kern w:val="0"/>
                <w:sz w:val="18"/>
                <w:szCs w:val="18"/>
              </w:rPr>
              <w:br w:type="textWrapping"/>
            </w:r>
            <w:r>
              <w:rPr>
                <w:rFonts w:hint="eastAsia" w:ascii="宋体" w:hAnsi="宋体" w:cs="宋体"/>
                <w:kern w:val="0"/>
                <w:sz w:val="18"/>
                <w:szCs w:val="18"/>
              </w:rPr>
              <w:t>3.2 客房清洁管理</w:t>
            </w:r>
            <w:r>
              <w:rPr>
                <w:rFonts w:hint="eastAsia" w:ascii="宋体" w:hAnsi="宋体" w:cs="宋体"/>
                <w:kern w:val="0"/>
                <w:sz w:val="18"/>
                <w:szCs w:val="18"/>
              </w:rPr>
              <w:br w:type="textWrapping"/>
            </w:r>
            <w:r>
              <w:rPr>
                <w:rFonts w:hint="eastAsia" w:ascii="宋体" w:hAnsi="宋体" w:cs="宋体"/>
                <w:kern w:val="0"/>
                <w:sz w:val="18"/>
                <w:szCs w:val="18"/>
              </w:rPr>
              <w:t>3.2.1 清洁监控：需实时监控人均计件、计件总数、清洁员数、脏房及空维房数量，并展示清洁进度。</w:t>
            </w:r>
            <w:r>
              <w:rPr>
                <w:rFonts w:hint="eastAsia" w:ascii="宋体" w:hAnsi="宋体" w:cs="宋体"/>
                <w:kern w:val="0"/>
                <w:sz w:val="18"/>
                <w:szCs w:val="18"/>
              </w:rPr>
              <w:br w:type="textWrapping"/>
            </w:r>
            <w:r>
              <w:rPr>
                <w:rFonts w:hint="eastAsia" w:ascii="宋体" w:hAnsi="宋体" w:cs="宋体"/>
                <w:kern w:val="0"/>
                <w:sz w:val="18"/>
                <w:szCs w:val="18"/>
              </w:rPr>
              <w:t>3.2.2 质量分析：需统计返工房间数、返工率及原因分布；支持按月生成员工返工率排行榜。</w:t>
            </w:r>
            <w:r>
              <w:rPr>
                <w:rFonts w:hint="eastAsia" w:ascii="宋体" w:hAnsi="宋体" w:cs="宋体"/>
                <w:kern w:val="0"/>
                <w:sz w:val="18"/>
                <w:szCs w:val="18"/>
              </w:rPr>
              <w:br w:type="textWrapping"/>
            </w:r>
            <w:r>
              <w:rPr>
                <w:rFonts w:hint="eastAsia" w:ascii="宋体" w:hAnsi="宋体" w:cs="宋体"/>
                <w:kern w:val="0"/>
                <w:sz w:val="18"/>
                <w:szCs w:val="18"/>
              </w:rPr>
              <w:t>3.2.3 预测分析：需支持查询未来7天的工作量预测及员工缺口分析。</w:t>
            </w:r>
            <w:r>
              <w:rPr>
                <w:rFonts w:hint="eastAsia" w:ascii="宋体" w:hAnsi="宋体" w:cs="宋体"/>
                <w:kern w:val="0"/>
                <w:sz w:val="18"/>
                <w:szCs w:val="18"/>
              </w:rPr>
              <w:br w:type="textWrapping"/>
            </w:r>
            <w:r>
              <w:rPr>
                <w:rFonts w:hint="eastAsia" w:ascii="宋体" w:hAnsi="宋体" w:cs="宋体"/>
                <w:kern w:val="0"/>
                <w:sz w:val="18"/>
                <w:szCs w:val="18"/>
              </w:rPr>
              <w:t>3.3 工程运维管理</w:t>
            </w:r>
            <w:r>
              <w:rPr>
                <w:rFonts w:hint="eastAsia" w:ascii="宋体" w:hAnsi="宋体" w:cs="宋体"/>
                <w:kern w:val="0"/>
                <w:sz w:val="18"/>
                <w:szCs w:val="18"/>
              </w:rPr>
              <w:br w:type="textWrapping"/>
            </w:r>
            <w:r>
              <w:rPr>
                <w:rFonts w:hint="eastAsia" w:ascii="宋体" w:hAnsi="宋体" w:cs="宋体"/>
                <w:kern w:val="0"/>
                <w:sz w:val="18"/>
                <w:szCs w:val="18"/>
              </w:rPr>
              <w:t>3.3.1 报修监控：需实时监控工程报修下单数量及超时未完成工单明细。</w:t>
            </w:r>
            <w:r>
              <w:rPr>
                <w:rFonts w:hint="eastAsia" w:ascii="宋体" w:hAnsi="宋体" w:cs="宋体"/>
                <w:kern w:val="0"/>
                <w:sz w:val="18"/>
                <w:szCs w:val="18"/>
              </w:rPr>
              <w:br w:type="textWrapping"/>
            </w:r>
            <w:r>
              <w:rPr>
                <w:rFonts w:hint="eastAsia" w:ascii="宋体" w:hAnsi="宋体" w:cs="宋体"/>
                <w:kern w:val="0"/>
                <w:sz w:val="18"/>
                <w:szCs w:val="18"/>
              </w:rPr>
              <w:t>3.3.2 质量追溯：需支持查询验收不通过的工单明细。</w:t>
            </w:r>
            <w:r>
              <w:rPr>
                <w:rFonts w:hint="eastAsia" w:ascii="宋体" w:hAnsi="宋体" w:cs="宋体"/>
                <w:kern w:val="0"/>
                <w:sz w:val="18"/>
                <w:szCs w:val="18"/>
              </w:rPr>
              <w:br w:type="textWrapping"/>
            </w:r>
            <w:r>
              <w:rPr>
                <w:rFonts w:hint="eastAsia" w:ascii="宋体" w:hAnsi="宋体" w:cs="宋体"/>
                <w:kern w:val="0"/>
                <w:sz w:val="18"/>
                <w:szCs w:val="18"/>
              </w:rPr>
              <w:t>3.3.3 热点分析：需支持生成月度高频报修项目、高频报修明细及高频报修房号 TOP10 榜单。</w:t>
            </w:r>
            <w:r>
              <w:rPr>
                <w:rFonts w:hint="eastAsia" w:ascii="宋体" w:hAnsi="宋体" w:cs="宋体"/>
                <w:kern w:val="0"/>
                <w:sz w:val="18"/>
                <w:szCs w:val="18"/>
              </w:rPr>
              <w:br w:type="textWrapping"/>
            </w:r>
            <w:r>
              <w:rPr>
                <w:rFonts w:hint="eastAsia" w:ascii="宋体" w:hAnsi="宋体" w:cs="宋体"/>
                <w:kern w:val="0"/>
                <w:sz w:val="18"/>
                <w:szCs w:val="18"/>
              </w:rPr>
              <w:t>3.4 对客服务响应</w:t>
            </w:r>
            <w:r>
              <w:rPr>
                <w:rFonts w:hint="eastAsia" w:ascii="宋体" w:hAnsi="宋体" w:cs="宋体"/>
                <w:kern w:val="0"/>
                <w:sz w:val="18"/>
                <w:szCs w:val="18"/>
              </w:rPr>
              <w:br w:type="textWrapping"/>
            </w:r>
            <w:r>
              <w:rPr>
                <w:rFonts w:hint="eastAsia" w:ascii="宋体" w:hAnsi="宋体" w:cs="宋体"/>
                <w:kern w:val="0"/>
                <w:sz w:val="18"/>
                <w:szCs w:val="18"/>
              </w:rPr>
              <w:t>3.4.1 统计分析：需统计对客服务下单数量。</w:t>
            </w:r>
            <w:r>
              <w:rPr>
                <w:rFonts w:hint="eastAsia" w:ascii="宋体" w:hAnsi="宋体" w:cs="宋体"/>
                <w:kern w:val="0"/>
                <w:sz w:val="18"/>
                <w:szCs w:val="18"/>
              </w:rPr>
              <w:br w:type="textWrapping"/>
            </w:r>
            <w:r>
              <w:rPr>
                <w:rFonts w:hint="eastAsia" w:ascii="宋体" w:hAnsi="宋体" w:cs="宋体"/>
                <w:kern w:val="0"/>
                <w:sz w:val="18"/>
                <w:szCs w:val="18"/>
              </w:rPr>
              <w:t>3.4.2 时段分析：需支持分析下单时间段分布（按小时）及日期分布。</w:t>
            </w:r>
            <w:r>
              <w:rPr>
                <w:rFonts w:hint="eastAsia" w:ascii="宋体" w:hAnsi="宋体" w:cs="宋体"/>
                <w:kern w:val="0"/>
                <w:sz w:val="18"/>
                <w:szCs w:val="18"/>
              </w:rPr>
              <w:br w:type="textWrapping"/>
            </w:r>
            <w:r>
              <w:rPr>
                <w:rFonts w:hint="eastAsia" w:ascii="宋体" w:hAnsi="宋体" w:cs="宋体"/>
                <w:kern w:val="0"/>
                <w:sz w:val="18"/>
                <w:szCs w:val="18"/>
              </w:rPr>
              <w:t>3.4.3 热点排行：需支持生成月度高频下单项目及明细 TOP10。</w:t>
            </w:r>
            <w:r>
              <w:rPr>
                <w:rFonts w:hint="eastAsia" w:ascii="宋体" w:hAnsi="宋体" w:cs="宋体"/>
                <w:kern w:val="0"/>
                <w:sz w:val="18"/>
                <w:szCs w:val="18"/>
              </w:rPr>
              <w:br w:type="textWrapping"/>
            </w:r>
            <w:r>
              <w:rPr>
                <w:rFonts w:hint="eastAsia" w:ascii="宋体" w:hAnsi="宋体" w:cs="宋体"/>
                <w:kern w:val="0"/>
                <w:sz w:val="18"/>
                <w:szCs w:val="18"/>
              </w:rPr>
              <w:t>4. 餐饮与会议管理系统</w:t>
            </w:r>
            <w:r>
              <w:rPr>
                <w:rFonts w:hint="eastAsia" w:ascii="宋体" w:hAnsi="宋体" w:cs="宋体"/>
                <w:kern w:val="0"/>
                <w:sz w:val="18"/>
                <w:szCs w:val="18"/>
              </w:rPr>
              <w:br w:type="textWrapping"/>
            </w:r>
            <w:r>
              <w:rPr>
                <w:rFonts w:hint="eastAsia" w:ascii="宋体" w:hAnsi="宋体" w:cs="宋体"/>
                <w:kern w:val="0"/>
                <w:sz w:val="18"/>
                <w:szCs w:val="18"/>
              </w:rPr>
              <w:t>需提供实时营业额监控及未来餐饮/会议收入的预测能力。</w:t>
            </w:r>
            <w:r>
              <w:rPr>
                <w:rFonts w:hint="eastAsia" w:ascii="宋体" w:hAnsi="宋体" w:cs="宋体"/>
                <w:kern w:val="0"/>
                <w:sz w:val="18"/>
                <w:szCs w:val="18"/>
              </w:rPr>
              <w:br w:type="textWrapping"/>
            </w:r>
            <w:r>
              <w:rPr>
                <w:rFonts w:hint="eastAsia" w:ascii="宋体" w:hAnsi="宋体" w:cs="宋体"/>
                <w:kern w:val="0"/>
                <w:sz w:val="18"/>
                <w:szCs w:val="18"/>
              </w:rPr>
              <w:t>4.1 实时营业额监控</w:t>
            </w:r>
            <w:r>
              <w:rPr>
                <w:rFonts w:hint="eastAsia" w:ascii="宋体" w:hAnsi="宋体" w:cs="宋体"/>
                <w:kern w:val="0"/>
                <w:sz w:val="18"/>
                <w:szCs w:val="18"/>
              </w:rPr>
              <w:br w:type="textWrapping"/>
            </w:r>
            <w:r>
              <w:rPr>
                <w:rFonts w:hint="eastAsia" w:ascii="宋体" w:hAnsi="宋体" w:cs="宋体"/>
                <w:kern w:val="0"/>
                <w:sz w:val="18"/>
                <w:szCs w:val="18"/>
              </w:rPr>
              <w:t>4.1.1 核心指标：需实时展示总营业额、已结/未结营业额、已结收入、已结实收。</w:t>
            </w:r>
            <w:r>
              <w:rPr>
                <w:rFonts w:hint="eastAsia" w:ascii="宋体" w:hAnsi="宋体" w:cs="宋体"/>
                <w:kern w:val="0"/>
                <w:sz w:val="18"/>
                <w:szCs w:val="18"/>
              </w:rPr>
              <w:br w:type="textWrapping"/>
            </w:r>
            <w:r>
              <w:rPr>
                <w:rFonts w:hint="eastAsia" w:ascii="宋体" w:hAnsi="宋体" w:cs="宋体"/>
                <w:kern w:val="0"/>
                <w:sz w:val="18"/>
                <w:szCs w:val="18"/>
              </w:rPr>
              <w:t>4.1.2 运营指标：需实时监控开单总数、单均消费、人均消费及客流。</w:t>
            </w:r>
            <w:r>
              <w:rPr>
                <w:rFonts w:hint="eastAsia" w:ascii="宋体" w:hAnsi="宋体" w:cs="宋体"/>
                <w:kern w:val="0"/>
                <w:sz w:val="18"/>
                <w:szCs w:val="18"/>
              </w:rPr>
              <w:br w:type="textWrapping"/>
            </w:r>
            <w:r>
              <w:rPr>
                <w:rFonts w:hint="eastAsia" w:ascii="宋体" w:hAnsi="宋体" w:cs="宋体"/>
                <w:kern w:val="0"/>
                <w:sz w:val="18"/>
                <w:szCs w:val="18"/>
              </w:rPr>
              <w:t>4.1.3 结构分析：支持按营业点类型（分组）展示收入占比。</w:t>
            </w:r>
            <w:r>
              <w:rPr>
                <w:rFonts w:hint="eastAsia" w:ascii="宋体" w:hAnsi="宋体" w:cs="宋体"/>
                <w:kern w:val="0"/>
                <w:sz w:val="18"/>
                <w:szCs w:val="18"/>
              </w:rPr>
              <w:br w:type="textWrapping"/>
            </w:r>
            <w:r>
              <w:rPr>
                <w:rFonts w:hint="eastAsia" w:ascii="宋体" w:hAnsi="宋体" w:cs="宋体"/>
                <w:kern w:val="0"/>
                <w:sz w:val="18"/>
                <w:szCs w:val="18"/>
              </w:rPr>
              <w:t>4.2 历史数据分析</w:t>
            </w:r>
            <w:r>
              <w:rPr>
                <w:rFonts w:hint="eastAsia" w:ascii="宋体" w:hAnsi="宋体" w:cs="宋体"/>
                <w:kern w:val="0"/>
                <w:sz w:val="18"/>
                <w:szCs w:val="18"/>
              </w:rPr>
              <w:br w:type="textWrapping"/>
            </w:r>
            <w:r>
              <w:rPr>
                <w:rFonts w:hint="eastAsia" w:ascii="宋体" w:hAnsi="宋体" w:cs="宋体"/>
                <w:kern w:val="0"/>
                <w:sz w:val="18"/>
                <w:szCs w:val="18"/>
              </w:rPr>
              <w:t>4.2.1 需支持查询月度累计的总营业额、已结/未结额等核心指标，并支持查看历史月份数据。</w:t>
            </w:r>
            <w:r>
              <w:rPr>
                <w:rFonts w:hint="eastAsia" w:ascii="宋体" w:hAnsi="宋体" w:cs="宋体"/>
                <w:kern w:val="0"/>
                <w:sz w:val="18"/>
                <w:szCs w:val="18"/>
              </w:rPr>
              <w:br w:type="textWrapping"/>
            </w:r>
            <w:r>
              <w:rPr>
                <w:rFonts w:hint="eastAsia" w:ascii="宋体" w:hAnsi="宋体" w:cs="宋体"/>
                <w:kern w:val="0"/>
                <w:sz w:val="18"/>
                <w:szCs w:val="18"/>
              </w:rPr>
              <w:t>4.3 未来收入预测</w:t>
            </w:r>
            <w:r>
              <w:rPr>
                <w:rFonts w:hint="eastAsia" w:ascii="宋体" w:hAnsi="宋体" w:cs="宋体"/>
                <w:kern w:val="0"/>
                <w:sz w:val="18"/>
                <w:szCs w:val="18"/>
              </w:rPr>
              <w:br w:type="textWrapping"/>
            </w:r>
            <w:r>
              <w:rPr>
                <w:rFonts w:hint="eastAsia" w:ascii="宋体" w:hAnsi="宋体" w:cs="宋体"/>
                <w:kern w:val="0"/>
                <w:sz w:val="18"/>
                <w:szCs w:val="18"/>
              </w:rPr>
              <w:t>4.3.1 餐饮预测：需支持预估未来餐饮收入、餐饮预定数及未到预定数。</w:t>
            </w:r>
            <w:r>
              <w:rPr>
                <w:rFonts w:hint="eastAsia" w:ascii="宋体" w:hAnsi="宋体" w:cs="宋体"/>
                <w:kern w:val="0"/>
                <w:sz w:val="18"/>
                <w:szCs w:val="18"/>
              </w:rPr>
              <w:br w:type="textWrapping"/>
            </w:r>
            <w:r>
              <w:rPr>
                <w:rFonts w:hint="eastAsia" w:ascii="宋体" w:hAnsi="宋体" w:cs="宋体"/>
                <w:kern w:val="0"/>
                <w:sz w:val="18"/>
                <w:szCs w:val="18"/>
              </w:rPr>
              <w:t>4.3.2 会议预测：需支持预估会议收入及会议预定数。</w:t>
            </w:r>
            <w:r>
              <w:rPr>
                <w:rFonts w:hint="eastAsia" w:ascii="宋体" w:hAnsi="宋体" w:cs="宋体"/>
                <w:kern w:val="0"/>
                <w:sz w:val="18"/>
                <w:szCs w:val="18"/>
              </w:rPr>
              <w:br w:type="textWrapping"/>
            </w:r>
            <w:r>
              <w:rPr>
                <w:rFonts w:hint="eastAsia" w:ascii="宋体" w:hAnsi="宋体" w:cs="宋体"/>
                <w:kern w:val="0"/>
                <w:sz w:val="18"/>
                <w:szCs w:val="18"/>
              </w:rPr>
              <w:t>5. 满意度与竞对分析系统</w:t>
            </w:r>
            <w:r>
              <w:rPr>
                <w:rFonts w:hint="eastAsia" w:ascii="宋体" w:hAnsi="宋体" w:cs="宋体"/>
                <w:kern w:val="0"/>
                <w:sz w:val="18"/>
                <w:szCs w:val="18"/>
              </w:rPr>
              <w:br w:type="textWrapping"/>
            </w:r>
            <w:r>
              <w:rPr>
                <w:rFonts w:hint="eastAsia" w:ascii="宋体" w:hAnsi="宋体" w:cs="宋体"/>
                <w:kern w:val="0"/>
                <w:sz w:val="18"/>
                <w:szCs w:val="18"/>
              </w:rPr>
              <w:t>需集成多平台数据，并利用 AI 技术进行情感分析。</w:t>
            </w:r>
            <w:r>
              <w:rPr>
                <w:rFonts w:hint="eastAsia" w:ascii="宋体" w:hAnsi="宋体" w:cs="宋体"/>
                <w:kern w:val="0"/>
                <w:sz w:val="18"/>
                <w:szCs w:val="18"/>
              </w:rPr>
              <w:br w:type="textWrapping"/>
            </w:r>
            <w:r>
              <w:rPr>
                <w:rFonts w:hint="eastAsia" w:ascii="宋体" w:hAnsi="宋体" w:cs="宋体"/>
                <w:kern w:val="0"/>
                <w:sz w:val="18"/>
                <w:szCs w:val="18"/>
              </w:rPr>
              <w:t>5.1 舆情监控</w:t>
            </w:r>
            <w:r>
              <w:rPr>
                <w:rFonts w:hint="eastAsia" w:ascii="宋体" w:hAnsi="宋体" w:cs="宋体"/>
                <w:kern w:val="0"/>
                <w:sz w:val="18"/>
                <w:szCs w:val="18"/>
              </w:rPr>
              <w:br w:type="textWrapping"/>
            </w:r>
            <w:r>
              <w:rPr>
                <w:rFonts w:hint="eastAsia" w:ascii="宋体" w:hAnsi="宋体" w:cs="宋体"/>
                <w:kern w:val="0"/>
                <w:sz w:val="18"/>
                <w:szCs w:val="18"/>
              </w:rPr>
              <w:t>5.1.1 平台接入：需支持接入并查看国内外共13个平台的实时及历史得分。</w:t>
            </w:r>
            <w:r>
              <w:rPr>
                <w:rFonts w:hint="eastAsia" w:ascii="宋体" w:hAnsi="宋体" w:cs="宋体"/>
                <w:kern w:val="0"/>
                <w:sz w:val="18"/>
                <w:szCs w:val="18"/>
              </w:rPr>
              <w:br w:type="textWrapping"/>
            </w:r>
            <w:r>
              <w:rPr>
                <w:rFonts w:hint="eastAsia" w:ascii="宋体" w:hAnsi="宋体" w:cs="宋体"/>
                <w:kern w:val="0"/>
                <w:sz w:val="18"/>
                <w:szCs w:val="18"/>
              </w:rPr>
              <w:t>5.1.2 概况统计：需支持查看酒店当日及历史的 CSI、好评率、回复率、表扬率、顾客观点数及中差评数。</w:t>
            </w:r>
            <w:r>
              <w:rPr>
                <w:rFonts w:hint="eastAsia" w:ascii="宋体" w:hAnsi="宋体" w:cs="宋体"/>
                <w:kern w:val="0"/>
                <w:sz w:val="18"/>
                <w:szCs w:val="18"/>
              </w:rPr>
              <w:br w:type="textWrapping"/>
            </w:r>
            <w:r>
              <w:rPr>
                <w:rFonts w:hint="eastAsia" w:ascii="宋体" w:hAnsi="宋体" w:cs="宋体"/>
                <w:kern w:val="0"/>
                <w:sz w:val="18"/>
                <w:szCs w:val="18"/>
              </w:rPr>
              <w:t>5.2 AI 情感分析</w:t>
            </w:r>
            <w:r>
              <w:rPr>
                <w:rFonts w:hint="eastAsia" w:ascii="宋体" w:hAnsi="宋体" w:cs="宋体"/>
                <w:kern w:val="0"/>
                <w:sz w:val="18"/>
                <w:szCs w:val="18"/>
              </w:rPr>
              <w:br w:type="textWrapping"/>
            </w:r>
            <w:r>
              <w:rPr>
                <w:rFonts w:hint="eastAsia" w:ascii="宋体" w:hAnsi="宋体" w:cs="宋体"/>
                <w:kern w:val="0"/>
                <w:sz w:val="18"/>
                <w:szCs w:val="18"/>
              </w:rPr>
              <w:t>5.2.1 关键词提取：需通过 AI 技术自动分析订单评价，总结表扬关键词及批判关键词。</w:t>
            </w:r>
            <w:r>
              <w:rPr>
                <w:rFonts w:hint="eastAsia" w:ascii="宋体" w:hAnsi="宋体" w:cs="宋体"/>
                <w:kern w:val="0"/>
                <w:sz w:val="18"/>
                <w:szCs w:val="18"/>
              </w:rPr>
              <w:br w:type="textWrapping"/>
            </w:r>
            <w:r>
              <w:rPr>
                <w:rFonts w:hint="eastAsia" w:ascii="宋体" w:hAnsi="宋体" w:cs="宋体"/>
                <w:kern w:val="0"/>
                <w:sz w:val="18"/>
                <w:szCs w:val="18"/>
              </w:rPr>
              <w:t>5.2.2 排行展示：需支持生成关键词排行榜，辅助定位服务优劣势。</w:t>
            </w:r>
            <w:r>
              <w:rPr>
                <w:rFonts w:hint="eastAsia" w:ascii="宋体" w:hAnsi="宋体" w:cs="宋体"/>
                <w:kern w:val="0"/>
                <w:sz w:val="18"/>
                <w:szCs w:val="18"/>
              </w:rPr>
              <w:br w:type="textWrapping"/>
            </w:r>
            <w:r>
              <w:rPr>
                <w:rFonts w:hint="eastAsia" w:ascii="宋体" w:hAnsi="宋体" w:cs="宋体"/>
                <w:kern w:val="0"/>
                <w:sz w:val="18"/>
                <w:szCs w:val="18"/>
              </w:rPr>
              <w:t>5.3 竞对数据分析</w:t>
            </w:r>
            <w:r>
              <w:rPr>
                <w:rFonts w:hint="eastAsia" w:ascii="宋体" w:hAnsi="宋体" w:cs="宋体"/>
                <w:kern w:val="0"/>
                <w:sz w:val="18"/>
                <w:szCs w:val="18"/>
              </w:rPr>
              <w:br w:type="textWrapping"/>
            </w:r>
            <w:r>
              <w:rPr>
                <w:rFonts w:hint="eastAsia" w:ascii="宋体" w:hAnsi="宋体" w:cs="宋体"/>
                <w:kern w:val="0"/>
                <w:sz w:val="18"/>
                <w:szCs w:val="18"/>
              </w:rPr>
              <w:t>5.3.1 竞品对比：需支持查看竞争对手的实时点评分、点评数、好评数及差评数。</w:t>
            </w:r>
            <w:r>
              <w:rPr>
                <w:rFonts w:hint="eastAsia" w:ascii="宋体" w:hAnsi="宋体" w:cs="宋体"/>
                <w:kern w:val="0"/>
                <w:sz w:val="18"/>
                <w:szCs w:val="18"/>
              </w:rPr>
              <w:br w:type="textWrapping"/>
            </w:r>
            <w:r>
              <w:rPr>
                <w:rFonts w:hint="eastAsia" w:ascii="宋体" w:hAnsi="宋体" w:cs="宋体"/>
                <w:kern w:val="0"/>
                <w:sz w:val="18"/>
                <w:szCs w:val="18"/>
              </w:rPr>
              <w:t>5.3.2 历史对比：需支持按日/月维度对比竞对 CSI 及点评数据。</w:t>
            </w:r>
            <w:r>
              <w:rPr>
                <w:rFonts w:hint="eastAsia" w:ascii="宋体" w:hAnsi="宋体" w:cs="宋体"/>
                <w:kern w:val="0"/>
                <w:sz w:val="18"/>
                <w:szCs w:val="18"/>
              </w:rPr>
              <w:br w:type="textWrapping"/>
            </w:r>
            <w:r>
              <w:rPr>
                <w:rFonts w:hint="eastAsia" w:ascii="宋体" w:hAnsi="宋体" w:cs="宋体"/>
                <w:kern w:val="0"/>
                <w:sz w:val="18"/>
                <w:szCs w:val="18"/>
              </w:rPr>
              <w:t>6. 物联网 (IoT) 集成系统</w:t>
            </w:r>
            <w:r>
              <w:rPr>
                <w:rFonts w:hint="eastAsia" w:ascii="宋体" w:hAnsi="宋体" w:cs="宋体"/>
                <w:kern w:val="0"/>
                <w:sz w:val="18"/>
                <w:szCs w:val="18"/>
              </w:rPr>
              <w:br w:type="textWrapping"/>
            </w:r>
            <w:r>
              <w:rPr>
                <w:rFonts w:hint="eastAsia" w:ascii="宋体" w:hAnsi="宋体" w:cs="宋体"/>
                <w:kern w:val="0"/>
                <w:sz w:val="18"/>
                <w:szCs w:val="18"/>
              </w:rPr>
              <w:t>需对接机器人等智能硬件，实现设备运行数据的可视化。</w:t>
            </w:r>
            <w:r>
              <w:rPr>
                <w:rFonts w:hint="eastAsia" w:ascii="宋体" w:hAnsi="宋体" w:cs="宋体"/>
                <w:kern w:val="0"/>
                <w:sz w:val="18"/>
                <w:szCs w:val="18"/>
              </w:rPr>
              <w:br w:type="textWrapping"/>
            </w:r>
            <w:r>
              <w:rPr>
                <w:rFonts w:hint="eastAsia" w:ascii="宋体" w:hAnsi="宋体" w:cs="宋体"/>
                <w:kern w:val="0"/>
                <w:sz w:val="18"/>
                <w:szCs w:val="18"/>
              </w:rPr>
              <w:t>6.1 机器人运行统计</w:t>
            </w:r>
            <w:r>
              <w:rPr>
                <w:rFonts w:hint="eastAsia" w:ascii="宋体" w:hAnsi="宋体" w:cs="宋体"/>
                <w:kern w:val="0"/>
                <w:sz w:val="18"/>
                <w:szCs w:val="18"/>
              </w:rPr>
              <w:br w:type="textWrapping"/>
            </w:r>
            <w:r>
              <w:rPr>
                <w:rFonts w:hint="eastAsia" w:ascii="宋体" w:hAnsi="宋体" w:cs="宋体"/>
                <w:kern w:val="0"/>
                <w:sz w:val="18"/>
                <w:szCs w:val="18"/>
              </w:rPr>
              <w:t>6.1.1 基础统计：需支持实时及按日/月统计任务总数、机器人运行总里程。</w:t>
            </w:r>
            <w:r>
              <w:rPr>
                <w:rFonts w:hint="eastAsia" w:ascii="宋体" w:hAnsi="宋体" w:cs="宋体"/>
                <w:kern w:val="0"/>
                <w:sz w:val="18"/>
                <w:szCs w:val="18"/>
              </w:rPr>
              <w:br w:type="textWrapping"/>
            </w:r>
            <w:r>
              <w:rPr>
                <w:rFonts w:hint="eastAsia" w:ascii="宋体" w:hAnsi="宋体" w:cs="宋体"/>
                <w:kern w:val="0"/>
                <w:sz w:val="18"/>
                <w:szCs w:val="18"/>
              </w:rPr>
              <w:t>6.1.2 效率指标：需统计任务总用时及平均每单用时。</w:t>
            </w:r>
            <w:r>
              <w:rPr>
                <w:rFonts w:hint="eastAsia" w:ascii="宋体" w:hAnsi="宋体" w:cs="宋体"/>
                <w:kern w:val="0"/>
                <w:sz w:val="18"/>
                <w:szCs w:val="18"/>
              </w:rPr>
              <w:br w:type="textWrapping"/>
            </w:r>
            <w:r>
              <w:rPr>
                <w:rFonts w:hint="eastAsia" w:ascii="宋体" w:hAnsi="宋体" w:cs="宋体"/>
                <w:kern w:val="0"/>
                <w:sz w:val="18"/>
                <w:szCs w:val="18"/>
              </w:rPr>
              <w:t>6.2 运行时段分析</w:t>
            </w:r>
            <w:r>
              <w:rPr>
                <w:rFonts w:hint="eastAsia" w:ascii="宋体" w:hAnsi="宋体" w:cs="宋体"/>
                <w:kern w:val="0"/>
                <w:sz w:val="18"/>
                <w:szCs w:val="18"/>
              </w:rPr>
              <w:br w:type="textWrapping"/>
            </w:r>
            <w:r>
              <w:rPr>
                <w:rFonts w:hint="eastAsia" w:ascii="宋体" w:hAnsi="宋体" w:cs="宋体"/>
                <w:kern w:val="0"/>
                <w:sz w:val="18"/>
                <w:szCs w:val="18"/>
              </w:rPr>
              <w:t>6.2.1 时段分布：需支持查看24小时下单时间段分布，识别高峰期与低谷期。</w:t>
            </w:r>
            <w:r>
              <w:rPr>
                <w:rFonts w:hint="eastAsia" w:ascii="宋体" w:hAnsi="宋体" w:cs="宋体"/>
                <w:kern w:val="0"/>
                <w:sz w:val="18"/>
                <w:szCs w:val="18"/>
              </w:rPr>
              <w:br w:type="textWrapping"/>
            </w:r>
            <w:r>
              <w:rPr>
                <w:rFonts w:hint="eastAsia" w:ascii="宋体" w:hAnsi="宋体" w:cs="宋体"/>
                <w:kern w:val="0"/>
                <w:sz w:val="18"/>
                <w:szCs w:val="18"/>
              </w:rPr>
              <w:t>6.2.2 日期分布：需支持查看月度每日下单情况分布。</w:t>
            </w:r>
          </w:p>
        </w:tc>
        <w:tc>
          <w:tcPr>
            <w:tcW w:w="404" w:type="dxa"/>
            <w:tcBorders>
              <w:top w:val="nil"/>
              <w:left w:val="nil"/>
              <w:bottom w:val="single" w:color="auto" w:sz="4" w:space="0"/>
              <w:right w:val="single" w:color="auto" w:sz="4" w:space="0"/>
            </w:tcBorders>
            <w:shd w:val="clear" w:color="000000" w:fill="FFFFFF"/>
            <w:vAlign w:val="center"/>
          </w:tcPr>
          <w:p w14:paraId="04CF7BCC">
            <w:pPr>
              <w:widowControl/>
              <w:jc w:val="center"/>
              <w:rPr>
                <w:rFonts w:ascii="宋体" w:hAnsi="宋体" w:cs="宋体"/>
                <w:kern w:val="0"/>
                <w:sz w:val="18"/>
                <w:szCs w:val="18"/>
              </w:rPr>
            </w:pPr>
            <w:r>
              <w:rPr>
                <w:rFonts w:hint="eastAsia" w:ascii="宋体" w:hAnsi="宋体" w:cs="宋体"/>
                <w:kern w:val="0"/>
                <w:sz w:val="18"/>
                <w:szCs w:val="18"/>
              </w:rPr>
              <w:t>1</w:t>
            </w:r>
          </w:p>
        </w:tc>
        <w:tc>
          <w:tcPr>
            <w:tcW w:w="504" w:type="dxa"/>
            <w:tcBorders>
              <w:top w:val="nil"/>
              <w:left w:val="nil"/>
              <w:bottom w:val="single" w:color="auto" w:sz="4" w:space="0"/>
              <w:right w:val="single" w:color="auto" w:sz="4" w:space="0"/>
            </w:tcBorders>
            <w:shd w:val="clear" w:color="000000" w:fill="FFFFFF"/>
            <w:vAlign w:val="center"/>
          </w:tcPr>
          <w:p w14:paraId="26CCF03E">
            <w:pPr>
              <w:widowControl/>
              <w:jc w:val="center"/>
              <w:rPr>
                <w:rFonts w:ascii="宋体" w:hAnsi="宋体" w:cs="宋体"/>
                <w:kern w:val="0"/>
                <w:sz w:val="18"/>
                <w:szCs w:val="18"/>
              </w:rPr>
            </w:pPr>
            <w:r>
              <w:rPr>
                <w:rFonts w:hint="eastAsia" w:ascii="宋体" w:hAnsi="宋体" w:cs="宋体"/>
                <w:kern w:val="0"/>
                <w:sz w:val="18"/>
                <w:szCs w:val="18"/>
              </w:rPr>
              <w:t>套</w:t>
            </w:r>
          </w:p>
        </w:tc>
        <w:tc>
          <w:tcPr>
            <w:tcW w:w="823" w:type="dxa"/>
            <w:tcBorders>
              <w:top w:val="nil"/>
              <w:left w:val="nil"/>
              <w:bottom w:val="single" w:color="auto" w:sz="4" w:space="0"/>
              <w:right w:val="single" w:color="auto" w:sz="4" w:space="0"/>
            </w:tcBorders>
            <w:shd w:val="clear" w:color="000000" w:fill="FFFFFF"/>
            <w:vAlign w:val="center"/>
          </w:tcPr>
          <w:p w14:paraId="1F2937AB">
            <w:pPr>
              <w:widowControl/>
              <w:jc w:val="left"/>
              <w:rPr>
                <w:rFonts w:ascii="宋体" w:hAnsi="宋体" w:cs="宋体"/>
                <w:kern w:val="0"/>
                <w:sz w:val="18"/>
                <w:szCs w:val="18"/>
              </w:rPr>
            </w:pPr>
            <w:r>
              <w:rPr>
                <w:rFonts w:hint="eastAsia" w:ascii="宋体" w:hAnsi="宋体" w:cs="宋体"/>
                <w:kern w:val="0"/>
                <w:sz w:val="18"/>
                <w:szCs w:val="18"/>
              </w:rPr>
              <w:t xml:space="preserve">48500 </w:t>
            </w:r>
          </w:p>
        </w:tc>
        <w:tc>
          <w:tcPr>
            <w:tcW w:w="865" w:type="dxa"/>
            <w:tcBorders>
              <w:top w:val="nil"/>
              <w:left w:val="nil"/>
              <w:bottom w:val="single" w:color="auto" w:sz="4" w:space="0"/>
              <w:right w:val="single" w:color="auto" w:sz="4" w:space="0"/>
            </w:tcBorders>
            <w:shd w:val="clear" w:color="000000" w:fill="FFFFFF"/>
            <w:vAlign w:val="center"/>
          </w:tcPr>
          <w:p w14:paraId="0B4956FE">
            <w:pPr>
              <w:widowControl/>
              <w:jc w:val="left"/>
              <w:rPr>
                <w:rFonts w:ascii="宋体" w:hAnsi="宋体" w:cs="宋体"/>
                <w:kern w:val="0"/>
                <w:sz w:val="18"/>
                <w:szCs w:val="18"/>
              </w:rPr>
            </w:pPr>
            <w:r>
              <w:rPr>
                <w:rFonts w:hint="eastAsia" w:ascii="宋体" w:hAnsi="宋体" w:cs="宋体"/>
                <w:kern w:val="0"/>
                <w:sz w:val="18"/>
                <w:szCs w:val="18"/>
              </w:rPr>
              <w:t xml:space="preserve">48500 </w:t>
            </w:r>
          </w:p>
        </w:tc>
      </w:tr>
      <w:tr w14:paraId="4C1102A1">
        <w:tblPrEx>
          <w:tblCellMar>
            <w:top w:w="0" w:type="dxa"/>
            <w:left w:w="108" w:type="dxa"/>
            <w:bottom w:w="0" w:type="dxa"/>
            <w:right w:w="108" w:type="dxa"/>
          </w:tblCellMar>
        </w:tblPrEx>
        <w:tc>
          <w:tcPr>
            <w:tcW w:w="409" w:type="dxa"/>
            <w:tcBorders>
              <w:top w:val="nil"/>
              <w:left w:val="single" w:color="auto" w:sz="4" w:space="0"/>
              <w:bottom w:val="single" w:color="auto" w:sz="4" w:space="0"/>
              <w:right w:val="single" w:color="auto" w:sz="4" w:space="0"/>
            </w:tcBorders>
            <w:shd w:val="clear" w:color="000000" w:fill="FFFFFF"/>
            <w:noWrap/>
            <w:vAlign w:val="center"/>
          </w:tcPr>
          <w:p w14:paraId="315F8BC2">
            <w:pPr>
              <w:widowControl/>
              <w:jc w:val="center"/>
              <w:rPr>
                <w:rFonts w:ascii="宋体" w:hAnsi="宋体" w:cs="宋体"/>
                <w:kern w:val="0"/>
                <w:sz w:val="18"/>
                <w:szCs w:val="18"/>
              </w:rPr>
            </w:pPr>
            <w:r>
              <w:rPr>
                <w:rFonts w:hint="eastAsia" w:ascii="宋体" w:hAnsi="宋体" w:cs="宋体"/>
                <w:kern w:val="0"/>
                <w:sz w:val="18"/>
                <w:szCs w:val="18"/>
              </w:rPr>
              <w:t>4</w:t>
            </w:r>
          </w:p>
        </w:tc>
        <w:tc>
          <w:tcPr>
            <w:tcW w:w="878" w:type="dxa"/>
            <w:tcBorders>
              <w:top w:val="nil"/>
              <w:left w:val="nil"/>
              <w:bottom w:val="single" w:color="auto" w:sz="4" w:space="0"/>
              <w:right w:val="single" w:color="auto" w:sz="4" w:space="0"/>
            </w:tcBorders>
            <w:shd w:val="clear" w:color="000000" w:fill="FFFFFF"/>
            <w:vAlign w:val="center"/>
          </w:tcPr>
          <w:p w14:paraId="3981634D">
            <w:pPr>
              <w:widowControl/>
              <w:jc w:val="center"/>
              <w:rPr>
                <w:rFonts w:ascii="宋体" w:hAnsi="宋体" w:cs="宋体"/>
                <w:kern w:val="0"/>
                <w:sz w:val="18"/>
                <w:szCs w:val="18"/>
              </w:rPr>
            </w:pPr>
            <w:r>
              <w:rPr>
                <w:rFonts w:hint="eastAsia" w:ascii="宋体" w:hAnsi="宋体" w:cs="宋体"/>
                <w:kern w:val="0"/>
                <w:sz w:val="18"/>
                <w:szCs w:val="18"/>
              </w:rPr>
              <w:t>数据驾驶舱</w:t>
            </w:r>
          </w:p>
        </w:tc>
        <w:tc>
          <w:tcPr>
            <w:tcW w:w="4717" w:type="dxa"/>
            <w:tcBorders>
              <w:top w:val="nil"/>
              <w:left w:val="nil"/>
              <w:bottom w:val="single" w:color="auto" w:sz="4" w:space="0"/>
              <w:right w:val="single" w:color="auto" w:sz="4" w:space="0"/>
            </w:tcBorders>
            <w:shd w:val="clear" w:color="000000" w:fill="FFFFFF"/>
            <w:vAlign w:val="center"/>
          </w:tcPr>
          <w:p w14:paraId="33CB41F0">
            <w:pPr>
              <w:widowControl/>
              <w:jc w:val="left"/>
              <w:rPr>
                <w:rFonts w:ascii="宋体" w:hAnsi="宋体" w:cs="宋体"/>
                <w:kern w:val="0"/>
                <w:sz w:val="18"/>
                <w:szCs w:val="18"/>
              </w:rPr>
            </w:pPr>
            <w:r>
              <w:rPr>
                <w:rFonts w:hint="eastAsia" w:ascii="宋体" w:hAnsi="宋体" w:cs="宋体"/>
                <w:kern w:val="0"/>
                <w:sz w:val="18"/>
                <w:szCs w:val="18"/>
              </w:rPr>
              <w:t>1.提供每日更新的真实酒店脱敏后的经营数据；对酒店核心经营数据流进行分析整合；为酒店收益管理课程的学习提供了高质量的实践教学辅助工具。</w:t>
            </w:r>
            <w:r>
              <w:rPr>
                <w:rFonts w:hint="eastAsia" w:ascii="宋体" w:hAnsi="宋体" w:cs="宋体"/>
                <w:kern w:val="0"/>
                <w:sz w:val="18"/>
                <w:szCs w:val="18"/>
              </w:rPr>
              <w:br w:type="textWrapping"/>
            </w:r>
            <w:r>
              <w:rPr>
                <w:rFonts w:hint="eastAsia" w:ascii="宋体" w:hAnsi="宋体" w:cs="宋体"/>
                <w:kern w:val="0"/>
                <w:sz w:val="18"/>
                <w:szCs w:val="18"/>
              </w:rPr>
              <w:t>1）财务收入概况：实时了解酒店经营情况，包括昨天/月累计/年累计的客房收入，餐饮收入，其他收入，以及总收入。同比去年同期。</w:t>
            </w:r>
            <w:r>
              <w:rPr>
                <w:rFonts w:hint="eastAsia" w:ascii="宋体" w:hAnsi="宋体" w:cs="宋体"/>
                <w:kern w:val="0"/>
                <w:sz w:val="18"/>
                <w:szCs w:val="18"/>
              </w:rPr>
              <w:br w:type="textWrapping"/>
            </w:r>
            <w:r>
              <w:rPr>
                <w:rFonts w:hint="eastAsia" w:ascii="宋体" w:hAnsi="宋体" w:cs="宋体"/>
                <w:kern w:val="0"/>
                <w:sz w:val="18"/>
                <w:szCs w:val="18"/>
              </w:rPr>
              <w:t>2）客房收益概况：每日度/月度 入住率、平均房价、单房收益统计。更好地了解酒店出租率与平均房价是否更好的平衡，价格策略对酒店单房收益的影响。</w:t>
            </w:r>
            <w:r>
              <w:rPr>
                <w:rFonts w:hint="eastAsia" w:ascii="宋体" w:hAnsi="宋体" w:cs="宋体"/>
                <w:kern w:val="0"/>
                <w:sz w:val="18"/>
                <w:szCs w:val="18"/>
              </w:rPr>
              <w:br w:type="textWrapping"/>
            </w:r>
            <w:r>
              <w:rPr>
                <w:rFonts w:hint="eastAsia" w:ascii="宋体" w:hAnsi="宋体" w:cs="宋体"/>
                <w:kern w:val="0"/>
                <w:sz w:val="18"/>
                <w:szCs w:val="18"/>
              </w:rPr>
              <w:t>3）每日售价表：一览酒店当月每日出租率，平均房价。散客/团队已售房间间夜数。有酒店每日最佳BAR价格推荐。</w:t>
            </w:r>
            <w:r>
              <w:rPr>
                <w:rFonts w:hint="eastAsia" w:ascii="宋体" w:hAnsi="宋体" w:cs="宋体"/>
                <w:kern w:val="0"/>
                <w:sz w:val="18"/>
                <w:szCs w:val="18"/>
              </w:rPr>
              <w:br w:type="textWrapping"/>
            </w:r>
            <w:r>
              <w:rPr>
                <w:rFonts w:hint="eastAsia" w:ascii="宋体" w:hAnsi="宋体" w:cs="宋体"/>
                <w:kern w:val="0"/>
                <w:sz w:val="18"/>
                <w:szCs w:val="18"/>
              </w:rPr>
              <w:t>3. 细分市场概况：</w:t>
            </w:r>
            <w:r>
              <w:rPr>
                <w:rFonts w:hint="eastAsia" w:ascii="宋体" w:hAnsi="宋体" w:cs="宋体"/>
                <w:kern w:val="0"/>
                <w:sz w:val="18"/>
                <w:szCs w:val="18"/>
              </w:rPr>
              <w:br w:type="textWrapping"/>
            </w:r>
            <w:r>
              <w:rPr>
                <w:rFonts w:hint="eastAsia" w:ascii="宋体" w:hAnsi="宋体" w:cs="宋体"/>
                <w:kern w:val="0"/>
                <w:sz w:val="18"/>
                <w:szCs w:val="18"/>
              </w:rPr>
              <w:t>1）月度细分市场：月累计按细分市场统计间夜量，平均房价，收入，收入占比。同比去年同期。为酒店不断提高高收益市场占比提供数据依据与分析。可自定义选择日期，显示当月实际。</w:t>
            </w:r>
            <w:r>
              <w:rPr>
                <w:rFonts w:hint="eastAsia" w:ascii="宋体" w:hAnsi="宋体" w:cs="宋体"/>
                <w:kern w:val="0"/>
                <w:sz w:val="18"/>
                <w:szCs w:val="18"/>
              </w:rPr>
              <w:br w:type="textWrapping"/>
            </w:r>
            <w:r>
              <w:rPr>
                <w:rFonts w:hint="eastAsia" w:ascii="宋体" w:hAnsi="宋体" w:cs="宋体"/>
                <w:kern w:val="0"/>
                <w:sz w:val="18"/>
                <w:szCs w:val="18"/>
              </w:rPr>
              <w:t>2）年度细分市场：年累计按细分市场统计间夜量，平均房价，收入，收入占比。图表一览每月各个市场间夜量，间夜量百分比同比去年同期。</w:t>
            </w:r>
            <w:r>
              <w:rPr>
                <w:rFonts w:hint="eastAsia" w:ascii="宋体" w:hAnsi="宋体" w:cs="宋体"/>
                <w:kern w:val="0"/>
                <w:sz w:val="18"/>
                <w:szCs w:val="18"/>
              </w:rPr>
              <w:br w:type="textWrapping"/>
            </w:r>
            <w:r>
              <w:rPr>
                <w:rFonts w:hint="eastAsia" w:ascii="宋体" w:hAnsi="宋体" w:cs="宋体"/>
                <w:kern w:val="0"/>
                <w:sz w:val="18"/>
                <w:szCs w:val="18"/>
              </w:rPr>
              <w:t>4. 预定分析：</w:t>
            </w:r>
            <w:r>
              <w:rPr>
                <w:rFonts w:hint="eastAsia" w:ascii="宋体" w:hAnsi="宋体" w:cs="宋体"/>
                <w:kern w:val="0"/>
                <w:sz w:val="18"/>
                <w:szCs w:val="18"/>
              </w:rPr>
              <w:br w:type="textWrapping"/>
            </w:r>
            <w:r>
              <w:rPr>
                <w:rFonts w:hint="eastAsia" w:ascii="宋体" w:hAnsi="宋体" w:cs="宋体"/>
                <w:kern w:val="0"/>
                <w:sz w:val="18"/>
                <w:szCs w:val="18"/>
              </w:rPr>
              <w:t>1）在手预定趋势：可按观察日期选择入住日期期间预订量与去年同期做对比。还可以查看观察日期前30天入住期间预定趋势变化。图表一览分成全体/散客/团队。</w:t>
            </w:r>
            <w:r>
              <w:rPr>
                <w:rFonts w:hint="eastAsia" w:ascii="宋体" w:hAnsi="宋体" w:cs="宋体"/>
                <w:kern w:val="0"/>
                <w:sz w:val="18"/>
                <w:szCs w:val="18"/>
              </w:rPr>
              <w:br w:type="textWrapping"/>
            </w:r>
            <w:r>
              <w:rPr>
                <w:rFonts w:hint="eastAsia" w:ascii="宋体" w:hAnsi="宋体" w:cs="宋体"/>
                <w:kern w:val="0"/>
                <w:sz w:val="18"/>
                <w:szCs w:val="18"/>
              </w:rPr>
              <w:t>2）基于细分市场的在手预定：可按观察日期选择入住日期期间预订量与。图片一览各个细分市场已有预定间夜量/收入占比。与去年同期做对比。</w:t>
            </w:r>
            <w:r>
              <w:rPr>
                <w:rFonts w:hint="eastAsia" w:ascii="宋体" w:hAnsi="宋体" w:cs="宋体"/>
                <w:kern w:val="0"/>
                <w:sz w:val="18"/>
                <w:szCs w:val="18"/>
              </w:rPr>
              <w:br w:type="textWrapping"/>
            </w:r>
            <w:r>
              <w:rPr>
                <w:rFonts w:hint="eastAsia" w:ascii="宋体" w:hAnsi="宋体" w:cs="宋体"/>
                <w:kern w:val="0"/>
                <w:sz w:val="18"/>
                <w:szCs w:val="18"/>
              </w:rPr>
              <w:t>3）月度预定变化：可任意选择观察日期前N天，观察分析时段，月度各个细分市场预定间夜量，平均房价变化</w:t>
            </w:r>
            <w:r>
              <w:rPr>
                <w:rFonts w:hint="eastAsia" w:ascii="宋体" w:hAnsi="宋体" w:cs="宋体"/>
                <w:kern w:val="0"/>
                <w:sz w:val="18"/>
                <w:szCs w:val="18"/>
              </w:rPr>
              <w:br w:type="textWrapping"/>
            </w:r>
            <w:r>
              <w:rPr>
                <w:rFonts w:hint="eastAsia" w:ascii="宋体" w:hAnsi="宋体" w:cs="宋体"/>
                <w:kern w:val="0"/>
                <w:sz w:val="18"/>
                <w:szCs w:val="18"/>
              </w:rPr>
              <w:t>4）每日预定变化：可任意选择观察日期前N天，观察分析时段每一天，各个细分市场预定间夜量，平均房价变化.</w:t>
            </w:r>
            <w:r>
              <w:rPr>
                <w:rFonts w:hint="eastAsia" w:ascii="宋体" w:hAnsi="宋体" w:cs="宋体"/>
                <w:kern w:val="0"/>
                <w:sz w:val="18"/>
                <w:szCs w:val="18"/>
              </w:rPr>
              <w:br w:type="textWrapping"/>
            </w:r>
            <w:r>
              <w:rPr>
                <w:rFonts w:hint="eastAsia" w:ascii="宋体" w:hAnsi="宋体" w:cs="宋体"/>
                <w:kern w:val="0"/>
                <w:sz w:val="18"/>
                <w:szCs w:val="18"/>
              </w:rPr>
              <w:t>5）特殊日期预定分析 可有两个观察日期，观察两段入住时间预定量对比。特别用来在特殊节假日之前预定量热度的一个对比，帮助酒店制定更有效的价格策略</w:t>
            </w:r>
            <w:r>
              <w:rPr>
                <w:rFonts w:hint="eastAsia" w:ascii="宋体" w:hAnsi="宋体" w:cs="宋体"/>
                <w:kern w:val="0"/>
                <w:sz w:val="18"/>
                <w:szCs w:val="18"/>
              </w:rPr>
              <w:br w:type="textWrapping"/>
            </w:r>
            <w:r>
              <w:rPr>
                <w:rFonts w:hint="eastAsia" w:ascii="宋体" w:hAnsi="宋体" w:cs="宋体"/>
                <w:kern w:val="0"/>
                <w:sz w:val="18"/>
                <w:szCs w:val="18"/>
              </w:rPr>
              <w:t>5. 入住分析：</w:t>
            </w:r>
            <w:r>
              <w:rPr>
                <w:rFonts w:hint="eastAsia" w:ascii="宋体" w:hAnsi="宋体" w:cs="宋体"/>
                <w:kern w:val="0"/>
                <w:sz w:val="18"/>
                <w:szCs w:val="18"/>
              </w:rPr>
              <w:br w:type="textWrapping"/>
            </w:r>
            <w:r>
              <w:rPr>
                <w:rFonts w:hint="eastAsia" w:ascii="宋体" w:hAnsi="宋体" w:cs="宋体"/>
                <w:kern w:val="0"/>
                <w:sz w:val="18"/>
                <w:szCs w:val="18"/>
              </w:rPr>
              <w:t>1）入住星期分析：有两个入住时间段选择，可观察分析同比/环比，酒店在一周中每日出租率，平均房价，单房收益。图片一览总体/散客/团队两个时间段对比。帮助酒店在根据周中，周末不同需求，市场变化，制定价格策略。</w:t>
            </w:r>
            <w:r>
              <w:rPr>
                <w:rFonts w:hint="eastAsia" w:ascii="宋体" w:hAnsi="宋体" w:cs="宋体"/>
                <w:kern w:val="0"/>
                <w:sz w:val="18"/>
                <w:szCs w:val="18"/>
              </w:rPr>
              <w:br w:type="textWrapping"/>
            </w:r>
            <w:r>
              <w:rPr>
                <w:rFonts w:hint="eastAsia" w:ascii="宋体" w:hAnsi="宋体" w:cs="宋体"/>
                <w:kern w:val="0"/>
                <w:sz w:val="18"/>
                <w:szCs w:val="18"/>
              </w:rPr>
              <w:t>2）房型产量分析：列举统计，酒店今年月累计/年累计各个房型的库存，库存占比%，间夜量，间夜量占比%，入住率，平均房价等。与去年同期做对比。帮助酒店不断优化房型资源配比，制定价格策略优化房型占比，房型差价。</w:t>
            </w:r>
            <w:r>
              <w:rPr>
                <w:rFonts w:hint="eastAsia" w:ascii="宋体" w:hAnsi="宋体" w:cs="宋体"/>
                <w:kern w:val="0"/>
                <w:sz w:val="18"/>
                <w:szCs w:val="18"/>
              </w:rPr>
              <w:br w:type="textWrapping"/>
            </w:r>
            <w:r>
              <w:rPr>
                <w:rFonts w:hint="eastAsia" w:ascii="宋体" w:hAnsi="宋体" w:cs="宋体"/>
                <w:kern w:val="0"/>
                <w:sz w:val="18"/>
                <w:szCs w:val="18"/>
              </w:rPr>
              <w:t>3）入住时长分析：列举统计，年度/每月，酒店各个细分市场的入住时长与去年同期对比。了解市场变化。</w:t>
            </w:r>
            <w:r>
              <w:rPr>
                <w:rFonts w:hint="eastAsia" w:ascii="宋体" w:hAnsi="宋体" w:cs="宋体"/>
                <w:kern w:val="0"/>
                <w:sz w:val="18"/>
                <w:szCs w:val="18"/>
              </w:rPr>
              <w:br w:type="textWrapping"/>
            </w:r>
            <w:r>
              <w:rPr>
                <w:rFonts w:hint="eastAsia" w:ascii="宋体" w:hAnsi="宋体" w:cs="宋体"/>
                <w:kern w:val="0"/>
                <w:sz w:val="18"/>
                <w:szCs w:val="18"/>
              </w:rPr>
              <w:t>5. 预测与定价：预测酒店未来60天每一天出租率及平均房价。包含总体/散客/团队预测出租率，平均房价。为酒店提供数据参考与制定价格策略。</w:t>
            </w:r>
            <w:r>
              <w:rPr>
                <w:rFonts w:hint="eastAsia" w:ascii="宋体" w:hAnsi="宋体" w:cs="宋体"/>
                <w:kern w:val="0"/>
                <w:sz w:val="18"/>
                <w:szCs w:val="18"/>
              </w:rPr>
              <w:br w:type="textWrapping"/>
            </w:r>
            <w:r>
              <w:rPr>
                <w:rFonts w:hint="eastAsia" w:ascii="宋体" w:hAnsi="宋体" w:cs="宋体"/>
                <w:kern w:val="0"/>
                <w:sz w:val="18"/>
                <w:szCs w:val="18"/>
              </w:rPr>
              <w:t>6. OTA数据：</w:t>
            </w:r>
            <w:r>
              <w:rPr>
                <w:rFonts w:hint="eastAsia" w:ascii="宋体" w:hAnsi="宋体" w:cs="宋体"/>
                <w:kern w:val="0"/>
                <w:sz w:val="18"/>
                <w:szCs w:val="18"/>
              </w:rPr>
              <w:br w:type="textWrapping"/>
            </w:r>
            <w:r>
              <w:rPr>
                <w:rFonts w:hint="eastAsia" w:ascii="宋体" w:hAnsi="宋体" w:cs="宋体"/>
                <w:kern w:val="0"/>
                <w:sz w:val="18"/>
                <w:szCs w:val="18"/>
              </w:rPr>
              <w:t>1）OTA价格监测：实时了解酒店与竞争酒店价格之间对比</w:t>
            </w:r>
            <w:r>
              <w:rPr>
                <w:rFonts w:hint="eastAsia" w:ascii="宋体" w:hAnsi="宋体" w:cs="宋体"/>
                <w:kern w:val="0"/>
                <w:sz w:val="18"/>
                <w:szCs w:val="18"/>
              </w:rPr>
              <w:br w:type="textWrapping"/>
            </w:r>
            <w:r>
              <w:rPr>
                <w:rFonts w:hint="eastAsia" w:ascii="宋体" w:hAnsi="宋体" w:cs="宋体"/>
                <w:kern w:val="0"/>
                <w:sz w:val="18"/>
                <w:szCs w:val="18"/>
              </w:rPr>
              <w:t>2）本店点评分析：实时了解酒店整体点评得分，点评数，好评数，差评数，好评及差评率。图表一览当月每日点评分数。可自定义选择日期。</w:t>
            </w:r>
            <w:r>
              <w:rPr>
                <w:rFonts w:hint="eastAsia" w:ascii="宋体" w:hAnsi="宋体" w:cs="宋体"/>
                <w:kern w:val="0"/>
                <w:sz w:val="18"/>
                <w:szCs w:val="18"/>
              </w:rPr>
              <w:br w:type="textWrapping"/>
            </w:r>
            <w:r>
              <w:rPr>
                <w:rFonts w:hint="eastAsia" w:ascii="宋体" w:hAnsi="宋体" w:cs="宋体"/>
                <w:kern w:val="0"/>
                <w:sz w:val="18"/>
                <w:szCs w:val="18"/>
              </w:rPr>
              <w:t>3）竞争点评分析：实时了解各个竞争酒店整体点评得分，点评数，好评数，差评数，好评及差评率。图表一览可选择当月每日点评分，好评率，点评数等。可自定义选择日期。</w:t>
            </w:r>
            <w:r>
              <w:rPr>
                <w:rFonts w:hint="eastAsia" w:ascii="宋体" w:hAnsi="宋体" w:cs="宋体"/>
                <w:kern w:val="0"/>
                <w:sz w:val="18"/>
                <w:szCs w:val="18"/>
              </w:rPr>
              <w:br w:type="textWrapping"/>
            </w:r>
            <w:r>
              <w:rPr>
                <w:rFonts w:hint="eastAsia" w:ascii="宋体" w:hAnsi="宋体" w:cs="宋体"/>
                <w:kern w:val="0"/>
                <w:sz w:val="18"/>
                <w:szCs w:val="18"/>
              </w:rPr>
              <w:t>4）点评内容导出：可查看并导出 酒店所有客人评论。对评价做出相应的回应以及行动计划。可自定义选择日期段。</w:t>
            </w:r>
            <w:r>
              <w:rPr>
                <w:rFonts w:hint="eastAsia" w:ascii="宋体" w:hAnsi="宋体" w:cs="宋体"/>
                <w:kern w:val="0"/>
                <w:sz w:val="18"/>
                <w:szCs w:val="18"/>
              </w:rPr>
              <w:br w:type="textWrapping"/>
            </w:r>
            <w:r>
              <w:rPr>
                <w:rFonts w:hint="eastAsia" w:ascii="宋体" w:hAnsi="宋体" w:cs="宋体"/>
                <w:kern w:val="0"/>
                <w:sz w:val="18"/>
                <w:szCs w:val="18"/>
              </w:rPr>
              <w:t>7. 渠道：</w:t>
            </w:r>
            <w:r>
              <w:rPr>
                <w:rFonts w:hint="eastAsia" w:ascii="宋体" w:hAnsi="宋体" w:cs="宋体"/>
                <w:kern w:val="0"/>
                <w:sz w:val="18"/>
                <w:szCs w:val="18"/>
              </w:rPr>
              <w:br w:type="textWrapping"/>
            </w:r>
            <w:r>
              <w:rPr>
                <w:rFonts w:hint="eastAsia" w:ascii="宋体" w:hAnsi="宋体" w:cs="宋体"/>
                <w:kern w:val="0"/>
                <w:sz w:val="18"/>
                <w:szCs w:val="18"/>
              </w:rPr>
              <w:t>1）当日产量分析：按渠道细分统计间夜量，平均房价，收入。图表一览同比去年同期增长率。为酒店不断优化渠道提供数据依据与分析。可自定义选择日期，显示当日实际。</w:t>
            </w:r>
            <w:r>
              <w:rPr>
                <w:rFonts w:hint="eastAsia" w:ascii="宋体" w:hAnsi="宋体" w:cs="宋体"/>
                <w:kern w:val="0"/>
                <w:sz w:val="18"/>
                <w:szCs w:val="18"/>
              </w:rPr>
              <w:br w:type="textWrapping"/>
            </w:r>
            <w:r>
              <w:rPr>
                <w:rFonts w:hint="eastAsia" w:ascii="宋体" w:hAnsi="宋体" w:cs="宋体"/>
                <w:kern w:val="0"/>
                <w:sz w:val="18"/>
                <w:szCs w:val="18"/>
              </w:rPr>
              <w:t>2）月累计产量分析：按渠道细分统计间夜量，平均房价，收入。图表一览同比去年同期增长率。为酒店不断优化渠道提供数据依据与分析。可自定义选择日期，显示当月累计。</w:t>
            </w:r>
            <w:r>
              <w:rPr>
                <w:rFonts w:hint="eastAsia" w:ascii="宋体" w:hAnsi="宋体" w:cs="宋体"/>
                <w:kern w:val="0"/>
                <w:sz w:val="18"/>
                <w:szCs w:val="18"/>
              </w:rPr>
              <w:br w:type="textWrapping"/>
            </w:r>
            <w:r>
              <w:rPr>
                <w:rFonts w:hint="eastAsia" w:ascii="宋体" w:hAnsi="宋体" w:cs="宋体"/>
                <w:kern w:val="0"/>
                <w:sz w:val="18"/>
                <w:szCs w:val="18"/>
              </w:rPr>
              <w:t>3）年累计产量分析 按渠道细分统计间夜量，平均房价，收入。图表一览同比去年同期增长率。为酒店不断优化渠道提4）供数据依据与分析。可自定义选择日期，显示当年年累计。</w:t>
            </w:r>
            <w:r>
              <w:rPr>
                <w:rFonts w:hint="eastAsia" w:ascii="宋体" w:hAnsi="宋体" w:cs="宋体"/>
                <w:kern w:val="0"/>
                <w:sz w:val="18"/>
                <w:szCs w:val="18"/>
              </w:rPr>
              <w:br w:type="textWrapping"/>
            </w:r>
            <w:r>
              <w:rPr>
                <w:rFonts w:hint="eastAsia" w:ascii="宋体" w:hAnsi="宋体" w:cs="宋体"/>
                <w:kern w:val="0"/>
                <w:sz w:val="18"/>
                <w:szCs w:val="18"/>
              </w:rPr>
              <w:t>8. 企业协议客分析：</w:t>
            </w:r>
            <w:r>
              <w:rPr>
                <w:rFonts w:hint="eastAsia" w:ascii="宋体" w:hAnsi="宋体" w:cs="宋体"/>
                <w:kern w:val="0"/>
                <w:sz w:val="18"/>
                <w:szCs w:val="18"/>
              </w:rPr>
              <w:br w:type="textWrapping"/>
            </w:r>
            <w:r>
              <w:rPr>
                <w:rFonts w:hint="eastAsia" w:ascii="宋体" w:hAnsi="宋体" w:cs="宋体"/>
                <w:kern w:val="0"/>
                <w:sz w:val="18"/>
                <w:szCs w:val="18"/>
              </w:rPr>
              <w:t>1）企业协议客分析 列举统计，酒店所有协议客户，今年/去年 间夜量，平均房价，客房收入，餐饮收入，其他收入等。酒店可以更好了解自己的协议客户的贡献率，有针对的做销售拜访提高产量。</w:t>
            </w:r>
            <w:r>
              <w:rPr>
                <w:rFonts w:hint="eastAsia" w:ascii="宋体" w:hAnsi="宋体" w:cs="宋体"/>
                <w:kern w:val="0"/>
                <w:sz w:val="18"/>
                <w:szCs w:val="18"/>
              </w:rPr>
              <w:br w:type="textWrapping"/>
            </w:r>
            <w:r>
              <w:rPr>
                <w:rFonts w:hint="eastAsia" w:ascii="宋体" w:hAnsi="宋体" w:cs="宋体"/>
                <w:kern w:val="0"/>
                <w:sz w:val="18"/>
                <w:szCs w:val="18"/>
              </w:rPr>
              <w:t>2）整体分析 按照各个产量区间，平均房价区间，今天与去年的产量对比，提供更深入的分析。</w:t>
            </w:r>
            <w:r>
              <w:rPr>
                <w:rFonts w:hint="eastAsia" w:ascii="宋体" w:hAnsi="宋体" w:cs="宋体"/>
                <w:kern w:val="0"/>
                <w:sz w:val="18"/>
                <w:szCs w:val="18"/>
              </w:rPr>
              <w:br w:type="textWrapping"/>
            </w:r>
            <w:r>
              <w:rPr>
                <w:rFonts w:hint="eastAsia" w:ascii="宋体" w:hAnsi="宋体" w:cs="宋体"/>
                <w:kern w:val="0"/>
                <w:sz w:val="18"/>
                <w:szCs w:val="18"/>
              </w:rPr>
              <w:t>9. 收益报告：</w:t>
            </w:r>
            <w:r>
              <w:rPr>
                <w:rFonts w:hint="eastAsia" w:ascii="宋体" w:hAnsi="宋体" w:cs="宋体"/>
                <w:kern w:val="0"/>
                <w:sz w:val="18"/>
                <w:szCs w:val="18"/>
              </w:rPr>
              <w:br w:type="textWrapping"/>
            </w:r>
            <w:r>
              <w:rPr>
                <w:rFonts w:hint="eastAsia" w:ascii="宋体" w:hAnsi="宋体" w:cs="宋体"/>
                <w:kern w:val="0"/>
                <w:sz w:val="18"/>
                <w:szCs w:val="18"/>
              </w:rPr>
              <w:t>1）收益会议：上传酒店收益经理每月上传收益例会会议报告。</w:t>
            </w:r>
            <w:r>
              <w:rPr>
                <w:rFonts w:hint="eastAsia" w:ascii="宋体" w:hAnsi="宋体" w:cs="宋体"/>
                <w:kern w:val="0"/>
                <w:sz w:val="18"/>
                <w:szCs w:val="18"/>
              </w:rPr>
              <w:br w:type="textWrapping"/>
            </w:r>
            <w:r>
              <w:rPr>
                <w:rFonts w:hint="eastAsia" w:ascii="宋体" w:hAnsi="宋体" w:cs="宋体"/>
                <w:kern w:val="0"/>
                <w:sz w:val="18"/>
                <w:szCs w:val="18"/>
              </w:rPr>
              <w:t>2）竞争情况 上传酒店收益经理每月上传竞争酒店群关键绩效指标（MPI,ARI,RGI)。关注酒店在竞争群的排名与进步</w:t>
            </w:r>
            <w:r>
              <w:rPr>
                <w:rFonts w:hint="eastAsia" w:ascii="宋体" w:hAnsi="宋体" w:cs="宋体"/>
                <w:kern w:val="0"/>
                <w:sz w:val="18"/>
                <w:szCs w:val="18"/>
              </w:rPr>
              <w:br w:type="textWrapping"/>
            </w:r>
            <w:r>
              <w:rPr>
                <w:rFonts w:hint="eastAsia" w:ascii="宋体" w:hAnsi="宋体" w:cs="宋体"/>
                <w:kern w:val="0"/>
                <w:sz w:val="18"/>
                <w:szCs w:val="18"/>
              </w:rPr>
              <w:t>10. 预算</w:t>
            </w:r>
            <w:r>
              <w:rPr>
                <w:rFonts w:hint="eastAsia" w:ascii="宋体" w:hAnsi="宋体" w:cs="宋体"/>
                <w:kern w:val="0"/>
                <w:sz w:val="18"/>
                <w:szCs w:val="18"/>
              </w:rPr>
              <w:br w:type="textWrapping"/>
            </w:r>
            <w:r>
              <w:rPr>
                <w:rFonts w:hint="eastAsia" w:ascii="宋体" w:hAnsi="宋体" w:cs="宋体"/>
                <w:kern w:val="0"/>
                <w:sz w:val="18"/>
                <w:szCs w:val="18"/>
              </w:rPr>
              <w:t>1）预算一览：上传酒店每年月度/年度预算，预算同比，监督管理预算与酒店实际完成情况之间的差异</w:t>
            </w:r>
          </w:p>
        </w:tc>
        <w:tc>
          <w:tcPr>
            <w:tcW w:w="404" w:type="dxa"/>
            <w:tcBorders>
              <w:top w:val="nil"/>
              <w:left w:val="nil"/>
              <w:bottom w:val="single" w:color="auto" w:sz="4" w:space="0"/>
              <w:right w:val="single" w:color="auto" w:sz="4" w:space="0"/>
            </w:tcBorders>
            <w:shd w:val="clear" w:color="000000" w:fill="FFFFFF"/>
            <w:vAlign w:val="center"/>
          </w:tcPr>
          <w:p w14:paraId="17AD5A2C">
            <w:pPr>
              <w:widowControl/>
              <w:jc w:val="center"/>
              <w:rPr>
                <w:rFonts w:ascii="宋体" w:hAnsi="宋体" w:cs="宋体"/>
                <w:kern w:val="0"/>
                <w:sz w:val="18"/>
                <w:szCs w:val="18"/>
              </w:rPr>
            </w:pPr>
            <w:r>
              <w:rPr>
                <w:rFonts w:hint="eastAsia" w:ascii="宋体" w:hAnsi="宋体" w:cs="宋体"/>
                <w:kern w:val="0"/>
                <w:sz w:val="18"/>
                <w:szCs w:val="18"/>
              </w:rPr>
              <w:t>1</w:t>
            </w:r>
          </w:p>
        </w:tc>
        <w:tc>
          <w:tcPr>
            <w:tcW w:w="504" w:type="dxa"/>
            <w:tcBorders>
              <w:top w:val="nil"/>
              <w:left w:val="nil"/>
              <w:bottom w:val="single" w:color="auto" w:sz="4" w:space="0"/>
              <w:right w:val="single" w:color="auto" w:sz="4" w:space="0"/>
            </w:tcBorders>
            <w:shd w:val="clear" w:color="000000" w:fill="FFFFFF"/>
            <w:vAlign w:val="center"/>
          </w:tcPr>
          <w:p w14:paraId="7069167C">
            <w:pPr>
              <w:widowControl/>
              <w:jc w:val="center"/>
              <w:rPr>
                <w:rFonts w:ascii="宋体" w:hAnsi="宋体" w:cs="宋体"/>
                <w:kern w:val="0"/>
                <w:sz w:val="18"/>
                <w:szCs w:val="18"/>
              </w:rPr>
            </w:pPr>
            <w:r>
              <w:rPr>
                <w:rFonts w:hint="eastAsia" w:ascii="宋体" w:hAnsi="宋体" w:cs="宋体"/>
                <w:kern w:val="0"/>
                <w:sz w:val="18"/>
                <w:szCs w:val="18"/>
              </w:rPr>
              <w:t>套</w:t>
            </w:r>
          </w:p>
        </w:tc>
        <w:tc>
          <w:tcPr>
            <w:tcW w:w="823" w:type="dxa"/>
            <w:tcBorders>
              <w:top w:val="nil"/>
              <w:left w:val="nil"/>
              <w:bottom w:val="single" w:color="auto" w:sz="4" w:space="0"/>
              <w:right w:val="single" w:color="auto" w:sz="4" w:space="0"/>
            </w:tcBorders>
            <w:shd w:val="clear" w:color="000000" w:fill="FFFFFF"/>
            <w:vAlign w:val="center"/>
          </w:tcPr>
          <w:p w14:paraId="0A907E59">
            <w:pPr>
              <w:widowControl/>
              <w:jc w:val="left"/>
              <w:rPr>
                <w:rFonts w:ascii="宋体" w:hAnsi="宋体" w:cs="宋体"/>
                <w:kern w:val="0"/>
                <w:sz w:val="18"/>
                <w:szCs w:val="18"/>
              </w:rPr>
            </w:pPr>
            <w:r>
              <w:rPr>
                <w:rFonts w:hint="eastAsia" w:ascii="宋体" w:hAnsi="宋体" w:cs="宋体"/>
                <w:kern w:val="0"/>
                <w:sz w:val="18"/>
                <w:szCs w:val="18"/>
              </w:rPr>
              <w:t xml:space="preserve">125000 </w:t>
            </w:r>
          </w:p>
        </w:tc>
        <w:tc>
          <w:tcPr>
            <w:tcW w:w="865" w:type="dxa"/>
            <w:tcBorders>
              <w:top w:val="nil"/>
              <w:left w:val="nil"/>
              <w:bottom w:val="single" w:color="auto" w:sz="4" w:space="0"/>
              <w:right w:val="single" w:color="auto" w:sz="4" w:space="0"/>
            </w:tcBorders>
            <w:shd w:val="clear" w:color="000000" w:fill="FFFFFF"/>
            <w:vAlign w:val="center"/>
          </w:tcPr>
          <w:p w14:paraId="644BD400">
            <w:pPr>
              <w:widowControl/>
              <w:jc w:val="left"/>
              <w:rPr>
                <w:rFonts w:ascii="宋体" w:hAnsi="宋体" w:cs="宋体"/>
                <w:kern w:val="0"/>
                <w:sz w:val="18"/>
                <w:szCs w:val="18"/>
              </w:rPr>
            </w:pPr>
            <w:r>
              <w:rPr>
                <w:rFonts w:hint="eastAsia" w:ascii="宋体" w:hAnsi="宋体" w:cs="宋体"/>
                <w:kern w:val="0"/>
                <w:sz w:val="18"/>
                <w:szCs w:val="18"/>
              </w:rPr>
              <w:t xml:space="preserve">125000 </w:t>
            </w:r>
          </w:p>
        </w:tc>
      </w:tr>
      <w:tr w14:paraId="62BF6F72">
        <w:tblPrEx>
          <w:tblCellMar>
            <w:top w:w="0" w:type="dxa"/>
            <w:left w:w="108" w:type="dxa"/>
            <w:bottom w:w="0" w:type="dxa"/>
            <w:right w:w="108" w:type="dxa"/>
          </w:tblCellMar>
        </w:tblPrEx>
        <w:trPr>
          <w:trHeight w:val="4128" w:hRule="atLeast"/>
        </w:trPr>
        <w:tc>
          <w:tcPr>
            <w:tcW w:w="409" w:type="dxa"/>
            <w:tcBorders>
              <w:top w:val="nil"/>
              <w:left w:val="single" w:color="auto" w:sz="4" w:space="0"/>
              <w:bottom w:val="single" w:color="auto" w:sz="4" w:space="0"/>
              <w:right w:val="single" w:color="auto" w:sz="4" w:space="0"/>
            </w:tcBorders>
            <w:shd w:val="clear" w:color="000000" w:fill="FFFFFF"/>
            <w:noWrap/>
            <w:vAlign w:val="center"/>
          </w:tcPr>
          <w:p w14:paraId="439EB347">
            <w:pPr>
              <w:widowControl/>
              <w:jc w:val="center"/>
              <w:rPr>
                <w:rFonts w:ascii="宋体" w:hAnsi="宋体" w:cs="宋体"/>
                <w:kern w:val="0"/>
                <w:sz w:val="18"/>
                <w:szCs w:val="18"/>
              </w:rPr>
            </w:pPr>
            <w:r>
              <w:rPr>
                <w:rFonts w:hint="eastAsia" w:ascii="宋体" w:hAnsi="宋体" w:cs="宋体"/>
                <w:kern w:val="0"/>
                <w:sz w:val="18"/>
                <w:szCs w:val="18"/>
              </w:rPr>
              <w:t>5</w:t>
            </w:r>
          </w:p>
        </w:tc>
        <w:tc>
          <w:tcPr>
            <w:tcW w:w="878" w:type="dxa"/>
            <w:tcBorders>
              <w:top w:val="nil"/>
              <w:left w:val="nil"/>
              <w:bottom w:val="single" w:color="auto" w:sz="4" w:space="0"/>
              <w:right w:val="single" w:color="auto" w:sz="4" w:space="0"/>
            </w:tcBorders>
            <w:shd w:val="clear" w:color="000000" w:fill="FFFFFF"/>
            <w:vAlign w:val="center"/>
          </w:tcPr>
          <w:p w14:paraId="3A508E00">
            <w:pPr>
              <w:widowControl/>
              <w:jc w:val="center"/>
              <w:rPr>
                <w:rFonts w:ascii="宋体" w:hAnsi="宋体" w:cs="宋体"/>
                <w:kern w:val="0"/>
                <w:sz w:val="18"/>
                <w:szCs w:val="18"/>
              </w:rPr>
            </w:pPr>
            <w:r>
              <w:rPr>
                <w:rFonts w:hint="eastAsia" w:ascii="宋体" w:hAnsi="宋体" w:cs="宋体"/>
                <w:kern w:val="0"/>
                <w:sz w:val="18"/>
                <w:szCs w:val="18"/>
              </w:rPr>
              <w:t>大会员管理系统</w:t>
            </w:r>
          </w:p>
        </w:tc>
        <w:tc>
          <w:tcPr>
            <w:tcW w:w="4717" w:type="dxa"/>
            <w:tcBorders>
              <w:top w:val="nil"/>
              <w:left w:val="nil"/>
              <w:bottom w:val="single" w:color="auto" w:sz="4" w:space="0"/>
              <w:right w:val="single" w:color="auto" w:sz="4" w:space="0"/>
            </w:tcBorders>
            <w:shd w:val="clear" w:color="000000" w:fill="FFFFFF"/>
            <w:vAlign w:val="center"/>
          </w:tcPr>
          <w:p w14:paraId="3F645C5C">
            <w:pPr>
              <w:widowControl/>
              <w:jc w:val="left"/>
              <w:rPr>
                <w:rFonts w:ascii="宋体" w:hAnsi="宋体" w:cs="宋体"/>
                <w:kern w:val="0"/>
                <w:sz w:val="18"/>
                <w:szCs w:val="18"/>
              </w:rPr>
            </w:pPr>
            <w:r>
              <w:rPr>
                <w:rFonts w:hint="eastAsia" w:ascii="宋体" w:hAnsi="宋体" w:cs="宋体"/>
                <w:kern w:val="0"/>
                <w:sz w:val="18"/>
                <w:szCs w:val="18"/>
              </w:rPr>
              <w:t xml:space="preserve">1. 首页与数据可视化系统 </w:t>
            </w:r>
            <w:r>
              <w:rPr>
                <w:rFonts w:hint="eastAsia" w:ascii="宋体" w:hAnsi="宋体" w:cs="宋体"/>
                <w:kern w:val="0"/>
                <w:sz w:val="18"/>
                <w:szCs w:val="18"/>
              </w:rPr>
              <w:br w:type="textWrapping"/>
            </w:r>
            <w:r>
              <w:rPr>
                <w:rFonts w:hint="eastAsia" w:ascii="宋体" w:hAnsi="宋体" w:cs="宋体"/>
                <w:kern w:val="0"/>
                <w:sz w:val="18"/>
                <w:szCs w:val="18"/>
              </w:rPr>
              <w:t>本系统需提供多维度的会员数据实时监控与分析能力，支持地图可视化及趋势分析。</w:t>
            </w:r>
            <w:r>
              <w:rPr>
                <w:rFonts w:hint="eastAsia" w:ascii="宋体" w:hAnsi="宋体" w:cs="宋体"/>
                <w:kern w:val="0"/>
                <w:sz w:val="18"/>
                <w:szCs w:val="18"/>
              </w:rPr>
              <w:br w:type="textWrapping"/>
            </w:r>
            <w:r>
              <w:rPr>
                <w:rFonts w:hint="eastAsia" w:ascii="宋体" w:hAnsi="宋体" w:cs="宋体"/>
                <w:kern w:val="0"/>
                <w:sz w:val="18"/>
                <w:szCs w:val="18"/>
              </w:rPr>
              <w:t>1.1 总量指标监控</w:t>
            </w:r>
            <w:r>
              <w:rPr>
                <w:rFonts w:hint="eastAsia" w:ascii="宋体" w:hAnsi="宋体" w:cs="宋体"/>
                <w:kern w:val="0"/>
                <w:sz w:val="18"/>
                <w:szCs w:val="18"/>
              </w:rPr>
              <w:br w:type="textWrapping"/>
            </w:r>
            <w:r>
              <w:rPr>
                <w:rFonts w:hint="eastAsia" w:ascii="宋体" w:hAnsi="宋体" w:cs="宋体"/>
                <w:kern w:val="0"/>
                <w:sz w:val="18"/>
                <w:szCs w:val="18"/>
              </w:rPr>
              <w:t>1.1.1 核心数据展示</w:t>
            </w:r>
            <w:r>
              <w:rPr>
                <w:rFonts w:hint="eastAsia" w:ascii="宋体" w:hAnsi="宋体" w:cs="宋体"/>
                <w:kern w:val="0"/>
                <w:sz w:val="18"/>
                <w:szCs w:val="18"/>
              </w:rPr>
              <w:br w:type="textWrapping"/>
            </w:r>
            <w:r>
              <w:rPr>
                <w:rFonts w:hint="eastAsia" w:ascii="宋体" w:hAnsi="宋体" w:cs="宋体"/>
                <w:kern w:val="0"/>
                <w:sz w:val="18"/>
                <w:szCs w:val="18"/>
              </w:rPr>
              <w:t>1.1.1.1 需实时展示当前会员总数、会员卡数量、储值总额、积分总额及电子券数量。</w:t>
            </w:r>
            <w:r>
              <w:rPr>
                <w:rFonts w:hint="eastAsia" w:ascii="宋体" w:hAnsi="宋体" w:cs="宋体"/>
                <w:kern w:val="0"/>
                <w:sz w:val="18"/>
                <w:szCs w:val="18"/>
              </w:rPr>
              <w:br w:type="textWrapping"/>
            </w:r>
            <w:r>
              <w:rPr>
                <w:rFonts w:hint="eastAsia" w:ascii="宋体" w:hAnsi="宋体" w:cs="宋体"/>
                <w:kern w:val="0"/>
                <w:sz w:val="18"/>
                <w:szCs w:val="18"/>
              </w:rPr>
              <w:t>1.1.1.2 需同步展示昨日新增数量以及所占百分比数据。</w:t>
            </w:r>
            <w:r>
              <w:rPr>
                <w:rFonts w:hint="eastAsia" w:ascii="宋体" w:hAnsi="宋体" w:cs="宋体"/>
                <w:kern w:val="0"/>
                <w:sz w:val="18"/>
                <w:szCs w:val="18"/>
              </w:rPr>
              <w:br w:type="textWrapping"/>
            </w:r>
            <w:r>
              <w:rPr>
                <w:rFonts w:hint="eastAsia" w:ascii="宋体" w:hAnsi="宋体" w:cs="宋体"/>
                <w:kern w:val="0"/>
                <w:sz w:val="18"/>
                <w:szCs w:val="18"/>
              </w:rPr>
              <w:t>1.2 今日实时指标</w:t>
            </w:r>
            <w:r>
              <w:rPr>
                <w:rFonts w:hint="eastAsia" w:ascii="宋体" w:hAnsi="宋体" w:cs="宋体"/>
                <w:kern w:val="0"/>
                <w:sz w:val="18"/>
                <w:szCs w:val="18"/>
              </w:rPr>
              <w:br w:type="textWrapping"/>
            </w:r>
            <w:r>
              <w:rPr>
                <w:rFonts w:hint="eastAsia" w:ascii="宋体" w:hAnsi="宋体" w:cs="宋体"/>
                <w:kern w:val="0"/>
                <w:sz w:val="18"/>
                <w:szCs w:val="18"/>
              </w:rPr>
              <w:t>1.2.1 经营数据统计</w:t>
            </w:r>
            <w:r>
              <w:rPr>
                <w:rFonts w:hint="eastAsia" w:ascii="宋体" w:hAnsi="宋体" w:cs="宋体"/>
                <w:kern w:val="0"/>
                <w:sz w:val="18"/>
                <w:szCs w:val="18"/>
              </w:rPr>
              <w:br w:type="textWrapping"/>
            </w:r>
            <w:r>
              <w:rPr>
                <w:rFonts w:hint="eastAsia" w:ascii="宋体" w:hAnsi="宋体" w:cs="宋体"/>
                <w:kern w:val="0"/>
                <w:sz w:val="18"/>
                <w:szCs w:val="18"/>
              </w:rPr>
              <w:t>1.2.1.1 需统计当天的订单数、销售电子券数、产生积分数、消费金额及使用电子券数。</w:t>
            </w:r>
            <w:r>
              <w:rPr>
                <w:rFonts w:hint="eastAsia" w:ascii="宋体" w:hAnsi="宋体" w:cs="宋体"/>
                <w:kern w:val="0"/>
                <w:sz w:val="18"/>
                <w:szCs w:val="18"/>
              </w:rPr>
              <w:br w:type="textWrapping"/>
            </w:r>
            <w:r>
              <w:rPr>
                <w:rFonts w:hint="eastAsia" w:ascii="宋体" w:hAnsi="宋体" w:cs="宋体"/>
                <w:kern w:val="0"/>
                <w:sz w:val="18"/>
                <w:szCs w:val="18"/>
              </w:rPr>
              <w:t>1.2.1.2 需统计当天生日的会员人数。</w:t>
            </w:r>
            <w:r>
              <w:rPr>
                <w:rFonts w:hint="eastAsia" w:ascii="宋体" w:hAnsi="宋体" w:cs="宋体"/>
                <w:kern w:val="0"/>
                <w:sz w:val="18"/>
                <w:szCs w:val="18"/>
              </w:rPr>
              <w:br w:type="textWrapping"/>
            </w:r>
            <w:r>
              <w:rPr>
                <w:rFonts w:hint="eastAsia" w:ascii="宋体" w:hAnsi="宋体" w:cs="宋体"/>
                <w:kern w:val="0"/>
                <w:sz w:val="18"/>
                <w:szCs w:val="18"/>
              </w:rPr>
              <w:t>1.2.1.3 支持穿透报表功能，可下钻查看明细。</w:t>
            </w:r>
            <w:r>
              <w:rPr>
                <w:rFonts w:hint="eastAsia" w:ascii="宋体" w:hAnsi="宋体" w:cs="宋体"/>
                <w:kern w:val="0"/>
                <w:sz w:val="18"/>
                <w:szCs w:val="18"/>
              </w:rPr>
              <w:br w:type="textWrapping"/>
            </w:r>
            <w:r>
              <w:rPr>
                <w:rFonts w:hint="eastAsia" w:ascii="宋体" w:hAnsi="宋体" w:cs="宋体"/>
                <w:kern w:val="0"/>
                <w:sz w:val="18"/>
                <w:szCs w:val="18"/>
              </w:rPr>
              <w:t>1.3 会员地域分布</w:t>
            </w:r>
            <w:r>
              <w:rPr>
                <w:rFonts w:hint="eastAsia" w:ascii="宋体" w:hAnsi="宋体" w:cs="宋体"/>
                <w:kern w:val="0"/>
                <w:sz w:val="18"/>
                <w:szCs w:val="18"/>
              </w:rPr>
              <w:br w:type="textWrapping"/>
            </w:r>
            <w:r>
              <w:rPr>
                <w:rFonts w:hint="eastAsia" w:ascii="宋体" w:hAnsi="宋体" w:cs="宋体"/>
                <w:kern w:val="0"/>
                <w:sz w:val="18"/>
                <w:szCs w:val="18"/>
              </w:rPr>
              <w:t>1.3.1 地图可视化分析</w:t>
            </w:r>
            <w:r>
              <w:rPr>
                <w:rFonts w:hint="eastAsia" w:ascii="宋体" w:hAnsi="宋体" w:cs="宋体"/>
                <w:kern w:val="0"/>
                <w:sz w:val="18"/>
                <w:szCs w:val="18"/>
              </w:rPr>
              <w:br w:type="textWrapping"/>
            </w:r>
            <w:r>
              <w:rPr>
                <w:rFonts w:hint="eastAsia" w:ascii="宋体" w:hAnsi="宋体" w:cs="宋体"/>
                <w:kern w:val="0"/>
                <w:sz w:val="18"/>
                <w:szCs w:val="18"/>
              </w:rPr>
              <w:t>1.3.1.1 需统计每个省份的会员总数，并在地图上用颜色的深浅加以区分（会员数越多，颜色越深）。</w:t>
            </w:r>
            <w:r>
              <w:rPr>
                <w:rFonts w:hint="eastAsia" w:ascii="宋体" w:hAnsi="宋体" w:cs="宋体"/>
                <w:kern w:val="0"/>
                <w:sz w:val="18"/>
                <w:szCs w:val="18"/>
              </w:rPr>
              <w:br w:type="textWrapping"/>
            </w:r>
            <w:r>
              <w:rPr>
                <w:rFonts w:hint="eastAsia" w:ascii="宋体" w:hAnsi="宋体" w:cs="宋体"/>
                <w:kern w:val="0"/>
                <w:sz w:val="18"/>
                <w:szCs w:val="18"/>
              </w:rPr>
              <w:t>1.3.1.2 鼠标悬停时需显示对应省份的具体会员数量。</w:t>
            </w:r>
            <w:r>
              <w:rPr>
                <w:rFonts w:hint="eastAsia" w:ascii="宋体" w:hAnsi="宋体" w:cs="宋体"/>
                <w:kern w:val="0"/>
                <w:sz w:val="18"/>
                <w:szCs w:val="18"/>
              </w:rPr>
              <w:br w:type="textWrapping"/>
            </w:r>
            <w:r>
              <w:rPr>
                <w:rFonts w:hint="eastAsia" w:ascii="宋体" w:hAnsi="宋体" w:cs="宋体"/>
                <w:kern w:val="0"/>
                <w:sz w:val="18"/>
                <w:szCs w:val="18"/>
              </w:rPr>
              <w:t>1.4 数据趋势分析</w:t>
            </w:r>
            <w:r>
              <w:rPr>
                <w:rFonts w:hint="eastAsia" w:ascii="宋体" w:hAnsi="宋体" w:cs="宋体"/>
                <w:kern w:val="0"/>
                <w:sz w:val="18"/>
                <w:szCs w:val="18"/>
              </w:rPr>
              <w:br w:type="textWrapping"/>
            </w:r>
            <w:r>
              <w:rPr>
                <w:rFonts w:hint="eastAsia" w:ascii="宋体" w:hAnsi="宋体" w:cs="宋体"/>
                <w:kern w:val="0"/>
                <w:sz w:val="18"/>
                <w:szCs w:val="18"/>
              </w:rPr>
              <w:t>1.4.1 近期趋势监控</w:t>
            </w:r>
            <w:r>
              <w:rPr>
                <w:rFonts w:hint="eastAsia" w:ascii="宋体" w:hAnsi="宋体" w:cs="宋体"/>
                <w:kern w:val="0"/>
                <w:sz w:val="18"/>
                <w:szCs w:val="18"/>
              </w:rPr>
              <w:br w:type="textWrapping"/>
            </w:r>
            <w:r>
              <w:rPr>
                <w:rFonts w:hint="eastAsia" w:ascii="宋体" w:hAnsi="宋体" w:cs="宋体"/>
                <w:kern w:val="0"/>
                <w:sz w:val="18"/>
                <w:szCs w:val="18"/>
              </w:rPr>
              <w:t>1.4.1.1 以柱状图统计最近 7 天每日新增会员数量、会员卡数量、消费金额及充值金额数据。</w:t>
            </w:r>
            <w:r>
              <w:rPr>
                <w:rFonts w:hint="eastAsia" w:ascii="宋体" w:hAnsi="宋体" w:cs="宋体"/>
                <w:kern w:val="0"/>
                <w:sz w:val="18"/>
                <w:szCs w:val="18"/>
              </w:rPr>
              <w:br w:type="textWrapping"/>
            </w:r>
            <w:r>
              <w:rPr>
                <w:rFonts w:hint="eastAsia" w:ascii="宋体" w:hAnsi="宋体" w:cs="宋体"/>
                <w:kern w:val="0"/>
                <w:sz w:val="18"/>
                <w:szCs w:val="18"/>
              </w:rPr>
              <w:t>1.4.1.2 鼠标悬停时可显示当天各指标的具体数值。</w:t>
            </w:r>
            <w:r>
              <w:rPr>
                <w:rFonts w:hint="eastAsia" w:ascii="宋体" w:hAnsi="宋体" w:cs="宋体"/>
                <w:kern w:val="0"/>
                <w:sz w:val="18"/>
                <w:szCs w:val="18"/>
              </w:rPr>
              <w:br w:type="textWrapping"/>
            </w:r>
            <w:r>
              <w:rPr>
                <w:rFonts w:hint="eastAsia" w:ascii="宋体" w:hAnsi="宋体" w:cs="宋体"/>
                <w:kern w:val="0"/>
                <w:sz w:val="18"/>
                <w:szCs w:val="18"/>
              </w:rPr>
              <w:t>1.5 门店与业绩分析</w:t>
            </w:r>
            <w:r>
              <w:rPr>
                <w:rFonts w:hint="eastAsia" w:ascii="宋体" w:hAnsi="宋体" w:cs="宋体"/>
                <w:kern w:val="0"/>
                <w:sz w:val="18"/>
                <w:szCs w:val="18"/>
              </w:rPr>
              <w:br w:type="textWrapping"/>
            </w:r>
            <w:r>
              <w:rPr>
                <w:rFonts w:hint="eastAsia" w:ascii="宋体" w:hAnsi="宋体" w:cs="宋体"/>
                <w:kern w:val="0"/>
                <w:sz w:val="18"/>
                <w:szCs w:val="18"/>
              </w:rPr>
              <w:t>1.5.1 门店数据统计</w:t>
            </w:r>
            <w:r>
              <w:rPr>
                <w:rFonts w:hint="eastAsia" w:ascii="宋体" w:hAnsi="宋体" w:cs="宋体"/>
                <w:kern w:val="0"/>
                <w:sz w:val="18"/>
                <w:szCs w:val="18"/>
              </w:rPr>
              <w:br w:type="textWrapping"/>
            </w:r>
            <w:r>
              <w:rPr>
                <w:rFonts w:hint="eastAsia" w:ascii="宋体" w:hAnsi="宋体" w:cs="宋体"/>
                <w:kern w:val="0"/>
                <w:sz w:val="18"/>
                <w:szCs w:val="18"/>
              </w:rPr>
              <w:t>1.5.1.1 统计集团与每个门店的会员数、充值金额及消费金额总数。</w:t>
            </w:r>
            <w:r>
              <w:rPr>
                <w:rFonts w:hint="eastAsia" w:ascii="宋体" w:hAnsi="宋体" w:cs="宋体"/>
                <w:kern w:val="0"/>
                <w:sz w:val="18"/>
                <w:szCs w:val="18"/>
              </w:rPr>
              <w:br w:type="textWrapping"/>
            </w:r>
            <w:r>
              <w:rPr>
                <w:rFonts w:hint="eastAsia" w:ascii="宋体" w:hAnsi="宋体" w:cs="宋体"/>
                <w:kern w:val="0"/>
                <w:sz w:val="18"/>
                <w:szCs w:val="18"/>
              </w:rPr>
              <w:t>1.5.1.2 集团登录时展示集团与每个门店数据，根据会员数量从多到少排序。</w:t>
            </w:r>
            <w:r>
              <w:rPr>
                <w:rFonts w:hint="eastAsia" w:ascii="宋体" w:hAnsi="宋体" w:cs="宋体"/>
                <w:kern w:val="0"/>
                <w:sz w:val="18"/>
                <w:szCs w:val="18"/>
              </w:rPr>
              <w:br w:type="textWrapping"/>
            </w:r>
            <w:r>
              <w:rPr>
                <w:rFonts w:hint="eastAsia" w:ascii="宋体" w:hAnsi="宋体" w:cs="宋体"/>
                <w:kern w:val="0"/>
                <w:sz w:val="18"/>
                <w:szCs w:val="18"/>
              </w:rPr>
              <w:t>1.5.1.3 门店登录时仅展示当前登录门店数据。</w:t>
            </w:r>
            <w:r>
              <w:rPr>
                <w:rFonts w:hint="eastAsia" w:ascii="宋体" w:hAnsi="宋体" w:cs="宋体"/>
                <w:kern w:val="0"/>
                <w:sz w:val="18"/>
                <w:szCs w:val="18"/>
              </w:rPr>
              <w:br w:type="textWrapping"/>
            </w:r>
            <w:r>
              <w:rPr>
                <w:rFonts w:hint="eastAsia" w:ascii="宋体" w:hAnsi="宋体" w:cs="宋体"/>
                <w:kern w:val="0"/>
                <w:sz w:val="18"/>
                <w:szCs w:val="18"/>
              </w:rPr>
              <w:t>1.5.2 会员排行</w:t>
            </w:r>
            <w:r>
              <w:rPr>
                <w:rFonts w:hint="eastAsia" w:ascii="宋体" w:hAnsi="宋体" w:cs="宋体"/>
                <w:kern w:val="0"/>
                <w:sz w:val="18"/>
                <w:szCs w:val="18"/>
              </w:rPr>
              <w:br w:type="textWrapping"/>
            </w:r>
            <w:r>
              <w:rPr>
                <w:rFonts w:hint="eastAsia" w:ascii="宋体" w:hAnsi="宋体" w:cs="宋体"/>
                <w:kern w:val="0"/>
                <w:sz w:val="18"/>
                <w:szCs w:val="18"/>
              </w:rPr>
              <w:t>1.5.2.1 展示消费金额最高的 5 张会员卡数据。</w:t>
            </w:r>
            <w:r>
              <w:rPr>
                <w:rFonts w:hint="eastAsia" w:ascii="宋体" w:hAnsi="宋体" w:cs="宋体"/>
                <w:kern w:val="0"/>
                <w:sz w:val="18"/>
                <w:szCs w:val="18"/>
              </w:rPr>
              <w:br w:type="textWrapping"/>
            </w:r>
            <w:r>
              <w:rPr>
                <w:rFonts w:hint="eastAsia" w:ascii="宋体" w:hAnsi="宋体" w:cs="宋体"/>
                <w:kern w:val="0"/>
                <w:sz w:val="18"/>
                <w:szCs w:val="18"/>
              </w:rPr>
              <w:t>1.6 储值消费分析</w:t>
            </w:r>
            <w:r>
              <w:rPr>
                <w:rFonts w:hint="eastAsia" w:ascii="宋体" w:hAnsi="宋体" w:cs="宋体"/>
                <w:kern w:val="0"/>
                <w:sz w:val="18"/>
                <w:szCs w:val="18"/>
              </w:rPr>
              <w:br w:type="textWrapping"/>
            </w:r>
            <w:r>
              <w:rPr>
                <w:rFonts w:hint="eastAsia" w:ascii="宋体" w:hAnsi="宋体" w:cs="宋体"/>
                <w:kern w:val="0"/>
                <w:sz w:val="18"/>
                <w:szCs w:val="18"/>
              </w:rPr>
              <w:t>1.6.1 折线图监控</w:t>
            </w:r>
            <w:r>
              <w:rPr>
                <w:rFonts w:hint="eastAsia" w:ascii="宋体" w:hAnsi="宋体" w:cs="宋体"/>
                <w:kern w:val="0"/>
                <w:sz w:val="18"/>
                <w:szCs w:val="18"/>
              </w:rPr>
              <w:br w:type="textWrapping"/>
            </w:r>
            <w:r>
              <w:rPr>
                <w:rFonts w:hint="eastAsia" w:ascii="宋体" w:hAnsi="宋体" w:cs="宋体"/>
                <w:kern w:val="0"/>
                <w:sz w:val="18"/>
                <w:szCs w:val="18"/>
              </w:rPr>
              <w:t>1.6.1.1 以折线图形式展示最近 30 天每日消费积分与消费金额。</w:t>
            </w:r>
            <w:r>
              <w:rPr>
                <w:rFonts w:hint="eastAsia" w:ascii="宋体" w:hAnsi="宋体" w:cs="宋体"/>
                <w:kern w:val="0"/>
                <w:sz w:val="18"/>
                <w:szCs w:val="18"/>
              </w:rPr>
              <w:br w:type="textWrapping"/>
            </w:r>
            <w:r>
              <w:rPr>
                <w:rFonts w:hint="eastAsia" w:ascii="宋体" w:hAnsi="宋体" w:cs="宋体"/>
                <w:kern w:val="0"/>
                <w:sz w:val="18"/>
                <w:szCs w:val="18"/>
              </w:rPr>
              <w:t>1.6.1.2 鼠标悬停时可显示当天具体数值。</w:t>
            </w:r>
            <w:r>
              <w:rPr>
                <w:rFonts w:hint="eastAsia" w:ascii="宋体" w:hAnsi="宋体" w:cs="宋体"/>
                <w:kern w:val="0"/>
                <w:sz w:val="18"/>
                <w:szCs w:val="18"/>
              </w:rPr>
              <w:br w:type="textWrapping"/>
            </w:r>
            <w:r>
              <w:rPr>
                <w:rFonts w:hint="eastAsia" w:ascii="宋体" w:hAnsi="宋体" w:cs="宋体"/>
                <w:kern w:val="0"/>
                <w:sz w:val="18"/>
                <w:szCs w:val="18"/>
              </w:rPr>
              <w:t>2. 会员档案与卡务管理系统 (现场使用真实软件随机演示本项下任意3个功能，不接受截图或视频演示）</w:t>
            </w:r>
            <w:r>
              <w:rPr>
                <w:rFonts w:hint="eastAsia" w:ascii="宋体" w:hAnsi="宋体" w:cs="宋体"/>
                <w:kern w:val="0"/>
                <w:sz w:val="18"/>
                <w:szCs w:val="18"/>
              </w:rPr>
              <w:br w:type="textWrapping"/>
            </w:r>
            <w:r>
              <w:rPr>
                <w:rFonts w:hint="eastAsia" w:ascii="宋体" w:hAnsi="宋体" w:cs="宋体"/>
                <w:kern w:val="0"/>
                <w:sz w:val="18"/>
                <w:szCs w:val="18"/>
              </w:rPr>
              <w:t>需涵盖会员卡的全生命周期管理，包括注册、升降级、合并及特殊卡种管理。</w:t>
            </w:r>
            <w:r>
              <w:rPr>
                <w:rFonts w:hint="eastAsia" w:ascii="宋体" w:hAnsi="宋体" w:cs="宋体"/>
                <w:kern w:val="0"/>
                <w:sz w:val="18"/>
                <w:szCs w:val="18"/>
              </w:rPr>
              <w:br w:type="textWrapping"/>
            </w:r>
            <w:r>
              <w:rPr>
                <w:rFonts w:hint="eastAsia" w:ascii="宋体" w:hAnsi="宋体" w:cs="宋体"/>
                <w:kern w:val="0"/>
                <w:sz w:val="18"/>
                <w:szCs w:val="18"/>
              </w:rPr>
              <w:t>2.1 会员卡查询与注册</w:t>
            </w:r>
            <w:r>
              <w:rPr>
                <w:rFonts w:hint="eastAsia" w:ascii="宋体" w:hAnsi="宋体" w:cs="宋体"/>
                <w:kern w:val="0"/>
                <w:sz w:val="18"/>
                <w:szCs w:val="18"/>
              </w:rPr>
              <w:br w:type="textWrapping"/>
            </w:r>
            <w:r>
              <w:rPr>
                <w:rFonts w:hint="eastAsia" w:ascii="宋体" w:hAnsi="宋体" w:cs="宋体"/>
                <w:kern w:val="0"/>
                <w:sz w:val="18"/>
                <w:szCs w:val="18"/>
              </w:rPr>
              <w:t>2.1.1 综合查询</w:t>
            </w:r>
            <w:r>
              <w:rPr>
                <w:rFonts w:hint="eastAsia" w:ascii="宋体" w:hAnsi="宋体" w:cs="宋体"/>
                <w:kern w:val="0"/>
                <w:sz w:val="18"/>
                <w:szCs w:val="18"/>
              </w:rPr>
              <w:br w:type="textWrapping"/>
            </w:r>
            <w:r>
              <w:rPr>
                <w:rFonts w:hint="eastAsia" w:ascii="宋体" w:hAnsi="宋体" w:cs="宋体"/>
                <w:kern w:val="0"/>
                <w:sz w:val="18"/>
                <w:szCs w:val="18"/>
              </w:rPr>
              <w:t>2.1.1.1 提供按照基本信息或者业绩信息进行会员卡查询的入口。</w:t>
            </w:r>
            <w:r>
              <w:rPr>
                <w:rFonts w:hint="eastAsia" w:ascii="宋体" w:hAnsi="宋体" w:cs="宋体"/>
                <w:kern w:val="0"/>
                <w:sz w:val="18"/>
                <w:szCs w:val="18"/>
              </w:rPr>
              <w:br w:type="textWrapping"/>
            </w:r>
            <w:r>
              <w:rPr>
                <w:rFonts w:hint="eastAsia" w:ascii="宋体" w:hAnsi="宋体" w:cs="宋体"/>
                <w:kern w:val="0"/>
                <w:sz w:val="18"/>
                <w:szCs w:val="18"/>
              </w:rPr>
              <w:t>2.1.1.2 支持输入任意条件执行查询，也可输入多个条件组合查询。</w:t>
            </w:r>
            <w:r>
              <w:rPr>
                <w:rFonts w:hint="eastAsia" w:ascii="宋体" w:hAnsi="宋体" w:cs="宋体"/>
                <w:kern w:val="0"/>
                <w:sz w:val="18"/>
                <w:szCs w:val="18"/>
              </w:rPr>
              <w:br w:type="textWrapping"/>
            </w:r>
            <w:r>
              <w:rPr>
                <w:rFonts w:hint="eastAsia" w:ascii="宋体" w:hAnsi="宋体" w:cs="宋体"/>
                <w:kern w:val="0"/>
                <w:sz w:val="18"/>
                <w:szCs w:val="18"/>
              </w:rPr>
              <w:t>2.1.1.3 输入条件默认为精准查询，勾选模糊复选框后支持模糊查询。</w:t>
            </w:r>
            <w:r>
              <w:rPr>
                <w:rFonts w:hint="eastAsia" w:ascii="宋体" w:hAnsi="宋体" w:cs="宋体"/>
                <w:kern w:val="0"/>
                <w:sz w:val="18"/>
                <w:szCs w:val="18"/>
              </w:rPr>
              <w:br w:type="textWrapping"/>
            </w:r>
            <w:r>
              <w:rPr>
                <w:rFonts w:hint="eastAsia" w:ascii="宋体" w:hAnsi="宋体" w:cs="宋体"/>
                <w:kern w:val="0"/>
                <w:sz w:val="18"/>
                <w:szCs w:val="18"/>
              </w:rPr>
              <w:t>2.1.2 会员注册</w:t>
            </w:r>
            <w:r>
              <w:rPr>
                <w:rFonts w:hint="eastAsia" w:ascii="宋体" w:hAnsi="宋体" w:cs="宋体"/>
                <w:kern w:val="0"/>
                <w:sz w:val="18"/>
                <w:szCs w:val="18"/>
              </w:rPr>
              <w:br w:type="textWrapping"/>
            </w:r>
            <w:r>
              <w:rPr>
                <w:rFonts w:hint="eastAsia" w:ascii="宋体" w:hAnsi="宋体" w:cs="宋体"/>
                <w:kern w:val="0"/>
                <w:sz w:val="18"/>
                <w:szCs w:val="18"/>
              </w:rPr>
              <w:t>2.1.2.1 支持提供便捷的多渠道注册方式（如官网、APP、小程序、线下门店等）。</w:t>
            </w:r>
            <w:r>
              <w:rPr>
                <w:rFonts w:hint="eastAsia" w:ascii="宋体" w:hAnsi="宋体" w:cs="宋体"/>
                <w:kern w:val="0"/>
                <w:sz w:val="18"/>
                <w:szCs w:val="18"/>
              </w:rPr>
              <w:br w:type="textWrapping"/>
            </w:r>
            <w:r>
              <w:rPr>
                <w:rFonts w:hint="eastAsia" w:ascii="宋体" w:hAnsi="宋体" w:cs="宋体"/>
                <w:kern w:val="0"/>
                <w:sz w:val="18"/>
                <w:szCs w:val="18"/>
              </w:rPr>
              <w:t>2.1.2.2 支持快速填写信息或社交媒体账号一键登录。</w:t>
            </w:r>
            <w:r>
              <w:rPr>
                <w:rFonts w:hint="eastAsia" w:ascii="宋体" w:hAnsi="宋体" w:cs="宋体"/>
                <w:kern w:val="0"/>
                <w:sz w:val="18"/>
                <w:szCs w:val="18"/>
              </w:rPr>
              <w:br w:type="textWrapping"/>
            </w:r>
            <w:r>
              <w:rPr>
                <w:rFonts w:hint="eastAsia" w:ascii="宋体" w:hAnsi="宋体" w:cs="宋体"/>
                <w:kern w:val="0"/>
                <w:sz w:val="18"/>
                <w:szCs w:val="18"/>
              </w:rPr>
              <w:t>2.1.2.3 支持匿名注册。</w:t>
            </w:r>
            <w:r>
              <w:rPr>
                <w:rFonts w:hint="eastAsia" w:ascii="宋体" w:hAnsi="宋体" w:cs="宋体"/>
                <w:kern w:val="0"/>
                <w:sz w:val="18"/>
                <w:szCs w:val="18"/>
              </w:rPr>
              <w:br w:type="textWrapping"/>
            </w:r>
            <w:r>
              <w:rPr>
                <w:rFonts w:hint="eastAsia" w:ascii="宋体" w:hAnsi="宋体" w:cs="宋体"/>
                <w:kern w:val="0"/>
                <w:sz w:val="18"/>
                <w:szCs w:val="18"/>
              </w:rPr>
              <w:t>2.1.2.4 支持二代身份证直接扫描填入信息。</w:t>
            </w:r>
            <w:r>
              <w:rPr>
                <w:rFonts w:hint="eastAsia" w:ascii="宋体" w:hAnsi="宋体" w:cs="宋体"/>
                <w:kern w:val="0"/>
                <w:sz w:val="18"/>
                <w:szCs w:val="18"/>
              </w:rPr>
              <w:br w:type="textWrapping"/>
            </w:r>
            <w:r>
              <w:rPr>
                <w:rFonts w:hint="eastAsia" w:ascii="宋体" w:hAnsi="宋体" w:cs="宋体"/>
                <w:kern w:val="0"/>
                <w:sz w:val="18"/>
                <w:szCs w:val="18"/>
              </w:rPr>
              <w:t>2.1.2.5 提供会员卡注册链接，点击[注册新卡]按钮即可跳转到新卡注册页面并自动带入该会员数据。</w:t>
            </w:r>
            <w:r>
              <w:rPr>
                <w:rFonts w:hint="eastAsia" w:ascii="宋体" w:hAnsi="宋体" w:cs="宋体"/>
                <w:kern w:val="0"/>
                <w:sz w:val="18"/>
                <w:szCs w:val="18"/>
              </w:rPr>
              <w:br w:type="textWrapping"/>
            </w:r>
            <w:r>
              <w:rPr>
                <w:rFonts w:hint="eastAsia" w:ascii="宋体" w:hAnsi="宋体" w:cs="宋体"/>
                <w:kern w:val="0"/>
                <w:sz w:val="18"/>
                <w:szCs w:val="18"/>
              </w:rPr>
              <w:t>2.2 批量与特殊卡务操作</w:t>
            </w:r>
            <w:r>
              <w:rPr>
                <w:rFonts w:hint="eastAsia" w:ascii="宋体" w:hAnsi="宋体" w:cs="宋体"/>
                <w:kern w:val="0"/>
                <w:sz w:val="18"/>
                <w:szCs w:val="18"/>
              </w:rPr>
              <w:br w:type="textWrapping"/>
            </w:r>
            <w:r>
              <w:rPr>
                <w:rFonts w:hint="eastAsia" w:ascii="宋体" w:hAnsi="宋体" w:cs="宋体"/>
                <w:kern w:val="0"/>
                <w:sz w:val="18"/>
                <w:szCs w:val="18"/>
              </w:rPr>
              <w:t>2.2.1 批量管理</w:t>
            </w:r>
            <w:r>
              <w:rPr>
                <w:rFonts w:hint="eastAsia" w:ascii="宋体" w:hAnsi="宋体" w:cs="宋体"/>
                <w:kern w:val="0"/>
                <w:sz w:val="18"/>
                <w:szCs w:val="18"/>
              </w:rPr>
              <w:br w:type="textWrapping"/>
            </w:r>
            <w:r>
              <w:rPr>
                <w:rFonts w:hint="eastAsia" w:ascii="宋体" w:hAnsi="宋体" w:cs="宋体"/>
                <w:kern w:val="0"/>
                <w:sz w:val="18"/>
                <w:szCs w:val="18"/>
              </w:rPr>
              <w:t>2.2.1.1 批量升降级：按照设定的条件查询符合条件的会员数据，对这部分数据做手动批量升降级；支持外部数据导入进行升级、保级和降级。</w:t>
            </w:r>
            <w:r>
              <w:rPr>
                <w:rFonts w:hint="eastAsia" w:ascii="宋体" w:hAnsi="宋体" w:cs="宋体"/>
                <w:kern w:val="0"/>
                <w:sz w:val="18"/>
                <w:szCs w:val="18"/>
              </w:rPr>
              <w:br w:type="textWrapping"/>
            </w:r>
            <w:r>
              <w:rPr>
                <w:rFonts w:hint="eastAsia" w:ascii="宋体" w:hAnsi="宋体" w:cs="宋体"/>
                <w:kern w:val="0"/>
                <w:sz w:val="18"/>
                <w:szCs w:val="18"/>
              </w:rPr>
              <w:t>2.2.1.2 批量储值/积分：支持对查询结果进行手动批量储值、批量积分。</w:t>
            </w:r>
            <w:r>
              <w:rPr>
                <w:rFonts w:hint="eastAsia" w:ascii="宋体" w:hAnsi="宋体" w:cs="宋体"/>
                <w:kern w:val="0"/>
                <w:sz w:val="18"/>
                <w:szCs w:val="18"/>
              </w:rPr>
              <w:br w:type="textWrapping"/>
            </w:r>
            <w:r>
              <w:rPr>
                <w:rFonts w:hint="eastAsia" w:ascii="宋体" w:hAnsi="宋体" w:cs="宋体"/>
                <w:kern w:val="0"/>
                <w:sz w:val="18"/>
                <w:szCs w:val="18"/>
              </w:rPr>
              <w:t>2.2.1.3 批量冻结/有效期修改：支持批量积分冻结、批量修改卡有效期、批量修改会籍有效期、批量修改卡状态。</w:t>
            </w:r>
            <w:r>
              <w:rPr>
                <w:rFonts w:hint="eastAsia" w:ascii="宋体" w:hAnsi="宋体" w:cs="宋体"/>
                <w:kern w:val="0"/>
                <w:sz w:val="18"/>
                <w:szCs w:val="18"/>
              </w:rPr>
              <w:br w:type="textWrapping"/>
            </w:r>
            <w:r>
              <w:rPr>
                <w:rFonts w:hint="eastAsia" w:ascii="宋体" w:hAnsi="宋体" w:cs="宋体"/>
                <w:kern w:val="0"/>
                <w:sz w:val="18"/>
                <w:szCs w:val="18"/>
              </w:rPr>
              <w:t>2.2.2 卡务合并</w:t>
            </w:r>
            <w:r>
              <w:rPr>
                <w:rFonts w:hint="eastAsia" w:ascii="宋体" w:hAnsi="宋体" w:cs="宋体"/>
                <w:kern w:val="0"/>
                <w:sz w:val="18"/>
                <w:szCs w:val="18"/>
              </w:rPr>
              <w:br w:type="textWrapping"/>
            </w:r>
            <w:r>
              <w:rPr>
                <w:rFonts w:hint="eastAsia" w:ascii="宋体" w:hAnsi="宋体" w:cs="宋体"/>
                <w:kern w:val="0"/>
                <w:sz w:val="18"/>
                <w:szCs w:val="18"/>
              </w:rPr>
              <w:t>2.2.2.1 人合并：支持将不同人的档案合并，被合并的档案消失，名下会员卡相加。</w:t>
            </w:r>
            <w:r>
              <w:rPr>
                <w:rFonts w:hint="eastAsia" w:ascii="宋体" w:hAnsi="宋体" w:cs="宋体"/>
                <w:kern w:val="0"/>
                <w:sz w:val="18"/>
                <w:szCs w:val="18"/>
              </w:rPr>
              <w:br w:type="textWrapping"/>
            </w:r>
            <w:r>
              <w:rPr>
                <w:rFonts w:hint="eastAsia" w:ascii="宋体" w:hAnsi="宋体" w:cs="宋体"/>
                <w:kern w:val="0"/>
                <w:sz w:val="18"/>
                <w:szCs w:val="18"/>
              </w:rPr>
              <w:t>2.2.2.2 卡合并：支持将一张卡重新归属于另一张卡（人），被合并的卡消失。</w:t>
            </w:r>
            <w:r>
              <w:rPr>
                <w:rFonts w:hint="eastAsia" w:ascii="宋体" w:hAnsi="宋体" w:cs="宋体"/>
                <w:kern w:val="0"/>
                <w:sz w:val="18"/>
                <w:szCs w:val="18"/>
              </w:rPr>
              <w:br w:type="textWrapping"/>
            </w:r>
            <w:r>
              <w:rPr>
                <w:rFonts w:hint="eastAsia" w:ascii="宋体" w:hAnsi="宋体" w:cs="宋体"/>
                <w:kern w:val="0"/>
                <w:sz w:val="18"/>
                <w:szCs w:val="18"/>
              </w:rPr>
              <w:t>2.2.3 日志管理</w:t>
            </w:r>
            <w:r>
              <w:rPr>
                <w:rFonts w:hint="eastAsia" w:ascii="宋体" w:hAnsi="宋体" w:cs="宋体"/>
                <w:kern w:val="0"/>
                <w:sz w:val="18"/>
                <w:szCs w:val="18"/>
              </w:rPr>
              <w:br w:type="textWrapping"/>
            </w:r>
            <w:r>
              <w:rPr>
                <w:rFonts w:hint="eastAsia" w:ascii="宋体" w:hAnsi="宋体" w:cs="宋体"/>
                <w:kern w:val="0"/>
                <w:sz w:val="18"/>
                <w:szCs w:val="18"/>
              </w:rPr>
              <w:t>2.2.3.1 点击[日志]按钮可打开日志窗口，显示会员所有信息变更记录，并且支持查询。</w:t>
            </w:r>
            <w:r>
              <w:rPr>
                <w:rFonts w:hint="eastAsia" w:ascii="宋体" w:hAnsi="宋体" w:cs="宋体"/>
                <w:kern w:val="0"/>
                <w:sz w:val="18"/>
                <w:szCs w:val="18"/>
              </w:rPr>
              <w:br w:type="textWrapping"/>
            </w:r>
            <w:r>
              <w:rPr>
                <w:rFonts w:hint="eastAsia" w:ascii="宋体" w:hAnsi="宋体" w:cs="宋体"/>
                <w:kern w:val="0"/>
                <w:sz w:val="18"/>
                <w:szCs w:val="18"/>
              </w:rPr>
              <w:t>2.3 批量导入与预发卡</w:t>
            </w:r>
            <w:r>
              <w:rPr>
                <w:rFonts w:hint="eastAsia" w:ascii="宋体" w:hAnsi="宋体" w:cs="宋体"/>
                <w:kern w:val="0"/>
                <w:sz w:val="18"/>
                <w:szCs w:val="18"/>
              </w:rPr>
              <w:br w:type="textWrapping"/>
            </w:r>
            <w:r>
              <w:rPr>
                <w:rFonts w:hint="eastAsia" w:ascii="宋体" w:hAnsi="宋体" w:cs="宋体"/>
                <w:kern w:val="0"/>
                <w:sz w:val="18"/>
                <w:szCs w:val="18"/>
              </w:rPr>
              <w:t>2.3.1 批量导入</w:t>
            </w:r>
            <w:r>
              <w:rPr>
                <w:rFonts w:hint="eastAsia" w:ascii="宋体" w:hAnsi="宋体" w:cs="宋体"/>
                <w:kern w:val="0"/>
                <w:sz w:val="18"/>
                <w:szCs w:val="18"/>
              </w:rPr>
              <w:br w:type="textWrapping"/>
            </w:r>
            <w:r>
              <w:rPr>
                <w:rFonts w:hint="eastAsia" w:ascii="宋体" w:hAnsi="宋体" w:cs="宋体"/>
                <w:kern w:val="0"/>
                <w:sz w:val="18"/>
                <w:szCs w:val="18"/>
              </w:rPr>
              <w:t>2.3.1.1 支持配置导入规则，根据规则实现会员导入。</w:t>
            </w:r>
            <w:r>
              <w:rPr>
                <w:rFonts w:hint="eastAsia" w:ascii="宋体" w:hAnsi="宋体" w:cs="宋体"/>
                <w:kern w:val="0"/>
                <w:sz w:val="18"/>
                <w:szCs w:val="18"/>
              </w:rPr>
              <w:br w:type="textWrapping"/>
            </w:r>
            <w:r>
              <w:rPr>
                <w:rFonts w:hint="eastAsia" w:ascii="宋体" w:hAnsi="宋体" w:cs="宋体"/>
                <w:kern w:val="0"/>
                <w:sz w:val="18"/>
                <w:szCs w:val="18"/>
              </w:rPr>
              <w:t>2.3.1.2 支持将批量导入的数据，根据导入规则的配置，做会员注册或会员升级、保级。</w:t>
            </w:r>
            <w:r>
              <w:rPr>
                <w:rFonts w:hint="eastAsia" w:ascii="宋体" w:hAnsi="宋体" w:cs="宋体"/>
                <w:kern w:val="0"/>
                <w:sz w:val="18"/>
                <w:szCs w:val="18"/>
              </w:rPr>
              <w:br w:type="textWrapping"/>
            </w:r>
            <w:r>
              <w:rPr>
                <w:rFonts w:hint="eastAsia" w:ascii="宋体" w:hAnsi="宋体" w:cs="宋体"/>
                <w:kern w:val="0"/>
                <w:sz w:val="18"/>
                <w:szCs w:val="18"/>
              </w:rPr>
              <w:t>2.3.1.3 支持按预发卡号段批量注册，支持直接选择某预发卡号段进行批量会员注册，使预发卡生效。</w:t>
            </w:r>
            <w:r>
              <w:rPr>
                <w:rFonts w:hint="eastAsia" w:ascii="宋体" w:hAnsi="宋体" w:cs="宋体"/>
                <w:kern w:val="0"/>
                <w:sz w:val="18"/>
                <w:szCs w:val="18"/>
              </w:rPr>
              <w:br w:type="textWrapping"/>
            </w:r>
            <w:r>
              <w:rPr>
                <w:rFonts w:hint="eastAsia" w:ascii="宋体" w:hAnsi="宋体" w:cs="宋体"/>
                <w:kern w:val="0"/>
                <w:sz w:val="18"/>
                <w:szCs w:val="18"/>
              </w:rPr>
              <w:t>2.3.1.4 支持将导入的数据批量制卡至实体卡中。</w:t>
            </w:r>
            <w:r>
              <w:rPr>
                <w:rFonts w:hint="eastAsia" w:ascii="宋体" w:hAnsi="宋体" w:cs="宋体"/>
                <w:kern w:val="0"/>
                <w:sz w:val="18"/>
                <w:szCs w:val="18"/>
              </w:rPr>
              <w:br w:type="textWrapping"/>
            </w:r>
            <w:r>
              <w:rPr>
                <w:rFonts w:hint="eastAsia" w:ascii="宋体" w:hAnsi="宋体" w:cs="宋体"/>
                <w:kern w:val="0"/>
                <w:sz w:val="18"/>
                <w:szCs w:val="18"/>
              </w:rPr>
              <w:t>2.3.2 预发卡管理</w:t>
            </w:r>
            <w:r>
              <w:rPr>
                <w:rFonts w:hint="eastAsia" w:ascii="宋体" w:hAnsi="宋体" w:cs="宋体"/>
                <w:kern w:val="0"/>
                <w:sz w:val="18"/>
                <w:szCs w:val="18"/>
              </w:rPr>
              <w:br w:type="textWrapping"/>
            </w:r>
            <w:r>
              <w:rPr>
                <w:rFonts w:hint="eastAsia" w:ascii="宋体" w:hAnsi="宋体" w:cs="宋体"/>
                <w:kern w:val="0"/>
                <w:sz w:val="18"/>
                <w:szCs w:val="18"/>
              </w:rPr>
              <w:t>2.3.2.1 新建预发卡：用于做某等级卡号的预发。</w:t>
            </w:r>
            <w:r>
              <w:rPr>
                <w:rFonts w:hint="eastAsia" w:ascii="宋体" w:hAnsi="宋体" w:cs="宋体"/>
                <w:kern w:val="0"/>
                <w:sz w:val="18"/>
                <w:szCs w:val="18"/>
              </w:rPr>
              <w:br w:type="textWrapping"/>
            </w:r>
            <w:r>
              <w:rPr>
                <w:rFonts w:hint="eastAsia" w:ascii="宋体" w:hAnsi="宋体" w:cs="宋体"/>
                <w:kern w:val="0"/>
                <w:sz w:val="18"/>
                <w:szCs w:val="18"/>
              </w:rPr>
              <w:t>2.3.2.2 预发卡回收：卡号预发并制作成实体卡后，支持从门店、销售员、协议单位等维度回收卡号，转给其他对象销售或直接作废。</w:t>
            </w:r>
            <w:r>
              <w:rPr>
                <w:rFonts w:hint="eastAsia" w:ascii="宋体" w:hAnsi="宋体" w:cs="宋体"/>
                <w:kern w:val="0"/>
                <w:sz w:val="18"/>
                <w:szCs w:val="18"/>
              </w:rPr>
              <w:br w:type="textWrapping"/>
            </w:r>
            <w:r>
              <w:rPr>
                <w:rFonts w:hint="eastAsia" w:ascii="宋体" w:hAnsi="宋体" w:cs="宋体"/>
                <w:kern w:val="0"/>
                <w:sz w:val="18"/>
                <w:szCs w:val="18"/>
              </w:rPr>
              <w:t>2.3.2.3 预发卡回款：支持预发卡回款的开票操作，用于财务对账。</w:t>
            </w:r>
            <w:r>
              <w:rPr>
                <w:rFonts w:hint="eastAsia" w:ascii="宋体" w:hAnsi="宋体" w:cs="宋体"/>
                <w:kern w:val="0"/>
                <w:sz w:val="18"/>
                <w:szCs w:val="18"/>
              </w:rPr>
              <w:br w:type="textWrapping"/>
            </w:r>
            <w:r>
              <w:rPr>
                <w:rFonts w:hint="eastAsia" w:ascii="宋体" w:hAnsi="宋体" w:cs="宋体"/>
                <w:kern w:val="0"/>
                <w:sz w:val="18"/>
                <w:szCs w:val="18"/>
              </w:rPr>
              <w:t>2.3.2.4 记录查询：支持根据指定的条件查询出卡号的回收和回款记录。</w:t>
            </w:r>
            <w:r>
              <w:rPr>
                <w:rFonts w:hint="eastAsia" w:ascii="宋体" w:hAnsi="宋体" w:cs="宋体"/>
                <w:kern w:val="0"/>
                <w:sz w:val="18"/>
                <w:szCs w:val="18"/>
              </w:rPr>
              <w:br w:type="textWrapping"/>
            </w:r>
            <w:r>
              <w:rPr>
                <w:rFonts w:hint="eastAsia" w:ascii="宋体" w:hAnsi="宋体" w:cs="宋体"/>
                <w:kern w:val="0"/>
                <w:sz w:val="18"/>
                <w:szCs w:val="18"/>
              </w:rPr>
              <w:t>2.4 临时卡与黑名单</w:t>
            </w:r>
            <w:r>
              <w:rPr>
                <w:rFonts w:hint="eastAsia" w:ascii="宋体" w:hAnsi="宋体" w:cs="宋体"/>
                <w:kern w:val="0"/>
                <w:sz w:val="18"/>
                <w:szCs w:val="18"/>
              </w:rPr>
              <w:br w:type="textWrapping"/>
            </w:r>
            <w:r>
              <w:rPr>
                <w:rFonts w:hint="eastAsia" w:ascii="宋体" w:hAnsi="宋体" w:cs="宋体"/>
                <w:kern w:val="0"/>
                <w:sz w:val="18"/>
                <w:szCs w:val="18"/>
              </w:rPr>
              <w:t>2.4.1 临时卡管理</w:t>
            </w:r>
            <w:r>
              <w:rPr>
                <w:rFonts w:hint="eastAsia" w:ascii="宋体" w:hAnsi="宋体" w:cs="宋体"/>
                <w:kern w:val="0"/>
                <w:sz w:val="18"/>
                <w:szCs w:val="18"/>
              </w:rPr>
              <w:br w:type="textWrapping"/>
            </w:r>
            <w:r>
              <w:rPr>
                <w:rFonts w:hint="eastAsia" w:ascii="宋体" w:hAnsi="宋体" w:cs="宋体"/>
                <w:kern w:val="0"/>
                <w:sz w:val="18"/>
                <w:szCs w:val="18"/>
              </w:rPr>
              <w:t>2.4.1.1 支持注册临时卡、临时卡充值。</w:t>
            </w:r>
            <w:r>
              <w:rPr>
                <w:rFonts w:hint="eastAsia" w:ascii="宋体" w:hAnsi="宋体" w:cs="宋体"/>
                <w:kern w:val="0"/>
                <w:sz w:val="18"/>
                <w:szCs w:val="18"/>
              </w:rPr>
              <w:br w:type="textWrapping"/>
            </w:r>
            <w:r>
              <w:rPr>
                <w:rFonts w:hint="eastAsia" w:ascii="宋体" w:hAnsi="宋体" w:cs="宋体"/>
                <w:kern w:val="0"/>
                <w:sz w:val="18"/>
                <w:szCs w:val="18"/>
              </w:rPr>
              <w:t>2.4.1.2 支持临时卡使用完毕后的退卡回收（退卡退钱后回收实体卡）。</w:t>
            </w:r>
            <w:r>
              <w:rPr>
                <w:rFonts w:hint="eastAsia" w:ascii="宋体" w:hAnsi="宋体" w:cs="宋体"/>
                <w:kern w:val="0"/>
                <w:sz w:val="18"/>
                <w:szCs w:val="18"/>
              </w:rPr>
              <w:br w:type="textWrapping"/>
            </w:r>
            <w:r>
              <w:rPr>
                <w:rFonts w:hint="eastAsia" w:ascii="宋体" w:hAnsi="宋体" w:cs="宋体"/>
                <w:kern w:val="0"/>
                <w:sz w:val="18"/>
                <w:szCs w:val="18"/>
              </w:rPr>
              <w:t>2.4.2 黑名单管理</w:t>
            </w:r>
            <w:r>
              <w:rPr>
                <w:rFonts w:hint="eastAsia" w:ascii="宋体" w:hAnsi="宋体" w:cs="宋体"/>
                <w:kern w:val="0"/>
                <w:sz w:val="18"/>
                <w:szCs w:val="18"/>
              </w:rPr>
              <w:br w:type="textWrapping"/>
            </w:r>
            <w:r>
              <w:rPr>
                <w:rFonts w:hint="eastAsia" w:ascii="宋体" w:hAnsi="宋体" w:cs="宋体"/>
                <w:kern w:val="0"/>
                <w:sz w:val="18"/>
                <w:szCs w:val="18"/>
              </w:rPr>
              <w:t>2.4.2.1 支持将某会员拉入黑名单，黑名单可控制会员可否登录、消费、储值、积分等。</w:t>
            </w:r>
            <w:r>
              <w:rPr>
                <w:rFonts w:hint="eastAsia" w:ascii="宋体" w:hAnsi="宋体" w:cs="宋体"/>
                <w:kern w:val="0"/>
                <w:sz w:val="18"/>
                <w:szCs w:val="18"/>
              </w:rPr>
              <w:br w:type="textWrapping"/>
            </w:r>
            <w:r>
              <w:rPr>
                <w:rFonts w:hint="eastAsia" w:ascii="宋体" w:hAnsi="宋体" w:cs="宋体"/>
                <w:kern w:val="0"/>
                <w:sz w:val="18"/>
                <w:szCs w:val="18"/>
              </w:rPr>
              <w:t>2.4.2.2 支持新增、修改、移除操作。</w:t>
            </w:r>
            <w:r>
              <w:rPr>
                <w:rFonts w:hint="eastAsia" w:ascii="宋体" w:hAnsi="宋体" w:cs="宋体"/>
                <w:kern w:val="0"/>
                <w:sz w:val="18"/>
                <w:szCs w:val="18"/>
              </w:rPr>
              <w:br w:type="textWrapping"/>
            </w:r>
            <w:r>
              <w:rPr>
                <w:rFonts w:hint="eastAsia" w:ascii="宋体" w:hAnsi="宋体" w:cs="宋体"/>
                <w:kern w:val="0"/>
                <w:sz w:val="18"/>
                <w:szCs w:val="18"/>
              </w:rPr>
              <w:t>3. 储值与积分财务系统(现场使用真实软件随机演示本项下任意3个功能，不接受截图或视频演示）</w:t>
            </w:r>
            <w:r>
              <w:rPr>
                <w:rFonts w:hint="eastAsia" w:ascii="宋体" w:hAnsi="宋体" w:cs="宋体"/>
                <w:kern w:val="0"/>
                <w:sz w:val="18"/>
                <w:szCs w:val="18"/>
              </w:rPr>
              <w:br w:type="textWrapping"/>
            </w:r>
            <w:r>
              <w:rPr>
                <w:rFonts w:hint="eastAsia" w:ascii="宋体" w:hAnsi="宋体" w:cs="宋体"/>
                <w:kern w:val="0"/>
                <w:sz w:val="18"/>
                <w:szCs w:val="18"/>
              </w:rPr>
              <w:t>需提供完善的储值、积分、发票及后台财务处理功能。</w:t>
            </w:r>
            <w:r>
              <w:rPr>
                <w:rFonts w:hint="eastAsia" w:ascii="宋体" w:hAnsi="宋体" w:cs="宋体"/>
                <w:kern w:val="0"/>
                <w:sz w:val="18"/>
                <w:szCs w:val="18"/>
              </w:rPr>
              <w:br w:type="textWrapping"/>
            </w:r>
            <w:r>
              <w:rPr>
                <w:rFonts w:hint="eastAsia" w:ascii="宋体" w:hAnsi="宋体" w:cs="宋体"/>
                <w:kern w:val="0"/>
                <w:sz w:val="18"/>
                <w:szCs w:val="18"/>
              </w:rPr>
              <w:t>3.1 储值管理</w:t>
            </w:r>
            <w:r>
              <w:rPr>
                <w:rFonts w:hint="eastAsia" w:ascii="宋体" w:hAnsi="宋体" w:cs="宋体"/>
                <w:kern w:val="0"/>
                <w:sz w:val="18"/>
                <w:szCs w:val="18"/>
              </w:rPr>
              <w:br w:type="textWrapping"/>
            </w:r>
            <w:r>
              <w:rPr>
                <w:rFonts w:hint="eastAsia" w:ascii="宋体" w:hAnsi="宋体" w:cs="宋体"/>
                <w:kern w:val="0"/>
                <w:sz w:val="18"/>
                <w:szCs w:val="18"/>
              </w:rPr>
              <w:t>3.1.1 后台操作</w:t>
            </w:r>
            <w:r>
              <w:rPr>
                <w:rFonts w:hint="eastAsia" w:ascii="宋体" w:hAnsi="宋体" w:cs="宋体"/>
                <w:kern w:val="0"/>
                <w:sz w:val="18"/>
                <w:szCs w:val="18"/>
              </w:rPr>
              <w:br w:type="textWrapping"/>
            </w:r>
            <w:r>
              <w:rPr>
                <w:rFonts w:hint="eastAsia" w:ascii="宋体" w:hAnsi="宋体" w:cs="宋体"/>
                <w:kern w:val="0"/>
                <w:sz w:val="18"/>
                <w:szCs w:val="18"/>
              </w:rPr>
              <w:t>3.1.1.1 支持后台对储值卡进行充值、扫码付（扣款）、调整（人工调整余额）、消费扣款、次卡消费（次数扣减）。</w:t>
            </w:r>
            <w:r>
              <w:rPr>
                <w:rFonts w:hint="eastAsia" w:ascii="宋体" w:hAnsi="宋体" w:cs="宋体"/>
                <w:kern w:val="0"/>
                <w:sz w:val="18"/>
                <w:szCs w:val="18"/>
              </w:rPr>
              <w:br w:type="textWrapping"/>
            </w:r>
            <w:r>
              <w:rPr>
                <w:rFonts w:hint="eastAsia" w:ascii="宋体" w:hAnsi="宋体" w:cs="宋体"/>
                <w:kern w:val="0"/>
                <w:sz w:val="18"/>
                <w:szCs w:val="18"/>
              </w:rPr>
              <w:t>3.1.1.2 支持转账（储值转给其他卡）、冲账（对有问题的记录冲账）、冻结（冻结部分余额）。</w:t>
            </w:r>
            <w:r>
              <w:rPr>
                <w:rFonts w:hint="eastAsia" w:ascii="宋体" w:hAnsi="宋体" w:cs="宋体"/>
                <w:kern w:val="0"/>
                <w:sz w:val="18"/>
                <w:szCs w:val="18"/>
              </w:rPr>
              <w:br w:type="textWrapping"/>
            </w:r>
            <w:r>
              <w:rPr>
                <w:rFonts w:hint="eastAsia" w:ascii="宋体" w:hAnsi="宋体" w:cs="宋体"/>
                <w:kern w:val="0"/>
                <w:sz w:val="18"/>
                <w:szCs w:val="18"/>
              </w:rPr>
              <w:t>3.1.1.3 支持账户修改（设置信用额、设置赠送账户有效期）及强制充值。</w:t>
            </w:r>
            <w:r>
              <w:rPr>
                <w:rFonts w:hint="eastAsia" w:ascii="宋体" w:hAnsi="宋体" w:cs="宋体"/>
                <w:kern w:val="0"/>
                <w:sz w:val="18"/>
                <w:szCs w:val="18"/>
              </w:rPr>
              <w:br w:type="textWrapping"/>
            </w:r>
            <w:r>
              <w:rPr>
                <w:rFonts w:hint="eastAsia" w:ascii="宋体" w:hAnsi="宋体" w:cs="宋体"/>
                <w:kern w:val="0"/>
                <w:sz w:val="18"/>
                <w:szCs w:val="18"/>
              </w:rPr>
              <w:t>3.1.2 批量与日志</w:t>
            </w:r>
            <w:r>
              <w:rPr>
                <w:rFonts w:hint="eastAsia" w:ascii="宋体" w:hAnsi="宋体" w:cs="宋体"/>
                <w:kern w:val="0"/>
                <w:sz w:val="18"/>
                <w:szCs w:val="18"/>
              </w:rPr>
              <w:br w:type="textWrapping"/>
            </w:r>
            <w:r>
              <w:rPr>
                <w:rFonts w:hint="eastAsia" w:ascii="宋体" w:hAnsi="宋体" w:cs="宋体"/>
                <w:kern w:val="0"/>
                <w:sz w:val="18"/>
                <w:szCs w:val="18"/>
              </w:rPr>
              <w:t>3.1.2.1 支持根据条件查询或模版导入进行批量储值。</w:t>
            </w:r>
            <w:r>
              <w:rPr>
                <w:rFonts w:hint="eastAsia" w:ascii="宋体" w:hAnsi="宋体" w:cs="宋体"/>
                <w:kern w:val="0"/>
                <w:sz w:val="18"/>
                <w:szCs w:val="18"/>
              </w:rPr>
              <w:br w:type="textWrapping"/>
            </w:r>
            <w:r>
              <w:rPr>
                <w:rFonts w:hint="eastAsia" w:ascii="宋体" w:hAnsi="宋体" w:cs="宋体"/>
                <w:kern w:val="0"/>
                <w:sz w:val="18"/>
                <w:szCs w:val="18"/>
              </w:rPr>
              <w:t>3.1.2.2 支持查询储值操作日志、快捷查看积分管理/冻结管理/发票管理/历史储值等。</w:t>
            </w:r>
            <w:r>
              <w:rPr>
                <w:rFonts w:hint="eastAsia" w:ascii="宋体" w:hAnsi="宋体" w:cs="宋体"/>
                <w:kern w:val="0"/>
                <w:sz w:val="18"/>
                <w:szCs w:val="18"/>
              </w:rPr>
              <w:br w:type="textWrapping"/>
            </w:r>
            <w:r>
              <w:rPr>
                <w:rFonts w:hint="eastAsia" w:ascii="宋体" w:hAnsi="宋体" w:cs="宋体"/>
                <w:kern w:val="0"/>
                <w:sz w:val="18"/>
                <w:szCs w:val="18"/>
              </w:rPr>
              <w:t>3.2 积分管理</w:t>
            </w:r>
            <w:r>
              <w:rPr>
                <w:rFonts w:hint="eastAsia" w:ascii="宋体" w:hAnsi="宋体" w:cs="宋体"/>
                <w:kern w:val="0"/>
                <w:sz w:val="18"/>
                <w:szCs w:val="18"/>
              </w:rPr>
              <w:br w:type="textWrapping"/>
            </w:r>
            <w:r>
              <w:rPr>
                <w:rFonts w:hint="eastAsia" w:ascii="宋体" w:hAnsi="宋体" w:cs="宋体"/>
                <w:kern w:val="0"/>
                <w:sz w:val="18"/>
                <w:szCs w:val="18"/>
              </w:rPr>
              <w:t>3.2.1 积分操作</w:t>
            </w:r>
            <w:r>
              <w:rPr>
                <w:rFonts w:hint="eastAsia" w:ascii="宋体" w:hAnsi="宋体" w:cs="宋体"/>
                <w:kern w:val="0"/>
                <w:sz w:val="18"/>
                <w:szCs w:val="18"/>
              </w:rPr>
              <w:br w:type="textWrapping"/>
            </w:r>
            <w:r>
              <w:rPr>
                <w:rFonts w:hint="eastAsia" w:ascii="宋体" w:hAnsi="宋体" w:cs="宋体"/>
                <w:kern w:val="0"/>
                <w:sz w:val="18"/>
                <w:szCs w:val="18"/>
              </w:rPr>
              <w:t>3.2.1.1 支持后台录入消费信息进行积分。</w:t>
            </w:r>
            <w:r>
              <w:rPr>
                <w:rFonts w:hint="eastAsia" w:ascii="宋体" w:hAnsi="宋体" w:cs="宋体"/>
                <w:kern w:val="0"/>
                <w:sz w:val="18"/>
                <w:szCs w:val="18"/>
              </w:rPr>
              <w:br w:type="textWrapping"/>
            </w:r>
            <w:r>
              <w:rPr>
                <w:rFonts w:hint="eastAsia" w:ascii="宋体" w:hAnsi="宋体" w:cs="宋体"/>
                <w:kern w:val="0"/>
                <w:sz w:val="18"/>
                <w:szCs w:val="18"/>
              </w:rPr>
              <w:t>3.2.1.2 支持后台人工调整积分余额、积分转移（转给其他卡）、冲销（对错误记录冲销）、冻结。</w:t>
            </w:r>
            <w:r>
              <w:rPr>
                <w:rFonts w:hint="eastAsia" w:ascii="宋体" w:hAnsi="宋体" w:cs="宋体"/>
                <w:kern w:val="0"/>
                <w:sz w:val="18"/>
                <w:szCs w:val="18"/>
              </w:rPr>
              <w:br w:type="textWrapping"/>
            </w:r>
            <w:r>
              <w:rPr>
                <w:rFonts w:hint="eastAsia" w:ascii="宋体" w:hAnsi="宋体" w:cs="宋体"/>
                <w:kern w:val="0"/>
                <w:sz w:val="18"/>
                <w:szCs w:val="18"/>
              </w:rPr>
              <w:t>3.2.2 兑换管理</w:t>
            </w:r>
            <w:r>
              <w:rPr>
                <w:rFonts w:hint="eastAsia" w:ascii="宋体" w:hAnsi="宋体" w:cs="宋体"/>
                <w:kern w:val="0"/>
                <w:sz w:val="18"/>
                <w:szCs w:val="18"/>
              </w:rPr>
              <w:br w:type="textWrapping"/>
            </w:r>
            <w:r>
              <w:rPr>
                <w:rFonts w:hint="eastAsia" w:ascii="宋体" w:hAnsi="宋体" w:cs="宋体"/>
                <w:kern w:val="0"/>
                <w:sz w:val="18"/>
                <w:szCs w:val="18"/>
              </w:rPr>
              <w:t>3.2.2.1 支持使用积分兑换实体物品，支持撤销上述兑换及积分冻结。</w:t>
            </w:r>
            <w:r>
              <w:rPr>
                <w:rFonts w:hint="eastAsia" w:ascii="宋体" w:hAnsi="宋体" w:cs="宋体"/>
                <w:kern w:val="0"/>
                <w:sz w:val="18"/>
                <w:szCs w:val="18"/>
              </w:rPr>
              <w:br w:type="textWrapping"/>
            </w:r>
            <w:r>
              <w:rPr>
                <w:rFonts w:hint="eastAsia" w:ascii="宋体" w:hAnsi="宋体" w:cs="宋体"/>
                <w:kern w:val="0"/>
                <w:sz w:val="18"/>
                <w:szCs w:val="18"/>
              </w:rPr>
              <w:t>3.2.3 批量处理</w:t>
            </w:r>
            <w:r>
              <w:rPr>
                <w:rFonts w:hint="eastAsia" w:ascii="宋体" w:hAnsi="宋体" w:cs="宋体"/>
                <w:kern w:val="0"/>
                <w:sz w:val="18"/>
                <w:szCs w:val="18"/>
              </w:rPr>
              <w:br w:type="textWrapping"/>
            </w:r>
            <w:r>
              <w:rPr>
                <w:rFonts w:hint="eastAsia" w:ascii="宋体" w:hAnsi="宋体" w:cs="宋体"/>
                <w:kern w:val="0"/>
                <w:sz w:val="18"/>
                <w:szCs w:val="18"/>
              </w:rPr>
              <w:t>3.2.3.1 支持通过模版导入进行批量积分、批量积分冻结。</w:t>
            </w:r>
            <w:r>
              <w:rPr>
                <w:rFonts w:hint="eastAsia" w:ascii="宋体" w:hAnsi="宋体" w:cs="宋体"/>
                <w:kern w:val="0"/>
                <w:sz w:val="18"/>
                <w:szCs w:val="18"/>
              </w:rPr>
              <w:br w:type="textWrapping"/>
            </w:r>
            <w:r>
              <w:rPr>
                <w:rFonts w:hint="eastAsia" w:ascii="宋体" w:hAnsi="宋体" w:cs="宋体"/>
                <w:kern w:val="0"/>
                <w:sz w:val="18"/>
                <w:szCs w:val="18"/>
              </w:rPr>
              <w:t>3.3 发票管理</w:t>
            </w:r>
            <w:r>
              <w:rPr>
                <w:rFonts w:hint="eastAsia" w:ascii="宋体" w:hAnsi="宋体" w:cs="宋体"/>
                <w:kern w:val="0"/>
                <w:sz w:val="18"/>
                <w:szCs w:val="18"/>
              </w:rPr>
              <w:br w:type="textWrapping"/>
            </w:r>
            <w:r>
              <w:rPr>
                <w:rFonts w:hint="eastAsia" w:ascii="宋体" w:hAnsi="宋体" w:cs="宋体"/>
                <w:kern w:val="0"/>
                <w:sz w:val="18"/>
                <w:szCs w:val="18"/>
              </w:rPr>
              <w:t>3.3.1 开票功能</w:t>
            </w:r>
            <w:r>
              <w:rPr>
                <w:rFonts w:hint="eastAsia" w:ascii="宋体" w:hAnsi="宋体" w:cs="宋体"/>
                <w:kern w:val="0"/>
                <w:sz w:val="18"/>
                <w:szCs w:val="18"/>
              </w:rPr>
              <w:br w:type="textWrapping"/>
            </w:r>
            <w:r>
              <w:rPr>
                <w:rFonts w:hint="eastAsia" w:ascii="宋体" w:hAnsi="宋体" w:cs="宋体"/>
                <w:kern w:val="0"/>
                <w:sz w:val="18"/>
                <w:szCs w:val="18"/>
              </w:rPr>
              <w:t>3.3.1.1 支持一键开票、提前开票、手工开票，需支持与第三方发票系统对接。</w:t>
            </w:r>
            <w:r>
              <w:rPr>
                <w:rFonts w:hint="eastAsia" w:ascii="宋体" w:hAnsi="宋体" w:cs="宋体"/>
                <w:kern w:val="0"/>
                <w:sz w:val="18"/>
                <w:szCs w:val="18"/>
              </w:rPr>
              <w:br w:type="textWrapping"/>
            </w:r>
            <w:r>
              <w:rPr>
                <w:rFonts w:hint="eastAsia" w:ascii="宋体" w:hAnsi="宋体" w:cs="宋体"/>
                <w:kern w:val="0"/>
                <w:sz w:val="18"/>
                <w:szCs w:val="18"/>
              </w:rPr>
              <w:t>3.3.2 基础设置</w:t>
            </w:r>
            <w:r>
              <w:rPr>
                <w:rFonts w:hint="eastAsia" w:ascii="宋体" w:hAnsi="宋体" w:cs="宋体"/>
                <w:kern w:val="0"/>
                <w:sz w:val="18"/>
                <w:szCs w:val="18"/>
              </w:rPr>
              <w:br w:type="textWrapping"/>
            </w:r>
            <w:r>
              <w:rPr>
                <w:rFonts w:hint="eastAsia" w:ascii="宋体" w:hAnsi="宋体" w:cs="宋体"/>
                <w:kern w:val="0"/>
                <w:sz w:val="18"/>
                <w:szCs w:val="18"/>
              </w:rPr>
              <w:t>3.3.2.1 开票企业信息：维护销售方企业信息，绑定开票终端。</w:t>
            </w:r>
            <w:r>
              <w:rPr>
                <w:rFonts w:hint="eastAsia" w:ascii="宋体" w:hAnsi="宋体" w:cs="宋体"/>
                <w:kern w:val="0"/>
                <w:sz w:val="18"/>
                <w:szCs w:val="18"/>
              </w:rPr>
              <w:br w:type="textWrapping"/>
            </w:r>
            <w:r>
              <w:rPr>
                <w:rFonts w:hint="eastAsia" w:ascii="宋体" w:hAnsi="宋体" w:cs="宋体"/>
                <w:kern w:val="0"/>
                <w:sz w:val="18"/>
                <w:szCs w:val="18"/>
              </w:rPr>
              <w:t>3.3.2.2 开票终端：绑定开票企业，指定发票类型与操作人。</w:t>
            </w:r>
            <w:r>
              <w:rPr>
                <w:rFonts w:hint="eastAsia" w:ascii="宋体" w:hAnsi="宋体" w:cs="宋体"/>
                <w:kern w:val="0"/>
                <w:sz w:val="18"/>
                <w:szCs w:val="18"/>
              </w:rPr>
              <w:br w:type="textWrapping"/>
            </w:r>
            <w:r>
              <w:rPr>
                <w:rFonts w:hint="eastAsia" w:ascii="宋体" w:hAnsi="宋体" w:cs="宋体"/>
                <w:kern w:val="0"/>
                <w:sz w:val="18"/>
                <w:szCs w:val="18"/>
              </w:rPr>
              <w:t>3.3.2.3 税控盘管理：配置税控盘信息。</w:t>
            </w:r>
            <w:r>
              <w:rPr>
                <w:rFonts w:hint="eastAsia" w:ascii="宋体" w:hAnsi="宋体" w:cs="宋体"/>
                <w:kern w:val="0"/>
                <w:sz w:val="18"/>
                <w:szCs w:val="18"/>
              </w:rPr>
              <w:br w:type="textWrapping"/>
            </w:r>
            <w:r>
              <w:rPr>
                <w:rFonts w:hint="eastAsia" w:ascii="宋体" w:hAnsi="宋体" w:cs="宋体"/>
                <w:kern w:val="0"/>
                <w:sz w:val="18"/>
                <w:szCs w:val="18"/>
              </w:rPr>
              <w:t>3.3.2.4 开票项/优惠政策/免税类型：维护开票项目信息、税率及税收优惠信息。</w:t>
            </w:r>
            <w:r>
              <w:rPr>
                <w:rFonts w:hint="eastAsia" w:ascii="宋体" w:hAnsi="宋体" w:cs="宋体"/>
                <w:kern w:val="0"/>
                <w:sz w:val="18"/>
                <w:szCs w:val="18"/>
              </w:rPr>
              <w:br w:type="textWrapping"/>
            </w:r>
            <w:r>
              <w:rPr>
                <w:rFonts w:hint="eastAsia" w:ascii="宋体" w:hAnsi="宋体" w:cs="宋体"/>
                <w:kern w:val="0"/>
                <w:sz w:val="18"/>
                <w:szCs w:val="18"/>
              </w:rPr>
              <w:t>3.4 财务审核</w:t>
            </w:r>
            <w:r>
              <w:rPr>
                <w:rFonts w:hint="eastAsia" w:ascii="宋体" w:hAnsi="宋体" w:cs="宋体"/>
                <w:kern w:val="0"/>
                <w:sz w:val="18"/>
                <w:szCs w:val="18"/>
              </w:rPr>
              <w:br w:type="textWrapping"/>
            </w:r>
            <w:r>
              <w:rPr>
                <w:rFonts w:hint="eastAsia" w:ascii="宋体" w:hAnsi="宋体" w:cs="宋体"/>
                <w:kern w:val="0"/>
                <w:sz w:val="18"/>
                <w:szCs w:val="18"/>
              </w:rPr>
              <w:t>3.4.1 审核管理</w:t>
            </w:r>
            <w:r>
              <w:rPr>
                <w:rFonts w:hint="eastAsia" w:ascii="宋体" w:hAnsi="宋体" w:cs="宋体"/>
                <w:kern w:val="0"/>
                <w:sz w:val="18"/>
                <w:szCs w:val="18"/>
              </w:rPr>
              <w:br w:type="textWrapping"/>
            </w:r>
            <w:r>
              <w:rPr>
                <w:rFonts w:hint="eastAsia" w:ascii="宋体" w:hAnsi="宋体" w:cs="宋体"/>
                <w:kern w:val="0"/>
                <w:sz w:val="18"/>
                <w:szCs w:val="18"/>
              </w:rPr>
              <w:t>3.4.1.1 包括账户变动审核、信息类审核、券审核，相关操作后的审核信息需上传至审批中心，并返回审核结果。</w:t>
            </w:r>
            <w:r>
              <w:rPr>
                <w:rFonts w:hint="eastAsia" w:ascii="宋体" w:hAnsi="宋体" w:cs="宋体"/>
                <w:kern w:val="0"/>
                <w:sz w:val="18"/>
                <w:szCs w:val="18"/>
              </w:rPr>
              <w:br w:type="textWrapping"/>
            </w:r>
            <w:r>
              <w:rPr>
                <w:rFonts w:hint="eastAsia" w:ascii="宋体" w:hAnsi="宋体" w:cs="宋体"/>
                <w:kern w:val="0"/>
                <w:sz w:val="18"/>
                <w:szCs w:val="18"/>
              </w:rPr>
              <w:t>4. 业务运营与产量管理系统</w:t>
            </w:r>
            <w:r>
              <w:rPr>
                <w:rFonts w:hint="eastAsia" w:ascii="宋体" w:hAnsi="宋体" w:cs="宋体"/>
                <w:kern w:val="0"/>
                <w:sz w:val="18"/>
                <w:szCs w:val="18"/>
              </w:rPr>
              <w:br w:type="textWrapping"/>
            </w:r>
            <w:r>
              <w:rPr>
                <w:rFonts w:hint="eastAsia" w:ascii="宋体" w:hAnsi="宋体" w:cs="宋体"/>
                <w:kern w:val="0"/>
                <w:sz w:val="18"/>
                <w:szCs w:val="18"/>
              </w:rPr>
              <w:t>需支持特定的业务场景，如产量录入、权益核销及客户池管理。</w:t>
            </w:r>
            <w:r>
              <w:rPr>
                <w:rFonts w:hint="eastAsia" w:ascii="宋体" w:hAnsi="宋体" w:cs="宋体"/>
                <w:kern w:val="0"/>
                <w:sz w:val="18"/>
                <w:szCs w:val="18"/>
              </w:rPr>
              <w:br w:type="textWrapping"/>
            </w:r>
            <w:r>
              <w:rPr>
                <w:rFonts w:hint="eastAsia" w:ascii="宋体" w:hAnsi="宋体" w:cs="宋体"/>
                <w:kern w:val="0"/>
                <w:sz w:val="18"/>
                <w:szCs w:val="18"/>
              </w:rPr>
              <w:t>4.1 产量管理</w:t>
            </w:r>
            <w:r>
              <w:rPr>
                <w:rFonts w:hint="eastAsia" w:ascii="宋体" w:hAnsi="宋体" w:cs="宋体"/>
                <w:kern w:val="0"/>
                <w:sz w:val="18"/>
                <w:szCs w:val="18"/>
              </w:rPr>
              <w:br w:type="textWrapping"/>
            </w:r>
            <w:r>
              <w:rPr>
                <w:rFonts w:hint="eastAsia" w:ascii="宋体" w:hAnsi="宋体" w:cs="宋体"/>
                <w:kern w:val="0"/>
                <w:sz w:val="18"/>
                <w:szCs w:val="18"/>
              </w:rPr>
              <w:t>4.1.1 入住产量</w:t>
            </w:r>
            <w:r>
              <w:rPr>
                <w:rFonts w:hint="eastAsia" w:ascii="宋体" w:hAnsi="宋体" w:cs="宋体"/>
                <w:kern w:val="0"/>
                <w:sz w:val="18"/>
                <w:szCs w:val="18"/>
              </w:rPr>
              <w:br w:type="textWrapping"/>
            </w:r>
            <w:r>
              <w:rPr>
                <w:rFonts w:hint="eastAsia" w:ascii="宋体" w:hAnsi="宋体" w:cs="宋体"/>
                <w:kern w:val="0"/>
                <w:sz w:val="18"/>
                <w:szCs w:val="18"/>
              </w:rPr>
              <w:t>4.1.1.1 支持查询、重置筛选条件。</w:t>
            </w:r>
            <w:r>
              <w:rPr>
                <w:rFonts w:hint="eastAsia" w:ascii="宋体" w:hAnsi="宋体" w:cs="宋体"/>
                <w:kern w:val="0"/>
                <w:sz w:val="18"/>
                <w:szCs w:val="18"/>
              </w:rPr>
              <w:br w:type="textWrapping"/>
            </w:r>
            <w:r>
              <w:rPr>
                <w:rFonts w:hint="eastAsia" w:ascii="宋体" w:hAnsi="宋体" w:cs="宋体"/>
                <w:kern w:val="0"/>
                <w:sz w:val="18"/>
                <w:szCs w:val="18"/>
              </w:rPr>
              <w:t>4.1.1.2 支持对某张卡进行消费记录的录入。</w:t>
            </w:r>
            <w:r>
              <w:rPr>
                <w:rFonts w:hint="eastAsia" w:ascii="宋体" w:hAnsi="宋体" w:cs="宋体"/>
                <w:kern w:val="0"/>
                <w:sz w:val="18"/>
                <w:szCs w:val="18"/>
              </w:rPr>
              <w:br w:type="textWrapping"/>
            </w:r>
            <w:r>
              <w:rPr>
                <w:rFonts w:hint="eastAsia" w:ascii="宋体" w:hAnsi="宋体" w:cs="宋体"/>
                <w:kern w:val="0"/>
                <w:sz w:val="18"/>
                <w:szCs w:val="18"/>
              </w:rPr>
              <w:t>4.1.2 代订产量</w:t>
            </w:r>
            <w:r>
              <w:rPr>
                <w:rFonts w:hint="eastAsia" w:ascii="宋体" w:hAnsi="宋体" w:cs="宋体"/>
                <w:kern w:val="0"/>
                <w:sz w:val="18"/>
                <w:szCs w:val="18"/>
              </w:rPr>
              <w:br w:type="textWrapping"/>
            </w:r>
            <w:r>
              <w:rPr>
                <w:rFonts w:hint="eastAsia" w:ascii="宋体" w:hAnsi="宋体" w:cs="宋体"/>
                <w:kern w:val="0"/>
                <w:sz w:val="18"/>
                <w:szCs w:val="18"/>
              </w:rPr>
              <w:t>4.1.2.1 支持查询、重置筛选条件（适用于订房主任业务）。</w:t>
            </w:r>
            <w:r>
              <w:rPr>
                <w:rFonts w:hint="eastAsia" w:ascii="宋体" w:hAnsi="宋体" w:cs="宋体"/>
                <w:kern w:val="0"/>
                <w:sz w:val="18"/>
                <w:szCs w:val="18"/>
              </w:rPr>
              <w:br w:type="textWrapping"/>
            </w:r>
            <w:r>
              <w:rPr>
                <w:rFonts w:hint="eastAsia" w:ascii="宋体" w:hAnsi="宋体" w:cs="宋体"/>
                <w:kern w:val="0"/>
                <w:sz w:val="18"/>
                <w:szCs w:val="18"/>
              </w:rPr>
              <w:t>4.1.2.2 支持对某张卡进行消费记录的录入。</w:t>
            </w:r>
            <w:r>
              <w:rPr>
                <w:rFonts w:hint="eastAsia" w:ascii="宋体" w:hAnsi="宋体" w:cs="宋体"/>
                <w:kern w:val="0"/>
                <w:sz w:val="18"/>
                <w:szCs w:val="18"/>
              </w:rPr>
              <w:br w:type="textWrapping"/>
            </w:r>
            <w:r>
              <w:rPr>
                <w:rFonts w:hint="eastAsia" w:ascii="宋体" w:hAnsi="宋体" w:cs="宋体"/>
                <w:kern w:val="0"/>
                <w:sz w:val="18"/>
                <w:szCs w:val="18"/>
              </w:rPr>
              <w:t>4.2 权益与客户管理</w:t>
            </w:r>
            <w:r>
              <w:rPr>
                <w:rFonts w:hint="eastAsia" w:ascii="宋体" w:hAnsi="宋体" w:cs="宋体"/>
                <w:kern w:val="0"/>
                <w:sz w:val="18"/>
                <w:szCs w:val="18"/>
              </w:rPr>
              <w:br w:type="textWrapping"/>
            </w:r>
            <w:r>
              <w:rPr>
                <w:rFonts w:hint="eastAsia" w:ascii="宋体" w:hAnsi="宋体" w:cs="宋体"/>
                <w:kern w:val="0"/>
                <w:sz w:val="18"/>
                <w:szCs w:val="18"/>
              </w:rPr>
              <w:t>4.2.1 权益使用</w:t>
            </w:r>
            <w:r>
              <w:rPr>
                <w:rFonts w:hint="eastAsia" w:ascii="宋体" w:hAnsi="宋体" w:cs="宋体"/>
                <w:kern w:val="0"/>
                <w:sz w:val="18"/>
                <w:szCs w:val="18"/>
              </w:rPr>
              <w:br w:type="textWrapping"/>
            </w:r>
            <w:r>
              <w:rPr>
                <w:rFonts w:hint="eastAsia" w:ascii="宋体" w:hAnsi="宋体" w:cs="宋体"/>
                <w:kern w:val="0"/>
                <w:sz w:val="18"/>
                <w:szCs w:val="18"/>
              </w:rPr>
              <w:t>4.2.1.1 支持查询权益核销记录、查看核销列表及具体权益信息。</w:t>
            </w:r>
            <w:r>
              <w:rPr>
                <w:rFonts w:hint="eastAsia" w:ascii="宋体" w:hAnsi="宋体" w:cs="宋体"/>
                <w:kern w:val="0"/>
                <w:sz w:val="18"/>
                <w:szCs w:val="18"/>
              </w:rPr>
              <w:br w:type="textWrapping"/>
            </w:r>
            <w:r>
              <w:rPr>
                <w:rFonts w:hint="eastAsia" w:ascii="宋体" w:hAnsi="宋体" w:cs="宋体"/>
                <w:kern w:val="0"/>
                <w:sz w:val="18"/>
                <w:szCs w:val="18"/>
              </w:rPr>
              <w:t>4.2.1.2 支持撤销权益核销。</w:t>
            </w:r>
            <w:r>
              <w:rPr>
                <w:rFonts w:hint="eastAsia" w:ascii="宋体" w:hAnsi="宋体" w:cs="宋体"/>
                <w:kern w:val="0"/>
                <w:sz w:val="18"/>
                <w:szCs w:val="18"/>
              </w:rPr>
              <w:br w:type="textWrapping"/>
            </w:r>
            <w:r>
              <w:rPr>
                <w:rFonts w:hint="eastAsia" w:ascii="宋体" w:hAnsi="宋体" w:cs="宋体"/>
                <w:kern w:val="0"/>
                <w:sz w:val="18"/>
                <w:szCs w:val="18"/>
              </w:rPr>
              <w:t>4.2.2 客户池与警告</w:t>
            </w:r>
            <w:r>
              <w:rPr>
                <w:rFonts w:hint="eastAsia" w:ascii="宋体" w:hAnsi="宋体" w:cs="宋体"/>
                <w:kern w:val="0"/>
                <w:sz w:val="18"/>
                <w:szCs w:val="18"/>
              </w:rPr>
              <w:br w:type="textWrapping"/>
            </w:r>
            <w:r>
              <w:rPr>
                <w:rFonts w:hint="eastAsia" w:ascii="宋体" w:hAnsi="宋体" w:cs="宋体"/>
                <w:kern w:val="0"/>
                <w:sz w:val="18"/>
                <w:szCs w:val="18"/>
              </w:rPr>
              <w:t>4.2.2.1 客户池：查看集团/门店的所有客户数据。</w:t>
            </w:r>
            <w:r>
              <w:rPr>
                <w:rFonts w:hint="eastAsia" w:ascii="宋体" w:hAnsi="宋体" w:cs="宋体"/>
                <w:kern w:val="0"/>
                <w:sz w:val="18"/>
                <w:szCs w:val="18"/>
              </w:rPr>
              <w:br w:type="textWrapping"/>
            </w:r>
            <w:r>
              <w:rPr>
                <w:rFonts w:hint="eastAsia" w:ascii="宋体" w:hAnsi="宋体" w:cs="宋体"/>
                <w:kern w:val="0"/>
                <w:sz w:val="18"/>
                <w:szCs w:val="18"/>
              </w:rPr>
              <w:t>4.2.2.2 流失警告：用于开通企业微信的集团，当用户删除员工企业微信时进行警告。</w:t>
            </w:r>
            <w:r>
              <w:rPr>
                <w:rFonts w:hint="eastAsia" w:ascii="宋体" w:hAnsi="宋体" w:cs="宋体"/>
                <w:kern w:val="0"/>
                <w:sz w:val="18"/>
                <w:szCs w:val="18"/>
              </w:rPr>
              <w:br w:type="textWrapping"/>
            </w:r>
            <w:r>
              <w:rPr>
                <w:rFonts w:hint="eastAsia" w:ascii="宋体" w:hAnsi="宋体" w:cs="宋体"/>
                <w:kern w:val="0"/>
                <w:sz w:val="18"/>
                <w:szCs w:val="18"/>
              </w:rPr>
              <w:t>4.2.2.3 删除客户警告：当员工删除用户微信时进行警告。</w:t>
            </w:r>
            <w:r>
              <w:rPr>
                <w:rFonts w:hint="eastAsia" w:ascii="宋体" w:hAnsi="宋体" w:cs="宋体"/>
                <w:kern w:val="0"/>
                <w:sz w:val="18"/>
                <w:szCs w:val="18"/>
              </w:rPr>
              <w:br w:type="textWrapping"/>
            </w:r>
            <w:r>
              <w:rPr>
                <w:rFonts w:hint="eastAsia" w:ascii="宋体" w:hAnsi="宋体" w:cs="宋体"/>
                <w:kern w:val="0"/>
                <w:sz w:val="18"/>
                <w:szCs w:val="18"/>
              </w:rPr>
              <w:t>4.2.3 客户业绩</w:t>
            </w:r>
            <w:r>
              <w:rPr>
                <w:rFonts w:hint="eastAsia" w:ascii="宋体" w:hAnsi="宋体" w:cs="宋体"/>
                <w:kern w:val="0"/>
                <w:sz w:val="18"/>
                <w:szCs w:val="18"/>
              </w:rPr>
              <w:br w:type="textWrapping"/>
            </w:r>
            <w:r>
              <w:rPr>
                <w:rFonts w:hint="eastAsia" w:ascii="宋体" w:hAnsi="宋体" w:cs="宋体"/>
                <w:kern w:val="0"/>
                <w:sz w:val="18"/>
                <w:szCs w:val="18"/>
              </w:rPr>
              <w:t>4.2.3.1 支持查询会员实际入住产生的记录。</w:t>
            </w:r>
            <w:r>
              <w:rPr>
                <w:rFonts w:hint="eastAsia" w:ascii="宋体" w:hAnsi="宋体" w:cs="宋体"/>
                <w:kern w:val="0"/>
                <w:sz w:val="18"/>
                <w:szCs w:val="18"/>
              </w:rPr>
              <w:br w:type="textWrapping"/>
            </w:r>
            <w:r>
              <w:rPr>
                <w:rFonts w:hint="eastAsia" w:ascii="宋体" w:hAnsi="宋体" w:cs="宋体"/>
                <w:kern w:val="0"/>
                <w:sz w:val="18"/>
                <w:szCs w:val="18"/>
              </w:rPr>
              <w:t>4.2.3.2 支持通过[录入]按钮填写入住会员卡号、代订人等信息生成业绩记录，若符合积分规则，会自动生成积分。</w:t>
            </w:r>
            <w:r>
              <w:rPr>
                <w:rFonts w:hint="eastAsia" w:ascii="宋体" w:hAnsi="宋体" w:cs="宋体"/>
                <w:kern w:val="0"/>
                <w:sz w:val="18"/>
                <w:szCs w:val="18"/>
              </w:rPr>
              <w:br w:type="textWrapping"/>
            </w:r>
            <w:r>
              <w:rPr>
                <w:rFonts w:hint="eastAsia" w:ascii="宋体" w:hAnsi="宋体" w:cs="宋体"/>
                <w:kern w:val="0"/>
                <w:sz w:val="18"/>
                <w:szCs w:val="18"/>
              </w:rPr>
              <w:t>4.3 黑名单与数据审核</w:t>
            </w:r>
            <w:r>
              <w:rPr>
                <w:rFonts w:hint="eastAsia" w:ascii="宋体" w:hAnsi="宋体" w:cs="宋体"/>
                <w:kern w:val="0"/>
                <w:sz w:val="18"/>
                <w:szCs w:val="18"/>
              </w:rPr>
              <w:br w:type="textWrapping"/>
            </w:r>
            <w:r>
              <w:rPr>
                <w:rFonts w:hint="eastAsia" w:ascii="宋体" w:hAnsi="宋体" w:cs="宋体"/>
                <w:kern w:val="0"/>
                <w:sz w:val="18"/>
                <w:szCs w:val="18"/>
              </w:rPr>
              <w:t>4.3.1 宾客黑名单</w:t>
            </w:r>
            <w:r>
              <w:rPr>
                <w:rFonts w:hint="eastAsia" w:ascii="宋体" w:hAnsi="宋体" w:cs="宋体"/>
                <w:kern w:val="0"/>
                <w:sz w:val="18"/>
                <w:szCs w:val="18"/>
              </w:rPr>
              <w:br w:type="textWrapping"/>
            </w:r>
            <w:r>
              <w:rPr>
                <w:rFonts w:hint="eastAsia" w:ascii="宋体" w:hAnsi="宋体" w:cs="宋体"/>
                <w:kern w:val="0"/>
                <w:sz w:val="18"/>
                <w:szCs w:val="18"/>
              </w:rPr>
              <w:t>4.3.1.1 支持新建（拉入黑名单）、修改、移除操作。</w:t>
            </w:r>
            <w:r>
              <w:rPr>
                <w:rFonts w:hint="eastAsia" w:ascii="宋体" w:hAnsi="宋体" w:cs="宋体"/>
                <w:kern w:val="0"/>
                <w:sz w:val="18"/>
                <w:szCs w:val="18"/>
              </w:rPr>
              <w:br w:type="textWrapping"/>
            </w:r>
            <w:r>
              <w:rPr>
                <w:rFonts w:hint="eastAsia" w:ascii="宋体" w:hAnsi="宋体" w:cs="宋体"/>
                <w:kern w:val="0"/>
                <w:sz w:val="18"/>
                <w:szCs w:val="18"/>
              </w:rPr>
              <w:t>4.3.2 人脸审核</w:t>
            </w:r>
            <w:r>
              <w:rPr>
                <w:rFonts w:hint="eastAsia" w:ascii="宋体" w:hAnsi="宋体" w:cs="宋体"/>
                <w:kern w:val="0"/>
                <w:sz w:val="18"/>
                <w:szCs w:val="18"/>
              </w:rPr>
              <w:br w:type="textWrapping"/>
            </w:r>
            <w:r>
              <w:rPr>
                <w:rFonts w:hint="eastAsia" w:ascii="宋体" w:hAnsi="宋体" w:cs="宋体"/>
                <w:kern w:val="0"/>
                <w:sz w:val="18"/>
                <w:szCs w:val="18"/>
              </w:rPr>
              <w:t>4.3.2.1 审核C端上传的人脸数据，审核通过后给到GC平台，由GC平台下发至票务系统。</w:t>
            </w:r>
            <w:r>
              <w:rPr>
                <w:rFonts w:hint="eastAsia" w:ascii="宋体" w:hAnsi="宋体" w:cs="宋体"/>
                <w:kern w:val="0"/>
                <w:sz w:val="18"/>
                <w:szCs w:val="18"/>
              </w:rPr>
              <w:br w:type="textWrapping"/>
            </w:r>
            <w:r>
              <w:rPr>
                <w:rFonts w:hint="eastAsia" w:ascii="宋体" w:hAnsi="宋体" w:cs="宋体"/>
                <w:kern w:val="0"/>
                <w:sz w:val="18"/>
                <w:szCs w:val="18"/>
              </w:rPr>
              <w:t>4.3.3 标签清洗</w:t>
            </w:r>
            <w:r>
              <w:rPr>
                <w:rFonts w:hint="eastAsia" w:ascii="宋体" w:hAnsi="宋体" w:cs="宋体"/>
                <w:kern w:val="0"/>
                <w:sz w:val="18"/>
                <w:szCs w:val="18"/>
              </w:rPr>
              <w:br w:type="textWrapping"/>
            </w:r>
            <w:r>
              <w:rPr>
                <w:rFonts w:hint="eastAsia" w:ascii="宋体" w:hAnsi="宋体" w:cs="宋体"/>
                <w:kern w:val="0"/>
                <w:sz w:val="18"/>
                <w:szCs w:val="18"/>
              </w:rPr>
              <w:t>4.3.3.1 将添加频率高、自定义标签描述接近的标签整合沉淀为标准标签。</w:t>
            </w:r>
            <w:r>
              <w:rPr>
                <w:rFonts w:hint="eastAsia" w:ascii="宋体" w:hAnsi="宋体" w:cs="宋体"/>
                <w:kern w:val="0"/>
                <w:sz w:val="18"/>
                <w:szCs w:val="18"/>
              </w:rPr>
              <w:br w:type="textWrapping"/>
            </w:r>
            <w:r>
              <w:rPr>
                <w:rFonts w:hint="eastAsia" w:ascii="宋体" w:hAnsi="宋体" w:cs="宋体"/>
                <w:kern w:val="0"/>
                <w:sz w:val="18"/>
                <w:szCs w:val="18"/>
              </w:rPr>
              <w:t>5. 单位与系统基础配置</w:t>
            </w:r>
            <w:r>
              <w:rPr>
                <w:rFonts w:hint="eastAsia" w:ascii="宋体" w:hAnsi="宋体" w:cs="宋体"/>
                <w:kern w:val="0"/>
                <w:sz w:val="18"/>
                <w:szCs w:val="18"/>
              </w:rPr>
              <w:br w:type="textWrapping"/>
            </w:r>
            <w:r>
              <w:rPr>
                <w:rFonts w:hint="eastAsia" w:ascii="宋体" w:hAnsi="宋体" w:cs="宋体"/>
                <w:kern w:val="0"/>
                <w:sz w:val="18"/>
                <w:szCs w:val="18"/>
              </w:rPr>
              <w:t>需提供集团、门店、品牌及业态的全维度配置能力。</w:t>
            </w:r>
            <w:r>
              <w:rPr>
                <w:rFonts w:hint="eastAsia" w:ascii="宋体" w:hAnsi="宋体" w:cs="宋体"/>
                <w:kern w:val="0"/>
                <w:sz w:val="18"/>
                <w:szCs w:val="18"/>
              </w:rPr>
              <w:br w:type="textWrapping"/>
            </w:r>
            <w:r>
              <w:rPr>
                <w:rFonts w:hint="eastAsia" w:ascii="宋体" w:hAnsi="宋体" w:cs="宋体"/>
                <w:kern w:val="0"/>
                <w:sz w:val="18"/>
                <w:szCs w:val="18"/>
              </w:rPr>
              <w:t>5.1 单位管理</w:t>
            </w:r>
            <w:r>
              <w:rPr>
                <w:rFonts w:hint="eastAsia" w:ascii="宋体" w:hAnsi="宋体" w:cs="宋体"/>
                <w:kern w:val="0"/>
                <w:sz w:val="18"/>
                <w:szCs w:val="18"/>
              </w:rPr>
              <w:br w:type="textWrapping"/>
            </w:r>
            <w:r>
              <w:rPr>
                <w:rFonts w:hint="eastAsia" w:ascii="宋体" w:hAnsi="宋体" w:cs="宋体"/>
                <w:kern w:val="0"/>
                <w:sz w:val="18"/>
                <w:szCs w:val="18"/>
              </w:rPr>
              <w:t>5.1.1 集团与门店</w:t>
            </w:r>
            <w:r>
              <w:rPr>
                <w:rFonts w:hint="eastAsia" w:ascii="宋体" w:hAnsi="宋体" w:cs="宋体"/>
                <w:kern w:val="0"/>
                <w:sz w:val="18"/>
                <w:szCs w:val="18"/>
              </w:rPr>
              <w:br w:type="textWrapping"/>
            </w:r>
            <w:r>
              <w:rPr>
                <w:rFonts w:hint="eastAsia" w:ascii="宋体" w:hAnsi="宋体" w:cs="宋体"/>
                <w:kern w:val="0"/>
                <w:sz w:val="18"/>
                <w:szCs w:val="18"/>
              </w:rPr>
              <w:t>5.1.1.1 集团管理：支持查询、新建、修改、删除、同步集团配置；支持配置大会员配套服务的路由地址。</w:t>
            </w:r>
            <w:r>
              <w:rPr>
                <w:rFonts w:hint="eastAsia" w:ascii="宋体" w:hAnsi="宋体" w:cs="宋体"/>
                <w:kern w:val="0"/>
                <w:sz w:val="18"/>
                <w:szCs w:val="18"/>
              </w:rPr>
              <w:br w:type="textWrapping"/>
            </w:r>
            <w:r>
              <w:rPr>
                <w:rFonts w:hint="eastAsia" w:ascii="宋体" w:hAnsi="宋体" w:cs="宋体"/>
                <w:kern w:val="0"/>
                <w:sz w:val="18"/>
                <w:szCs w:val="18"/>
              </w:rPr>
              <w:t>5.1.1.2 门店管理：集团账号可管理所有门店，门店账户仅允许修改本门店信息；支持从配套系统同步信息及配置路由地址。</w:t>
            </w:r>
            <w:r>
              <w:rPr>
                <w:rFonts w:hint="eastAsia" w:ascii="宋体" w:hAnsi="宋体" w:cs="宋体"/>
                <w:kern w:val="0"/>
                <w:sz w:val="18"/>
                <w:szCs w:val="18"/>
              </w:rPr>
              <w:br w:type="textWrapping"/>
            </w:r>
            <w:r>
              <w:rPr>
                <w:rFonts w:hint="eastAsia" w:ascii="宋体" w:hAnsi="宋体" w:cs="宋体"/>
                <w:kern w:val="0"/>
                <w:sz w:val="18"/>
                <w:szCs w:val="18"/>
              </w:rPr>
              <w:t>5.1.2 品牌与业态</w:t>
            </w:r>
            <w:r>
              <w:rPr>
                <w:rFonts w:hint="eastAsia" w:ascii="宋体" w:hAnsi="宋体" w:cs="宋体"/>
                <w:kern w:val="0"/>
                <w:sz w:val="18"/>
                <w:szCs w:val="18"/>
              </w:rPr>
              <w:br w:type="textWrapping"/>
            </w:r>
            <w:r>
              <w:rPr>
                <w:rFonts w:hint="eastAsia" w:ascii="宋体" w:hAnsi="宋体" w:cs="宋体"/>
                <w:kern w:val="0"/>
                <w:sz w:val="18"/>
                <w:szCs w:val="18"/>
              </w:rPr>
              <w:t>5.1.2.1 品牌管理：支持查询、修改、新建、同步、删除品牌配置。</w:t>
            </w:r>
            <w:r>
              <w:rPr>
                <w:rFonts w:hint="eastAsia" w:ascii="宋体" w:hAnsi="宋体" w:cs="宋体"/>
                <w:kern w:val="0"/>
                <w:sz w:val="18"/>
                <w:szCs w:val="18"/>
              </w:rPr>
              <w:br w:type="textWrapping"/>
            </w:r>
            <w:r>
              <w:rPr>
                <w:rFonts w:hint="eastAsia" w:ascii="宋体" w:hAnsi="宋体" w:cs="宋体"/>
                <w:kern w:val="0"/>
                <w:sz w:val="18"/>
                <w:szCs w:val="18"/>
              </w:rPr>
              <w:t>5.1.2.2 业态管理：支持根据名称、代码、类型等条件进行查询、新建、修改、删除。</w:t>
            </w:r>
            <w:r>
              <w:rPr>
                <w:rFonts w:hint="eastAsia" w:ascii="宋体" w:hAnsi="宋体" w:cs="宋体"/>
                <w:kern w:val="0"/>
                <w:sz w:val="18"/>
                <w:szCs w:val="18"/>
              </w:rPr>
              <w:br w:type="textWrapping"/>
            </w:r>
            <w:r>
              <w:rPr>
                <w:rFonts w:hint="eastAsia" w:ascii="宋体" w:hAnsi="宋体" w:cs="宋体"/>
                <w:kern w:val="0"/>
                <w:sz w:val="18"/>
                <w:szCs w:val="18"/>
              </w:rPr>
              <w:t>5.1.2.3 交易场所：支持查询、修改、新建、同步、删除场所配置。</w:t>
            </w:r>
            <w:r>
              <w:rPr>
                <w:rFonts w:hint="eastAsia" w:ascii="宋体" w:hAnsi="宋体" w:cs="宋体"/>
                <w:kern w:val="0"/>
                <w:sz w:val="18"/>
                <w:szCs w:val="18"/>
              </w:rPr>
              <w:br w:type="textWrapping"/>
            </w:r>
            <w:r>
              <w:rPr>
                <w:rFonts w:hint="eastAsia" w:ascii="宋体" w:hAnsi="宋体" w:cs="宋体"/>
                <w:kern w:val="0"/>
                <w:sz w:val="18"/>
                <w:szCs w:val="18"/>
              </w:rPr>
              <w:t>6. 营销与数据中心系统</w:t>
            </w:r>
            <w:r>
              <w:rPr>
                <w:rFonts w:hint="eastAsia" w:ascii="宋体" w:hAnsi="宋体" w:cs="宋体"/>
                <w:kern w:val="0"/>
                <w:sz w:val="18"/>
                <w:szCs w:val="18"/>
              </w:rPr>
              <w:br w:type="textWrapping"/>
            </w:r>
            <w:r>
              <w:rPr>
                <w:rFonts w:hint="eastAsia" w:ascii="宋体" w:hAnsi="宋体" w:cs="宋体"/>
                <w:kern w:val="0"/>
                <w:sz w:val="18"/>
                <w:szCs w:val="18"/>
              </w:rPr>
              <w:t>需提供舆评管理、标签运算、精准营销及丰富的报表体系。</w:t>
            </w:r>
            <w:r>
              <w:rPr>
                <w:rFonts w:hint="eastAsia" w:ascii="宋体" w:hAnsi="宋体" w:cs="宋体"/>
                <w:kern w:val="0"/>
                <w:sz w:val="18"/>
                <w:szCs w:val="18"/>
              </w:rPr>
              <w:br w:type="textWrapping"/>
            </w:r>
            <w:r>
              <w:rPr>
                <w:rFonts w:hint="eastAsia" w:ascii="宋体" w:hAnsi="宋体" w:cs="宋体"/>
                <w:kern w:val="0"/>
                <w:sz w:val="18"/>
                <w:szCs w:val="18"/>
              </w:rPr>
              <w:t>6.1 舆评与标签管理</w:t>
            </w:r>
            <w:r>
              <w:rPr>
                <w:rFonts w:hint="eastAsia" w:ascii="宋体" w:hAnsi="宋体" w:cs="宋体"/>
                <w:kern w:val="0"/>
                <w:sz w:val="18"/>
                <w:szCs w:val="18"/>
              </w:rPr>
              <w:br w:type="textWrapping"/>
            </w:r>
            <w:r>
              <w:rPr>
                <w:rFonts w:hint="eastAsia" w:ascii="宋体" w:hAnsi="宋体" w:cs="宋体"/>
                <w:kern w:val="0"/>
                <w:sz w:val="18"/>
                <w:szCs w:val="18"/>
              </w:rPr>
              <w:t>6.1.1 舆评管理</w:t>
            </w:r>
            <w:r>
              <w:rPr>
                <w:rFonts w:hint="eastAsia" w:ascii="宋体" w:hAnsi="宋体" w:cs="宋体"/>
                <w:kern w:val="0"/>
                <w:sz w:val="18"/>
                <w:szCs w:val="18"/>
              </w:rPr>
              <w:br w:type="textWrapping"/>
            </w:r>
            <w:r>
              <w:rPr>
                <w:rFonts w:hint="eastAsia" w:ascii="宋体" w:hAnsi="宋体" w:cs="宋体"/>
                <w:kern w:val="0"/>
                <w:sz w:val="18"/>
                <w:szCs w:val="18"/>
              </w:rPr>
              <w:t>6.1.1.1 投诉与建议：管理会员反馈意见及处理过程。</w:t>
            </w:r>
            <w:r>
              <w:rPr>
                <w:rFonts w:hint="eastAsia" w:ascii="宋体" w:hAnsi="宋体" w:cs="宋体"/>
                <w:kern w:val="0"/>
                <w:sz w:val="18"/>
                <w:szCs w:val="18"/>
              </w:rPr>
              <w:br w:type="textWrapping"/>
            </w:r>
            <w:r>
              <w:rPr>
                <w:rFonts w:hint="eastAsia" w:ascii="宋体" w:hAnsi="宋体" w:cs="宋体"/>
                <w:kern w:val="0"/>
                <w:sz w:val="18"/>
                <w:szCs w:val="18"/>
              </w:rPr>
              <w:t>6.1.1.2 点评中心：支持对评分进行美化、查看评价信息（统计平均评分）、审核点评、置顶点评。</w:t>
            </w:r>
            <w:r>
              <w:rPr>
                <w:rFonts w:hint="eastAsia" w:ascii="宋体" w:hAnsi="宋体" w:cs="宋体"/>
                <w:kern w:val="0"/>
                <w:sz w:val="18"/>
                <w:szCs w:val="18"/>
              </w:rPr>
              <w:br w:type="textWrapping"/>
            </w:r>
            <w:r>
              <w:rPr>
                <w:rFonts w:hint="eastAsia" w:ascii="宋体" w:hAnsi="宋体" w:cs="宋体"/>
                <w:kern w:val="0"/>
                <w:sz w:val="18"/>
                <w:szCs w:val="18"/>
              </w:rPr>
              <w:t>6.1.1.3 配置管理：配置点评项目、点评术语、敏感词管理（配置后用户不可填写）。</w:t>
            </w:r>
            <w:r>
              <w:rPr>
                <w:rFonts w:hint="eastAsia" w:ascii="宋体" w:hAnsi="宋体" w:cs="宋体"/>
                <w:kern w:val="0"/>
                <w:sz w:val="18"/>
                <w:szCs w:val="18"/>
              </w:rPr>
              <w:br w:type="textWrapping"/>
            </w:r>
            <w:r>
              <w:rPr>
                <w:rFonts w:hint="eastAsia" w:ascii="宋体" w:hAnsi="宋体" w:cs="宋体"/>
                <w:kern w:val="0"/>
                <w:sz w:val="18"/>
                <w:szCs w:val="18"/>
              </w:rPr>
              <w:t>6.1.2 标签运算</w:t>
            </w:r>
            <w:r>
              <w:rPr>
                <w:rFonts w:hint="eastAsia" w:ascii="宋体" w:hAnsi="宋体" w:cs="宋体"/>
                <w:kern w:val="0"/>
                <w:sz w:val="18"/>
                <w:szCs w:val="18"/>
              </w:rPr>
              <w:br w:type="textWrapping"/>
            </w:r>
            <w:r>
              <w:rPr>
                <w:rFonts w:hint="eastAsia" w:ascii="宋体" w:hAnsi="宋体" w:cs="宋体"/>
                <w:kern w:val="0"/>
                <w:sz w:val="18"/>
                <w:szCs w:val="18"/>
              </w:rPr>
              <w:t>6.1.2.1 人群圈选：支持根据会员信息（性别、地域等）和行为（消费、充值、积分）圈选出对应人群并打标签。</w:t>
            </w:r>
            <w:r>
              <w:rPr>
                <w:rFonts w:hint="eastAsia" w:ascii="宋体" w:hAnsi="宋体" w:cs="宋体"/>
                <w:kern w:val="0"/>
                <w:sz w:val="18"/>
                <w:szCs w:val="18"/>
              </w:rPr>
              <w:br w:type="textWrapping"/>
            </w:r>
            <w:r>
              <w:rPr>
                <w:rFonts w:hint="eastAsia" w:ascii="宋体" w:hAnsi="宋体" w:cs="宋体"/>
                <w:kern w:val="0"/>
                <w:sz w:val="18"/>
                <w:szCs w:val="18"/>
              </w:rPr>
              <w:t>6.1.2.2 客群管理：支持系统级标签，自动刻画会员客群。</w:t>
            </w:r>
            <w:r>
              <w:rPr>
                <w:rFonts w:hint="eastAsia" w:ascii="宋体" w:hAnsi="宋体" w:cs="宋体"/>
                <w:kern w:val="0"/>
                <w:sz w:val="18"/>
                <w:szCs w:val="18"/>
              </w:rPr>
              <w:br w:type="textWrapping"/>
            </w:r>
            <w:r>
              <w:rPr>
                <w:rFonts w:hint="eastAsia" w:ascii="宋体" w:hAnsi="宋体" w:cs="宋体"/>
                <w:kern w:val="0"/>
                <w:sz w:val="18"/>
                <w:szCs w:val="18"/>
              </w:rPr>
              <w:t>6.1.2.3 标签管理：配置标签、新建权限组、关联UC账号与标签权限。</w:t>
            </w:r>
            <w:r>
              <w:rPr>
                <w:rFonts w:hint="eastAsia" w:ascii="宋体" w:hAnsi="宋体" w:cs="宋体"/>
                <w:kern w:val="0"/>
                <w:sz w:val="18"/>
                <w:szCs w:val="18"/>
              </w:rPr>
              <w:br w:type="textWrapping"/>
            </w:r>
            <w:r>
              <w:rPr>
                <w:rFonts w:hint="eastAsia" w:ascii="宋体" w:hAnsi="宋体" w:cs="宋体"/>
                <w:kern w:val="0"/>
                <w:sz w:val="18"/>
                <w:szCs w:val="18"/>
              </w:rPr>
              <w:t>6.2 精准营销</w:t>
            </w:r>
            <w:r>
              <w:rPr>
                <w:rFonts w:hint="eastAsia" w:ascii="宋体" w:hAnsi="宋体" w:cs="宋体"/>
                <w:kern w:val="0"/>
                <w:sz w:val="18"/>
                <w:szCs w:val="18"/>
              </w:rPr>
              <w:br w:type="textWrapping"/>
            </w:r>
            <w:r>
              <w:rPr>
                <w:rFonts w:hint="eastAsia" w:ascii="宋体" w:hAnsi="宋体" w:cs="宋体"/>
                <w:kern w:val="0"/>
                <w:sz w:val="18"/>
                <w:szCs w:val="18"/>
              </w:rPr>
              <w:t>6.2.1 营销执行</w:t>
            </w:r>
            <w:r>
              <w:rPr>
                <w:rFonts w:hint="eastAsia" w:ascii="宋体" w:hAnsi="宋体" w:cs="宋体"/>
                <w:kern w:val="0"/>
                <w:sz w:val="18"/>
                <w:szCs w:val="18"/>
              </w:rPr>
              <w:br w:type="textWrapping"/>
            </w:r>
            <w:r>
              <w:rPr>
                <w:rFonts w:hint="eastAsia" w:ascii="宋体" w:hAnsi="宋体" w:cs="宋体"/>
                <w:kern w:val="0"/>
                <w:sz w:val="18"/>
                <w:szCs w:val="18"/>
              </w:rPr>
              <w:t>6.2.1.1 营销模板：配置短信、邮件、微信、积分、电子券等消息模板。</w:t>
            </w:r>
            <w:r>
              <w:rPr>
                <w:rFonts w:hint="eastAsia" w:ascii="宋体" w:hAnsi="宋体" w:cs="宋体"/>
                <w:kern w:val="0"/>
                <w:sz w:val="18"/>
                <w:szCs w:val="18"/>
              </w:rPr>
              <w:br w:type="textWrapping"/>
            </w:r>
            <w:r>
              <w:rPr>
                <w:rFonts w:hint="eastAsia" w:ascii="宋体" w:hAnsi="宋体" w:cs="宋体"/>
                <w:kern w:val="0"/>
                <w:sz w:val="18"/>
                <w:szCs w:val="18"/>
              </w:rPr>
              <w:t>6.2.1.2 营销事件：在指定时间对圈选人群发放营销内容（短信、券、积分等）。</w:t>
            </w:r>
            <w:r>
              <w:rPr>
                <w:rFonts w:hint="eastAsia" w:ascii="宋体" w:hAnsi="宋体" w:cs="宋体"/>
                <w:kern w:val="0"/>
                <w:sz w:val="18"/>
                <w:szCs w:val="18"/>
              </w:rPr>
              <w:br w:type="textWrapping"/>
            </w:r>
            <w:r>
              <w:rPr>
                <w:rFonts w:hint="eastAsia" w:ascii="宋体" w:hAnsi="宋体" w:cs="宋体"/>
                <w:kern w:val="0"/>
                <w:sz w:val="18"/>
                <w:szCs w:val="18"/>
              </w:rPr>
              <w:t>6.2.1.3 消息管理：管理消息记录、触点（短信/微信/邮件触点配置）、促销管理（嵌入业务点进行储值/积分/券奖励）。</w:t>
            </w:r>
            <w:r>
              <w:rPr>
                <w:rFonts w:hint="eastAsia" w:ascii="宋体" w:hAnsi="宋体" w:cs="宋体"/>
                <w:kern w:val="0"/>
                <w:sz w:val="18"/>
                <w:szCs w:val="18"/>
              </w:rPr>
              <w:br w:type="textWrapping"/>
            </w:r>
            <w:r>
              <w:rPr>
                <w:rFonts w:hint="eastAsia" w:ascii="宋体" w:hAnsi="宋体" w:cs="宋体"/>
                <w:kern w:val="0"/>
                <w:sz w:val="18"/>
                <w:szCs w:val="18"/>
              </w:rPr>
              <w:t>6.2.1.4 任务管理：配置会员完成任务时的奖励发放。</w:t>
            </w:r>
            <w:r>
              <w:rPr>
                <w:rFonts w:hint="eastAsia" w:ascii="宋体" w:hAnsi="宋体" w:cs="宋体"/>
                <w:kern w:val="0"/>
                <w:sz w:val="18"/>
                <w:szCs w:val="18"/>
              </w:rPr>
              <w:br w:type="textWrapping"/>
            </w:r>
            <w:r>
              <w:rPr>
                <w:rFonts w:hint="eastAsia" w:ascii="宋体" w:hAnsi="宋体" w:cs="宋体"/>
                <w:kern w:val="0"/>
                <w:sz w:val="18"/>
                <w:szCs w:val="18"/>
              </w:rPr>
              <w:t>6.3 会员画像</w:t>
            </w:r>
            <w:r>
              <w:rPr>
                <w:rFonts w:hint="eastAsia" w:ascii="宋体" w:hAnsi="宋体" w:cs="宋体"/>
                <w:kern w:val="0"/>
                <w:sz w:val="18"/>
                <w:szCs w:val="18"/>
              </w:rPr>
              <w:br w:type="textWrapping"/>
            </w:r>
            <w:r>
              <w:rPr>
                <w:rFonts w:hint="eastAsia" w:ascii="宋体" w:hAnsi="宋体" w:cs="宋体"/>
                <w:kern w:val="0"/>
                <w:sz w:val="18"/>
                <w:szCs w:val="18"/>
              </w:rPr>
              <w:t>6.3.1 多维画像</w:t>
            </w:r>
            <w:r>
              <w:rPr>
                <w:rFonts w:hint="eastAsia" w:ascii="宋体" w:hAnsi="宋体" w:cs="宋体"/>
                <w:kern w:val="0"/>
                <w:sz w:val="18"/>
                <w:szCs w:val="18"/>
              </w:rPr>
              <w:br w:type="textWrapping"/>
            </w:r>
            <w:r>
              <w:rPr>
                <w:rFonts w:hint="eastAsia" w:ascii="宋体" w:hAnsi="宋体" w:cs="宋体"/>
                <w:kern w:val="0"/>
                <w:sz w:val="18"/>
                <w:szCs w:val="18"/>
              </w:rPr>
              <w:t>6.3.1.1 会员卡画像：根据卡状态与卡来源统计。</w:t>
            </w:r>
            <w:r>
              <w:rPr>
                <w:rFonts w:hint="eastAsia" w:ascii="宋体" w:hAnsi="宋体" w:cs="宋体"/>
                <w:kern w:val="0"/>
                <w:sz w:val="18"/>
                <w:szCs w:val="18"/>
              </w:rPr>
              <w:br w:type="textWrapping"/>
            </w:r>
            <w:r>
              <w:rPr>
                <w:rFonts w:hint="eastAsia" w:ascii="宋体" w:hAnsi="宋体" w:cs="宋体"/>
                <w:kern w:val="0"/>
                <w:sz w:val="18"/>
                <w:szCs w:val="18"/>
              </w:rPr>
              <w:t>6.3.1.2 会员信息画像：根据性别、婚姻状态、年龄、生日统计。</w:t>
            </w:r>
            <w:r>
              <w:rPr>
                <w:rFonts w:hint="eastAsia" w:ascii="宋体" w:hAnsi="宋体" w:cs="宋体"/>
                <w:kern w:val="0"/>
                <w:sz w:val="18"/>
                <w:szCs w:val="18"/>
              </w:rPr>
              <w:br w:type="textWrapping"/>
            </w:r>
            <w:r>
              <w:rPr>
                <w:rFonts w:hint="eastAsia" w:ascii="宋体" w:hAnsi="宋体" w:cs="宋体"/>
                <w:kern w:val="0"/>
                <w:sz w:val="18"/>
                <w:szCs w:val="18"/>
              </w:rPr>
              <w:t>6.3.1.3 地域画像：按照证件号、手机号与注册门店归属地统计，颜色深浅展示数量。</w:t>
            </w:r>
            <w:r>
              <w:rPr>
                <w:rFonts w:hint="eastAsia" w:ascii="宋体" w:hAnsi="宋体" w:cs="宋体"/>
                <w:kern w:val="0"/>
                <w:sz w:val="18"/>
                <w:szCs w:val="18"/>
              </w:rPr>
              <w:br w:type="textWrapping"/>
            </w:r>
            <w:r>
              <w:rPr>
                <w:rFonts w:hint="eastAsia" w:ascii="宋体" w:hAnsi="宋体" w:cs="宋体"/>
                <w:kern w:val="0"/>
                <w:sz w:val="18"/>
                <w:szCs w:val="18"/>
              </w:rPr>
              <w:t>6.3.1.4 行为画像：提供会员卡数据与会员数据的分析画像。</w:t>
            </w:r>
            <w:r>
              <w:rPr>
                <w:rFonts w:hint="eastAsia" w:ascii="宋体" w:hAnsi="宋体" w:cs="宋体"/>
                <w:kern w:val="0"/>
                <w:sz w:val="18"/>
                <w:szCs w:val="18"/>
              </w:rPr>
              <w:br w:type="textWrapping"/>
            </w:r>
            <w:r>
              <w:rPr>
                <w:rFonts w:hint="eastAsia" w:ascii="宋体" w:hAnsi="宋体" w:cs="宋体"/>
                <w:kern w:val="0"/>
                <w:sz w:val="18"/>
                <w:szCs w:val="18"/>
              </w:rPr>
              <w:t>6.4 数据采集与报表</w:t>
            </w:r>
            <w:r>
              <w:rPr>
                <w:rFonts w:hint="eastAsia" w:ascii="宋体" w:hAnsi="宋体" w:cs="宋体"/>
                <w:kern w:val="0"/>
                <w:sz w:val="18"/>
                <w:szCs w:val="18"/>
              </w:rPr>
              <w:br w:type="textWrapping"/>
            </w:r>
            <w:r>
              <w:rPr>
                <w:rFonts w:hint="eastAsia" w:ascii="宋体" w:hAnsi="宋体" w:cs="宋体"/>
                <w:kern w:val="0"/>
                <w:sz w:val="18"/>
                <w:szCs w:val="18"/>
              </w:rPr>
              <w:t>6.4.1 数据采集</w:t>
            </w:r>
            <w:r>
              <w:rPr>
                <w:rFonts w:hint="eastAsia" w:ascii="宋体" w:hAnsi="宋体" w:cs="宋体"/>
                <w:kern w:val="0"/>
                <w:sz w:val="18"/>
                <w:szCs w:val="18"/>
              </w:rPr>
              <w:br w:type="textWrapping"/>
            </w:r>
            <w:r>
              <w:rPr>
                <w:rFonts w:hint="eastAsia" w:ascii="宋体" w:hAnsi="宋体" w:cs="宋体"/>
                <w:kern w:val="0"/>
                <w:sz w:val="18"/>
                <w:szCs w:val="18"/>
              </w:rPr>
              <w:t>6.4.1.1 收集并查询签到记录、抽奖记录、推荐记录、分享记录。</w:t>
            </w:r>
            <w:r>
              <w:rPr>
                <w:rFonts w:hint="eastAsia" w:ascii="宋体" w:hAnsi="宋体" w:cs="宋体"/>
                <w:kern w:val="0"/>
                <w:sz w:val="18"/>
                <w:szCs w:val="18"/>
              </w:rPr>
              <w:br w:type="textWrapping"/>
            </w:r>
            <w:r>
              <w:rPr>
                <w:rFonts w:hint="eastAsia" w:ascii="宋体" w:hAnsi="宋体" w:cs="宋体"/>
                <w:kern w:val="0"/>
                <w:sz w:val="18"/>
                <w:szCs w:val="18"/>
              </w:rPr>
              <w:t>6.4.2 数据中心</w:t>
            </w:r>
            <w:r>
              <w:rPr>
                <w:rFonts w:hint="eastAsia" w:ascii="宋体" w:hAnsi="宋体" w:cs="宋体"/>
                <w:kern w:val="0"/>
                <w:sz w:val="18"/>
                <w:szCs w:val="18"/>
              </w:rPr>
              <w:br w:type="textWrapping"/>
            </w:r>
            <w:r>
              <w:rPr>
                <w:rFonts w:hint="eastAsia" w:ascii="宋体" w:hAnsi="宋体" w:cs="宋体"/>
                <w:kern w:val="0"/>
                <w:sz w:val="18"/>
                <w:szCs w:val="18"/>
              </w:rPr>
              <w:t>6.4.2.1 提供会员类、储值类、积分类、营销类、档案类、电子券类、其他报表。</w:t>
            </w:r>
            <w:r>
              <w:rPr>
                <w:rFonts w:hint="eastAsia" w:ascii="宋体" w:hAnsi="宋体" w:cs="宋体"/>
                <w:kern w:val="0"/>
                <w:sz w:val="18"/>
                <w:szCs w:val="18"/>
              </w:rPr>
              <w:br w:type="textWrapping"/>
            </w:r>
            <w:r>
              <w:rPr>
                <w:rFonts w:hint="eastAsia" w:ascii="宋体" w:hAnsi="宋体" w:cs="宋体"/>
                <w:kern w:val="0"/>
                <w:sz w:val="18"/>
                <w:szCs w:val="18"/>
              </w:rPr>
              <w:t>7. 会员核心规则与参数配置</w:t>
            </w:r>
            <w:r>
              <w:rPr>
                <w:rFonts w:hint="eastAsia" w:ascii="宋体" w:hAnsi="宋体" w:cs="宋体"/>
                <w:kern w:val="0"/>
                <w:sz w:val="18"/>
                <w:szCs w:val="18"/>
              </w:rPr>
              <w:br w:type="textWrapping"/>
            </w:r>
            <w:r>
              <w:rPr>
                <w:rFonts w:hint="eastAsia" w:ascii="宋体" w:hAnsi="宋体" w:cs="宋体"/>
                <w:kern w:val="0"/>
                <w:sz w:val="18"/>
                <w:szCs w:val="18"/>
              </w:rPr>
              <w:t>需支持高度灵活的会员体系规则自定义。</w:t>
            </w:r>
            <w:r>
              <w:rPr>
                <w:rFonts w:hint="eastAsia" w:ascii="宋体" w:hAnsi="宋体" w:cs="宋体"/>
                <w:kern w:val="0"/>
                <w:sz w:val="18"/>
                <w:szCs w:val="18"/>
              </w:rPr>
              <w:br w:type="textWrapping"/>
            </w:r>
            <w:r>
              <w:rPr>
                <w:rFonts w:hint="eastAsia" w:ascii="宋体" w:hAnsi="宋体" w:cs="宋体"/>
                <w:kern w:val="0"/>
                <w:sz w:val="18"/>
                <w:szCs w:val="18"/>
              </w:rPr>
              <w:t>7.1 会员代码配置</w:t>
            </w:r>
            <w:r>
              <w:rPr>
                <w:rFonts w:hint="eastAsia" w:ascii="宋体" w:hAnsi="宋体" w:cs="宋体"/>
                <w:kern w:val="0"/>
                <w:sz w:val="18"/>
                <w:szCs w:val="18"/>
              </w:rPr>
              <w:br w:type="textWrapping"/>
            </w:r>
            <w:r>
              <w:rPr>
                <w:rFonts w:hint="eastAsia" w:ascii="宋体" w:hAnsi="宋体" w:cs="宋体"/>
                <w:kern w:val="0"/>
                <w:sz w:val="18"/>
                <w:szCs w:val="18"/>
              </w:rPr>
              <w:t>7.1.1 卡与级别</w:t>
            </w:r>
            <w:r>
              <w:rPr>
                <w:rFonts w:hint="eastAsia" w:ascii="宋体" w:hAnsi="宋体" w:cs="宋体"/>
                <w:kern w:val="0"/>
                <w:sz w:val="18"/>
                <w:szCs w:val="18"/>
              </w:rPr>
              <w:br w:type="textWrapping"/>
            </w:r>
            <w:r>
              <w:rPr>
                <w:rFonts w:hint="eastAsia" w:ascii="宋体" w:hAnsi="宋体" w:cs="宋体"/>
                <w:kern w:val="0"/>
                <w:sz w:val="18"/>
                <w:szCs w:val="18"/>
              </w:rPr>
              <w:t>7.1.1.1 会员卡类型：支持多种类型的新建、查询、修改、删除，可控制注册数量。</w:t>
            </w:r>
            <w:r>
              <w:rPr>
                <w:rFonts w:hint="eastAsia" w:ascii="宋体" w:hAnsi="宋体" w:cs="宋体"/>
                <w:kern w:val="0"/>
                <w:sz w:val="18"/>
                <w:szCs w:val="18"/>
              </w:rPr>
              <w:br w:type="textWrapping"/>
            </w:r>
            <w:r>
              <w:rPr>
                <w:rFonts w:hint="eastAsia" w:ascii="宋体" w:hAnsi="宋体" w:cs="宋体"/>
                <w:kern w:val="0"/>
                <w:sz w:val="18"/>
                <w:szCs w:val="18"/>
              </w:rPr>
              <w:t>7.1.1.2 会员卡级别：支持多种登记的新建、查询、修改、删除，通过排序字段控制等级高低。</w:t>
            </w:r>
            <w:r>
              <w:rPr>
                <w:rFonts w:hint="eastAsia" w:ascii="宋体" w:hAnsi="宋体" w:cs="宋体"/>
                <w:kern w:val="0"/>
                <w:sz w:val="18"/>
                <w:szCs w:val="18"/>
              </w:rPr>
              <w:br w:type="textWrapping"/>
            </w:r>
            <w:r>
              <w:rPr>
                <w:rFonts w:hint="eastAsia" w:ascii="宋体" w:hAnsi="宋体" w:cs="宋体"/>
                <w:kern w:val="0"/>
                <w:sz w:val="18"/>
                <w:szCs w:val="18"/>
              </w:rPr>
              <w:t>7.1.1.3 会员权益项：支持各类权益的新建、查询、修改、删除。</w:t>
            </w:r>
            <w:r>
              <w:rPr>
                <w:rFonts w:hint="eastAsia" w:ascii="宋体" w:hAnsi="宋体" w:cs="宋体"/>
                <w:kern w:val="0"/>
                <w:sz w:val="18"/>
                <w:szCs w:val="18"/>
              </w:rPr>
              <w:br w:type="textWrapping"/>
            </w:r>
            <w:r>
              <w:rPr>
                <w:rFonts w:hint="eastAsia" w:ascii="宋体" w:hAnsi="宋体" w:cs="宋体"/>
                <w:kern w:val="0"/>
                <w:sz w:val="18"/>
                <w:szCs w:val="18"/>
              </w:rPr>
              <w:t>7.1.2 基础参数</w:t>
            </w:r>
            <w:r>
              <w:rPr>
                <w:rFonts w:hint="eastAsia" w:ascii="宋体" w:hAnsi="宋体" w:cs="宋体"/>
                <w:kern w:val="0"/>
                <w:sz w:val="18"/>
                <w:szCs w:val="18"/>
              </w:rPr>
              <w:br w:type="textWrapping"/>
            </w:r>
            <w:r>
              <w:rPr>
                <w:rFonts w:hint="eastAsia" w:ascii="宋体" w:hAnsi="宋体" w:cs="宋体"/>
                <w:kern w:val="0"/>
                <w:sz w:val="18"/>
                <w:szCs w:val="18"/>
              </w:rPr>
              <w:t>7.1.2.1 升降级原因/来源：配置升降级数据项及注册渠道数据项。</w:t>
            </w:r>
            <w:r>
              <w:rPr>
                <w:rFonts w:hint="eastAsia" w:ascii="宋体" w:hAnsi="宋体" w:cs="宋体"/>
                <w:kern w:val="0"/>
                <w:sz w:val="18"/>
                <w:szCs w:val="18"/>
              </w:rPr>
              <w:br w:type="textWrapping"/>
            </w:r>
            <w:r>
              <w:rPr>
                <w:rFonts w:hint="eastAsia" w:ascii="宋体" w:hAnsi="宋体" w:cs="宋体"/>
                <w:kern w:val="0"/>
                <w:sz w:val="18"/>
                <w:szCs w:val="18"/>
              </w:rPr>
              <w:t>7.1.2.2 卡值设置：配置注册、续卡、补卡、升降级的收费标准。</w:t>
            </w:r>
            <w:r>
              <w:rPr>
                <w:rFonts w:hint="eastAsia" w:ascii="宋体" w:hAnsi="宋体" w:cs="宋体"/>
                <w:kern w:val="0"/>
                <w:sz w:val="18"/>
                <w:szCs w:val="18"/>
              </w:rPr>
              <w:br w:type="textWrapping"/>
            </w:r>
            <w:r>
              <w:rPr>
                <w:rFonts w:hint="eastAsia" w:ascii="宋体" w:hAnsi="宋体" w:cs="宋体"/>
                <w:kern w:val="0"/>
                <w:sz w:val="18"/>
                <w:szCs w:val="18"/>
              </w:rPr>
              <w:t>7.1.2.3 自动升降级规则：配置符合自动升降级的条件数据项。</w:t>
            </w:r>
            <w:r>
              <w:rPr>
                <w:rFonts w:hint="eastAsia" w:ascii="宋体" w:hAnsi="宋体" w:cs="宋体"/>
                <w:kern w:val="0"/>
                <w:sz w:val="18"/>
                <w:szCs w:val="18"/>
              </w:rPr>
              <w:br w:type="textWrapping"/>
            </w:r>
            <w:r>
              <w:rPr>
                <w:rFonts w:hint="eastAsia" w:ascii="宋体" w:hAnsi="宋体" w:cs="宋体"/>
                <w:kern w:val="0"/>
                <w:sz w:val="18"/>
                <w:szCs w:val="18"/>
              </w:rPr>
              <w:t>7.1.2.4 导入规则：为指定卡等级配置导入规则，支持保级或升级操作。</w:t>
            </w:r>
            <w:r>
              <w:rPr>
                <w:rFonts w:hint="eastAsia" w:ascii="宋体" w:hAnsi="宋体" w:cs="宋体"/>
                <w:kern w:val="0"/>
                <w:sz w:val="18"/>
                <w:szCs w:val="18"/>
              </w:rPr>
              <w:br w:type="textWrapping"/>
            </w:r>
            <w:r>
              <w:rPr>
                <w:rFonts w:hint="eastAsia" w:ascii="宋体" w:hAnsi="宋体" w:cs="宋体"/>
                <w:kern w:val="0"/>
                <w:sz w:val="18"/>
                <w:szCs w:val="18"/>
              </w:rPr>
              <w:t>7.2 储值积分规则</w:t>
            </w:r>
            <w:r>
              <w:rPr>
                <w:rFonts w:hint="eastAsia" w:ascii="宋体" w:hAnsi="宋体" w:cs="宋体"/>
                <w:kern w:val="0"/>
                <w:sz w:val="18"/>
                <w:szCs w:val="18"/>
              </w:rPr>
              <w:br w:type="textWrapping"/>
            </w:r>
            <w:r>
              <w:rPr>
                <w:rFonts w:hint="eastAsia" w:ascii="宋体" w:hAnsi="宋体" w:cs="宋体"/>
                <w:kern w:val="0"/>
                <w:sz w:val="18"/>
                <w:szCs w:val="18"/>
              </w:rPr>
              <w:t>7.2.1 积分规则引擎</w:t>
            </w:r>
            <w:r>
              <w:rPr>
                <w:rFonts w:hint="eastAsia" w:ascii="宋体" w:hAnsi="宋体" w:cs="宋体"/>
                <w:kern w:val="0"/>
                <w:sz w:val="18"/>
                <w:szCs w:val="18"/>
              </w:rPr>
              <w:br w:type="textWrapping"/>
            </w:r>
            <w:r>
              <w:rPr>
                <w:rFonts w:hint="eastAsia" w:ascii="宋体" w:hAnsi="宋体" w:cs="宋体"/>
                <w:kern w:val="0"/>
                <w:sz w:val="18"/>
                <w:szCs w:val="18"/>
              </w:rPr>
              <w:t>7.2.1.1 积分规则：支持查询、新增、复制、修改、删除。需支持规则检测功能（输入业绩检测匹配结果，不产生实际积分）。</w:t>
            </w:r>
            <w:r>
              <w:rPr>
                <w:rFonts w:hint="eastAsia" w:ascii="宋体" w:hAnsi="宋体" w:cs="宋体"/>
                <w:kern w:val="0"/>
                <w:sz w:val="18"/>
                <w:szCs w:val="18"/>
              </w:rPr>
              <w:br w:type="textWrapping"/>
            </w:r>
            <w:r>
              <w:rPr>
                <w:rFonts w:hint="eastAsia" w:ascii="宋体" w:hAnsi="宋体" w:cs="宋体"/>
                <w:kern w:val="0"/>
                <w:sz w:val="18"/>
                <w:szCs w:val="18"/>
              </w:rPr>
              <w:t>7.2.1.2 积分调整原因：配置调整原因，支持从配套系统同步。</w:t>
            </w:r>
            <w:r>
              <w:rPr>
                <w:rFonts w:hint="eastAsia" w:ascii="宋体" w:hAnsi="宋体" w:cs="宋体"/>
                <w:kern w:val="0"/>
                <w:sz w:val="18"/>
                <w:szCs w:val="18"/>
              </w:rPr>
              <w:br w:type="textWrapping"/>
            </w:r>
            <w:r>
              <w:rPr>
                <w:rFonts w:hint="eastAsia" w:ascii="宋体" w:hAnsi="宋体" w:cs="宋体"/>
                <w:kern w:val="0"/>
                <w:sz w:val="18"/>
                <w:szCs w:val="18"/>
              </w:rPr>
              <w:t>7.2.1.3 储值调整原因：配置储值调整的原因。</w:t>
            </w:r>
            <w:r>
              <w:rPr>
                <w:rFonts w:hint="eastAsia" w:ascii="宋体" w:hAnsi="宋体" w:cs="宋体"/>
                <w:kern w:val="0"/>
                <w:sz w:val="18"/>
                <w:szCs w:val="18"/>
              </w:rPr>
              <w:br w:type="textWrapping"/>
            </w:r>
            <w:r>
              <w:rPr>
                <w:rFonts w:hint="eastAsia" w:ascii="宋体" w:hAnsi="宋体" w:cs="宋体"/>
                <w:kern w:val="0"/>
                <w:sz w:val="18"/>
                <w:szCs w:val="18"/>
              </w:rPr>
              <w:t>7.2.1.4 储值消费规则：配置具体规则细项。</w:t>
            </w:r>
            <w:r>
              <w:rPr>
                <w:rFonts w:hint="eastAsia" w:ascii="宋体" w:hAnsi="宋体" w:cs="宋体"/>
                <w:kern w:val="0"/>
                <w:sz w:val="18"/>
                <w:szCs w:val="18"/>
              </w:rPr>
              <w:br w:type="textWrapping"/>
            </w:r>
            <w:r>
              <w:rPr>
                <w:rFonts w:hint="eastAsia" w:ascii="宋体" w:hAnsi="宋体" w:cs="宋体"/>
                <w:kern w:val="0"/>
                <w:sz w:val="18"/>
                <w:szCs w:val="18"/>
              </w:rPr>
              <w:t>7.2.1.5 成长值设置：定义会员各行为的成长值获取规则（针对所有卡统一生效）。</w:t>
            </w:r>
            <w:r>
              <w:rPr>
                <w:rFonts w:hint="eastAsia" w:ascii="宋体" w:hAnsi="宋体" w:cs="宋体"/>
                <w:kern w:val="0"/>
                <w:sz w:val="18"/>
                <w:szCs w:val="18"/>
              </w:rPr>
              <w:br w:type="textWrapping"/>
            </w:r>
            <w:r>
              <w:rPr>
                <w:rFonts w:hint="eastAsia" w:ascii="宋体" w:hAnsi="宋体" w:cs="宋体"/>
                <w:kern w:val="0"/>
                <w:sz w:val="18"/>
                <w:szCs w:val="18"/>
              </w:rPr>
              <w:t>7.2.2 积分兑换与特殊账户</w:t>
            </w:r>
            <w:r>
              <w:rPr>
                <w:rFonts w:hint="eastAsia" w:ascii="宋体" w:hAnsi="宋体" w:cs="宋体"/>
                <w:kern w:val="0"/>
                <w:sz w:val="18"/>
                <w:szCs w:val="18"/>
              </w:rPr>
              <w:br w:type="textWrapping"/>
            </w:r>
            <w:r>
              <w:rPr>
                <w:rFonts w:hint="eastAsia" w:ascii="宋体" w:hAnsi="宋体" w:cs="宋体"/>
                <w:kern w:val="0"/>
                <w:sz w:val="18"/>
                <w:szCs w:val="18"/>
              </w:rPr>
              <w:t>7.2.2.1 积分兑换：配置物品明细、物品类别、兑换渠道。</w:t>
            </w:r>
            <w:r>
              <w:rPr>
                <w:rFonts w:hint="eastAsia" w:ascii="宋体" w:hAnsi="宋体" w:cs="宋体"/>
                <w:kern w:val="0"/>
                <w:sz w:val="18"/>
                <w:szCs w:val="18"/>
              </w:rPr>
              <w:br w:type="textWrapping"/>
            </w:r>
            <w:r>
              <w:rPr>
                <w:rFonts w:hint="eastAsia" w:ascii="宋体" w:hAnsi="宋体" w:cs="宋体"/>
                <w:kern w:val="0"/>
                <w:sz w:val="18"/>
                <w:szCs w:val="18"/>
              </w:rPr>
              <w:t>7.2.2.2 特殊账户：管理次卡账户与次卡商品（一个次卡账户仅对应一个消费项目）。</w:t>
            </w:r>
            <w:r>
              <w:rPr>
                <w:rFonts w:hint="eastAsia" w:ascii="宋体" w:hAnsi="宋体" w:cs="宋体"/>
                <w:kern w:val="0"/>
                <w:sz w:val="18"/>
                <w:szCs w:val="18"/>
              </w:rPr>
              <w:br w:type="textWrapping"/>
            </w:r>
            <w:r>
              <w:rPr>
                <w:rFonts w:hint="eastAsia" w:ascii="宋体" w:hAnsi="宋体" w:cs="宋体"/>
                <w:kern w:val="0"/>
                <w:sz w:val="18"/>
                <w:szCs w:val="18"/>
              </w:rPr>
              <w:t>7.3 系统参数</w:t>
            </w:r>
            <w:r>
              <w:rPr>
                <w:rFonts w:hint="eastAsia" w:ascii="宋体" w:hAnsi="宋体" w:cs="宋体"/>
                <w:kern w:val="0"/>
                <w:sz w:val="18"/>
                <w:szCs w:val="18"/>
              </w:rPr>
              <w:br w:type="textWrapping"/>
            </w:r>
            <w:r>
              <w:rPr>
                <w:rFonts w:hint="eastAsia" w:ascii="宋体" w:hAnsi="宋体" w:cs="宋体"/>
                <w:kern w:val="0"/>
                <w:sz w:val="18"/>
                <w:szCs w:val="18"/>
              </w:rPr>
              <w:t>7.3.1 点评</w:t>
            </w:r>
            <w:r>
              <w:rPr>
                <w:rFonts w:hint="eastAsia" w:ascii="宋体" w:hAnsi="宋体" w:cs="宋体"/>
                <w:kern w:val="0"/>
                <w:sz w:val="18"/>
                <w:szCs w:val="18"/>
              </w:rPr>
              <w:br w:type="textWrapping"/>
            </w:r>
            <w:r>
              <w:rPr>
                <w:rFonts w:hint="eastAsia" w:ascii="宋体" w:hAnsi="宋体" w:cs="宋体"/>
                <w:kern w:val="0"/>
                <w:sz w:val="18"/>
                <w:szCs w:val="18"/>
              </w:rPr>
              <w:t>7.3.1.1 点评反馈：配置反馈类型与服务项目。</w:t>
            </w:r>
            <w:r>
              <w:rPr>
                <w:rFonts w:hint="eastAsia" w:ascii="宋体" w:hAnsi="宋体" w:cs="宋体"/>
                <w:kern w:val="0"/>
                <w:sz w:val="18"/>
                <w:szCs w:val="18"/>
              </w:rPr>
              <w:br w:type="textWrapping"/>
            </w:r>
            <w:r>
              <w:rPr>
                <w:rFonts w:hint="eastAsia" w:ascii="宋体" w:hAnsi="宋体" w:cs="宋体"/>
                <w:kern w:val="0"/>
                <w:sz w:val="18"/>
                <w:szCs w:val="18"/>
              </w:rPr>
              <w:t>7.3.1.2 FFP常旅客：管理FFP类别、级别（归属于类别）、规则（针对指定FFP卡级别与会员卡级别）。</w:t>
            </w:r>
            <w:r>
              <w:rPr>
                <w:rFonts w:hint="eastAsia" w:ascii="宋体" w:hAnsi="宋体" w:cs="宋体"/>
                <w:kern w:val="0"/>
                <w:sz w:val="18"/>
                <w:szCs w:val="18"/>
              </w:rPr>
              <w:br w:type="textWrapping"/>
            </w:r>
            <w:r>
              <w:rPr>
                <w:rFonts w:hint="eastAsia" w:ascii="宋体" w:hAnsi="宋体" w:cs="宋体"/>
                <w:kern w:val="0"/>
                <w:sz w:val="18"/>
                <w:szCs w:val="18"/>
              </w:rPr>
              <w:t>7.3.2 系统设置</w:t>
            </w:r>
            <w:r>
              <w:rPr>
                <w:rFonts w:hint="eastAsia" w:ascii="宋体" w:hAnsi="宋体" w:cs="宋体"/>
                <w:kern w:val="0"/>
                <w:sz w:val="18"/>
                <w:szCs w:val="18"/>
              </w:rPr>
              <w:br w:type="textWrapping"/>
            </w:r>
            <w:r>
              <w:rPr>
                <w:rFonts w:hint="eastAsia" w:ascii="宋体" w:hAnsi="宋体" w:cs="宋体"/>
                <w:kern w:val="0"/>
                <w:sz w:val="18"/>
                <w:szCs w:val="18"/>
              </w:rPr>
              <w:t>7.3.2.1 参数设置：配置各类参数开关（开启/关闭）。</w:t>
            </w:r>
            <w:r>
              <w:rPr>
                <w:rFonts w:hint="eastAsia" w:ascii="宋体" w:hAnsi="宋体" w:cs="宋体"/>
                <w:kern w:val="0"/>
                <w:sz w:val="18"/>
                <w:szCs w:val="18"/>
              </w:rPr>
              <w:br w:type="textWrapping"/>
            </w:r>
            <w:r>
              <w:rPr>
                <w:rFonts w:hint="eastAsia" w:ascii="宋体" w:hAnsi="宋体" w:cs="宋体"/>
                <w:kern w:val="0"/>
                <w:sz w:val="18"/>
                <w:szCs w:val="18"/>
              </w:rPr>
              <w:t>7.3.2.2 日历管理：配置节假日、周年庆日期，供其他功能引用。</w:t>
            </w:r>
            <w:r>
              <w:rPr>
                <w:rFonts w:hint="eastAsia" w:ascii="宋体" w:hAnsi="宋体" w:cs="宋体"/>
                <w:kern w:val="0"/>
                <w:sz w:val="18"/>
                <w:szCs w:val="18"/>
              </w:rPr>
              <w:br w:type="textWrapping"/>
            </w:r>
            <w:r>
              <w:rPr>
                <w:rFonts w:hint="eastAsia" w:ascii="宋体" w:hAnsi="宋体" w:cs="宋体"/>
                <w:kern w:val="0"/>
                <w:sz w:val="18"/>
                <w:szCs w:val="18"/>
              </w:rPr>
              <w:t>8. 与本采购项目采用的酒店信息管理系统通过API接口方式实现数据直连和互相调用。</w:t>
            </w:r>
          </w:p>
        </w:tc>
        <w:tc>
          <w:tcPr>
            <w:tcW w:w="404" w:type="dxa"/>
            <w:tcBorders>
              <w:top w:val="nil"/>
              <w:left w:val="nil"/>
              <w:bottom w:val="single" w:color="auto" w:sz="4" w:space="0"/>
              <w:right w:val="single" w:color="auto" w:sz="4" w:space="0"/>
            </w:tcBorders>
            <w:shd w:val="clear" w:color="000000" w:fill="FFFFFF"/>
            <w:vAlign w:val="center"/>
          </w:tcPr>
          <w:p w14:paraId="0837FE68">
            <w:pPr>
              <w:widowControl/>
              <w:jc w:val="center"/>
              <w:rPr>
                <w:rFonts w:ascii="宋体" w:hAnsi="宋体" w:cs="宋体"/>
                <w:kern w:val="0"/>
                <w:sz w:val="18"/>
                <w:szCs w:val="18"/>
              </w:rPr>
            </w:pPr>
            <w:r>
              <w:rPr>
                <w:rFonts w:hint="eastAsia" w:ascii="宋体" w:hAnsi="宋体" w:cs="宋体"/>
                <w:kern w:val="0"/>
                <w:sz w:val="18"/>
                <w:szCs w:val="18"/>
              </w:rPr>
              <w:t>1</w:t>
            </w:r>
          </w:p>
        </w:tc>
        <w:tc>
          <w:tcPr>
            <w:tcW w:w="504" w:type="dxa"/>
            <w:tcBorders>
              <w:top w:val="nil"/>
              <w:left w:val="nil"/>
              <w:bottom w:val="single" w:color="auto" w:sz="4" w:space="0"/>
              <w:right w:val="single" w:color="auto" w:sz="4" w:space="0"/>
            </w:tcBorders>
            <w:shd w:val="clear" w:color="000000" w:fill="FFFFFF"/>
            <w:vAlign w:val="center"/>
          </w:tcPr>
          <w:p w14:paraId="67278C1C">
            <w:pPr>
              <w:widowControl/>
              <w:jc w:val="center"/>
              <w:rPr>
                <w:rFonts w:ascii="宋体" w:hAnsi="宋体" w:cs="宋体"/>
                <w:kern w:val="0"/>
                <w:sz w:val="18"/>
                <w:szCs w:val="18"/>
              </w:rPr>
            </w:pPr>
            <w:r>
              <w:rPr>
                <w:rFonts w:hint="eastAsia" w:ascii="宋体" w:hAnsi="宋体" w:cs="宋体"/>
                <w:kern w:val="0"/>
                <w:sz w:val="18"/>
                <w:szCs w:val="18"/>
              </w:rPr>
              <w:t>套</w:t>
            </w:r>
          </w:p>
        </w:tc>
        <w:tc>
          <w:tcPr>
            <w:tcW w:w="823" w:type="dxa"/>
            <w:tcBorders>
              <w:top w:val="nil"/>
              <w:left w:val="nil"/>
              <w:bottom w:val="single" w:color="auto" w:sz="4" w:space="0"/>
              <w:right w:val="single" w:color="auto" w:sz="4" w:space="0"/>
            </w:tcBorders>
            <w:shd w:val="clear" w:color="000000" w:fill="FFFFFF"/>
            <w:vAlign w:val="center"/>
          </w:tcPr>
          <w:p w14:paraId="7336EE14">
            <w:pPr>
              <w:widowControl/>
              <w:jc w:val="left"/>
              <w:rPr>
                <w:rFonts w:ascii="宋体" w:hAnsi="宋体" w:cs="宋体"/>
                <w:kern w:val="0"/>
                <w:sz w:val="18"/>
                <w:szCs w:val="18"/>
              </w:rPr>
            </w:pPr>
            <w:r>
              <w:rPr>
                <w:rFonts w:hint="eastAsia" w:ascii="宋体" w:hAnsi="宋体" w:cs="宋体"/>
                <w:kern w:val="0"/>
                <w:sz w:val="18"/>
                <w:szCs w:val="18"/>
              </w:rPr>
              <w:t xml:space="preserve">110000 </w:t>
            </w:r>
          </w:p>
        </w:tc>
        <w:tc>
          <w:tcPr>
            <w:tcW w:w="865" w:type="dxa"/>
            <w:tcBorders>
              <w:top w:val="nil"/>
              <w:left w:val="nil"/>
              <w:bottom w:val="single" w:color="auto" w:sz="4" w:space="0"/>
              <w:right w:val="single" w:color="auto" w:sz="4" w:space="0"/>
            </w:tcBorders>
            <w:shd w:val="clear" w:color="000000" w:fill="FFFFFF"/>
            <w:vAlign w:val="center"/>
          </w:tcPr>
          <w:p w14:paraId="1D58624A">
            <w:pPr>
              <w:widowControl/>
              <w:jc w:val="left"/>
              <w:rPr>
                <w:rFonts w:ascii="宋体" w:hAnsi="宋体" w:cs="宋体"/>
                <w:kern w:val="0"/>
                <w:sz w:val="18"/>
                <w:szCs w:val="18"/>
              </w:rPr>
            </w:pPr>
            <w:r>
              <w:rPr>
                <w:rFonts w:hint="eastAsia" w:ascii="宋体" w:hAnsi="宋体" w:cs="宋体"/>
                <w:kern w:val="0"/>
                <w:sz w:val="18"/>
                <w:szCs w:val="18"/>
              </w:rPr>
              <w:t xml:space="preserve">110000 </w:t>
            </w:r>
          </w:p>
        </w:tc>
      </w:tr>
      <w:tr w14:paraId="7F54304A">
        <w:tblPrEx>
          <w:tblCellMar>
            <w:top w:w="0" w:type="dxa"/>
            <w:left w:w="108" w:type="dxa"/>
            <w:bottom w:w="0" w:type="dxa"/>
            <w:right w:w="108" w:type="dxa"/>
          </w:tblCellMar>
        </w:tblPrEx>
        <w:tc>
          <w:tcPr>
            <w:tcW w:w="409" w:type="dxa"/>
            <w:tcBorders>
              <w:top w:val="nil"/>
              <w:left w:val="single" w:color="auto" w:sz="4" w:space="0"/>
              <w:bottom w:val="single" w:color="auto" w:sz="4" w:space="0"/>
              <w:right w:val="single" w:color="auto" w:sz="4" w:space="0"/>
            </w:tcBorders>
            <w:shd w:val="clear" w:color="000000" w:fill="FFFFFF"/>
            <w:noWrap/>
            <w:vAlign w:val="center"/>
          </w:tcPr>
          <w:p w14:paraId="65235BF4">
            <w:pPr>
              <w:widowControl/>
              <w:jc w:val="center"/>
              <w:rPr>
                <w:rFonts w:ascii="宋体" w:hAnsi="宋体" w:cs="宋体"/>
                <w:kern w:val="0"/>
                <w:sz w:val="18"/>
                <w:szCs w:val="18"/>
              </w:rPr>
            </w:pPr>
            <w:r>
              <w:rPr>
                <w:rFonts w:hint="eastAsia" w:ascii="宋体" w:hAnsi="宋体" w:cs="宋体"/>
                <w:kern w:val="0"/>
                <w:sz w:val="18"/>
                <w:szCs w:val="18"/>
              </w:rPr>
              <w:t>6</w:t>
            </w:r>
          </w:p>
        </w:tc>
        <w:tc>
          <w:tcPr>
            <w:tcW w:w="878" w:type="dxa"/>
            <w:tcBorders>
              <w:top w:val="nil"/>
              <w:left w:val="nil"/>
              <w:bottom w:val="single" w:color="auto" w:sz="4" w:space="0"/>
              <w:right w:val="single" w:color="auto" w:sz="4" w:space="0"/>
            </w:tcBorders>
            <w:shd w:val="clear" w:color="000000" w:fill="FFFFFF"/>
            <w:vAlign w:val="center"/>
          </w:tcPr>
          <w:p w14:paraId="188B7CEE">
            <w:pPr>
              <w:widowControl/>
              <w:jc w:val="center"/>
              <w:rPr>
                <w:rFonts w:ascii="宋体" w:hAnsi="宋体" w:cs="宋体"/>
                <w:kern w:val="0"/>
                <w:sz w:val="18"/>
                <w:szCs w:val="18"/>
              </w:rPr>
            </w:pPr>
            <w:r>
              <w:rPr>
                <w:rFonts w:hint="eastAsia" w:ascii="宋体" w:hAnsi="宋体" w:cs="宋体"/>
                <w:kern w:val="0"/>
                <w:sz w:val="18"/>
                <w:szCs w:val="18"/>
              </w:rPr>
              <w:t>住中小程序</w:t>
            </w:r>
          </w:p>
        </w:tc>
        <w:tc>
          <w:tcPr>
            <w:tcW w:w="4717" w:type="dxa"/>
            <w:tcBorders>
              <w:top w:val="nil"/>
              <w:left w:val="nil"/>
              <w:bottom w:val="single" w:color="auto" w:sz="4" w:space="0"/>
              <w:right w:val="single" w:color="auto" w:sz="4" w:space="0"/>
            </w:tcBorders>
            <w:shd w:val="clear" w:color="000000" w:fill="FFFFFF"/>
            <w:vAlign w:val="center"/>
          </w:tcPr>
          <w:p w14:paraId="3A446F68">
            <w:pPr>
              <w:widowControl/>
              <w:jc w:val="left"/>
              <w:rPr>
                <w:rFonts w:ascii="宋体" w:hAnsi="宋体" w:cs="宋体"/>
                <w:kern w:val="0"/>
                <w:sz w:val="18"/>
                <w:szCs w:val="18"/>
              </w:rPr>
            </w:pPr>
            <w:r>
              <w:rPr>
                <w:rFonts w:hint="eastAsia" w:ascii="宋体" w:hAnsi="宋体" w:cs="宋体"/>
                <w:kern w:val="0"/>
                <w:sz w:val="18"/>
                <w:szCs w:val="18"/>
              </w:rPr>
              <w:t>1. 基础数据与通用模块</w:t>
            </w:r>
            <w:r>
              <w:rPr>
                <w:rFonts w:hint="eastAsia" w:ascii="宋体" w:hAnsi="宋体" w:cs="宋体"/>
                <w:kern w:val="0"/>
                <w:sz w:val="18"/>
                <w:szCs w:val="18"/>
              </w:rPr>
              <w:br w:type="textWrapping"/>
            </w:r>
            <w:r>
              <w:rPr>
                <w:rFonts w:hint="eastAsia" w:ascii="宋体" w:hAnsi="宋体" w:cs="宋体"/>
                <w:kern w:val="0"/>
                <w:sz w:val="18"/>
                <w:szCs w:val="18"/>
              </w:rPr>
              <w:t>本系统需提供完善的组织架构、员工管理及房态基础数据维护功能，支持与本采购项目采用的酒店信息管理系统的深度交互。</w:t>
            </w:r>
            <w:r>
              <w:rPr>
                <w:rFonts w:hint="eastAsia" w:ascii="宋体" w:hAnsi="宋体" w:cs="宋体"/>
                <w:kern w:val="0"/>
                <w:sz w:val="18"/>
                <w:szCs w:val="18"/>
              </w:rPr>
              <w:br w:type="textWrapping"/>
            </w:r>
            <w:r>
              <w:rPr>
                <w:rFonts w:hint="eastAsia" w:ascii="宋体" w:hAnsi="宋体" w:cs="宋体"/>
                <w:kern w:val="0"/>
                <w:sz w:val="18"/>
                <w:szCs w:val="18"/>
              </w:rPr>
              <w:t>1.1 区域与房态基础管理</w:t>
            </w:r>
            <w:r>
              <w:rPr>
                <w:rFonts w:hint="eastAsia" w:ascii="宋体" w:hAnsi="宋体" w:cs="宋体"/>
                <w:kern w:val="0"/>
                <w:sz w:val="18"/>
                <w:szCs w:val="18"/>
              </w:rPr>
              <w:br w:type="textWrapping"/>
            </w:r>
            <w:r>
              <w:rPr>
                <w:rFonts w:hint="eastAsia" w:ascii="宋体" w:hAnsi="宋体" w:cs="宋体"/>
                <w:kern w:val="0"/>
                <w:sz w:val="18"/>
                <w:szCs w:val="18"/>
              </w:rPr>
              <w:t>1.1.1 楼栋与楼层管理</w:t>
            </w:r>
            <w:r>
              <w:rPr>
                <w:rFonts w:hint="eastAsia" w:ascii="宋体" w:hAnsi="宋体" w:cs="宋体"/>
                <w:kern w:val="0"/>
                <w:sz w:val="18"/>
                <w:szCs w:val="18"/>
              </w:rPr>
              <w:br w:type="textWrapping"/>
            </w:r>
            <w:r>
              <w:rPr>
                <w:rFonts w:hint="eastAsia" w:ascii="宋体" w:hAnsi="宋体" w:cs="宋体"/>
                <w:kern w:val="0"/>
                <w:sz w:val="18"/>
                <w:szCs w:val="18"/>
              </w:rPr>
              <w:t>1.1.1.1 需维护系统的楼栋、楼层信息，数据支持从PMS手动同步。</w:t>
            </w:r>
            <w:r>
              <w:rPr>
                <w:rFonts w:hint="eastAsia" w:ascii="宋体" w:hAnsi="宋体" w:cs="宋体"/>
                <w:kern w:val="0"/>
                <w:sz w:val="18"/>
                <w:szCs w:val="18"/>
              </w:rPr>
              <w:br w:type="textWrapping"/>
            </w:r>
            <w:r>
              <w:rPr>
                <w:rFonts w:hint="eastAsia" w:ascii="宋体" w:hAnsi="宋体" w:cs="宋体"/>
                <w:kern w:val="0"/>
                <w:sz w:val="18"/>
                <w:szCs w:val="18"/>
              </w:rPr>
              <w:t>1.1.2 房号与房类管理</w:t>
            </w:r>
            <w:r>
              <w:rPr>
                <w:rFonts w:hint="eastAsia" w:ascii="宋体" w:hAnsi="宋体" w:cs="宋体"/>
                <w:kern w:val="0"/>
                <w:sz w:val="18"/>
                <w:szCs w:val="18"/>
              </w:rPr>
              <w:br w:type="textWrapping"/>
            </w:r>
            <w:r>
              <w:rPr>
                <w:rFonts w:hint="eastAsia" w:ascii="宋体" w:hAnsi="宋体" w:cs="宋体"/>
                <w:kern w:val="0"/>
                <w:sz w:val="18"/>
                <w:szCs w:val="18"/>
              </w:rPr>
              <w:t>1.1.2.1 需维护系统的房号、房类信息，数据支持从PMS手动同步。</w:t>
            </w:r>
            <w:r>
              <w:rPr>
                <w:rFonts w:hint="eastAsia" w:ascii="宋体" w:hAnsi="宋体" w:cs="宋体"/>
                <w:kern w:val="0"/>
                <w:sz w:val="18"/>
                <w:szCs w:val="18"/>
              </w:rPr>
              <w:br w:type="textWrapping"/>
            </w:r>
            <w:r>
              <w:rPr>
                <w:rFonts w:hint="eastAsia" w:ascii="宋体" w:hAnsi="宋体" w:cs="宋体"/>
                <w:kern w:val="0"/>
                <w:sz w:val="18"/>
                <w:szCs w:val="18"/>
              </w:rPr>
              <w:t>1.1.3 公共区域管理</w:t>
            </w:r>
            <w:r>
              <w:rPr>
                <w:rFonts w:hint="eastAsia" w:ascii="宋体" w:hAnsi="宋体" w:cs="宋体"/>
                <w:kern w:val="0"/>
                <w:sz w:val="18"/>
                <w:szCs w:val="18"/>
              </w:rPr>
              <w:br w:type="textWrapping"/>
            </w:r>
            <w:r>
              <w:rPr>
                <w:rFonts w:hint="eastAsia" w:ascii="宋体" w:hAnsi="宋体" w:cs="宋体"/>
                <w:kern w:val="0"/>
                <w:sz w:val="18"/>
                <w:szCs w:val="18"/>
              </w:rPr>
              <w:t>1.1.3.1 需维护系统中的公共区域信息，数据与PMS系统无关。</w:t>
            </w:r>
            <w:r>
              <w:rPr>
                <w:rFonts w:hint="eastAsia" w:ascii="宋体" w:hAnsi="宋体" w:cs="宋体"/>
                <w:kern w:val="0"/>
                <w:sz w:val="18"/>
                <w:szCs w:val="18"/>
              </w:rPr>
              <w:br w:type="textWrapping"/>
            </w:r>
            <w:r>
              <w:rPr>
                <w:rFonts w:hint="eastAsia" w:ascii="宋体" w:hAnsi="宋体" w:cs="宋体"/>
                <w:kern w:val="0"/>
                <w:sz w:val="18"/>
                <w:szCs w:val="18"/>
              </w:rPr>
              <w:t>1.1.4 房态实时交互</w:t>
            </w:r>
            <w:r>
              <w:rPr>
                <w:rFonts w:hint="eastAsia" w:ascii="宋体" w:hAnsi="宋体" w:cs="宋体"/>
                <w:kern w:val="0"/>
                <w:sz w:val="18"/>
                <w:szCs w:val="18"/>
              </w:rPr>
              <w:br w:type="textWrapping"/>
            </w:r>
            <w:r>
              <w:rPr>
                <w:rFonts w:hint="eastAsia" w:ascii="宋体" w:hAnsi="宋体" w:cs="宋体"/>
                <w:kern w:val="0"/>
                <w:sz w:val="18"/>
                <w:szCs w:val="18"/>
              </w:rPr>
              <w:t>1.1.4.1 房态修改：需支持实时修改房间房态（脏房、干净房、检查房、维修房、锁定房），电脑端支持批量修改，并与PMS系统数据连接。</w:t>
            </w:r>
            <w:r>
              <w:rPr>
                <w:rFonts w:hint="eastAsia" w:ascii="宋体" w:hAnsi="宋体" w:cs="宋体"/>
                <w:kern w:val="0"/>
                <w:sz w:val="18"/>
                <w:szCs w:val="18"/>
              </w:rPr>
              <w:br w:type="textWrapping"/>
            </w:r>
            <w:r>
              <w:rPr>
                <w:rFonts w:hint="eastAsia" w:ascii="宋体" w:hAnsi="宋体" w:cs="宋体"/>
                <w:kern w:val="0"/>
                <w:sz w:val="18"/>
                <w:szCs w:val="18"/>
              </w:rPr>
              <w:t>1.1.4.2 预订信息：需支持查看房间在住或将到客人的详细信息。</w:t>
            </w:r>
            <w:r>
              <w:rPr>
                <w:rFonts w:hint="eastAsia" w:ascii="宋体" w:hAnsi="宋体" w:cs="宋体"/>
                <w:kern w:val="0"/>
                <w:sz w:val="18"/>
                <w:szCs w:val="18"/>
              </w:rPr>
              <w:br w:type="textWrapping"/>
            </w:r>
            <w:r>
              <w:rPr>
                <w:rFonts w:hint="eastAsia" w:ascii="宋体" w:hAnsi="宋体" w:cs="宋体"/>
                <w:kern w:val="0"/>
                <w:sz w:val="18"/>
                <w:szCs w:val="18"/>
              </w:rPr>
              <w:t>1.1.4.3 临时态：需支持对房间设置临时态，且与PMS数据保持同步。</w:t>
            </w:r>
            <w:r>
              <w:rPr>
                <w:rFonts w:hint="eastAsia" w:ascii="宋体" w:hAnsi="宋体" w:cs="宋体"/>
                <w:kern w:val="0"/>
                <w:sz w:val="18"/>
                <w:szCs w:val="18"/>
              </w:rPr>
              <w:br w:type="textWrapping"/>
            </w:r>
            <w:r>
              <w:rPr>
                <w:rFonts w:hint="eastAsia" w:ascii="宋体" w:hAnsi="宋体" w:cs="宋体"/>
                <w:kern w:val="0"/>
                <w:sz w:val="18"/>
                <w:szCs w:val="18"/>
              </w:rPr>
              <w:t>1.1.4.4 特殊备注：需支持对房间设置特殊备注信息。</w:t>
            </w:r>
            <w:r>
              <w:rPr>
                <w:rFonts w:hint="eastAsia" w:ascii="宋体" w:hAnsi="宋体" w:cs="宋体"/>
                <w:kern w:val="0"/>
                <w:sz w:val="18"/>
                <w:szCs w:val="18"/>
              </w:rPr>
              <w:br w:type="textWrapping"/>
            </w:r>
            <w:r>
              <w:rPr>
                <w:rFonts w:hint="eastAsia" w:ascii="宋体" w:hAnsi="宋体" w:cs="宋体"/>
                <w:kern w:val="0"/>
                <w:sz w:val="18"/>
                <w:szCs w:val="18"/>
              </w:rPr>
              <w:t>1.1.5 客账与遗留物品处理</w:t>
            </w:r>
            <w:r>
              <w:rPr>
                <w:rFonts w:hint="eastAsia" w:ascii="宋体" w:hAnsi="宋体" w:cs="宋体"/>
                <w:kern w:val="0"/>
                <w:sz w:val="18"/>
                <w:szCs w:val="18"/>
              </w:rPr>
              <w:br w:type="textWrapping"/>
            </w:r>
            <w:r>
              <w:rPr>
                <w:rFonts w:hint="eastAsia" w:ascii="宋体" w:hAnsi="宋体" w:cs="宋体"/>
                <w:kern w:val="0"/>
                <w:sz w:val="18"/>
                <w:szCs w:val="18"/>
              </w:rPr>
              <w:t>1.1.5.1 消费录入：在住房间需支持录入客房消费，录入后自动入账到PMS账单。</w:t>
            </w:r>
            <w:r>
              <w:rPr>
                <w:rFonts w:hint="eastAsia" w:ascii="宋体" w:hAnsi="宋体" w:cs="宋体"/>
                <w:kern w:val="0"/>
                <w:sz w:val="18"/>
                <w:szCs w:val="18"/>
              </w:rPr>
              <w:br w:type="textWrapping"/>
            </w:r>
            <w:r>
              <w:rPr>
                <w:rFonts w:hint="eastAsia" w:ascii="宋体" w:hAnsi="宋体" w:cs="宋体"/>
                <w:kern w:val="0"/>
                <w:sz w:val="18"/>
                <w:szCs w:val="18"/>
              </w:rPr>
              <w:t>1.1.5.2 遗留物品：需支持对房间录入遗留物品，录入后提交至PMS系统。</w:t>
            </w:r>
            <w:r>
              <w:rPr>
                <w:rFonts w:hint="eastAsia" w:ascii="宋体" w:hAnsi="宋体" w:cs="宋体"/>
                <w:kern w:val="0"/>
                <w:sz w:val="18"/>
                <w:szCs w:val="18"/>
              </w:rPr>
              <w:br w:type="textWrapping"/>
            </w:r>
            <w:r>
              <w:rPr>
                <w:rFonts w:hint="eastAsia" w:ascii="宋体" w:hAnsi="宋体" w:cs="宋体"/>
                <w:kern w:val="0"/>
                <w:sz w:val="18"/>
                <w:szCs w:val="18"/>
              </w:rPr>
              <w:t>1.2 班次管理与员工档案</w:t>
            </w:r>
            <w:r>
              <w:rPr>
                <w:rFonts w:hint="eastAsia" w:ascii="宋体" w:hAnsi="宋体" w:cs="宋体"/>
                <w:kern w:val="0"/>
                <w:sz w:val="18"/>
                <w:szCs w:val="18"/>
              </w:rPr>
              <w:br w:type="textWrapping"/>
            </w:r>
            <w:r>
              <w:rPr>
                <w:rFonts w:hint="eastAsia" w:ascii="宋体" w:hAnsi="宋体" w:cs="宋体"/>
                <w:kern w:val="0"/>
                <w:sz w:val="18"/>
                <w:szCs w:val="18"/>
              </w:rPr>
              <w:t>1.2.1 班次设置</w:t>
            </w:r>
            <w:r>
              <w:rPr>
                <w:rFonts w:hint="eastAsia" w:ascii="宋体" w:hAnsi="宋体" w:cs="宋体"/>
                <w:kern w:val="0"/>
                <w:sz w:val="18"/>
                <w:szCs w:val="18"/>
              </w:rPr>
              <w:br w:type="textWrapping"/>
            </w:r>
            <w:r>
              <w:rPr>
                <w:rFonts w:hint="eastAsia" w:ascii="宋体" w:hAnsi="宋体" w:cs="宋体"/>
                <w:kern w:val="0"/>
                <w:sz w:val="18"/>
                <w:szCs w:val="18"/>
              </w:rPr>
              <w:t>1.2.1.1 需设置各个部门的班次及上下班时间。</w:t>
            </w:r>
            <w:r>
              <w:rPr>
                <w:rFonts w:hint="eastAsia" w:ascii="宋体" w:hAnsi="宋体" w:cs="宋体"/>
                <w:kern w:val="0"/>
                <w:sz w:val="18"/>
                <w:szCs w:val="18"/>
              </w:rPr>
              <w:br w:type="textWrapping"/>
            </w:r>
            <w:r>
              <w:rPr>
                <w:rFonts w:hint="eastAsia" w:ascii="宋体" w:hAnsi="宋体" w:cs="宋体"/>
                <w:kern w:val="0"/>
                <w:sz w:val="18"/>
                <w:szCs w:val="18"/>
              </w:rPr>
              <w:t>1.2.2 员工排班</w:t>
            </w:r>
            <w:r>
              <w:rPr>
                <w:rFonts w:hint="eastAsia" w:ascii="宋体" w:hAnsi="宋体" w:cs="宋体"/>
                <w:kern w:val="0"/>
                <w:sz w:val="18"/>
                <w:szCs w:val="18"/>
              </w:rPr>
              <w:br w:type="textWrapping"/>
            </w:r>
            <w:r>
              <w:rPr>
                <w:rFonts w:hint="eastAsia" w:ascii="宋体" w:hAnsi="宋体" w:cs="宋体"/>
                <w:kern w:val="0"/>
                <w:sz w:val="18"/>
                <w:szCs w:val="18"/>
              </w:rPr>
              <w:t>1.2.2.1 需设置每一位员工的上班班次。</w:t>
            </w:r>
            <w:r>
              <w:rPr>
                <w:rFonts w:hint="eastAsia" w:ascii="宋体" w:hAnsi="宋体" w:cs="宋体"/>
                <w:kern w:val="0"/>
                <w:sz w:val="18"/>
                <w:szCs w:val="18"/>
              </w:rPr>
              <w:br w:type="textWrapping"/>
            </w:r>
            <w:r>
              <w:rPr>
                <w:rFonts w:hint="eastAsia" w:ascii="宋体" w:hAnsi="宋体" w:cs="宋体"/>
                <w:kern w:val="0"/>
                <w:sz w:val="18"/>
                <w:szCs w:val="18"/>
              </w:rPr>
              <w:t>1.2.2.2 支持批量排班功能，包括复制前一天排班、按月批量排班。</w:t>
            </w:r>
            <w:r>
              <w:rPr>
                <w:rFonts w:hint="eastAsia" w:ascii="宋体" w:hAnsi="宋体" w:cs="宋体"/>
                <w:kern w:val="0"/>
                <w:sz w:val="18"/>
                <w:szCs w:val="18"/>
              </w:rPr>
              <w:br w:type="textWrapping"/>
            </w:r>
            <w:r>
              <w:rPr>
                <w:rFonts w:hint="eastAsia" w:ascii="宋体" w:hAnsi="宋体" w:cs="宋体"/>
                <w:kern w:val="0"/>
                <w:sz w:val="18"/>
                <w:szCs w:val="18"/>
              </w:rPr>
              <w:t>1.2.2.3 排班情况需直接影响工单派单、脏房分配及员工手机端登录权限。</w:t>
            </w:r>
            <w:r>
              <w:rPr>
                <w:rFonts w:hint="eastAsia" w:ascii="宋体" w:hAnsi="宋体" w:cs="宋体"/>
                <w:kern w:val="0"/>
                <w:sz w:val="18"/>
                <w:szCs w:val="18"/>
              </w:rPr>
              <w:br w:type="textWrapping"/>
            </w:r>
            <w:r>
              <w:rPr>
                <w:rFonts w:hint="eastAsia" w:ascii="宋体" w:hAnsi="宋体" w:cs="宋体"/>
                <w:kern w:val="0"/>
                <w:sz w:val="18"/>
                <w:szCs w:val="18"/>
              </w:rPr>
              <w:t>1.2.3 用户全生命周期管理</w:t>
            </w:r>
            <w:r>
              <w:rPr>
                <w:rFonts w:hint="eastAsia" w:ascii="宋体" w:hAnsi="宋体" w:cs="宋体"/>
                <w:kern w:val="0"/>
                <w:sz w:val="18"/>
                <w:szCs w:val="18"/>
              </w:rPr>
              <w:br w:type="textWrapping"/>
            </w:r>
            <w:r>
              <w:rPr>
                <w:rFonts w:hint="eastAsia" w:ascii="宋体" w:hAnsi="宋体" w:cs="宋体"/>
                <w:kern w:val="0"/>
                <w:sz w:val="18"/>
                <w:szCs w:val="18"/>
              </w:rPr>
              <w:t>1.2.3.1 注册申请：支持内部员工及外包员工通过手机端提交新用户注册申请。</w:t>
            </w:r>
            <w:r>
              <w:rPr>
                <w:rFonts w:hint="eastAsia" w:ascii="宋体" w:hAnsi="宋体" w:cs="宋体"/>
                <w:kern w:val="0"/>
                <w:sz w:val="18"/>
                <w:szCs w:val="18"/>
              </w:rPr>
              <w:br w:type="textWrapping"/>
            </w:r>
            <w:r>
              <w:rPr>
                <w:rFonts w:hint="eastAsia" w:ascii="宋体" w:hAnsi="宋体" w:cs="宋体"/>
                <w:kern w:val="0"/>
                <w:sz w:val="18"/>
                <w:szCs w:val="18"/>
              </w:rPr>
              <w:t>1.2.3.2 审核机制：支持经理、主管、领班在电脑端或手机端进行审核（通过/拒绝）。</w:t>
            </w:r>
            <w:r>
              <w:rPr>
                <w:rFonts w:hint="eastAsia" w:ascii="宋体" w:hAnsi="宋体" w:cs="宋体"/>
                <w:kern w:val="0"/>
                <w:sz w:val="18"/>
                <w:szCs w:val="18"/>
              </w:rPr>
              <w:br w:type="textWrapping"/>
            </w:r>
            <w:r>
              <w:rPr>
                <w:rFonts w:hint="eastAsia" w:ascii="宋体" w:hAnsi="宋体" w:cs="宋体"/>
                <w:kern w:val="0"/>
                <w:sz w:val="18"/>
                <w:szCs w:val="18"/>
              </w:rPr>
              <w:t>1.2.3.3 信息维护：需维护酒店部门组织架构及员工基本信息、联系方式、业务设置和服务区域。</w:t>
            </w:r>
            <w:r>
              <w:rPr>
                <w:rFonts w:hint="eastAsia" w:ascii="宋体" w:hAnsi="宋体" w:cs="宋体"/>
                <w:kern w:val="0"/>
                <w:sz w:val="18"/>
                <w:szCs w:val="18"/>
              </w:rPr>
              <w:br w:type="textWrapping"/>
            </w:r>
            <w:r>
              <w:rPr>
                <w:rFonts w:hint="eastAsia" w:ascii="宋体" w:hAnsi="宋体" w:cs="宋体"/>
                <w:kern w:val="0"/>
                <w:sz w:val="18"/>
                <w:szCs w:val="18"/>
              </w:rPr>
              <w:t>1.2.3.4 服务组管理：支持按业务类型划分服务组，用于后续计划卫生及流程工单的分配。</w:t>
            </w:r>
            <w:r>
              <w:rPr>
                <w:rFonts w:hint="eastAsia" w:ascii="宋体" w:hAnsi="宋体" w:cs="宋体"/>
                <w:kern w:val="0"/>
                <w:sz w:val="18"/>
                <w:szCs w:val="18"/>
              </w:rPr>
              <w:br w:type="textWrapping"/>
            </w:r>
            <w:r>
              <w:rPr>
                <w:rFonts w:hint="eastAsia" w:ascii="宋体" w:hAnsi="宋体" w:cs="宋体"/>
                <w:kern w:val="0"/>
                <w:sz w:val="18"/>
                <w:szCs w:val="18"/>
              </w:rPr>
              <w:t>1.2.4 权限管理</w:t>
            </w:r>
            <w:r>
              <w:rPr>
                <w:rFonts w:hint="eastAsia" w:ascii="宋体" w:hAnsi="宋体" w:cs="宋体"/>
                <w:kern w:val="0"/>
                <w:sz w:val="18"/>
                <w:szCs w:val="18"/>
              </w:rPr>
              <w:br w:type="textWrapping"/>
            </w:r>
            <w:r>
              <w:rPr>
                <w:rFonts w:hint="eastAsia" w:ascii="宋体" w:hAnsi="宋体" w:cs="宋体"/>
                <w:kern w:val="0"/>
                <w:sz w:val="18"/>
                <w:szCs w:val="18"/>
              </w:rPr>
              <w:t>1.2.4.1 需维护每一个部门职位在系统中的功能权限。</w:t>
            </w:r>
            <w:r>
              <w:rPr>
                <w:rFonts w:hint="eastAsia" w:ascii="宋体" w:hAnsi="宋体" w:cs="宋体"/>
                <w:kern w:val="0"/>
                <w:sz w:val="18"/>
                <w:szCs w:val="18"/>
              </w:rPr>
              <w:br w:type="textWrapping"/>
            </w:r>
            <w:r>
              <w:rPr>
                <w:rFonts w:hint="eastAsia" w:ascii="宋体" w:hAnsi="宋体" w:cs="宋体"/>
                <w:kern w:val="0"/>
                <w:sz w:val="18"/>
                <w:szCs w:val="18"/>
              </w:rPr>
              <w:t>1.3 系统配置与个性化</w:t>
            </w:r>
            <w:r>
              <w:rPr>
                <w:rFonts w:hint="eastAsia" w:ascii="宋体" w:hAnsi="宋体" w:cs="宋体"/>
                <w:kern w:val="0"/>
                <w:sz w:val="18"/>
                <w:szCs w:val="18"/>
              </w:rPr>
              <w:br w:type="textWrapping"/>
            </w:r>
            <w:r>
              <w:rPr>
                <w:rFonts w:hint="eastAsia" w:ascii="宋体" w:hAnsi="宋体" w:cs="宋体"/>
                <w:kern w:val="0"/>
                <w:sz w:val="18"/>
                <w:szCs w:val="18"/>
              </w:rPr>
              <w:t>1.3.1 系统参数</w:t>
            </w:r>
            <w:r>
              <w:rPr>
                <w:rFonts w:hint="eastAsia" w:ascii="宋体" w:hAnsi="宋体" w:cs="宋体"/>
                <w:kern w:val="0"/>
                <w:sz w:val="18"/>
                <w:szCs w:val="18"/>
              </w:rPr>
              <w:br w:type="textWrapping"/>
            </w:r>
            <w:r>
              <w:rPr>
                <w:rFonts w:hint="eastAsia" w:ascii="宋体" w:hAnsi="宋体" w:cs="宋体"/>
                <w:kern w:val="0"/>
                <w:sz w:val="18"/>
                <w:szCs w:val="18"/>
              </w:rPr>
              <w:t>1.3.1.1 系统字典：设置系统配置项（如取消清洁原因、取消工单原因等）。</w:t>
            </w:r>
            <w:r>
              <w:rPr>
                <w:rFonts w:hint="eastAsia" w:ascii="宋体" w:hAnsi="宋体" w:cs="宋体"/>
                <w:kern w:val="0"/>
                <w:sz w:val="18"/>
                <w:szCs w:val="18"/>
              </w:rPr>
              <w:br w:type="textWrapping"/>
            </w:r>
            <w:r>
              <w:rPr>
                <w:rFonts w:hint="eastAsia" w:ascii="宋体" w:hAnsi="宋体" w:cs="宋体"/>
                <w:color w:val="auto"/>
                <w:kern w:val="0"/>
                <w:sz w:val="18"/>
                <w:szCs w:val="18"/>
              </w:rPr>
              <w:t>1.3.1.2 运行参数：系统需具备默认值机制。</w:t>
            </w:r>
            <w:r>
              <w:rPr>
                <w:rFonts w:hint="eastAsia" w:ascii="宋体" w:hAnsi="宋体" w:cs="宋体"/>
                <w:kern w:val="0"/>
                <w:sz w:val="18"/>
                <w:szCs w:val="18"/>
              </w:rPr>
              <w:br w:type="textWrapping"/>
            </w:r>
            <w:r>
              <w:rPr>
                <w:rFonts w:hint="eastAsia" w:ascii="宋体" w:hAnsi="宋体" w:cs="宋体"/>
                <w:kern w:val="0"/>
                <w:sz w:val="18"/>
                <w:szCs w:val="18"/>
              </w:rPr>
              <w:t>1.3.2 个人工作台</w:t>
            </w:r>
            <w:r>
              <w:rPr>
                <w:rFonts w:hint="eastAsia" w:ascii="宋体" w:hAnsi="宋体" w:cs="宋体"/>
                <w:kern w:val="0"/>
                <w:sz w:val="18"/>
                <w:szCs w:val="18"/>
              </w:rPr>
              <w:br w:type="textWrapping"/>
            </w:r>
            <w:r>
              <w:rPr>
                <w:rFonts w:hint="eastAsia" w:ascii="宋体" w:hAnsi="宋体" w:cs="宋体"/>
                <w:kern w:val="0"/>
                <w:sz w:val="18"/>
                <w:szCs w:val="18"/>
              </w:rPr>
              <w:t>1.3.2.1 专属工作台：显示与登录用户相关的所有待办工作信息。</w:t>
            </w:r>
            <w:r>
              <w:rPr>
                <w:rFonts w:hint="eastAsia" w:ascii="宋体" w:hAnsi="宋体" w:cs="宋体"/>
                <w:kern w:val="0"/>
                <w:sz w:val="18"/>
                <w:szCs w:val="18"/>
              </w:rPr>
              <w:br w:type="textWrapping"/>
            </w:r>
            <w:r>
              <w:rPr>
                <w:rFonts w:hint="eastAsia" w:ascii="宋体" w:hAnsi="宋体" w:cs="宋体"/>
                <w:kern w:val="0"/>
                <w:sz w:val="18"/>
                <w:szCs w:val="18"/>
              </w:rPr>
              <w:t>1.3.2.2 主题个性化：员工可按个人喜好选择主题色，并支持设置工作台背景。</w:t>
            </w:r>
            <w:r>
              <w:rPr>
                <w:rFonts w:hint="eastAsia" w:ascii="宋体" w:hAnsi="宋体" w:cs="宋体"/>
                <w:kern w:val="0"/>
                <w:sz w:val="18"/>
                <w:szCs w:val="18"/>
              </w:rPr>
              <w:br w:type="textWrapping"/>
            </w:r>
            <w:r>
              <w:rPr>
                <w:rFonts w:hint="eastAsia" w:ascii="宋体" w:hAnsi="宋体" w:cs="宋体"/>
                <w:kern w:val="0"/>
                <w:sz w:val="18"/>
                <w:szCs w:val="18"/>
              </w:rPr>
              <w:t>2. 客房清洁与服务模块</w:t>
            </w:r>
            <w:r>
              <w:rPr>
                <w:rFonts w:hint="eastAsia" w:ascii="宋体" w:hAnsi="宋体" w:cs="宋体"/>
                <w:kern w:val="0"/>
                <w:sz w:val="18"/>
                <w:szCs w:val="18"/>
              </w:rPr>
              <w:br w:type="textWrapping"/>
            </w:r>
            <w:r>
              <w:rPr>
                <w:rFonts w:hint="eastAsia" w:ascii="宋体" w:hAnsi="宋体" w:cs="宋体"/>
                <w:kern w:val="0"/>
                <w:sz w:val="18"/>
                <w:szCs w:val="18"/>
              </w:rPr>
              <w:t>需涵盖从任务分配、员工执行到管理人员质检的全流程闭环管理。</w:t>
            </w:r>
            <w:r>
              <w:rPr>
                <w:rFonts w:hint="eastAsia" w:ascii="宋体" w:hAnsi="宋体" w:cs="宋体"/>
                <w:kern w:val="0"/>
                <w:sz w:val="18"/>
                <w:szCs w:val="18"/>
              </w:rPr>
              <w:br w:type="textWrapping"/>
            </w:r>
            <w:r>
              <w:rPr>
                <w:rFonts w:hint="eastAsia" w:ascii="宋体" w:hAnsi="宋体" w:cs="宋体"/>
                <w:kern w:val="0"/>
                <w:sz w:val="18"/>
                <w:szCs w:val="18"/>
              </w:rPr>
              <w:t>2.1 清洁规则与核算配置</w:t>
            </w:r>
            <w:r>
              <w:rPr>
                <w:rFonts w:hint="eastAsia" w:ascii="宋体" w:hAnsi="宋体" w:cs="宋体"/>
                <w:kern w:val="0"/>
                <w:sz w:val="18"/>
                <w:szCs w:val="18"/>
              </w:rPr>
              <w:br w:type="textWrapping"/>
            </w:r>
            <w:r>
              <w:rPr>
                <w:rFonts w:hint="eastAsia" w:ascii="宋体" w:hAnsi="宋体" w:cs="宋体"/>
                <w:kern w:val="0"/>
                <w:sz w:val="18"/>
                <w:szCs w:val="18"/>
              </w:rPr>
              <w:t xml:space="preserve">2.1.1 流程与标准 </w:t>
            </w:r>
            <w:r>
              <w:rPr>
                <w:rFonts w:hint="eastAsia" w:ascii="宋体" w:hAnsi="宋体" w:cs="宋体"/>
                <w:kern w:val="0"/>
                <w:sz w:val="18"/>
                <w:szCs w:val="18"/>
              </w:rPr>
              <w:br w:type="textWrapping"/>
            </w:r>
            <w:r>
              <w:rPr>
                <w:rFonts w:hint="eastAsia" w:ascii="宋体" w:hAnsi="宋体" w:cs="宋体"/>
                <w:kern w:val="0"/>
                <w:sz w:val="18"/>
                <w:szCs w:val="18"/>
              </w:rPr>
              <w:t>2.1.1.1 做房流程：配置符合酒店实际业务的做房流程及其他相关配置项。</w:t>
            </w:r>
            <w:r>
              <w:rPr>
                <w:rFonts w:hint="eastAsia" w:ascii="宋体" w:hAnsi="宋体" w:cs="宋体"/>
                <w:kern w:val="0"/>
                <w:sz w:val="18"/>
                <w:szCs w:val="18"/>
              </w:rPr>
              <w:br w:type="textWrapping"/>
            </w:r>
            <w:r>
              <w:rPr>
                <w:rFonts w:hint="eastAsia" w:ascii="宋体" w:hAnsi="宋体" w:cs="宋体"/>
                <w:kern w:val="0"/>
                <w:sz w:val="18"/>
                <w:szCs w:val="18"/>
              </w:rPr>
              <w:t>2.1.1.2 清洁标准用时：设置各类房型、各类清洁类型（退房、续住、空房等）的清洁标准用时，用于计算房间当前清洁进度。</w:t>
            </w:r>
            <w:r>
              <w:rPr>
                <w:rFonts w:hint="eastAsia" w:ascii="宋体" w:hAnsi="宋体" w:cs="宋体"/>
                <w:kern w:val="0"/>
                <w:sz w:val="18"/>
                <w:szCs w:val="18"/>
              </w:rPr>
              <w:br w:type="textWrapping"/>
            </w:r>
            <w:r>
              <w:rPr>
                <w:rFonts w:hint="eastAsia" w:ascii="宋体" w:hAnsi="宋体" w:cs="宋体"/>
                <w:kern w:val="0"/>
                <w:sz w:val="18"/>
                <w:szCs w:val="18"/>
              </w:rPr>
              <w:t>2.1.1.3 房间默认布草：设置每种房型的默认布草数量，方便清洁员录入时默认填入。 2.1.1.4 免检设置：可针对特殊班次或特殊员工设置免检流程，免检员工做房后可直接放房。</w:t>
            </w:r>
            <w:r>
              <w:rPr>
                <w:rFonts w:hint="eastAsia" w:ascii="宋体" w:hAnsi="宋体" w:cs="宋体"/>
                <w:kern w:val="0"/>
                <w:sz w:val="18"/>
                <w:szCs w:val="18"/>
              </w:rPr>
              <w:br w:type="textWrapping"/>
            </w:r>
            <w:r>
              <w:rPr>
                <w:rFonts w:hint="eastAsia" w:ascii="宋体" w:hAnsi="宋体" w:cs="宋体"/>
                <w:kern w:val="0"/>
                <w:sz w:val="18"/>
                <w:szCs w:val="18"/>
              </w:rPr>
              <w:t>2.1.2 考核与核算</w:t>
            </w:r>
            <w:r>
              <w:rPr>
                <w:rFonts w:hint="eastAsia" w:ascii="宋体" w:hAnsi="宋体" w:cs="宋体"/>
                <w:kern w:val="0"/>
                <w:sz w:val="18"/>
                <w:szCs w:val="18"/>
              </w:rPr>
              <w:br w:type="textWrapping"/>
            </w:r>
            <w:r>
              <w:rPr>
                <w:rFonts w:hint="eastAsia" w:ascii="宋体" w:hAnsi="宋体" w:cs="宋体"/>
                <w:kern w:val="0"/>
                <w:sz w:val="18"/>
                <w:szCs w:val="18"/>
              </w:rPr>
              <w:t>2.1.2.1 清洁核算规则：设置各类房型、各类清洁类型的计件数，用于统计员工清洁工作量。</w:t>
            </w:r>
            <w:r>
              <w:rPr>
                <w:rFonts w:hint="eastAsia" w:ascii="宋体" w:hAnsi="宋体" w:cs="宋体"/>
                <w:kern w:val="0"/>
                <w:sz w:val="18"/>
                <w:szCs w:val="18"/>
              </w:rPr>
              <w:br w:type="textWrapping"/>
            </w:r>
            <w:r>
              <w:rPr>
                <w:rFonts w:hint="eastAsia" w:ascii="宋体" w:hAnsi="宋体" w:cs="宋体"/>
                <w:kern w:val="0"/>
                <w:sz w:val="18"/>
                <w:szCs w:val="18"/>
              </w:rPr>
              <w:t>2.1.2.2 提成方式：支持补贴、计件-按房间数扣除保底、按计件扣除保底等多种计件提成方式。</w:t>
            </w:r>
            <w:r>
              <w:rPr>
                <w:rFonts w:hint="eastAsia" w:ascii="宋体" w:hAnsi="宋体" w:cs="宋体"/>
                <w:kern w:val="0"/>
                <w:sz w:val="18"/>
                <w:szCs w:val="18"/>
              </w:rPr>
              <w:br w:type="textWrapping"/>
            </w:r>
            <w:r>
              <w:rPr>
                <w:rFonts w:hint="eastAsia" w:ascii="宋体" w:hAnsi="宋体" w:cs="宋体"/>
                <w:kern w:val="0"/>
                <w:sz w:val="18"/>
                <w:szCs w:val="18"/>
              </w:rPr>
              <w:t>2.2 任务分配与调度</w:t>
            </w:r>
            <w:r>
              <w:rPr>
                <w:rFonts w:hint="eastAsia" w:ascii="宋体" w:hAnsi="宋体" w:cs="宋体"/>
                <w:kern w:val="0"/>
                <w:sz w:val="18"/>
                <w:szCs w:val="18"/>
              </w:rPr>
              <w:br w:type="textWrapping"/>
            </w:r>
            <w:r>
              <w:rPr>
                <w:rFonts w:hint="eastAsia" w:ascii="宋体" w:hAnsi="宋体" w:cs="宋体"/>
                <w:kern w:val="0"/>
                <w:sz w:val="18"/>
                <w:szCs w:val="18"/>
              </w:rPr>
              <w:t>2.2.1 房间分配</w:t>
            </w:r>
            <w:r>
              <w:rPr>
                <w:rFonts w:hint="eastAsia" w:ascii="宋体" w:hAnsi="宋体" w:cs="宋体"/>
                <w:kern w:val="0"/>
                <w:sz w:val="18"/>
                <w:szCs w:val="18"/>
              </w:rPr>
              <w:br w:type="textWrapping"/>
            </w:r>
            <w:r>
              <w:rPr>
                <w:rFonts w:hint="eastAsia" w:ascii="宋体" w:hAnsi="宋体" w:cs="宋体"/>
                <w:kern w:val="0"/>
                <w:sz w:val="18"/>
                <w:szCs w:val="18"/>
              </w:rPr>
              <w:t>2.2.1.1 脏房分配：支持经理/主管/领班在电脑端或手机端进行手动或自动分配。</w:t>
            </w:r>
            <w:r>
              <w:rPr>
                <w:rFonts w:hint="eastAsia" w:ascii="宋体" w:hAnsi="宋体" w:cs="宋体"/>
                <w:kern w:val="0"/>
                <w:sz w:val="18"/>
                <w:szCs w:val="18"/>
              </w:rPr>
              <w:br w:type="textWrapping"/>
            </w:r>
            <w:r>
              <w:rPr>
                <w:rFonts w:hint="eastAsia" w:ascii="宋体" w:hAnsi="宋体" w:cs="宋体"/>
                <w:kern w:val="0"/>
                <w:sz w:val="18"/>
                <w:szCs w:val="18"/>
              </w:rPr>
              <w:t>2.2.1.2 空维房分配：支持经理/主管/领班在电脑端或手机端进行手动或自动分配。</w:t>
            </w:r>
            <w:r>
              <w:rPr>
                <w:rFonts w:hint="eastAsia" w:ascii="宋体" w:hAnsi="宋体" w:cs="宋体"/>
                <w:kern w:val="0"/>
                <w:sz w:val="18"/>
                <w:szCs w:val="18"/>
              </w:rPr>
              <w:br w:type="textWrapping"/>
            </w:r>
            <w:r>
              <w:rPr>
                <w:rFonts w:hint="eastAsia" w:ascii="宋体" w:hAnsi="宋体" w:cs="宋体"/>
                <w:kern w:val="0"/>
                <w:sz w:val="18"/>
                <w:szCs w:val="18"/>
              </w:rPr>
              <w:t>2.2.1.3 脏房查房分配：支持经理/主管/领班在电脑端或手机端进行手动或自动分配。</w:t>
            </w:r>
            <w:r>
              <w:rPr>
                <w:rFonts w:hint="eastAsia" w:ascii="宋体" w:hAnsi="宋体" w:cs="宋体"/>
                <w:kern w:val="0"/>
                <w:sz w:val="18"/>
                <w:szCs w:val="18"/>
              </w:rPr>
              <w:br w:type="textWrapping"/>
            </w:r>
            <w:r>
              <w:rPr>
                <w:rFonts w:hint="eastAsia" w:ascii="宋体" w:hAnsi="宋体" w:cs="宋体"/>
                <w:kern w:val="0"/>
                <w:sz w:val="18"/>
                <w:szCs w:val="18"/>
              </w:rPr>
              <w:t>2.2.2 灵活调度</w:t>
            </w:r>
            <w:r>
              <w:rPr>
                <w:rFonts w:hint="eastAsia" w:ascii="宋体" w:hAnsi="宋体" w:cs="宋体"/>
                <w:kern w:val="0"/>
                <w:sz w:val="18"/>
                <w:szCs w:val="18"/>
              </w:rPr>
              <w:br w:type="textWrapping"/>
            </w:r>
            <w:r>
              <w:rPr>
                <w:rFonts w:hint="eastAsia" w:ascii="宋体" w:hAnsi="宋体" w:cs="宋体"/>
                <w:kern w:val="0"/>
                <w:sz w:val="18"/>
                <w:szCs w:val="18"/>
              </w:rPr>
              <w:t>2.2.2.1 二次分配：针对临时清洁任务，支持通过二次分配功能进行额外分配。</w:t>
            </w:r>
            <w:r>
              <w:rPr>
                <w:rFonts w:hint="eastAsia" w:ascii="宋体" w:hAnsi="宋体" w:cs="宋体"/>
                <w:kern w:val="0"/>
                <w:sz w:val="18"/>
                <w:szCs w:val="18"/>
              </w:rPr>
              <w:br w:type="textWrapping"/>
            </w:r>
            <w:r>
              <w:rPr>
                <w:rFonts w:hint="eastAsia" w:ascii="宋体" w:hAnsi="宋体" w:cs="宋体"/>
                <w:kern w:val="0"/>
                <w:sz w:val="18"/>
                <w:szCs w:val="18"/>
              </w:rPr>
              <w:t>2.2.2.2 发起赶房：支持PMS发起赶房指令，通知当日负责清洁人员，并将房间清洁任务优先级提至最高。</w:t>
            </w:r>
            <w:r>
              <w:rPr>
                <w:rFonts w:hint="eastAsia" w:ascii="宋体" w:hAnsi="宋体" w:cs="宋体"/>
                <w:kern w:val="0"/>
                <w:sz w:val="18"/>
                <w:szCs w:val="18"/>
              </w:rPr>
              <w:br w:type="textWrapping"/>
            </w:r>
            <w:r>
              <w:rPr>
                <w:rFonts w:hint="eastAsia" w:ascii="宋体" w:hAnsi="宋体" w:cs="宋体"/>
                <w:kern w:val="0"/>
                <w:sz w:val="18"/>
                <w:szCs w:val="18"/>
              </w:rPr>
              <w:t>2.3 员工执行与查房</w:t>
            </w:r>
            <w:r>
              <w:rPr>
                <w:rFonts w:hint="eastAsia" w:ascii="宋体" w:hAnsi="宋体" w:cs="宋体"/>
                <w:kern w:val="0"/>
                <w:sz w:val="18"/>
                <w:szCs w:val="18"/>
              </w:rPr>
              <w:br w:type="textWrapping"/>
            </w:r>
            <w:r>
              <w:rPr>
                <w:rFonts w:hint="eastAsia" w:ascii="宋体" w:hAnsi="宋体" w:cs="宋体"/>
                <w:kern w:val="0"/>
                <w:sz w:val="18"/>
                <w:szCs w:val="18"/>
              </w:rPr>
              <w:t>2.3.1 员工做房操作</w:t>
            </w:r>
            <w:r>
              <w:rPr>
                <w:rFonts w:hint="eastAsia" w:ascii="宋体" w:hAnsi="宋体" w:cs="宋体"/>
                <w:kern w:val="0"/>
                <w:sz w:val="18"/>
                <w:szCs w:val="18"/>
              </w:rPr>
              <w:br w:type="textWrapping"/>
            </w:r>
            <w:r>
              <w:rPr>
                <w:rFonts w:hint="eastAsia" w:ascii="宋体" w:hAnsi="宋体" w:cs="宋体"/>
                <w:kern w:val="0"/>
                <w:sz w:val="18"/>
                <w:szCs w:val="18"/>
              </w:rPr>
              <w:t>2.3.1.1 布草易耗：员工做房时可录入布草、易耗品，后续生成相关报表统计。</w:t>
            </w:r>
            <w:r>
              <w:rPr>
                <w:rFonts w:hint="eastAsia" w:ascii="宋体" w:hAnsi="宋体" w:cs="宋体"/>
                <w:kern w:val="0"/>
                <w:sz w:val="18"/>
                <w:szCs w:val="18"/>
              </w:rPr>
              <w:br w:type="textWrapping"/>
            </w:r>
            <w:r>
              <w:rPr>
                <w:rFonts w:hint="eastAsia" w:ascii="宋体" w:hAnsi="宋体" w:cs="宋体"/>
                <w:kern w:val="0"/>
                <w:sz w:val="18"/>
                <w:szCs w:val="18"/>
              </w:rPr>
              <w:t>2.3.1.2 房间消杀：员工做房时可单独完成房间消杀功能。</w:t>
            </w:r>
            <w:r>
              <w:rPr>
                <w:rFonts w:hint="eastAsia" w:ascii="宋体" w:hAnsi="宋体" w:cs="宋体"/>
                <w:kern w:val="0"/>
                <w:sz w:val="18"/>
                <w:szCs w:val="18"/>
              </w:rPr>
              <w:br w:type="textWrapping"/>
            </w:r>
            <w:r>
              <w:rPr>
                <w:rFonts w:hint="eastAsia" w:ascii="宋体" w:hAnsi="宋体" w:cs="宋体"/>
                <w:kern w:val="0"/>
                <w:sz w:val="18"/>
                <w:szCs w:val="18"/>
              </w:rPr>
              <w:t>2.3.1.3 物品处理：支持录入房间遗留物品（同步PMS）、租赁物品归还或录入（同步PMS）。</w:t>
            </w:r>
            <w:r>
              <w:rPr>
                <w:rFonts w:hint="eastAsia" w:ascii="宋体" w:hAnsi="宋体" w:cs="宋体"/>
                <w:kern w:val="0"/>
                <w:sz w:val="18"/>
                <w:szCs w:val="18"/>
              </w:rPr>
              <w:br w:type="textWrapping"/>
            </w:r>
            <w:r>
              <w:rPr>
                <w:rFonts w:hint="eastAsia" w:ascii="宋体" w:hAnsi="宋体" w:cs="宋体"/>
                <w:kern w:val="0"/>
                <w:sz w:val="18"/>
                <w:szCs w:val="18"/>
              </w:rPr>
              <w:t>2.3.2 管理人员查房</w:t>
            </w:r>
            <w:r>
              <w:rPr>
                <w:rFonts w:hint="eastAsia" w:ascii="宋体" w:hAnsi="宋体" w:cs="宋体"/>
                <w:kern w:val="0"/>
                <w:sz w:val="18"/>
                <w:szCs w:val="18"/>
              </w:rPr>
              <w:br w:type="textWrapping"/>
            </w:r>
            <w:r>
              <w:rPr>
                <w:rFonts w:hint="eastAsia" w:ascii="宋体" w:hAnsi="宋体" w:cs="宋体"/>
                <w:kern w:val="0"/>
                <w:sz w:val="18"/>
                <w:szCs w:val="18"/>
              </w:rPr>
              <w:t>2.3.2.1 支持主管对员工清洁后的脏房进行检查，支持检查通过或驳回返工。</w:t>
            </w:r>
            <w:r>
              <w:rPr>
                <w:rFonts w:hint="eastAsia" w:ascii="宋体" w:hAnsi="宋体" w:cs="宋体"/>
                <w:kern w:val="0"/>
                <w:sz w:val="18"/>
                <w:szCs w:val="18"/>
              </w:rPr>
              <w:br w:type="textWrapping"/>
            </w:r>
            <w:r>
              <w:rPr>
                <w:rFonts w:hint="eastAsia" w:ascii="宋体" w:hAnsi="宋体" w:cs="宋体"/>
                <w:kern w:val="0"/>
                <w:sz w:val="18"/>
                <w:szCs w:val="18"/>
              </w:rPr>
              <w:t>2.4 统计与报表</w:t>
            </w:r>
            <w:r>
              <w:rPr>
                <w:rFonts w:hint="eastAsia" w:ascii="宋体" w:hAnsi="宋体" w:cs="宋体"/>
                <w:kern w:val="0"/>
                <w:sz w:val="18"/>
                <w:szCs w:val="18"/>
              </w:rPr>
              <w:br w:type="textWrapping"/>
            </w:r>
            <w:r>
              <w:rPr>
                <w:rFonts w:hint="eastAsia" w:ascii="宋体" w:hAnsi="宋体" w:cs="宋体"/>
                <w:kern w:val="0"/>
                <w:sz w:val="18"/>
                <w:szCs w:val="18"/>
              </w:rPr>
              <w:t>2.4.1 进度跟踪</w:t>
            </w:r>
            <w:r>
              <w:rPr>
                <w:rFonts w:hint="eastAsia" w:ascii="宋体" w:hAnsi="宋体" w:cs="宋体"/>
                <w:kern w:val="0"/>
                <w:sz w:val="18"/>
                <w:szCs w:val="18"/>
              </w:rPr>
              <w:br w:type="textWrapping"/>
            </w:r>
            <w:r>
              <w:rPr>
                <w:rFonts w:hint="eastAsia" w:ascii="宋体" w:hAnsi="宋体" w:cs="宋体"/>
                <w:kern w:val="0"/>
                <w:sz w:val="18"/>
                <w:szCs w:val="18"/>
              </w:rPr>
              <w:t>2.4.1.1 工作量查询：支持在员工端或电脑端查询每一位清洁员今日分配的房间数和计件数。</w:t>
            </w:r>
            <w:r>
              <w:rPr>
                <w:rFonts w:hint="eastAsia" w:ascii="宋体" w:hAnsi="宋体" w:cs="宋体"/>
                <w:kern w:val="0"/>
                <w:sz w:val="18"/>
                <w:szCs w:val="18"/>
              </w:rPr>
              <w:br w:type="textWrapping"/>
            </w:r>
            <w:r>
              <w:rPr>
                <w:rFonts w:hint="eastAsia" w:ascii="宋体" w:hAnsi="宋体" w:cs="宋体"/>
                <w:kern w:val="0"/>
                <w:sz w:val="18"/>
                <w:szCs w:val="18"/>
              </w:rPr>
              <w:t>2.4.1.2 进度查询：支持查询每个房间的实时清洁进度。</w:t>
            </w:r>
            <w:r>
              <w:rPr>
                <w:rFonts w:hint="eastAsia" w:ascii="宋体" w:hAnsi="宋体" w:cs="宋体"/>
                <w:kern w:val="0"/>
                <w:sz w:val="18"/>
                <w:szCs w:val="18"/>
              </w:rPr>
              <w:br w:type="textWrapping"/>
            </w:r>
            <w:r>
              <w:rPr>
                <w:rFonts w:hint="eastAsia" w:ascii="宋体" w:hAnsi="宋体" w:cs="宋体"/>
                <w:kern w:val="0"/>
                <w:sz w:val="18"/>
                <w:szCs w:val="18"/>
              </w:rPr>
              <w:t>2.4.1.3 工作量补录：若需额外补充工作量，支持进行补录操作。</w:t>
            </w:r>
            <w:r>
              <w:rPr>
                <w:rFonts w:hint="eastAsia" w:ascii="宋体" w:hAnsi="宋体" w:cs="宋体"/>
                <w:kern w:val="0"/>
                <w:sz w:val="18"/>
                <w:szCs w:val="18"/>
              </w:rPr>
              <w:br w:type="textWrapping"/>
            </w:r>
            <w:r>
              <w:rPr>
                <w:rFonts w:hint="eastAsia" w:ascii="宋体" w:hAnsi="宋体" w:cs="宋体"/>
                <w:kern w:val="0"/>
                <w:sz w:val="18"/>
                <w:szCs w:val="18"/>
              </w:rPr>
              <w:t>2.4.2 绩效统计</w:t>
            </w:r>
            <w:r>
              <w:rPr>
                <w:rFonts w:hint="eastAsia" w:ascii="宋体" w:hAnsi="宋体" w:cs="宋体"/>
                <w:kern w:val="0"/>
                <w:sz w:val="18"/>
                <w:szCs w:val="18"/>
              </w:rPr>
              <w:br w:type="textWrapping"/>
            </w:r>
            <w:r>
              <w:rPr>
                <w:rFonts w:hint="eastAsia" w:ascii="宋体" w:hAnsi="宋体" w:cs="宋体"/>
                <w:kern w:val="0"/>
                <w:sz w:val="18"/>
                <w:szCs w:val="18"/>
              </w:rPr>
              <w:t>2.4.2.1 员工清洁统计：支持统计员工计件提成、返工率、出勤情况、平均清洁用时、各清洁类型及房型做房数。</w:t>
            </w:r>
            <w:r>
              <w:rPr>
                <w:rFonts w:hint="eastAsia" w:ascii="宋体" w:hAnsi="宋体" w:cs="宋体"/>
                <w:kern w:val="0"/>
                <w:sz w:val="18"/>
                <w:szCs w:val="18"/>
              </w:rPr>
              <w:br w:type="textWrapping"/>
            </w:r>
            <w:r>
              <w:rPr>
                <w:rFonts w:hint="eastAsia" w:ascii="宋体" w:hAnsi="宋体" w:cs="宋体"/>
                <w:kern w:val="0"/>
                <w:sz w:val="18"/>
                <w:szCs w:val="18"/>
              </w:rPr>
              <w:t>2.4.2.2 领班查房统计：支持统计领班查房数、返工率、出勤情况。</w:t>
            </w:r>
            <w:r>
              <w:rPr>
                <w:rFonts w:hint="eastAsia" w:ascii="宋体" w:hAnsi="宋体" w:cs="宋体"/>
                <w:kern w:val="0"/>
                <w:sz w:val="18"/>
                <w:szCs w:val="18"/>
              </w:rPr>
              <w:br w:type="textWrapping"/>
            </w:r>
            <w:r>
              <w:rPr>
                <w:rFonts w:hint="eastAsia" w:ascii="宋体" w:hAnsi="宋体" w:cs="宋体"/>
                <w:kern w:val="0"/>
                <w:sz w:val="18"/>
                <w:szCs w:val="18"/>
              </w:rPr>
              <w:t>2.4.3 物耗统计</w:t>
            </w:r>
            <w:r>
              <w:rPr>
                <w:rFonts w:hint="eastAsia" w:ascii="宋体" w:hAnsi="宋体" w:cs="宋体"/>
                <w:kern w:val="0"/>
                <w:sz w:val="18"/>
                <w:szCs w:val="18"/>
              </w:rPr>
              <w:br w:type="textWrapping"/>
            </w:r>
            <w:r>
              <w:rPr>
                <w:rFonts w:hint="eastAsia" w:ascii="宋体" w:hAnsi="宋体" w:cs="宋体"/>
                <w:kern w:val="0"/>
                <w:sz w:val="18"/>
                <w:szCs w:val="18"/>
              </w:rPr>
              <w:t>2.4.3.1 布草易耗统计：支持统计各类布草、易耗品的消耗数量。</w:t>
            </w:r>
            <w:r>
              <w:rPr>
                <w:rFonts w:hint="eastAsia" w:ascii="宋体" w:hAnsi="宋体" w:cs="宋体"/>
                <w:kern w:val="0"/>
                <w:sz w:val="18"/>
                <w:szCs w:val="18"/>
              </w:rPr>
              <w:br w:type="textWrapping"/>
            </w:r>
            <w:r>
              <w:rPr>
                <w:rFonts w:hint="eastAsia" w:ascii="宋体" w:hAnsi="宋体" w:cs="宋体"/>
                <w:kern w:val="0"/>
                <w:sz w:val="18"/>
                <w:szCs w:val="18"/>
              </w:rPr>
              <w:t>2.4.3.2 明细与记录：支持查询每个房间的清洁明细（进出房记录、计件数等）及清洁操作记录（支持筛选无需清洁、换人清洁等特殊操作）。</w:t>
            </w:r>
            <w:r>
              <w:rPr>
                <w:rFonts w:hint="eastAsia" w:ascii="宋体" w:hAnsi="宋体" w:cs="宋体"/>
                <w:kern w:val="0"/>
                <w:sz w:val="18"/>
                <w:szCs w:val="18"/>
              </w:rPr>
              <w:br w:type="textWrapping"/>
            </w:r>
            <w:r>
              <w:rPr>
                <w:rFonts w:hint="eastAsia" w:ascii="宋体" w:hAnsi="宋体" w:cs="宋体"/>
                <w:kern w:val="0"/>
                <w:sz w:val="18"/>
                <w:szCs w:val="18"/>
              </w:rPr>
              <w:t>2.5 临时/兼职员工方案</w:t>
            </w:r>
            <w:r>
              <w:rPr>
                <w:rFonts w:hint="eastAsia" w:ascii="宋体" w:hAnsi="宋体" w:cs="宋体"/>
                <w:kern w:val="0"/>
                <w:sz w:val="18"/>
                <w:szCs w:val="18"/>
              </w:rPr>
              <w:br w:type="textWrapping"/>
            </w:r>
            <w:r>
              <w:rPr>
                <w:rFonts w:hint="eastAsia" w:ascii="宋体" w:hAnsi="宋体" w:cs="宋体"/>
                <w:kern w:val="0"/>
                <w:sz w:val="18"/>
                <w:szCs w:val="18"/>
              </w:rPr>
              <w:t>2.5.1 快速任务领取</w:t>
            </w:r>
            <w:r>
              <w:rPr>
                <w:rFonts w:hint="eastAsia" w:ascii="宋体" w:hAnsi="宋体" w:cs="宋体"/>
                <w:kern w:val="0"/>
                <w:sz w:val="18"/>
                <w:szCs w:val="18"/>
              </w:rPr>
              <w:br w:type="textWrapping"/>
            </w:r>
            <w:r>
              <w:rPr>
                <w:rFonts w:hint="eastAsia" w:ascii="宋体" w:hAnsi="宋体" w:cs="宋体"/>
                <w:kern w:val="0"/>
                <w:sz w:val="18"/>
                <w:szCs w:val="18"/>
              </w:rPr>
              <w:t>2.5.1.1 针对流动率较高的临时/兼职清洁员，支持提前打包任务。</w:t>
            </w:r>
            <w:r>
              <w:rPr>
                <w:rFonts w:hint="eastAsia" w:ascii="宋体" w:hAnsi="宋体" w:cs="宋体"/>
                <w:kern w:val="0"/>
                <w:sz w:val="18"/>
                <w:szCs w:val="18"/>
              </w:rPr>
              <w:br w:type="textWrapping"/>
            </w:r>
            <w:r>
              <w:rPr>
                <w:rFonts w:hint="eastAsia" w:ascii="宋体" w:hAnsi="宋体" w:cs="宋体"/>
                <w:kern w:val="0"/>
                <w:sz w:val="18"/>
                <w:szCs w:val="18"/>
              </w:rPr>
              <w:t>2.5.1.2 清洁员到店后通过扫码即可领取任务并进行做房，无需复杂账号注册。</w:t>
            </w:r>
            <w:r>
              <w:rPr>
                <w:rFonts w:hint="eastAsia" w:ascii="宋体" w:hAnsi="宋体" w:cs="宋体"/>
                <w:kern w:val="0"/>
                <w:sz w:val="18"/>
                <w:szCs w:val="18"/>
              </w:rPr>
              <w:br w:type="textWrapping"/>
            </w:r>
            <w:r>
              <w:rPr>
                <w:rFonts w:hint="eastAsia" w:ascii="宋体" w:hAnsi="宋体" w:cs="宋体"/>
                <w:kern w:val="0"/>
                <w:sz w:val="18"/>
                <w:szCs w:val="18"/>
              </w:rPr>
              <w:t>3. 工程维修与计划卫生模块</w:t>
            </w:r>
            <w:r>
              <w:rPr>
                <w:rFonts w:hint="eastAsia" w:ascii="宋体" w:hAnsi="宋体" w:cs="宋体"/>
                <w:kern w:val="0"/>
                <w:sz w:val="18"/>
                <w:szCs w:val="18"/>
              </w:rPr>
              <w:br w:type="textWrapping"/>
            </w:r>
            <w:r>
              <w:rPr>
                <w:rFonts w:hint="eastAsia" w:ascii="宋体" w:hAnsi="宋体" w:cs="宋体"/>
                <w:kern w:val="0"/>
                <w:sz w:val="18"/>
                <w:szCs w:val="18"/>
              </w:rPr>
              <w:t>需提供报修、维保及计划性卫生工作的全流程管理。</w:t>
            </w:r>
            <w:r>
              <w:rPr>
                <w:rFonts w:hint="eastAsia" w:ascii="宋体" w:hAnsi="宋体" w:cs="宋体"/>
                <w:kern w:val="0"/>
                <w:sz w:val="18"/>
                <w:szCs w:val="18"/>
              </w:rPr>
              <w:br w:type="textWrapping"/>
            </w:r>
            <w:r>
              <w:rPr>
                <w:rFonts w:hint="eastAsia" w:ascii="宋体" w:hAnsi="宋体" w:cs="宋体"/>
                <w:kern w:val="0"/>
                <w:sz w:val="18"/>
                <w:szCs w:val="18"/>
              </w:rPr>
              <w:t>3.1 工程维修管理</w:t>
            </w:r>
            <w:r>
              <w:rPr>
                <w:rFonts w:hint="eastAsia" w:ascii="宋体" w:hAnsi="宋体" w:cs="宋体"/>
                <w:kern w:val="0"/>
                <w:sz w:val="18"/>
                <w:szCs w:val="18"/>
              </w:rPr>
              <w:br w:type="textWrapping"/>
            </w:r>
            <w:r>
              <w:rPr>
                <w:rFonts w:hint="eastAsia" w:ascii="宋体" w:hAnsi="宋体" w:cs="宋体"/>
                <w:kern w:val="0"/>
                <w:sz w:val="18"/>
                <w:szCs w:val="18"/>
              </w:rPr>
              <w:t>3.1.1 报修基础设置</w:t>
            </w:r>
            <w:r>
              <w:rPr>
                <w:rFonts w:hint="eastAsia" w:ascii="宋体" w:hAnsi="宋体" w:cs="宋体"/>
                <w:kern w:val="0"/>
                <w:sz w:val="18"/>
                <w:szCs w:val="18"/>
              </w:rPr>
              <w:br w:type="textWrapping"/>
            </w:r>
            <w:r>
              <w:rPr>
                <w:rFonts w:hint="eastAsia" w:ascii="宋体" w:hAnsi="宋体" w:cs="宋体"/>
                <w:kern w:val="0"/>
                <w:sz w:val="18"/>
                <w:szCs w:val="18"/>
              </w:rPr>
              <w:t>3.1.1.1 项目维护：维护酒店的报修项目及明细内容。</w:t>
            </w:r>
            <w:r>
              <w:rPr>
                <w:rFonts w:hint="eastAsia" w:ascii="宋体" w:hAnsi="宋体" w:cs="宋体"/>
                <w:kern w:val="0"/>
                <w:sz w:val="18"/>
                <w:szCs w:val="18"/>
              </w:rPr>
              <w:br w:type="textWrapping"/>
            </w:r>
            <w:r>
              <w:rPr>
                <w:rFonts w:hint="eastAsia" w:ascii="宋体" w:hAnsi="宋体" w:cs="宋体"/>
                <w:kern w:val="0"/>
                <w:sz w:val="18"/>
                <w:szCs w:val="18"/>
              </w:rPr>
              <w:t>3.1.1.2 流程配置：支持配置符合酒店业务的报修流程。</w:t>
            </w:r>
            <w:r>
              <w:rPr>
                <w:rFonts w:hint="eastAsia" w:ascii="宋体" w:hAnsi="宋体" w:cs="宋体"/>
                <w:kern w:val="0"/>
                <w:sz w:val="18"/>
                <w:szCs w:val="18"/>
              </w:rPr>
              <w:br w:type="textWrapping"/>
            </w:r>
            <w:r>
              <w:rPr>
                <w:rFonts w:hint="eastAsia" w:ascii="宋体" w:hAnsi="宋体" w:cs="宋体"/>
                <w:kern w:val="0"/>
                <w:sz w:val="18"/>
                <w:szCs w:val="18"/>
              </w:rPr>
              <w:t>3.1.2 工单处理</w:t>
            </w:r>
            <w:r>
              <w:rPr>
                <w:rFonts w:hint="eastAsia" w:ascii="宋体" w:hAnsi="宋体" w:cs="宋体"/>
                <w:kern w:val="0"/>
                <w:sz w:val="18"/>
                <w:szCs w:val="18"/>
              </w:rPr>
              <w:br w:type="textWrapping"/>
            </w:r>
            <w:r>
              <w:rPr>
                <w:rFonts w:hint="eastAsia" w:ascii="宋体" w:hAnsi="宋体" w:cs="宋体"/>
                <w:kern w:val="0"/>
                <w:sz w:val="18"/>
                <w:szCs w:val="18"/>
              </w:rPr>
              <w:t>3.1.2.1 创建与接单：支持通过手机端或电脑端创建工单；支持自动派单或手动接单模式。</w:t>
            </w:r>
            <w:r>
              <w:rPr>
                <w:rFonts w:hint="eastAsia" w:ascii="宋体" w:hAnsi="宋体" w:cs="宋体"/>
                <w:kern w:val="0"/>
                <w:sz w:val="18"/>
                <w:szCs w:val="18"/>
              </w:rPr>
              <w:br w:type="textWrapping"/>
            </w:r>
            <w:r>
              <w:rPr>
                <w:rFonts w:hint="eastAsia" w:ascii="宋体" w:hAnsi="宋体" w:cs="宋体"/>
                <w:kern w:val="0"/>
                <w:sz w:val="18"/>
                <w:szCs w:val="18"/>
              </w:rPr>
              <w:t>3.1.2.2 完单与耗材：接单人完成工单时，支持录入维修耗材，后续生成维修耗材汇总表。</w:t>
            </w:r>
            <w:r>
              <w:rPr>
                <w:rFonts w:hint="eastAsia" w:ascii="宋体" w:hAnsi="宋体" w:cs="宋体"/>
                <w:kern w:val="0"/>
                <w:sz w:val="18"/>
                <w:szCs w:val="18"/>
              </w:rPr>
              <w:br w:type="textWrapping"/>
            </w:r>
            <w:r>
              <w:rPr>
                <w:rFonts w:hint="eastAsia" w:ascii="宋体" w:hAnsi="宋体" w:cs="宋体"/>
                <w:kern w:val="0"/>
                <w:sz w:val="18"/>
                <w:szCs w:val="18"/>
              </w:rPr>
              <w:t>3.1.2.3 状态管理：支持工单挂起/结束挂起（针对短时间无法完成的报修）、抄送（创建/完成/特殊步骤后）、验收（转交验收人）。</w:t>
            </w:r>
            <w:r>
              <w:rPr>
                <w:rFonts w:hint="eastAsia" w:ascii="宋体" w:hAnsi="宋体" w:cs="宋体"/>
                <w:kern w:val="0"/>
                <w:sz w:val="18"/>
                <w:szCs w:val="18"/>
              </w:rPr>
              <w:br w:type="textWrapping"/>
            </w:r>
            <w:r>
              <w:rPr>
                <w:rFonts w:hint="eastAsia" w:ascii="宋体" w:hAnsi="宋体" w:cs="宋体"/>
                <w:kern w:val="0"/>
                <w:sz w:val="18"/>
                <w:szCs w:val="18"/>
              </w:rPr>
              <w:t>3.1.2.4 超时上报：支持设置上报规则，工单超时后自动上报，支持设置多级上报机制。</w:t>
            </w:r>
            <w:r>
              <w:rPr>
                <w:rFonts w:hint="eastAsia" w:ascii="宋体" w:hAnsi="宋体" w:cs="宋体"/>
                <w:kern w:val="0"/>
                <w:sz w:val="18"/>
                <w:szCs w:val="18"/>
              </w:rPr>
              <w:br w:type="textWrapping"/>
            </w:r>
            <w:r>
              <w:rPr>
                <w:rFonts w:hint="eastAsia" w:ascii="宋体" w:hAnsi="宋体" w:cs="宋体"/>
                <w:kern w:val="0"/>
                <w:sz w:val="18"/>
                <w:szCs w:val="18"/>
              </w:rPr>
              <w:t>3.1.3 数据跟踪</w:t>
            </w:r>
            <w:r>
              <w:rPr>
                <w:rFonts w:hint="eastAsia" w:ascii="宋体" w:hAnsi="宋体" w:cs="宋体"/>
                <w:kern w:val="0"/>
                <w:sz w:val="18"/>
                <w:szCs w:val="18"/>
              </w:rPr>
              <w:br w:type="textWrapping"/>
            </w:r>
            <w:r>
              <w:rPr>
                <w:rFonts w:hint="eastAsia" w:ascii="宋体" w:hAnsi="宋体" w:cs="宋体"/>
                <w:kern w:val="0"/>
                <w:sz w:val="18"/>
                <w:szCs w:val="18"/>
              </w:rPr>
              <w:t>3.1.3.1 报修跟踪：主管可通过手机端或电脑端查询当前未完成报修及每一单的处理进度。</w:t>
            </w:r>
            <w:r>
              <w:rPr>
                <w:rFonts w:hint="eastAsia" w:ascii="宋体" w:hAnsi="宋体" w:cs="宋体"/>
                <w:kern w:val="0"/>
                <w:sz w:val="18"/>
                <w:szCs w:val="18"/>
              </w:rPr>
              <w:br w:type="textWrapping"/>
            </w:r>
            <w:r>
              <w:rPr>
                <w:rFonts w:hint="eastAsia" w:ascii="宋体" w:hAnsi="宋体" w:cs="宋体"/>
                <w:kern w:val="0"/>
                <w:sz w:val="18"/>
                <w:szCs w:val="18"/>
              </w:rPr>
              <w:t>3.1.3.2 维修数据统计：支持统计报修项目汇总（下单总数、超时率、平均处理时长）、报修明细汇总、员工维修汇总及维修耗材消耗统计。</w:t>
            </w:r>
            <w:r>
              <w:rPr>
                <w:rFonts w:hint="eastAsia" w:ascii="宋体" w:hAnsi="宋体" w:cs="宋体"/>
                <w:kern w:val="0"/>
                <w:sz w:val="18"/>
                <w:szCs w:val="18"/>
              </w:rPr>
              <w:br w:type="textWrapping"/>
            </w:r>
            <w:r>
              <w:rPr>
                <w:rFonts w:hint="eastAsia" w:ascii="宋体" w:hAnsi="宋体" w:cs="宋体"/>
                <w:kern w:val="0"/>
                <w:sz w:val="18"/>
                <w:szCs w:val="18"/>
              </w:rPr>
              <w:t>3.2 计划卫生管理</w:t>
            </w:r>
            <w:r>
              <w:rPr>
                <w:rFonts w:hint="eastAsia" w:ascii="宋体" w:hAnsi="宋体" w:cs="宋体"/>
                <w:kern w:val="0"/>
                <w:sz w:val="18"/>
                <w:szCs w:val="18"/>
              </w:rPr>
              <w:br w:type="textWrapping"/>
            </w:r>
            <w:r>
              <w:rPr>
                <w:rFonts w:hint="eastAsia" w:ascii="宋体" w:hAnsi="宋体" w:cs="宋体"/>
                <w:kern w:val="0"/>
                <w:sz w:val="18"/>
                <w:szCs w:val="18"/>
              </w:rPr>
              <w:t>3.2.1 计划设置</w:t>
            </w:r>
            <w:r>
              <w:rPr>
                <w:rFonts w:hint="eastAsia" w:ascii="宋体" w:hAnsi="宋体" w:cs="宋体"/>
                <w:kern w:val="0"/>
                <w:sz w:val="18"/>
                <w:szCs w:val="18"/>
              </w:rPr>
              <w:br w:type="textWrapping"/>
            </w:r>
            <w:r>
              <w:rPr>
                <w:rFonts w:hint="eastAsia" w:ascii="宋体" w:hAnsi="宋体" w:cs="宋体"/>
                <w:kern w:val="0"/>
                <w:sz w:val="18"/>
                <w:szCs w:val="18"/>
              </w:rPr>
              <w:t>3.2.1.1 基础配置：设置参与计划卫生的清洁/检查服务组。</w:t>
            </w:r>
            <w:r>
              <w:rPr>
                <w:rFonts w:hint="eastAsia" w:ascii="宋体" w:hAnsi="宋体" w:cs="宋体"/>
                <w:kern w:val="0"/>
                <w:sz w:val="18"/>
                <w:szCs w:val="18"/>
              </w:rPr>
              <w:br w:type="textWrapping"/>
            </w:r>
            <w:r>
              <w:rPr>
                <w:rFonts w:hint="eastAsia" w:ascii="宋体" w:hAnsi="宋体" w:cs="宋体"/>
                <w:kern w:val="0"/>
                <w:sz w:val="18"/>
                <w:szCs w:val="18"/>
              </w:rPr>
              <w:t>3.2.1.2 频次与项目：支持按日/周/月/季度/年度频次创建计划；支持录入计划卫生项目。</w:t>
            </w:r>
            <w:r>
              <w:rPr>
                <w:rFonts w:hint="eastAsia" w:ascii="宋体" w:hAnsi="宋体" w:cs="宋体"/>
                <w:kern w:val="0"/>
                <w:sz w:val="18"/>
                <w:szCs w:val="18"/>
              </w:rPr>
              <w:br w:type="textWrapping"/>
            </w:r>
            <w:r>
              <w:rPr>
                <w:rFonts w:hint="eastAsia" w:ascii="宋体" w:hAnsi="宋体" w:cs="宋体"/>
                <w:kern w:val="0"/>
                <w:sz w:val="18"/>
                <w:szCs w:val="18"/>
              </w:rPr>
              <w:t>3.2.1.3 任务预览：支持根据设置预览未来将生成的任务，发现问题可快速修正。</w:t>
            </w:r>
            <w:r>
              <w:rPr>
                <w:rFonts w:hint="eastAsia" w:ascii="宋体" w:hAnsi="宋体" w:cs="宋体"/>
                <w:kern w:val="0"/>
                <w:sz w:val="18"/>
                <w:szCs w:val="18"/>
              </w:rPr>
              <w:br w:type="textWrapping"/>
            </w:r>
            <w:r>
              <w:rPr>
                <w:rFonts w:hint="eastAsia" w:ascii="宋体" w:hAnsi="宋体" w:cs="宋体"/>
                <w:kern w:val="0"/>
                <w:sz w:val="18"/>
                <w:szCs w:val="18"/>
              </w:rPr>
              <w:t>3.2.2 任务执行</w:t>
            </w:r>
            <w:r>
              <w:rPr>
                <w:rFonts w:hint="eastAsia" w:ascii="宋体" w:hAnsi="宋体" w:cs="宋体"/>
                <w:kern w:val="0"/>
                <w:sz w:val="18"/>
                <w:szCs w:val="18"/>
              </w:rPr>
              <w:br w:type="textWrapping"/>
            </w:r>
            <w:r>
              <w:rPr>
                <w:rFonts w:hint="eastAsia" w:ascii="宋体" w:hAnsi="宋体" w:cs="宋体"/>
                <w:kern w:val="0"/>
                <w:sz w:val="18"/>
                <w:szCs w:val="18"/>
              </w:rPr>
              <w:t>3.2.2.1 任务分配：系统根据计划每天自动生成任务，主管在电脑端进行清洁和检查环节的任务分配。</w:t>
            </w:r>
            <w:r>
              <w:rPr>
                <w:rFonts w:hint="eastAsia" w:ascii="宋体" w:hAnsi="宋体" w:cs="宋体"/>
                <w:kern w:val="0"/>
                <w:sz w:val="18"/>
                <w:szCs w:val="18"/>
              </w:rPr>
              <w:br w:type="textWrapping"/>
            </w:r>
            <w:r>
              <w:rPr>
                <w:rFonts w:hint="eastAsia" w:ascii="宋体" w:hAnsi="宋体" w:cs="宋体"/>
                <w:kern w:val="0"/>
                <w:sz w:val="18"/>
                <w:szCs w:val="18"/>
              </w:rPr>
              <w:t>3.2.2.2 员工清洁：员工在手机端完成分配的计划卫生任务。</w:t>
            </w:r>
            <w:r>
              <w:rPr>
                <w:rFonts w:hint="eastAsia" w:ascii="宋体" w:hAnsi="宋体" w:cs="宋体"/>
                <w:kern w:val="0"/>
                <w:sz w:val="18"/>
                <w:szCs w:val="18"/>
              </w:rPr>
              <w:br w:type="textWrapping"/>
            </w:r>
            <w:r>
              <w:rPr>
                <w:rFonts w:hint="eastAsia" w:ascii="宋体" w:hAnsi="宋体" w:cs="宋体"/>
                <w:kern w:val="0"/>
                <w:sz w:val="18"/>
                <w:szCs w:val="18"/>
              </w:rPr>
              <w:t>3.2.2.3 主管检查：主管在手机端完成需检查的计划卫生任务。</w:t>
            </w:r>
            <w:r>
              <w:rPr>
                <w:rFonts w:hint="eastAsia" w:ascii="宋体" w:hAnsi="宋体" w:cs="宋体"/>
                <w:kern w:val="0"/>
                <w:sz w:val="18"/>
                <w:szCs w:val="18"/>
              </w:rPr>
              <w:br w:type="textWrapping"/>
            </w:r>
            <w:r>
              <w:rPr>
                <w:rFonts w:hint="eastAsia" w:ascii="宋体" w:hAnsi="宋体" w:cs="宋体"/>
                <w:kern w:val="0"/>
                <w:sz w:val="18"/>
                <w:szCs w:val="18"/>
              </w:rPr>
              <w:t>3.2.3 统计分析</w:t>
            </w:r>
            <w:r>
              <w:rPr>
                <w:rFonts w:hint="eastAsia" w:ascii="宋体" w:hAnsi="宋体" w:cs="宋体"/>
                <w:kern w:val="0"/>
                <w:sz w:val="18"/>
                <w:szCs w:val="18"/>
              </w:rPr>
              <w:br w:type="textWrapping"/>
            </w:r>
            <w:r>
              <w:rPr>
                <w:rFonts w:hint="eastAsia" w:ascii="宋体" w:hAnsi="宋体" w:cs="宋体"/>
                <w:kern w:val="0"/>
                <w:sz w:val="18"/>
                <w:szCs w:val="18"/>
              </w:rPr>
              <w:t>3.2.3.1 进度跟踪：查询当前未完成任务及处理进度。</w:t>
            </w:r>
            <w:r>
              <w:rPr>
                <w:rFonts w:hint="eastAsia" w:ascii="宋体" w:hAnsi="宋体" w:cs="宋体"/>
                <w:kern w:val="0"/>
                <w:sz w:val="18"/>
                <w:szCs w:val="18"/>
              </w:rPr>
              <w:br w:type="textWrapping"/>
            </w:r>
            <w:r>
              <w:rPr>
                <w:rFonts w:hint="eastAsia" w:ascii="宋体" w:hAnsi="宋体" w:cs="宋体"/>
                <w:kern w:val="0"/>
                <w:sz w:val="18"/>
                <w:szCs w:val="18"/>
              </w:rPr>
              <w:t>3.2.3.2 计件汇总：支持汇总员工的客房清洁计件和计划卫生任务计件，作为最终提成依据；支持统计主管检查任务计件。</w:t>
            </w:r>
            <w:r>
              <w:rPr>
                <w:rFonts w:hint="eastAsia" w:ascii="宋体" w:hAnsi="宋体" w:cs="宋体"/>
                <w:kern w:val="0"/>
                <w:sz w:val="18"/>
                <w:szCs w:val="18"/>
              </w:rPr>
              <w:br w:type="textWrapping"/>
            </w:r>
            <w:r>
              <w:rPr>
                <w:rFonts w:hint="eastAsia" w:ascii="宋体" w:hAnsi="宋体" w:cs="宋体"/>
                <w:kern w:val="0"/>
                <w:sz w:val="18"/>
                <w:szCs w:val="18"/>
              </w:rPr>
              <w:t>3.2.3.3 操作记录：支持查询清洁操作记录，可筛选无需清洁、换人清洁等特殊操作。</w:t>
            </w:r>
            <w:r>
              <w:rPr>
                <w:rFonts w:hint="eastAsia" w:ascii="宋体" w:hAnsi="宋体" w:cs="宋体"/>
                <w:kern w:val="0"/>
                <w:sz w:val="18"/>
                <w:szCs w:val="18"/>
              </w:rPr>
              <w:br w:type="textWrapping"/>
            </w:r>
            <w:r>
              <w:rPr>
                <w:rFonts w:hint="eastAsia" w:ascii="宋体" w:hAnsi="宋体" w:cs="宋体"/>
                <w:kern w:val="0"/>
                <w:sz w:val="18"/>
                <w:szCs w:val="18"/>
              </w:rPr>
              <w:t>4. 设备资产与能耗管理</w:t>
            </w:r>
            <w:r>
              <w:rPr>
                <w:rFonts w:hint="eastAsia" w:ascii="宋体" w:hAnsi="宋体" w:cs="宋体"/>
                <w:kern w:val="0"/>
                <w:sz w:val="18"/>
                <w:szCs w:val="18"/>
              </w:rPr>
              <w:br w:type="textWrapping"/>
            </w:r>
            <w:r>
              <w:rPr>
                <w:rFonts w:hint="eastAsia" w:ascii="宋体" w:hAnsi="宋体" w:cs="宋体"/>
                <w:kern w:val="0"/>
                <w:sz w:val="18"/>
                <w:szCs w:val="18"/>
              </w:rPr>
              <w:t>需对接酒店固定资产及能耗计量设备，实现数字化台账管理。</w:t>
            </w:r>
            <w:r>
              <w:rPr>
                <w:rFonts w:hint="eastAsia" w:ascii="宋体" w:hAnsi="宋体" w:cs="宋体"/>
                <w:kern w:val="0"/>
                <w:sz w:val="18"/>
                <w:szCs w:val="18"/>
              </w:rPr>
              <w:br w:type="textWrapping"/>
            </w:r>
            <w:r>
              <w:rPr>
                <w:rFonts w:hint="eastAsia" w:ascii="宋体" w:hAnsi="宋体" w:cs="宋体"/>
                <w:kern w:val="0"/>
                <w:sz w:val="18"/>
                <w:szCs w:val="18"/>
              </w:rPr>
              <w:t>4.1 设备台账管理</w:t>
            </w:r>
            <w:r>
              <w:rPr>
                <w:rFonts w:hint="eastAsia" w:ascii="宋体" w:hAnsi="宋体" w:cs="宋体"/>
                <w:kern w:val="0"/>
                <w:sz w:val="18"/>
                <w:szCs w:val="18"/>
              </w:rPr>
              <w:br w:type="textWrapping"/>
            </w:r>
            <w:r>
              <w:rPr>
                <w:rFonts w:hint="eastAsia" w:ascii="宋体" w:hAnsi="宋体" w:cs="宋体"/>
                <w:kern w:val="0"/>
                <w:sz w:val="18"/>
                <w:szCs w:val="18"/>
              </w:rPr>
              <w:t>4.1.1 资产维护</w:t>
            </w:r>
            <w:r>
              <w:rPr>
                <w:rFonts w:hint="eastAsia" w:ascii="宋体" w:hAnsi="宋体" w:cs="宋体"/>
                <w:kern w:val="0"/>
                <w:sz w:val="18"/>
                <w:szCs w:val="18"/>
              </w:rPr>
              <w:br w:type="textWrapping"/>
            </w:r>
            <w:r>
              <w:rPr>
                <w:rFonts w:hint="eastAsia" w:ascii="宋体" w:hAnsi="宋体" w:cs="宋体"/>
                <w:kern w:val="0"/>
                <w:sz w:val="18"/>
                <w:szCs w:val="18"/>
              </w:rPr>
              <w:t>4.1.1.1 设备管理：维护酒店固定资产数据，支持对设备创建报修、维保。</w:t>
            </w:r>
            <w:r>
              <w:rPr>
                <w:rFonts w:hint="eastAsia" w:ascii="宋体" w:hAnsi="宋体" w:cs="宋体"/>
                <w:kern w:val="0"/>
                <w:sz w:val="18"/>
                <w:szCs w:val="18"/>
              </w:rPr>
              <w:br w:type="textWrapping"/>
            </w:r>
            <w:r>
              <w:rPr>
                <w:rFonts w:hint="eastAsia" w:ascii="宋体" w:hAnsi="宋体" w:cs="宋体"/>
                <w:kern w:val="0"/>
                <w:sz w:val="18"/>
                <w:szCs w:val="18"/>
              </w:rPr>
              <w:t>4.1.1.2 设备档案：查看设备二维码，包含基础信息、报修记录、维保记录。</w:t>
            </w:r>
            <w:r>
              <w:rPr>
                <w:rFonts w:hint="eastAsia" w:ascii="宋体" w:hAnsi="宋体" w:cs="宋体"/>
                <w:kern w:val="0"/>
                <w:sz w:val="18"/>
                <w:szCs w:val="18"/>
              </w:rPr>
              <w:br w:type="textWrapping"/>
            </w:r>
            <w:r>
              <w:rPr>
                <w:rFonts w:hint="eastAsia" w:ascii="宋体" w:hAnsi="宋体" w:cs="宋体"/>
                <w:kern w:val="0"/>
                <w:sz w:val="18"/>
                <w:szCs w:val="18"/>
              </w:rPr>
              <w:t>4.1.2 工程维保（开发中）</w:t>
            </w:r>
            <w:r>
              <w:rPr>
                <w:rFonts w:hint="eastAsia" w:ascii="宋体" w:hAnsi="宋体" w:cs="宋体"/>
                <w:kern w:val="0"/>
                <w:sz w:val="18"/>
                <w:szCs w:val="18"/>
              </w:rPr>
              <w:br w:type="textWrapping"/>
            </w:r>
            <w:r>
              <w:rPr>
                <w:rFonts w:hint="eastAsia" w:ascii="宋体" w:hAnsi="宋体" w:cs="宋体"/>
                <w:kern w:val="0"/>
                <w:sz w:val="18"/>
                <w:szCs w:val="18"/>
              </w:rPr>
              <w:t>4.1.2.1 计划设置：选择设备台账、区域或建立单独项目，支持创建日/月/年的维保任务。</w:t>
            </w:r>
            <w:r>
              <w:rPr>
                <w:rFonts w:hint="eastAsia" w:ascii="宋体" w:hAnsi="宋体" w:cs="宋体"/>
                <w:kern w:val="0"/>
                <w:sz w:val="18"/>
                <w:szCs w:val="18"/>
              </w:rPr>
              <w:br w:type="textWrapping"/>
            </w:r>
            <w:r>
              <w:rPr>
                <w:rFonts w:hint="eastAsia" w:ascii="宋体" w:hAnsi="宋体" w:cs="宋体"/>
                <w:kern w:val="0"/>
                <w:sz w:val="18"/>
                <w:szCs w:val="18"/>
              </w:rPr>
              <w:t>4.1.2.2 任务执行：员工在手机端进行维保任务，支持上传现场图片。</w:t>
            </w:r>
            <w:r>
              <w:rPr>
                <w:rFonts w:hint="eastAsia" w:ascii="宋体" w:hAnsi="宋体" w:cs="宋体"/>
                <w:kern w:val="0"/>
                <w:sz w:val="18"/>
                <w:szCs w:val="18"/>
              </w:rPr>
              <w:br w:type="textWrapping"/>
            </w:r>
            <w:r>
              <w:rPr>
                <w:rFonts w:hint="eastAsia" w:ascii="宋体" w:hAnsi="宋体" w:cs="宋体"/>
                <w:kern w:val="0"/>
                <w:sz w:val="18"/>
                <w:szCs w:val="18"/>
              </w:rPr>
              <w:t>4.1.2.3 数据统计：支持输出日报、月报、年报，查看各个计划的执行情况。</w:t>
            </w:r>
            <w:r>
              <w:rPr>
                <w:rFonts w:hint="eastAsia" w:ascii="宋体" w:hAnsi="宋体" w:cs="宋体"/>
                <w:kern w:val="0"/>
                <w:sz w:val="18"/>
                <w:szCs w:val="18"/>
              </w:rPr>
              <w:br w:type="textWrapping"/>
            </w:r>
            <w:r>
              <w:rPr>
                <w:rFonts w:hint="eastAsia" w:ascii="宋体" w:hAnsi="宋体" w:cs="宋体"/>
                <w:kern w:val="0"/>
                <w:sz w:val="18"/>
                <w:szCs w:val="18"/>
              </w:rPr>
              <w:t>4.2 能耗管理</w:t>
            </w:r>
            <w:r>
              <w:rPr>
                <w:rFonts w:hint="eastAsia" w:ascii="宋体" w:hAnsi="宋体" w:cs="宋体"/>
                <w:kern w:val="0"/>
                <w:sz w:val="18"/>
                <w:szCs w:val="18"/>
              </w:rPr>
              <w:br w:type="textWrapping"/>
            </w:r>
            <w:r>
              <w:rPr>
                <w:rFonts w:hint="eastAsia" w:ascii="宋体" w:hAnsi="宋体" w:cs="宋体"/>
                <w:kern w:val="0"/>
                <w:sz w:val="18"/>
                <w:szCs w:val="18"/>
              </w:rPr>
              <w:t>4.2.1 抄表计划</w:t>
            </w:r>
            <w:r>
              <w:rPr>
                <w:rFonts w:hint="eastAsia" w:ascii="宋体" w:hAnsi="宋体" w:cs="宋体"/>
                <w:kern w:val="0"/>
                <w:sz w:val="18"/>
                <w:szCs w:val="18"/>
              </w:rPr>
              <w:br w:type="textWrapping"/>
            </w:r>
            <w:r>
              <w:rPr>
                <w:rFonts w:hint="eastAsia" w:ascii="宋体" w:hAnsi="宋体" w:cs="宋体"/>
                <w:kern w:val="0"/>
                <w:sz w:val="18"/>
                <w:szCs w:val="18"/>
              </w:rPr>
              <w:t>4.2.1.1 范围与顺序：选择水表、电表、天然气表设置抄表计划；可根据物理位置设置抄表顺序。</w:t>
            </w:r>
            <w:r>
              <w:rPr>
                <w:rFonts w:hint="eastAsia" w:ascii="宋体" w:hAnsi="宋体" w:cs="宋体"/>
                <w:kern w:val="0"/>
                <w:sz w:val="18"/>
                <w:szCs w:val="18"/>
              </w:rPr>
              <w:br w:type="textWrapping"/>
            </w:r>
            <w:r>
              <w:rPr>
                <w:rFonts w:hint="eastAsia" w:ascii="宋体" w:hAnsi="宋体" w:cs="宋体"/>
                <w:kern w:val="0"/>
                <w:sz w:val="18"/>
                <w:szCs w:val="18"/>
              </w:rPr>
              <w:t>4.2.1.2 抄表频次：支持创建按日/按月的抄表任务。</w:t>
            </w:r>
            <w:r>
              <w:rPr>
                <w:rFonts w:hint="eastAsia" w:ascii="宋体" w:hAnsi="宋体" w:cs="宋体"/>
                <w:kern w:val="0"/>
                <w:sz w:val="18"/>
                <w:szCs w:val="18"/>
              </w:rPr>
              <w:br w:type="textWrapping"/>
            </w:r>
            <w:r>
              <w:rPr>
                <w:rFonts w:hint="eastAsia" w:ascii="宋体" w:hAnsi="宋体" w:cs="宋体"/>
                <w:kern w:val="0"/>
                <w:sz w:val="18"/>
                <w:szCs w:val="18"/>
              </w:rPr>
              <w:t>4.2.2 抄表执行</w:t>
            </w:r>
            <w:r>
              <w:rPr>
                <w:rFonts w:hint="eastAsia" w:ascii="宋体" w:hAnsi="宋体" w:cs="宋体"/>
                <w:kern w:val="0"/>
                <w:sz w:val="18"/>
                <w:szCs w:val="18"/>
              </w:rPr>
              <w:br w:type="textWrapping"/>
            </w:r>
            <w:r>
              <w:rPr>
                <w:rFonts w:hint="eastAsia" w:ascii="宋体" w:hAnsi="宋体" w:cs="宋体"/>
                <w:kern w:val="0"/>
                <w:sz w:val="18"/>
                <w:szCs w:val="18"/>
              </w:rPr>
              <w:t>4.2.2.1 员工可在手机端输入本次读数，完成抄表任务。</w:t>
            </w:r>
            <w:r>
              <w:rPr>
                <w:rFonts w:hint="eastAsia" w:ascii="宋体" w:hAnsi="宋体" w:cs="宋体"/>
                <w:kern w:val="0"/>
                <w:sz w:val="18"/>
                <w:szCs w:val="18"/>
              </w:rPr>
              <w:br w:type="textWrapping"/>
            </w:r>
            <w:r>
              <w:rPr>
                <w:rFonts w:hint="eastAsia" w:ascii="宋体" w:hAnsi="宋体" w:cs="宋体"/>
                <w:kern w:val="0"/>
                <w:sz w:val="18"/>
                <w:szCs w:val="18"/>
              </w:rPr>
              <w:t>4.2.3 数据分析</w:t>
            </w:r>
            <w:r>
              <w:rPr>
                <w:rFonts w:hint="eastAsia" w:ascii="宋体" w:hAnsi="宋体" w:cs="宋体"/>
                <w:kern w:val="0"/>
                <w:sz w:val="18"/>
                <w:szCs w:val="18"/>
              </w:rPr>
              <w:br w:type="textWrapping"/>
            </w:r>
            <w:r>
              <w:rPr>
                <w:rFonts w:hint="eastAsia" w:ascii="宋体" w:hAnsi="宋体" w:cs="宋体"/>
                <w:kern w:val="0"/>
                <w:sz w:val="18"/>
                <w:szCs w:val="18"/>
              </w:rPr>
              <w:t>4.2.3.1 用量分组：将设备打包成组（如客房区电表、别墅区电表），按组维度进行数据分析。</w:t>
            </w:r>
            <w:r>
              <w:rPr>
                <w:rFonts w:hint="eastAsia" w:ascii="宋体" w:hAnsi="宋体" w:cs="宋体"/>
                <w:kern w:val="0"/>
                <w:sz w:val="18"/>
                <w:szCs w:val="18"/>
              </w:rPr>
              <w:br w:type="textWrapping"/>
            </w:r>
            <w:r>
              <w:rPr>
                <w:rFonts w:hint="eastAsia" w:ascii="宋体" w:hAnsi="宋体" w:cs="宋体"/>
                <w:kern w:val="0"/>
                <w:sz w:val="18"/>
                <w:szCs w:val="18"/>
              </w:rPr>
              <w:t>4.2.3.2 报表与曲线：支持自选设备/组进行用量明细分析、用量曲线分析。</w:t>
            </w:r>
            <w:r>
              <w:rPr>
                <w:rFonts w:hint="eastAsia" w:ascii="宋体" w:hAnsi="宋体" w:cs="宋体"/>
                <w:kern w:val="0"/>
                <w:sz w:val="18"/>
                <w:szCs w:val="18"/>
              </w:rPr>
              <w:br w:type="textWrapping"/>
            </w:r>
            <w:r>
              <w:rPr>
                <w:rFonts w:hint="eastAsia" w:ascii="宋体" w:hAnsi="宋体" w:cs="宋体"/>
                <w:kern w:val="0"/>
                <w:sz w:val="18"/>
                <w:szCs w:val="18"/>
              </w:rPr>
              <w:t>4.2.3.3 营收对比：支持选择能耗支出与酒店营收进行对比，分析变化趋势与占比。</w:t>
            </w:r>
            <w:r>
              <w:rPr>
                <w:rFonts w:hint="eastAsia" w:ascii="宋体" w:hAnsi="宋体" w:cs="宋体"/>
                <w:kern w:val="0"/>
                <w:sz w:val="18"/>
                <w:szCs w:val="18"/>
              </w:rPr>
              <w:br w:type="textWrapping"/>
            </w:r>
            <w:r>
              <w:rPr>
                <w:rFonts w:hint="eastAsia" w:ascii="宋体" w:hAnsi="宋体" w:cs="宋体"/>
                <w:kern w:val="0"/>
                <w:sz w:val="18"/>
                <w:szCs w:val="18"/>
              </w:rPr>
              <w:t>5. 智慧互联与生态对接</w:t>
            </w:r>
            <w:r>
              <w:rPr>
                <w:rFonts w:hint="eastAsia" w:ascii="宋体" w:hAnsi="宋体" w:cs="宋体"/>
                <w:kern w:val="0"/>
                <w:sz w:val="18"/>
                <w:szCs w:val="18"/>
              </w:rPr>
              <w:br w:type="textWrapping"/>
            </w:r>
            <w:r>
              <w:rPr>
                <w:rFonts w:hint="eastAsia" w:ascii="宋体" w:hAnsi="宋体" w:cs="宋体"/>
                <w:kern w:val="0"/>
                <w:sz w:val="18"/>
                <w:szCs w:val="18"/>
              </w:rPr>
              <w:t>需打通酒店内部各类智能硬件及第三方服务平台，构建智慧酒店生态。</w:t>
            </w:r>
            <w:r>
              <w:rPr>
                <w:rFonts w:hint="eastAsia" w:ascii="宋体" w:hAnsi="宋体" w:cs="宋体"/>
                <w:kern w:val="0"/>
                <w:sz w:val="18"/>
                <w:szCs w:val="18"/>
              </w:rPr>
              <w:br w:type="textWrapping"/>
            </w:r>
            <w:r>
              <w:rPr>
                <w:rFonts w:hint="eastAsia" w:ascii="宋体" w:hAnsi="宋体" w:cs="宋体"/>
                <w:kern w:val="0"/>
                <w:sz w:val="18"/>
                <w:szCs w:val="18"/>
              </w:rPr>
              <w:br w:type="textWrapping"/>
            </w:r>
            <w:r>
              <w:rPr>
                <w:rFonts w:hint="eastAsia" w:ascii="宋体" w:hAnsi="宋体" w:cs="宋体"/>
                <w:kern w:val="0"/>
                <w:sz w:val="18"/>
                <w:szCs w:val="18"/>
              </w:rPr>
              <w:t>5.1 智能硬件接入</w:t>
            </w:r>
            <w:r>
              <w:rPr>
                <w:rFonts w:hint="eastAsia" w:ascii="宋体" w:hAnsi="宋体" w:cs="宋体"/>
                <w:kern w:val="0"/>
                <w:sz w:val="18"/>
                <w:szCs w:val="18"/>
              </w:rPr>
              <w:br w:type="textWrapping"/>
            </w:r>
            <w:r>
              <w:rPr>
                <w:rFonts w:hint="eastAsia" w:ascii="宋体" w:hAnsi="宋体" w:cs="宋体"/>
                <w:kern w:val="0"/>
                <w:sz w:val="18"/>
                <w:szCs w:val="18"/>
              </w:rPr>
              <w:t>5.1.1 洗衣服务</w:t>
            </w:r>
            <w:r>
              <w:rPr>
                <w:rFonts w:hint="eastAsia" w:ascii="宋体" w:hAnsi="宋体" w:cs="宋体"/>
                <w:kern w:val="0"/>
                <w:sz w:val="18"/>
                <w:szCs w:val="18"/>
              </w:rPr>
              <w:br w:type="textWrapping"/>
            </w:r>
            <w:r>
              <w:rPr>
                <w:rFonts w:hint="eastAsia" w:ascii="宋体" w:hAnsi="宋体" w:cs="宋体"/>
                <w:kern w:val="0"/>
                <w:sz w:val="18"/>
                <w:szCs w:val="18"/>
              </w:rPr>
              <w:t>5.1.1.1 支持通过行程服务小程序查看洗衣房洗衣机使用状态、预约洗衣机（支持LG品牌）。</w:t>
            </w:r>
            <w:r>
              <w:rPr>
                <w:rFonts w:hint="eastAsia" w:ascii="宋体" w:hAnsi="宋体" w:cs="宋体"/>
                <w:kern w:val="0"/>
                <w:sz w:val="18"/>
                <w:szCs w:val="18"/>
              </w:rPr>
              <w:br w:type="textWrapping"/>
            </w:r>
            <w:r>
              <w:rPr>
                <w:rFonts w:hint="eastAsia" w:ascii="宋体" w:hAnsi="宋体" w:cs="宋体"/>
                <w:kern w:val="0"/>
                <w:sz w:val="18"/>
                <w:szCs w:val="18"/>
              </w:rPr>
              <w:t>5.1.2 智能客控</w:t>
            </w:r>
            <w:r>
              <w:rPr>
                <w:rFonts w:hint="eastAsia" w:ascii="宋体" w:hAnsi="宋体" w:cs="宋体"/>
                <w:kern w:val="0"/>
                <w:sz w:val="18"/>
                <w:szCs w:val="18"/>
              </w:rPr>
              <w:br w:type="textWrapping"/>
            </w:r>
            <w:r>
              <w:rPr>
                <w:rFonts w:hint="eastAsia" w:ascii="宋体" w:hAnsi="宋体" w:cs="宋体"/>
                <w:kern w:val="0"/>
                <w:sz w:val="18"/>
                <w:szCs w:val="18"/>
              </w:rPr>
              <w:t>5.1.2.1 对接酒店客控系统，实现行程服务小程序在线控制灯光、窗帘、电视机等设施设备。</w:t>
            </w:r>
            <w:r>
              <w:rPr>
                <w:rFonts w:hint="eastAsia" w:ascii="宋体" w:hAnsi="宋体" w:cs="宋体"/>
                <w:kern w:val="0"/>
                <w:sz w:val="18"/>
                <w:szCs w:val="18"/>
              </w:rPr>
              <w:br w:type="textWrapping"/>
            </w:r>
            <w:r>
              <w:rPr>
                <w:rFonts w:hint="eastAsia" w:ascii="宋体" w:hAnsi="宋体" w:cs="宋体"/>
                <w:kern w:val="0"/>
                <w:sz w:val="18"/>
                <w:szCs w:val="18"/>
              </w:rPr>
              <w:t>5.1.3 门控与梯控</w:t>
            </w:r>
            <w:r>
              <w:rPr>
                <w:rFonts w:hint="eastAsia" w:ascii="宋体" w:hAnsi="宋体" w:cs="宋体"/>
                <w:kern w:val="0"/>
                <w:sz w:val="18"/>
                <w:szCs w:val="18"/>
              </w:rPr>
              <w:br w:type="textWrapping"/>
            </w:r>
            <w:r>
              <w:rPr>
                <w:rFonts w:hint="eastAsia" w:ascii="宋体" w:hAnsi="宋体" w:cs="宋体"/>
                <w:kern w:val="0"/>
                <w:sz w:val="18"/>
                <w:szCs w:val="18"/>
              </w:rPr>
              <w:t>5.1.3.1 支持多品牌门控对接，实现酒店客房刷脸开门/乘梯。</w:t>
            </w:r>
            <w:r>
              <w:rPr>
                <w:rFonts w:hint="eastAsia" w:ascii="宋体" w:hAnsi="宋体" w:cs="宋体"/>
                <w:kern w:val="0"/>
                <w:sz w:val="18"/>
                <w:szCs w:val="18"/>
              </w:rPr>
              <w:br w:type="textWrapping"/>
            </w:r>
            <w:r>
              <w:rPr>
                <w:rFonts w:hint="eastAsia" w:ascii="宋体" w:hAnsi="宋体" w:cs="宋体"/>
                <w:kern w:val="0"/>
                <w:sz w:val="18"/>
                <w:szCs w:val="18"/>
              </w:rPr>
              <w:t>5.1.4 机器人服务</w:t>
            </w:r>
            <w:r>
              <w:rPr>
                <w:rFonts w:hint="eastAsia" w:ascii="宋体" w:hAnsi="宋体" w:cs="宋体"/>
                <w:kern w:val="0"/>
                <w:sz w:val="18"/>
                <w:szCs w:val="18"/>
              </w:rPr>
              <w:br w:type="textWrapping"/>
            </w:r>
            <w:r>
              <w:rPr>
                <w:rFonts w:hint="eastAsia" w:ascii="宋体" w:hAnsi="宋体" w:cs="宋体"/>
                <w:kern w:val="0"/>
                <w:sz w:val="18"/>
                <w:szCs w:val="18"/>
              </w:rPr>
              <w:t>5.1.4.1 通过行程服务小程序客房服务对接机器人送物系统。</w:t>
            </w:r>
            <w:r>
              <w:rPr>
                <w:rFonts w:hint="eastAsia" w:ascii="宋体" w:hAnsi="宋体" w:cs="宋体"/>
                <w:kern w:val="0"/>
                <w:sz w:val="18"/>
                <w:szCs w:val="18"/>
              </w:rPr>
              <w:br w:type="textWrapping"/>
            </w:r>
            <w:r>
              <w:rPr>
                <w:rFonts w:hint="eastAsia" w:ascii="宋体" w:hAnsi="宋体" w:cs="宋体"/>
                <w:kern w:val="0"/>
                <w:sz w:val="18"/>
                <w:szCs w:val="18"/>
              </w:rPr>
              <w:t>5.2 语音与服务生态</w:t>
            </w:r>
            <w:r>
              <w:rPr>
                <w:rFonts w:hint="eastAsia" w:ascii="宋体" w:hAnsi="宋体" w:cs="宋体"/>
                <w:kern w:val="0"/>
                <w:sz w:val="18"/>
                <w:szCs w:val="18"/>
              </w:rPr>
              <w:br w:type="textWrapping"/>
            </w:r>
            <w:r>
              <w:rPr>
                <w:rFonts w:hint="eastAsia" w:ascii="宋体" w:hAnsi="宋体" w:cs="宋体"/>
                <w:kern w:val="0"/>
                <w:sz w:val="18"/>
                <w:szCs w:val="18"/>
              </w:rPr>
              <w:t>5.2.1 语音接入</w:t>
            </w:r>
            <w:r>
              <w:rPr>
                <w:rFonts w:hint="eastAsia" w:ascii="宋体" w:hAnsi="宋体" w:cs="宋体"/>
                <w:kern w:val="0"/>
                <w:sz w:val="18"/>
                <w:szCs w:val="18"/>
              </w:rPr>
              <w:br w:type="textWrapping"/>
            </w:r>
            <w:r>
              <w:rPr>
                <w:rFonts w:hint="eastAsia" w:ascii="宋体" w:hAnsi="宋体" w:cs="宋体"/>
                <w:kern w:val="0"/>
                <w:sz w:val="18"/>
                <w:szCs w:val="18"/>
              </w:rPr>
              <w:t>5.2.1.1 支持华客/美宿在途语音接入，AI语音唤起对客服务工单（开发中）。</w:t>
            </w:r>
            <w:r>
              <w:rPr>
                <w:rFonts w:hint="eastAsia" w:ascii="宋体" w:hAnsi="宋体" w:cs="宋体"/>
                <w:kern w:val="0"/>
                <w:sz w:val="18"/>
                <w:szCs w:val="18"/>
              </w:rPr>
              <w:br w:type="textWrapping"/>
            </w:r>
            <w:r>
              <w:rPr>
                <w:rFonts w:hint="eastAsia" w:ascii="宋体" w:hAnsi="宋体" w:cs="宋体"/>
                <w:kern w:val="0"/>
                <w:sz w:val="18"/>
                <w:szCs w:val="18"/>
              </w:rPr>
              <w:t>5.2.2 停车管理</w:t>
            </w:r>
            <w:r>
              <w:rPr>
                <w:rFonts w:hint="eastAsia" w:ascii="宋体" w:hAnsi="宋体" w:cs="宋体"/>
                <w:kern w:val="0"/>
                <w:sz w:val="18"/>
                <w:szCs w:val="18"/>
              </w:rPr>
              <w:br w:type="textWrapping"/>
            </w:r>
            <w:r>
              <w:rPr>
                <w:rFonts w:hint="eastAsia" w:ascii="宋体" w:hAnsi="宋体" w:cs="宋体"/>
                <w:kern w:val="0"/>
                <w:sz w:val="18"/>
                <w:szCs w:val="18"/>
              </w:rPr>
              <w:t>5.2.2.1 客人输入车牌，同步到PMS，实现在住客人享免费停车。</w:t>
            </w:r>
            <w:r>
              <w:rPr>
                <w:rFonts w:hint="eastAsia" w:ascii="宋体" w:hAnsi="宋体" w:cs="宋体"/>
                <w:kern w:val="0"/>
                <w:sz w:val="18"/>
                <w:szCs w:val="18"/>
              </w:rPr>
              <w:br w:type="textWrapping"/>
            </w:r>
            <w:r>
              <w:rPr>
                <w:rFonts w:hint="eastAsia" w:ascii="宋体" w:hAnsi="宋体" w:cs="宋体"/>
                <w:kern w:val="0"/>
                <w:sz w:val="18"/>
                <w:szCs w:val="18"/>
              </w:rPr>
              <w:t>5.3 PMS深度对接</w:t>
            </w:r>
            <w:r>
              <w:rPr>
                <w:rFonts w:hint="eastAsia" w:ascii="宋体" w:hAnsi="宋体" w:cs="宋体"/>
                <w:kern w:val="0"/>
                <w:sz w:val="18"/>
                <w:szCs w:val="18"/>
              </w:rPr>
              <w:br w:type="textWrapping"/>
            </w:r>
            <w:r>
              <w:rPr>
                <w:rFonts w:hint="eastAsia" w:ascii="宋体" w:hAnsi="宋体" w:cs="宋体"/>
                <w:kern w:val="0"/>
                <w:sz w:val="18"/>
                <w:szCs w:val="18"/>
              </w:rPr>
              <w:t>5.3.1 账务服务</w:t>
            </w:r>
            <w:r>
              <w:rPr>
                <w:rFonts w:hint="eastAsia" w:ascii="宋体" w:hAnsi="宋体" w:cs="宋体"/>
                <w:kern w:val="0"/>
                <w:sz w:val="18"/>
                <w:szCs w:val="18"/>
              </w:rPr>
              <w:br w:type="textWrapping"/>
            </w:r>
            <w:r>
              <w:rPr>
                <w:rFonts w:hint="eastAsia" w:ascii="宋体" w:hAnsi="宋体" w:cs="宋体"/>
                <w:kern w:val="0"/>
                <w:sz w:val="18"/>
                <w:szCs w:val="18"/>
              </w:rPr>
              <w:t>5.3.1.1 账单查询：支持自助查询本房间消费的账单明细。</w:t>
            </w:r>
            <w:r>
              <w:rPr>
                <w:rFonts w:hint="eastAsia" w:ascii="宋体" w:hAnsi="宋体" w:cs="宋体"/>
                <w:kern w:val="0"/>
                <w:sz w:val="18"/>
                <w:szCs w:val="18"/>
              </w:rPr>
              <w:br w:type="textWrapping"/>
            </w:r>
            <w:r>
              <w:rPr>
                <w:rFonts w:hint="eastAsia" w:ascii="宋体" w:hAnsi="宋体" w:cs="宋体"/>
                <w:kern w:val="0"/>
                <w:sz w:val="18"/>
                <w:szCs w:val="18"/>
              </w:rPr>
              <w:t>5.3.1.2 发票平台3.0：支持查询账单信息并直接提交开票申请，自动开具全电发票并推送给客人；支持客人提前将发票抬头下单同步至PMS。</w:t>
            </w:r>
            <w:r>
              <w:rPr>
                <w:rFonts w:hint="eastAsia" w:ascii="宋体" w:hAnsi="宋体" w:cs="宋体"/>
                <w:kern w:val="0"/>
                <w:sz w:val="18"/>
                <w:szCs w:val="18"/>
              </w:rPr>
              <w:br w:type="textWrapping"/>
            </w:r>
            <w:r>
              <w:rPr>
                <w:rFonts w:hint="eastAsia" w:ascii="宋体" w:hAnsi="宋体" w:cs="宋体"/>
                <w:kern w:val="0"/>
                <w:sz w:val="18"/>
                <w:szCs w:val="18"/>
              </w:rPr>
              <w:t>5.3.2 公安对接</w:t>
            </w:r>
            <w:r>
              <w:rPr>
                <w:rFonts w:hint="eastAsia" w:ascii="宋体" w:hAnsi="宋体" w:cs="宋体"/>
                <w:kern w:val="0"/>
                <w:sz w:val="18"/>
                <w:szCs w:val="18"/>
              </w:rPr>
              <w:br w:type="textWrapping"/>
            </w:r>
            <w:r>
              <w:rPr>
                <w:rFonts w:hint="eastAsia" w:ascii="宋体" w:hAnsi="宋体" w:cs="宋体"/>
                <w:kern w:val="0"/>
                <w:sz w:val="18"/>
                <w:szCs w:val="18"/>
              </w:rPr>
              <w:t>5.3.2.1 支持手机端办理预登记，客人到达前台后刷证件即可完成公安住宿登记。</w:t>
            </w:r>
            <w:r>
              <w:rPr>
                <w:rFonts w:hint="eastAsia" w:ascii="宋体" w:hAnsi="宋体" w:cs="宋体"/>
                <w:kern w:val="0"/>
                <w:sz w:val="18"/>
                <w:szCs w:val="18"/>
              </w:rPr>
              <w:br w:type="textWrapping"/>
            </w:r>
            <w:r>
              <w:rPr>
                <w:rFonts w:hint="eastAsia" w:ascii="宋体" w:hAnsi="宋体" w:cs="宋体"/>
                <w:kern w:val="0"/>
                <w:sz w:val="18"/>
                <w:szCs w:val="18"/>
              </w:rPr>
              <w:t>6. 对客服务与C端应用</w:t>
            </w:r>
            <w:r>
              <w:rPr>
                <w:rFonts w:hint="eastAsia" w:ascii="宋体" w:hAnsi="宋体" w:cs="宋体"/>
                <w:kern w:val="0"/>
                <w:sz w:val="18"/>
                <w:szCs w:val="18"/>
              </w:rPr>
              <w:br w:type="textWrapping"/>
            </w:r>
            <w:r>
              <w:rPr>
                <w:rFonts w:hint="eastAsia" w:ascii="宋体" w:hAnsi="宋体" w:cs="宋体"/>
                <w:kern w:val="0"/>
                <w:sz w:val="18"/>
                <w:szCs w:val="18"/>
              </w:rPr>
              <w:t>需提供移动端的全流程入住体验及丰富的客房服务功能。</w:t>
            </w:r>
            <w:r>
              <w:rPr>
                <w:rFonts w:hint="eastAsia" w:ascii="宋体" w:hAnsi="宋体" w:cs="宋体"/>
                <w:kern w:val="0"/>
                <w:sz w:val="18"/>
                <w:szCs w:val="18"/>
              </w:rPr>
              <w:br w:type="textWrapping"/>
            </w:r>
            <w:r>
              <w:rPr>
                <w:rFonts w:hint="eastAsia" w:ascii="宋体" w:hAnsi="宋体" w:cs="宋体"/>
                <w:kern w:val="0"/>
                <w:sz w:val="18"/>
                <w:szCs w:val="18"/>
              </w:rPr>
              <w:t>6.1 服务流程配置</w:t>
            </w:r>
            <w:r>
              <w:rPr>
                <w:rFonts w:hint="eastAsia" w:ascii="宋体" w:hAnsi="宋体" w:cs="宋体"/>
                <w:kern w:val="0"/>
                <w:sz w:val="18"/>
                <w:szCs w:val="18"/>
              </w:rPr>
              <w:br w:type="textWrapping"/>
            </w:r>
            <w:r>
              <w:rPr>
                <w:rFonts w:hint="eastAsia" w:ascii="宋体" w:hAnsi="宋体" w:cs="宋体"/>
                <w:kern w:val="0"/>
                <w:sz w:val="18"/>
                <w:szCs w:val="18"/>
              </w:rPr>
              <w:t>6.1.1 项目设置</w:t>
            </w:r>
            <w:r>
              <w:rPr>
                <w:rFonts w:hint="eastAsia" w:ascii="宋体" w:hAnsi="宋体" w:cs="宋体"/>
                <w:kern w:val="0"/>
                <w:sz w:val="18"/>
                <w:szCs w:val="18"/>
              </w:rPr>
              <w:br w:type="textWrapping"/>
            </w:r>
            <w:r>
              <w:rPr>
                <w:rFonts w:hint="eastAsia" w:ascii="宋体" w:hAnsi="宋体" w:cs="宋体"/>
                <w:kern w:val="0"/>
                <w:sz w:val="18"/>
                <w:szCs w:val="18"/>
              </w:rPr>
              <w:t>6.1.1.1 维护酒店的服务项目、服务明细内容。</w:t>
            </w:r>
            <w:r>
              <w:rPr>
                <w:rFonts w:hint="eastAsia" w:ascii="宋体" w:hAnsi="宋体" w:cs="宋体"/>
                <w:kern w:val="0"/>
                <w:sz w:val="18"/>
                <w:szCs w:val="18"/>
              </w:rPr>
              <w:br w:type="textWrapping"/>
            </w:r>
            <w:r>
              <w:rPr>
                <w:rFonts w:hint="eastAsia" w:ascii="宋体" w:hAnsi="宋体" w:cs="宋体"/>
                <w:kern w:val="0"/>
                <w:sz w:val="18"/>
                <w:szCs w:val="18"/>
              </w:rPr>
              <w:t>6.1.1.2 支持配置符合酒店业务的服务流程。</w:t>
            </w:r>
            <w:r>
              <w:rPr>
                <w:rFonts w:hint="eastAsia" w:ascii="宋体" w:hAnsi="宋体" w:cs="宋体"/>
                <w:kern w:val="0"/>
                <w:sz w:val="18"/>
                <w:szCs w:val="18"/>
              </w:rPr>
              <w:br w:type="textWrapping"/>
            </w:r>
            <w:r>
              <w:rPr>
                <w:rFonts w:hint="eastAsia" w:ascii="宋体" w:hAnsi="宋体" w:cs="宋体"/>
                <w:kern w:val="0"/>
                <w:sz w:val="18"/>
                <w:szCs w:val="18"/>
              </w:rPr>
              <w:t>6.1.2 工单处理</w:t>
            </w:r>
            <w:r>
              <w:rPr>
                <w:rFonts w:hint="eastAsia" w:ascii="宋体" w:hAnsi="宋体" w:cs="宋体"/>
                <w:kern w:val="0"/>
                <w:sz w:val="18"/>
                <w:szCs w:val="18"/>
              </w:rPr>
              <w:br w:type="textWrapping"/>
            </w:r>
            <w:r>
              <w:rPr>
                <w:rFonts w:hint="eastAsia" w:ascii="宋体" w:hAnsi="宋体" w:cs="宋体"/>
                <w:kern w:val="0"/>
                <w:sz w:val="18"/>
                <w:szCs w:val="18"/>
              </w:rPr>
              <w:t>6.1.2.1 支持通过手机端或电脑端创建工单。</w:t>
            </w:r>
            <w:r>
              <w:rPr>
                <w:rFonts w:hint="eastAsia" w:ascii="宋体" w:hAnsi="宋体" w:cs="宋体"/>
                <w:kern w:val="0"/>
                <w:sz w:val="18"/>
                <w:szCs w:val="18"/>
              </w:rPr>
              <w:br w:type="textWrapping"/>
            </w:r>
            <w:r>
              <w:rPr>
                <w:rFonts w:hint="eastAsia" w:ascii="宋体" w:hAnsi="宋体" w:cs="宋体"/>
                <w:kern w:val="0"/>
                <w:sz w:val="18"/>
                <w:szCs w:val="18"/>
              </w:rPr>
              <w:t>6.1.2.2 支持自动派单或手动接单模式。</w:t>
            </w:r>
            <w:r>
              <w:rPr>
                <w:rFonts w:hint="eastAsia" w:ascii="宋体" w:hAnsi="宋体" w:cs="宋体"/>
                <w:kern w:val="0"/>
                <w:sz w:val="18"/>
                <w:szCs w:val="18"/>
              </w:rPr>
              <w:br w:type="textWrapping"/>
            </w:r>
            <w:r>
              <w:rPr>
                <w:rFonts w:hint="eastAsia" w:ascii="宋体" w:hAnsi="宋体" w:cs="宋体"/>
                <w:kern w:val="0"/>
                <w:sz w:val="18"/>
                <w:szCs w:val="18"/>
              </w:rPr>
              <w:t>6.1.2.3 支持工单挂起、超时上报（多级上报）、抄送及验收功能。</w:t>
            </w:r>
            <w:r>
              <w:rPr>
                <w:rFonts w:hint="eastAsia" w:ascii="宋体" w:hAnsi="宋体" w:cs="宋体"/>
                <w:kern w:val="0"/>
                <w:sz w:val="18"/>
                <w:szCs w:val="18"/>
              </w:rPr>
              <w:br w:type="textWrapping"/>
            </w:r>
            <w:r>
              <w:rPr>
                <w:rFonts w:hint="eastAsia" w:ascii="宋体" w:hAnsi="宋体" w:cs="宋体"/>
                <w:kern w:val="0"/>
                <w:sz w:val="18"/>
                <w:szCs w:val="18"/>
              </w:rPr>
              <w:t>6.1.2.4 支持主管查询当前未完成服务及处理进度。</w:t>
            </w:r>
            <w:r>
              <w:rPr>
                <w:rFonts w:hint="eastAsia" w:ascii="宋体" w:hAnsi="宋体" w:cs="宋体"/>
                <w:kern w:val="0"/>
                <w:sz w:val="18"/>
                <w:szCs w:val="18"/>
              </w:rPr>
              <w:br w:type="textWrapping"/>
            </w:r>
            <w:r>
              <w:rPr>
                <w:rFonts w:hint="eastAsia" w:ascii="宋体" w:hAnsi="宋体" w:cs="宋体"/>
                <w:kern w:val="0"/>
                <w:sz w:val="18"/>
                <w:szCs w:val="18"/>
              </w:rPr>
              <w:t>6.1.2.5 支持统计服务项目汇总、服务明细汇总及员工服务汇总数据。</w:t>
            </w:r>
            <w:r>
              <w:rPr>
                <w:rFonts w:hint="eastAsia" w:ascii="宋体" w:hAnsi="宋体" w:cs="宋体"/>
                <w:kern w:val="0"/>
                <w:sz w:val="18"/>
                <w:szCs w:val="18"/>
              </w:rPr>
              <w:br w:type="textWrapping"/>
            </w:r>
            <w:r>
              <w:rPr>
                <w:rFonts w:hint="eastAsia" w:ascii="宋体" w:hAnsi="宋体" w:cs="宋体"/>
                <w:kern w:val="0"/>
                <w:sz w:val="18"/>
                <w:szCs w:val="18"/>
              </w:rPr>
              <w:t>6.2 C端功能应用</w:t>
            </w:r>
            <w:r>
              <w:rPr>
                <w:rFonts w:hint="eastAsia" w:ascii="宋体" w:hAnsi="宋体" w:cs="宋体"/>
                <w:kern w:val="0"/>
                <w:sz w:val="18"/>
                <w:szCs w:val="18"/>
              </w:rPr>
              <w:br w:type="textWrapping"/>
            </w:r>
            <w:r>
              <w:rPr>
                <w:rFonts w:hint="eastAsia" w:ascii="宋体" w:hAnsi="宋体" w:cs="宋体"/>
                <w:kern w:val="0"/>
                <w:sz w:val="18"/>
                <w:szCs w:val="18"/>
              </w:rPr>
              <w:t>6.2.1 行程与导览</w:t>
            </w:r>
            <w:r>
              <w:rPr>
                <w:rFonts w:hint="eastAsia" w:ascii="宋体" w:hAnsi="宋体" w:cs="宋体"/>
                <w:kern w:val="0"/>
                <w:sz w:val="18"/>
                <w:szCs w:val="18"/>
              </w:rPr>
              <w:br w:type="textWrapping"/>
            </w:r>
            <w:r>
              <w:rPr>
                <w:rFonts w:hint="eastAsia" w:ascii="宋体" w:hAnsi="宋体" w:cs="宋体"/>
                <w:kern w:val="0"/>
                <w:sz w:val="18"/>
                <w:szCs w:val="18"/>
              </w:rPr>
              <w:t>6.2.1.1 行程卡片：展示入离信息、房号等，支持主体多租户-酒店单页面。</w:t>
            </w:r>
            <w:r>
              <w:rPr>
                <w:rFonts w:hint="eastAsia" w:ascii="宋体" w:hAnsi="宋体" w:cs="宋体"/>
                <w:kern w:val="0"/>
                <w:sz w:val="18"/>
                <w:szCs w:val="18"/>
              </w:rPr>
              <w:br w:type="textWrapping"/>
            </w:r>
            <w:r>
              <w:rPr>
                <w:rFonts w:hint="eastAsia" w:ascii="宋体" w:hAnsi="宋体" w:cs="宋体"/>
                <w:kern w:val="0"/>
                <w:sz w:val="18"/>
                <w:szCs w:val="18"/>
              </w:rPr>
              <w:t>6.2.1.2 酒店导览：展示酒店信息介绍、服务设置以及周边娱乐的服务指南。</w:t>
            </w:r>
            <w:r>
              <w:rPr>
                <w:rFonts w:hint="eastAsia" w:ascii="宋体" w:hAnsi="宋体" w:cs="宋体"/>
                <w:kern w:val="0"/>
                <w:sz w:val="18"/>
                <w:szCs w:val="18"/>
              </w:rPr>
              <w:br w:type="textWrapping"/>
            </w:r>
            <w:r>
              <w:rPr>
                <w:rFonts w:hint="eastAsia" w:ascii="宋体" w:hAnsi="宋体" w:cs="宋体"/>
                <w:kern w:val="0"/>
                <w:sz w:val="18"/>
                <w:szCs w:val="18"/>
              </w:rPr>
              <w:t>6.2.2 客房服务</w:t>
            </w:r>
            <w:r>
              <w:rPr>
                <w:rFonts w:hint="eastAsia" w:ascii="宋体" w:hAnsi="宋体" w:cs="宋体"/>
                <w:kern w:val="0"/>
                <w:sz w:val="18"/>
                <w:szCs w:val="18"/>
              </w:rPr>
              <w:br w:type="textWrapping"/>
            </w:r>
            <w:r>
              <w:rPr>
                <w:rFonts w:hint="eastAsia" w:ascii="宋体" w:hAnsi="宋体" w:cs="宋体"/>
                <w:kern w:val="0"/>
                <w:sz w:val="18"/>
                <w:szCs w:val="18"/>
              </w:rPr>
              <w:t>6.2.2.1 客房送餐：客人可点餐送到房间（与餐饮系统非直连），支持线下或线上支付。</w:t>
            </w:r>
            <w:r>
              <w:rPr>
                <w:rFonts w:hint="eastAsia" w:ascii="宋体" w:hAnsi="宋体" w:cs="宋体"/>
                <w:kern w:val="0"/>
                <w:sz w:val="18"/>
                <w:szCs w:val="18"/>
              </w:rPr>
              <w:br w:type="textWrapping"/>
            </w:r>
            <w:r>
              <w:rPr>
                <w:rFonts w:hint="eastAsia" w:ascii="宋体" w:hAnsi="宋体" w:cs="宋体"/>
                <w:kern w:val="0"/>
                <w:sz w:val="18"/>
                <w:szCs w:val="18"/>
              </w:rPr>
              <w:t>6.2.2.2 商品下单：支持客人线上购买酒店商品（不支持线上支付），服务员送货到房间。</w:t>
            </w:r>
            <w:r>
              <w:rPr>
                <w:rFonts w:hint="eastAsia" w:ascii="宋体" w:hAnsi="宋体" w:cs="宋体"/>
                <w:kern w:val="0"/>
                <w:sz w:val="18"/>
                <w:szCs w:val="18"/>
              </w:rPr>
              <w:br w:type="textWrapping"/>
            </w:r>
            <w:r>
              <w:rPr>
                <w:rFonts w:hint="eastAsia" w:ascii="宋体" w:hAnsi="宋体" w:cs="宋体"/>
                <w:kern w:val="0"/>
                <w:sz w:val="18"/>
                <w:szCs w:val="18"/>
              </w:rPr>
              <w:t>6.2.2.3 客房打扫：通知客房清洁员立即清洁。</w:t>
            </w:r>
            <w:r>
              <w:rPr>
                <w:rFonts w:hint="eastAsia" w:ascii="宋体" w:hAnsi="宋体" w:cs="宋体"/>
                <w:kern w:val="0"/>
                <w:sz w:val="18"/>
                <w:szCs w:val="18"/>
              </w:rPr>
              <w:br w:type="textWrapping"/>
            </w:r>
            <w:r>
              <w:rPr>
                <w:rFonts w:hint="eastAsia" w:ascii="宋体" w:hAnsi="宋体" w:cs="宋体"/>
                <w:kern w:val="0"/>
                <w:sz w:val="18"/>
                <w:szCs w:val="18"/>
              </w:rPr>
              <w:t xml:space="preserve">6.2.2.4 物品借用/补充：支持借用物品（信息同步PMS）、补充客房用品（拖鞋/洗漱用品）、提供免费供应（柠檬水/创口贴）。 </w:t>
            </w:r>
            <w:r>
              <w:rPr>
                <w:rFonts w:hint="eastAsia" w:ascii="宋体" w:hAnsi="宋体" w:cs="宋体"/>
                <w:kern w:val="0"/>
                <w:sz w:val="18"/>
                <w:szCs w:val="18"/>
              </w:rPr>
              <w:br w:type="textWrapping"/>
            </w:r>
            <w:r>
              <w:rPr>
                <w:rFonts w:hint="eastAsia" w:ascii="宋体" w:hAnsi="宋体" w:cs="宋体"/>
                <w:kern w:val="0"/>
                <w:sz w:val="18"/>
                <w:szCs w:val="18"/>
              </w:rPr>
              <w:t>6.2.2.5 客衣收洗：下单通知服务员上门收取。</w:t>
            </w:r>
            <w:r>
              <w:rPr>
                <w:rFonts w:hint="eastAsia" w:ascii="宋体" w:hAnsi="宋体" w:cs="宋体"/>
                <w:kern w:val="0"/>
                <w:sz w:val="18"/>
                <w:szCs w:val="18"/>
              </w:rPr>
              <w:br w:type="textWrapping"/>
            </w:r>
            <w:r>
              <w:rPr>
                <w:rFonts w:hint="eastAsia" w:ascii="宋体" w:hAnsi="宋体" w:cs="宋体"/>
                <w:kern w:val="0"/>
                <w:sz w:val="18"/>
                <w:szCs w:val="18"/>
              </w:rPr>
              <w:t>6.2.2.6 客房报修：客人可对本人入住房间进行报修，通知工程部维修。</w:t>
            </w:r>
            <w:r>
              <w:rPr>
                <w:rFonts w:hint="eastAsia" w:ascii="宋体" w:hAnsi="宋体" w:cs="宋体"/>
                <w:kern w:val="0"/>
                <w:sz w:val="18"/>
                <w:szCs w:val="18"/>
              </w:rPr>
              <w:br w:type="textWrapping"/>
            </w:r>
            <w:r>
              <w:rPr>
                <w:rFonts w:hint="eastAsia" w:ascii="宋体" w:hAnsi="宋体" w:cs="宋体"/>
                <w:kern w:val="0"/>
                <w:sz w:val="18"/>
                <w:szCs w:val="18"/>
              </w:rPr>
              <w:t>6.2.2.7 投诉建议/调查问卷：支持提交投诉建议；支持将问卷调研结果转化为内部处理流程。</w:t>
            </w:r>
          </w:p>
        </w:tc>
        <w:tc>
          <w:tcPr>
            <w:tcW w:w="404" w:type="dxa"/>
            <w:tcBorders>
              <w:top w:val="nil"/>
              <w:left w:val="nil"/>
              <w:bottom w:val="single" w:color="auto" w:sz="4" w:space="0"/>
              <w:right w:val="single" w:color="auto" w:sz="4" w:space="0"/>
            </w:tcBorders>
            <w:shd w:val="clear" w:color="000000" w:fill="FFFFFF"/>
            <w:vAlign w:val="center"/>
          </w:tcPr>
          <w:p w14:paraId="6E72C46B">
            <w:pPr>
              <w:widowControl/>
              <w:jc w:val="center"/>
              <w:rPr>
                <w:rFonts w:ascii="宋体" w:hAnsi="宋体" w:cs="宋体"/>
                <w:kern w:val="0"/>
                <w:sz w:val="18"/>
                <w:szCs w:val="18"/>
              </w:rPr>
            </w:pPr>
            <w:r>
              <w:rPr>
                <w:rFonts w:hint="eastAsia" w:ascii="宋体" w:hAnsi="宋体" w:cs="宋体"/>
                <w:kern w:val="0"/>
                <w:sz w:val="18"/>
                <w:szCs w:val="18"/>
              </w:rPr>
              <w:t>1</w:t>
            </w:r>
          </w:p>
        </w:tc>
        <w:tc>
          <w:tcPr>
            <w:tcW w:w="504" w:type="dxa"/>
            <w:tcBorders>
              <w:top w:val="nil"/>
              <w:left w:val="nil"/>
              <w:bottom w:val="single" w:color="auto" w:sz="4" w:space="0"/>
              <w:right w:val="single" w:color="auto" w:sz="4" w:space="0"/>
            </w:tcBorders>
            <w:shd w:val="clear" w:color="000000" w:fill="FFFFFF"/>
            <w:vAlign w:val="center"/>
          </w:tcPr>
          <w:p w14:paraId="43E61C54">
            <w:pPr>
              <w:widowControl/>
              <w:jc w:val="center"/>
              <w:rPr>
                <w:rFonts w:ascii="宋体" w:hAnsi="宋体" w:cs="宋体"/>
                <w:kern w:val="0"/>
                <w:sz w:val="18"/>
                <w:szCs w:val="18"/>
              </w:rPr>
            </w:pPr>
            <w:r>
              <w:rPr>
                <w:rFonts w:hint="eastAsia" w:ascii="宋体" w:hAnsi="宋体" w:cs="宋体"/>
                <w:kern w:val="0"/>
                <w:sz w:val="18"/>
                <w:szCs w:val="18"/>
              </w:rPr>
              <w:t>套</w:t>
            </w:r>
          </w:p>
        </w:tc>
        <w:tc>
          <w:tcPr>
            <w:tcW w:w="823" w:type="dxa"/>
            <w:tcBorders>
              <w:top w:val="nil"/>
              <w:left w:val="nil"/>
              <w:bottom w:val="single" w:color="auto" w:sz="4" w:space="0"/>
              <w:right w:val="single" w:color="auto" w:sz="4" w:space="0"/>
            </w:tcBorders>
            <w:shd w:val="clear" w:color="000000" w:fill="FFFFFF"/>
            <w:vAlign w:val="center"/>
          </w:tcPr>
          <w:p w14:paraId="6DD9AC3D">
            <w:pPr>
              <w:widowControl/>
              <w:jc w:val="left"/>
              <w:rPr>
                <w:rFonts w:ascii="宋体" w:hAnsi="宋体" w:cs="宋体"/>
                <w:kern w:val="0"/>
                <w:sz w:val="18"/>
                <w:szCs w:val="18"/>
              </w:rPr>
            </w:pPr>
            <w:r>
              <w:rPr>
                <w:rFonts w:hint="eastAsia" w:ascii="宋体" w:hAnsi="宋体" w:cs="宋体"/>
                <w:kern w:val="0"/>
                <w:sz w:val="18"/>
                <w:szCs w:val="18"/>
              </w:rPr>
              <w:t xml:space="preserve">34000 </w:t>
            </w:r>
          </w:p>
        </w:tc>
        <w:tc>
          <w:tcPr>
            <w:tcW w:w="865" w:type="dxa"/>
            <w:tcBorders>
              <w:top w:val="nil"/>
              <w:left w:val="nil"/>
              <w:bottom w:val="single" w:color="auto" w:sz="4" w:space="0"/>
              <w:right w:val="single" w:color="auto" w:sz="4" w:space="0"/>
            </w:tcBorders>
            <w:shd w:val="clear" w:color="000000" w:fill="FFFFFF"/>
            <w:vAlign w:val="center"/>
          </w:tcPr>
          <w:p w14:paraId="52B18550">
            <w:pPr>
              <w:widowControl/>
              <w:jc w:val="left"/>
              <w:rPr>
                <w:rFonts w:ascii="宋体" w:hAnsi="宋体" w:cs="宋体"/>
                <w:kern w:val="0"/>
                <w:sz w:val="18"/>
                <w:szCs w:val="18"/>
              </w:rPr>
            </w:pPr>
            <w:r>
              <w:rPr>
                <w:rFonts w:hint="eastAsia" w:ascii="宋体" w:hAnsi="宋体" w:cs="宋体"/>
                <w:kern w:val="0"/>
                <w:sz w:val="18"/>
                <w:szCs w:val="18"/>
              </w:rPr>
              <w:t xml:space="preserve">34000 </w:t>
            </w:r>
          </w:p>
        </w:tc>
      </w:tr>
      <w:tr w14:paraId="08017D1C">
        <w:tblPrEx>
          <w:tblCellMar>
            <w:top w:w="0" w:type="dxa"/>
            <w:left w:w="108" w:type="dxa"/>
            <w:bottom w:w="0" w:type="dxa"/>
            <w:right w:w="108" w:type="dxa"/>
          </w:tblCellMar>
        </w:tblPrEx>
        <w:tc>
          <w:tcPr>
            <w:tcW w:w="409" w:type="dxa"/>
            <w:tcBorders>
              <w:top w:val="nil"/>
              <w:left w:val="single" w:color="auto" w:sz="4" w:space="0"/>
              <w:bottom w:val="single" w:color="auto" w:sz="4" w:space="0"/>
              <w:right w:val="single" w:color="auto" w:sz="4" w:space="0"/>
            </w:tcBorders>
            <w:shd w:val="clear" w:color="000000" w:fill="FFFFFF"/>
            <w:noWrap/>
            <w:vAlign w:val="center"/>
          </w:tcPr>
          <w:p w14:paraId="5BCD8C1B">
            <w:pPr>
              <w:widowControl/>
              <w:jc w:val="center"/>
              <w:rPr>
                <w:rFonts w:ascii="宋体" w:hAnsi="宋体" w:cs="宋体"/>
                <w:kern w:val="0"/>
                <w:sz w:val="18"/>
                <w:szCs w:val="18"/>
              </w:rPr>
            </w:pPr>
            <w:r>
              <w:rPr>
                <w:rFonts w:hint="eastAsia" w:ascii="宋体" w:hAnsi="宋体" w:cs="宋体"/>
                <w:kern w:val="0"/>
                <w:sz w:val="18"/>
                <w:szCs w:val="18"/>
              </w:rPr>
              <w:t>7</w:t>
            </w:r>
          </w:p>
        </w:tc>
        <w:tc>
          <w:tcPr>
            <w:tcW w:w="878" w:type="dxa"/>
            <w:tcBorders>
              <w:top w:val="nil"/>
              <w:left w:val="nil"/>
              <w:bottom w:val="single" w:color="auto" w:sz="4" w:space="0"/>
              <w:right w:val="single" w:color="auto" w:sz="4" w:space="0"/>
            </w:tcBorders>
            <w:shd w:val="clear" w:color="000000" w:fill="FFFFFF"/>
            <w:vAlign w:val="center"/>
          </w:tcPr>
          <w:p w14:paraId="7784C025">
            <w:pPr>
              <w:widowControl/>
              <w:jc w:val="center"/>
              <w:rPr>
                <w:rFonts w:ascii="宋体" w:hAnsi="宋体" w:cs="宋体"/>
                <w:kern w:val="0"/>
                <w:sz w:val="18"/>
                <w:szCs w:val="18"/>
              </w:rPr>
            </w:pPr>
            <w:r>
              <w:rPr>
                <w:rFonts w:hint="eastAsia" w:ascii="宋体" w:hAnsi="宋体" w:cs="宋体"/>
                <w:kern w:val="0"/>
                <w:sz w:val="18"/>
                <w:szCs w:val="18"/>
              </w:rPr>
              <w:t>送物机器人</w:t>
            </w:r>
          </w:p>
        </w:tc>
        <w:tc>
          <w:tcPr>
            <w:tcW w:w="4717" w:type="dxa"/>
            <w:tcBorders>
              <w:top w:val="nil"/>
              <w:left w:val="nil"/>
              <w:bottom w:val="single" w:color="auto" w:sz="4" w:space="0"/>
              <w:right w:val="single" w:color="auto" w:sz="4" w:space="0"/>
            </w:tcBorders>
            <w:shd w:val="clear" w:color="000000" w:fill="FFFFFF"/>
            <w:vAlign w:val="center"/>
          </w:tcPr>
          <w:p w14:paraId="3ACC5190">
            <w:pPr>
              <w:widowControl/>
              <w:jc w:val="left"/>
              <w:rPr>
                <w:rFonts w:ascii="宋体" w:hAnsi="宋体" w:cs="宋体"/>
                <w:kern w:val="0"/>
                <w:sz w:val="18"/>
                <w:szCs w:val="18"/>
              </w:rPr>
            </w:pPr>
            <w:r>
              <w:rPr>
                <w:rFonts w:hint="eastAsia" w:ascii="宋体" w:hAnsi="宋体" w:cs="宋体"/>
                <w:kern w:val="0"/>
                <w:sz w:val="18"/>
                <w:szCs w:val="18"/>
              </w:rPr>
              <w:t>1. 设备功能要求</w:t>
            </w:r>
            <w:r>
              <w:rPr>
                <w:rFonts w:hint="eastAsia" w:ascii="宋体" w:hAnsi="宋体" w:cs="宋体"/>
                <w:kern w:val="0"/>
                <w:sz w:val="18"/>
                <w:szCs w:val="18"/>
              </w:rPr>
              <w:br w:type="textWrapping"/>
            </w:r>
            <w:r>
              <w:rPr>
                <w:rFonts w:hint="eastAsia" w:ascii="宋体" w:hAnsi="宋体" w:cs="宋体"/>
                <w:kern w:val="0"/>
                <w:sz w:val="18"/>
                <w:szCs w:val="18"/>
              </w:rPr>
              <w:t>投标人所投设备须具备以下核心功能：</w:t>
            </w:r>
            <w:r>
              <w:rPr>
                <w:rFonts w:hint="eastAsia" w:ascii="宋体" w:hAnsi="宋体" w:cs="宋体"/>
                <w:kern w:val="0"/>
                <w:sz w:val="18"/>
                <w:szCs w:val="18"/>
              </w:rPr>
              <w:br w:type="textWrapping"/>
            </w:r>
            <w:r>
              <w:rPr>
                <w:rFonts w:hint="eastAsia" w:ascii="宋体" w:hAnsi="宋体" w:cs="宋体"/>
                <w:kern w:val="0"/>
                <w:sz w:val="18"/>
                <w:szCs w:val="18"/>
              </w:rPr>
              <w:t>支持自动送物服务；</w:t>
            </w:r>
            <w:r>
              <w:rPr>
                <w:rFonts w:hint="eastAsia" w:ascii="宋体" w:hAnsi="宋体" w:cs="宋体"/>
                <w:kern w:val="0"/>
                <w:sz w:val="18"/>
                <w:szCs w:val="18"/>
              </w:rPr>
              <w:br w:type="textWrapping"/>
            </w:r>
            <w:r>
              <w:rPr>
                <w:rFonts w:hint="eastAsia" w:ascii="宋体" w:hAnsi="宋体" w:cs="宋体"/>
                <w:kern w:val="0"/>
                <w:sz w:val="18"/>
                <w:szCs w:val="18"/>
              </w:rPr>
              <w:t>支持接驳货柜操作（即与外部储物柜或物流系统对接）；</w:t>
            </w:r>
            <w:r>
              <w:rPr>
                <w:rFonts w:hint="eastAsia" w:ascii="宋体" w:hAnsi="宋体" w:cs="宋体"/>
                <w:kern w:val="0"/>
                <w:sz w:val="18"/>
                <w:szCs w:val="18"/>
              </w:rPr>
              <w:br w:type="textWrapping"/>
            </w:r>
            <w:r>
              <w:rPr>
                <w:rFonts w:hint="eastAsia" w:ascii="宋体" w:hAnsi="宋体" w:cs="宋体"/>
                <w:kern w:val="0"/>
                <w:sz w:val="18"/>
                <w:szCs w:val="18"/>
              </w:rPr>
              <w:t>具备双仓独立存储与配送能力。</w:t>
            </w:r>
            <w:r>
              <w:rPr>
                <w:rFonts w:hint="eastAsia" w:ascii="宋体" w:hAnsi="宋体" w:cs="宋体"/>
                <w:kern w:val="0"/>
                <w:sz w:val="18"/>
                <w:szCs w:val="18"/>
              </w:rPr>
              <w:br w:type="textWrapping"/>
            </w:r>
            <w:r>
              <w:rPr>
                <w:rFonts w:hint="eastAsia" w:ascii="宋体" w:hAnsi="宋体" w:cs="宋体"/>
                <w:kern w:val="0"/>
                <w:sz w:val="18"/>
                <w:szCs w:val="18"/>
              </w:rPr>
              <w:t>2.外形尺寸要求</w:t>
            </w:r>
            <w:r>
              <w:rPr>
                <w:rFonts w:hint="eastAsia" w:ascii="宋体" w:hAnsi="宋体" w:cs="宋体"/>
                <w:kern w:val="0"/>
                <w:sz w:val="18"/>
                <w:szCs w:val="18"/>
              </w:rPr>
              <w:br w:type="textWrapping"/>
            </w:r>
            <w:r>
              <w:rPr>
                <w:rFonts w:hint="eastAsia" w:ascii="宋体" w:hAnsi="宋体" w:cs="宋体"/>
                <w:kern w:val="0"/>
                <w:sz w:val="18"/>
                <w:szCs w:val="18"/>
              </w:rPr>
              <w:t>设备整机外形尺寸应满足：</w:t>
            </w:r>
            <w:r>
              <w:rPr>
                <w:rFonts w:hint="eastAsia" w:ascii="宋体" w:hAnsi="宋体" w:cs="宋体"/>
                <w:kern w:val="0"/>
                <w:sz w:val="18"/>
                <w:szCs w:val="18"/>
              </w:rPr>
              <w:br w:type="textWrapping"/>
            </w:r>
            <w:r>
              <w:rPr>
                <w:rFonts w:hint="eastAsia" w:ascii="宋体" w:hAnsi="宋体" w:cs="宋体"/>
                <w:kern w:val="0"/>
                <w:sz w:val="18"/>
                <w:szCs w:val="18"/>
              </w:rPr>
              <w:t>长度 ≤ 535 mm；</w:t>
            </w:r>
            <w:r>
              <w:rPr>
                <w:rFonts w:hint="eastAsia" w:ascii="宋体" w:hAnsi="宋体" w:cs="宋体"/>
                <w:kern w:val="0"/>
                <w:sz w:val="18"/>
                <w:szCs w:val="18"/>
              </w:rPr>
              <w:br w:type="textWrapping"/>
            </w:r>
            <w:r>
              <w:rPr>
                <w:rFonts w:hint="eastAsia" w:ascii="宋体" w:hAnsi="宋体" w:cs="宋体"/>
                <w:kern w:val="0"/>
                <w:sz w:val="18"/>
                <w:szCs w:val="18"/>
              </w:rPr>
              <w:t>宽度 ≤ 550 mm；</w:t>
            </w:r>
            <w:r>
              <w:rPr>
                <w:rFonts w:hint="eastAsia" w:ascii="宋体" w:hAnsi="宋体" w:cs="宋体"/>
                <w:kern w:val="0"/>
                <w:sz w:val="18"/>
                <w:szCs w:val="18"/>
              </w:rPr>
              <w:br w:type="textWrapping"/>
            </w:r>
            <w:r>
              <w:rPr>
                <w:rFonts w:hint="eastAsia" w:ascii="宋体" w:hAnsi="宋体" w:cs="宋体"/>
                <w:kern w:val="0"/>
                <w:sz w:val="18"/>
                <w:szCs w:val="18"/>
              </w:rPr>
              <w:t>高度 ≤ 1050 mm。</w:t>
            </w:r>
            <w:r>
              <w:rPr>
                <w:rFonts w:hint="eastAsia" w:ascii="宋体" w:hAnsi="宋体" w:cs="宋体"/>
                <w:kern w:val="0"/>
                <w:sz w:val="18"/>
                <w:szCs w:val="18"/>
              </w:rPr>
              <w:br w:type="textWrapping"/>
            </w:r>
            <w:r>
              <w:rPr>
                <w:rFonts w:hint="eastAsia" w:ascii="宋体" w:hAnsi="宋体" w:cs="宋体"/>
                <w:kern w:val="0"/>
                <w:sz w:val="18"/>
                <w:szCs w:val="18"/>
              </w:rPr>
              <w:t>3.仓内空间要求</w:t>
            </w:r>
            <w:r>
              <w:rPr>
                <w:rFonts w:hint="eastAsia" w:ascii="宋体" w:hAnsi="宋体" w:cs="宋体"/>
                <w:kern w:val="0"/>
                <w:sz w:val="18"/>
                <w:szCs w:val="18"/>
              </w:rPr>
              <w:br w:type="textWrapping"/>
            </w:r>
            <w:r>
              <w:rPr>
                <w:rFonts w:hint="eastAsia" w:ascii="宋体" w:hAnsi="宋体" w:cs="宋体"/>
                <w:kern w:val="0"/>
                <w:sz w:val="18"/>
                <w:szCs w:val="18"/>
              </w:rPr>
              <w:t>设备内部应配置双仓结构，单仓有效容积及尺寸需满足：</w:t>
            </w:r>
            <w:r>
              <w:rPr>
                <w:rFonts w:hint="eastAsia" w:ascii="宋体" w:hAnsi="宋体" w:cs="宋体"/>
                <w:kern w:val="0"/>
                <w:sz w:val="18"/>
                <w:szCs w:val="18"/>
              </w:rPr>
              <w:br w:type="textWrapping"/>
            </w:r>
            <w:r>
              <w:rPr>
                <w:rFonts w:hint="eastAsia" w:ascii="宋体" w:hAnsi="宋体" w:cs="宋体"/>
                <w:kern w:val="0"/>
                <w:sz w:val="18"/>
                <w:szCs w:val="18"/>
              </w:rPr>
              <w:t>单仓内部尺寸：长 ≥ 310 mm × 宽 ≥ 310 mm × 高 ≥ 240 mm；</w:t>
            </w:r>
            <w:r>
              <w:rPr>
                <w:rFonts w:hint="eastAsia" w:ascii="宋体" w:hAnsi="宋体" w:cs="宋体"/>
                <w:kern w:val="0"/>
                <w:sz w:val="18"/>
                <w:szCs w:val="18"/>
              </w:rPr>
              <w:br w:type="textWrapping"/>
            </w:r>
            <w:r>
              <w:rPr>
                <w:rFonts w:hint="eastAsia" w:ascii="宋体" w:hAnsi="宋体" w:cs="宋体"/>
                <w:kern w:val="0"/>
                <w:sz w:val="18"/>
                <w:szCs w:val="18"/>
              </w:rPr>
              <w:t>总仓数：2个（上仓 + 下仓）；</w:t>
            </w:r>
            <w:r>
              <w:rPr>
                <w:rFonts w:hint="eastAsia" w:ascii="宋体" w:hAnsi="宋体" w:cs="宋体"/>
                <w:kern w:val="0"/>
                <w:sz w:val="18"/>
                <w:szCs w:val="18"/>
              </w:rPr>
              <w:br w:type="textWrapping"/>
            </w:r>
            <w:r>
              <w:rPr>
                <w:rFonts w:hint="eastAsia" w:ascii="宋体" w:hAnsi="宋体" w:cs="宋体"/>
                <w:kern w:val="0"/>
                <w:sz w:val="18"/>
                <w:szCs w:val="18"/>
              </w:rPr>
              <w:t>单仓标称容量：≥ 23 L（上仓与下仓均不低于此值）。</w:t>
            </w:r>
            <w:r>
              <w:rPr>
                <w:rFonts w:hint="eastAsia" w:ascii="宋体" w:hAnsi="宋体" w:cs="宋体"/>
                <w:kern w:val="0"/>
                <w:sz w:val="18"/>
                <w:szCs w:val="18"/>
              </w:rPr>
              <w:br w:type="textWrapping"/>
            </w:r>
            <w:r>
              <w:rPr>
                <w:rFonts w:hint="eastAsia" w:ascii="宋体" w:hAnsi="宋体" w:cs="宋体"/>
                <w:kern w:val="0"/>
                <w:sz w:val="18"/>
                <w:szCs w:val="18"/>
              </w:rPr>
              <w:t>4.载重能力要求</w:t>
            </w:r>
            <w:r>
              <w:rPr>
                <w:rFonts w:hint="eastAsia" w:ascii="宋体" w:hAnsi="宋体" w:cs="宋体"/>
                <w:kern w:val="0"/>
                <w:sz w:val="18"/>
                <w:szCs w:val="18"/>
              </w:rPr>
              <w:br w:type="textWrapping"/>
            </w:r>
            <w:r>
              <w:rPr>
                <w:rFonts w:hint="eastAsia" w:ascii="宋体" w:hAnsi="宋体" w:cs="宋体"/>
                <w:kern w:val="0"/>
                <w:sz w:val="18"/>
                <w:szCs w:val="18"/>
              </w:rPr>
              <w:t>设备各部分承重能力须达到以下标准：</w:t>
            </w:r>
            <w:r>
              <w:rPr>
                <w:rFonts w:hint="eastAsia" w:ascii="宋体" w:hAnsi="宋体" w:cs="宋体"/>
                <w:kern w:val="0"/>
                <w:sz w:val="18"/>
                <w:szCs w:val="18"/>
              </w:rPr>
              <w:br w:type="textWrapping"/>
            </w:r>
            <w:r>
              <w:rPr>
                <w:rFonts w:hint="eastAsia" w:ascii="宋体" w:hAnsi="宋体" w:cs="宋体"/>
                <w:kern w:val="0"/>
                <w:sz w:val="18"/>
                <w:szCs w:val="18"/>
              </w:rPr>
              <w:t>上仓最大负载：≥ 10 kg；</w:t>
            </w:r>
            <w:r>
              <w:rPr>
                <w:rFonts w:hint="eastAsia" w:ascii="宋体" w:hAnsi="宋体" w:cs="宋体"/>
                <w:kern w:val="0"/>
                <w:sz w:val="18"/>
                <w:szCs w:val="18"/>
              </w:rPr>
              <w:br w:type="textWrapping"/>
            </w:r>
            <w:r>
              <w:rPr>
                <w:rFonts w:hint="eastAsia" w:ascii="宋体" w:hAnsi="宋体" w:cs="宋体"/>
                <w:kern w:val="0"/>
                <w:sz w:val="18"/>
                <w:szCs w:val="18"/>
              </w:rPr>
              <w:t>下仓最大负载：≥ 10 kg；</w:t>
            </w:r>
            <w:r>
              <w:rPr>
                <w:rFonts w:hint="eastAsia" w:ascii="宋体" w:hAnsi="宋体" w:cs="宋体"/>
                <w:kern w:val="0"/>
                <w:sz w:val="18"/>
                <w:szCs w:val="18"/>
              </w:rPr>
              <w:br w:type="textWrapping"/>
            </w:r>
            <w:r>
              <w:rPr>
                <w:rFonts w:hint="eastAsia" w:ascii="宋体" w:hAnsi="宋体" w:cs="宋体"/>
                <w:kern w:val="0"/>
                <w:sz w:val="18"/>
                <w:szCs w:val="18"/>
              </w:rPr>
              <w:t>底盘举升机构最大承载能力：≥ 100 kg。</w:t>
            </w:r>
            <w:r>
              <w:rPr>
                <w:rFonts w:hint="eastAsia" w:ascii="宋体" w:hAnsi="宋体" w:cs="宋体"/>
                <w:kern w:val="0"/>
                <w:sz w:val="18"/>
                <w:szCs w:val="18"/>
              </w:rPr>
              <w:br w:type="textWrapping"/>
            </w:r>
            <w:r>
              <w:rPr>
                <w:rFonts w:hint="eastAsia" w:ascii="宋体" w:hAnsi="宋体" w:cs="宋体"/>
                <w:kern w:val="0"/>
                <w:sz w:val="18"/>
                <w:szCs w:val="18"/>
              </w:rPr>
              <w:t>5.行驶性能要求</w:t>
            </w:r>
            <w:r>
              <w:rPr>
                <w:rFonts w:hint="eastAsia" w:ascii="宋体" w:hAnsi="宋体" w:cs="宋体"/>
                <w:kern w:val="0"/>
                <w:sz w:val="18"/>
                <w:szCs w:val="18"/>
              </w:rPr>
              <w:br w:type="textWrapping"/>
            </w:r>
            <w:r>
              <w:rPr>
                <w:rFonts w:hint="eastAsia" w:ascii="宋体" w:hAnsi="宋体" w:cs="宋体"/>
                <w:kern w:val="0"/>
                <w:sz w:val="18"/>
                <w:szCs w:val="18"/>
              </w:rPr>
              <w:t>设备在正常运行状态下应具备如下运动性能：</w:t>
            </w:r>
            <w:r>
              <w:rPr>
                <w:rFonts w:hint="eastAsia" w:ascii="宋体" w:hAnsi="宋体" w:cs="宋体"/>
                <w:kern w:val="0"/>
                <w:sz w:val="18"/>
                <w:szCs w:val="18"/>
              </w:rPr>
              <w:br w:type="textWrapping"/>
            </w:r>
            <w:r>
              <w:rPr>
                <w:rFonts w:hint="eastAsia" w:ascii="宋体" w:hAnsi="宋体" w:cs="宋体"/>
                <w:kern w:val="0"/>
                <w:sz w:val="18"/>
                <w:szCs w:val="18"/>
              </w:rPr>
              <w:t>行驶速度范围：0.4 m/s ~ 1.4 m/s（可调或自适应）；</w:t>
            </w:r>
            <w:r>
              <w:rPr>
                <w:rFonts w:hint="eastAsia" w:ascii="宋体" w:hAnsi="宋体" w:cs="宋体"/>
                <w:kern w:val="0"/>
                <w:sz w:val="18"/>
                <w:szCs w:val="18"/>
              </w:rPr>
              <w:br w:type="textWrapping"/>
            </w:r>
            <w:r>
              <w:rPr>
                <w:rFonts w:hint="eastAsia" w:ascii="宋体" w:hAnsi="宋体" w:cs="宋体"/>
                <w:kern w:val="0"/>
                <w:sz w:val="18"/>
                <w:szCs w:val="18"/>
              </w:rPr>
              <w:t>最小通过宽度：≤ 60 cm（确保可通过狭窄通道）；</w:t>
            </w:r>
            <w:r>
              <w:rPr>
                <w:rFonts w:hint="eastAsia" w:ascii="宋体" w:hAnsi="宋体" w:cs="宋体"/>
                <w:kern w:val="0"/>
                <w:sz w:val="18"/>
                <w:szCs w:val="18"/>
              </w:rPr>
              <w:br w:type="textWrapping"/>
            </w:r>
            <w:r>
              <w:rPr>
                <w:rFonts w:hint="eastAsia" w:ascii="宋体" w:hAnsi="宋体" w:cs="宋体"/>
                <w:kern w:val="0"/>
                <w:sz w:val="18"/>
                <w:szCs w:val="18"/>
              </w:rPr>
              <w:t>爬坡能力：在上下仓各负重10kg工况下，最大爬坡角度 ≥ 12°。</w:t>
            </w:r>
            <w:r>
              <w:rPr>
                <w:rFonts w:hint="eastAsia" w:ascii="宋体" w:hAnsi="宋体" w:cs="宋体"/>
                <w:kern w:val="0"/>
                <w:sz w:val="18"/>
                <w:szCs w:val="18"/>
              </w:rPr>
              <w:br w:type="textWrapping"/>
            </w:r>
            <w:r>
              <w:rPr>
                <w:rFonts w:hint="eastAsia" w:ascii="宋体" w:hAnsi="宋体" w:cs="宋体"/>
                <w:kern w:val="0"/>
                <w:sz w:val="18"/>
                <w:szCs w:val="18"/>
              </w:rPr>
              <w:t>6.续航能力要求</w:t>
            </w:r>
            <w:r>
              <w:rPr>
                <w:rFonts w:hint="eastAsia" w:ascii="宋体" w:hAnsi="宋体" w:cs="宋体"/>
                <w:kern w:val="0"/>
                <w:sz w:val="18"/>
                <w:szCs w:val="18"/>
              </w:rPr>
              <w:br w:type="textWrapping"/>
            </w:r>
            <w:r>
              <w:rPr>
                <w:rFonts w:hint="eastAsia" w:ascii="宋体" w:hAnsi="宋体" w:cs="宋体"/>
                <w:kern w:val="0"/>
                <w:sz w:val="18"/>
                <w:szCs w:val="18"/>
              </w:rPr>
              <w:t>设备电池续航能力需满足以下最低标准：</w:t>
            </w:r>
            <w:r>
              <w:rPr>
                <w:rFonts w:hint="eastAsia" w:ascii="宋体" w:hAnsi="宋体" w:cs="宋体"/>
                <w:kern w:val="0"/>
                <w:sz w:val="18"/>
                <w:szCs w:val="18"/>
              </w:rPr>
              <w:br w:type="textWrapping"/>
            </w:r>
            <w:r>
              <w:rPr>
                <w:rFonts w:hint="eastAsia" w:ascii="宋体" w:hAnsi="宋体" w:cs="宋体"/>
                <w:kern w:val="0"/>
                <w:sz w:val="18"/>
                <w:szCs w:val="18"/>
              </w:rPr>
              <w:t>底盘空载连续运行时间（硬地面）：&gt; 10 小时；</w:t>
            </w:r>
            <w:r>
              <w:rPr>
                <w:rFonts w:hint="eastAsia" w:ascii="宋体" w:hAnsi="宋体" w:cs="宋体"/>
                <w:kern w:val="0"/>
                <w:sz w:val="18"/>
                <w:szCs w:val="18"/>
              </w:rPr>
              <w:br w:type="textWrapping"/>
            </w:r>
            <w:r>
              <w:rPr>
                <w:rFonts w:hint="eastAsia" w:ascii="宋体" w:hAnsi="宋体" w:cs="宋体"/>
                <w:kern w:val="0"/>
                <w:sz w:val="18"/>
                <w:szCs w:val="18"/>
              </w:rPr>
              <w:t>送物模式（上仓满载10kg）连续工作时间：≥ 13 小时。</w:t>
            </w:r>
            <w:r>
              <w:rPr>
                <w:rFonts w:hint="eastAsia" w:ascii="宋体" w:hAnsi="宋体" w:cs="宋体"/>
                <w:kern w:val="0"/>
                <w:sz w:val="18"/>
                <w:szCs w:val="18"/>
              </w:rPr>
              <w:br w:type="textWrapping"/>
            </w:r>
            <w:r>
              <w:rPr>
                <w:rFonts w:hint="eastAsia" w:ascii="宋体" w:hAnsi="宋体" w:cs="宋体"/>
                <w:kern w:val="0"/>
                <w:sz w:val="18"/>
                <w:szCs w:val="18"/>
              </w:rPr>
              <w:t>7.电池安全符合IEC62133-2:2017标准</w:t>
            </w:r>
          </w:p>
        </w:tc>
        <w:tc>
          <w:tcPr>
            <w:tcW w:w="404" w:type="dxa"/>
            <w:tcBorders>
              <w:top w:val="nil"/>
              <w:left w:val="nil"/>
              <w:bottom w:val="single" w:color="auto" w:sz="4" w:space="0"/>
              <w:right w:val="single" w:color="auto" w:sz="4" w:space="0"/>
            </w:tcBorders>
            <w:shd w:val="clear" w:color="000000" w:fill="FFFFFF"/>
            <w:vAlign w:val="center"/>
          </w:tcPr>
          <w:p w14:paraId="4B61E08C">
            <w:pPr>
              <w:widowControl/>
              <w:jc w:val="center"/>
              <w:rPr>
                <w:rFonts w:ascii="宋体" w:hAnsi="宋体" w:cs="宋体"/>
                <w:kern w:val="0"/>
                <w:sz w:val="18"/>
                <w:szCs w:val="18"/>
              </w:rPr>
            </w:pPr>
            <w:r>
              <w:rPr>
                <w:rFonts w:hint="eastAsia" w:ascii="宋体" w:hAnsi="宋体" w:cs="宋体"/>
                <w:kern w:val="0"/>
                <w:sz w:val="18"/>
                <w:szCs w:val="18"/>
              </w:rPr>
              <w:t>1</w:t>
            </w:r>
          </w:p>
        </w:tc>
        <w:tc>
          <w:tcPr>
            <w:tcW w:w="504" w:type="dxa"/>
            <w:tcBorders>
              <w:top w:val="nil"/>
              <w:left w:val="nil"/>
              <w:bottom w:val="single" w:color="auto" w:sz="4" w:space="0"/>
              <w:right w:val="single" w:color="auto" w:sz="4" w:space="0"/>
            </w:tcBorders>
            <w:shd w:val="clear" w:color="000000" w:fill="FFFFFF"/>
            <w:vAlign w:val="center"/>
          </w:tcPr>
          <w:p w14:paraId="04F02F88">
            <w:pPr>
              <w:widowControl/>
              <w:jc w:val="center"/>
              <w:rPr>
                <w:rFonts w:ascii="宋体" w:hAnsi="宋体" w:cs="宋体"/>
                <w:kern w:val="0"/>
                <w:sz w:val="18"/>
                <w:szCs w:val="18"/>
              </w:rPr>
            </w:pPr>
            <w:r>
              <w:rPr>
                <w:rFonts w:hint="eastAsia" w:ascii="宋体" w:hAnsi="宋体" w:cs="宋体"/>
                <w:kern w:val="0"/>
                <w:sz w:val="18"/>
                <w:szCs w:val="18"/>
              </w:rPr>
              <w:t>套</w:t>
            </w:r>
          </w:p>
        </w:tc>
        <w:tc>
          <w:tcPr>
            <w:tcW w:w="823" w:type="dxa"/>
            <w:tcBorders>
              <w:top w:val="nil"/>
              <w:left w:val="nil"/>
              <w:bottom w:val="single" w:color="auto" w:sz="4" w:space="0"/>
              <w:right w:val="single" w:color="auto" w:sz="4" w:space="0"/>
            </w:tcBorders>
            <w:shd w:val="clear" w:color="000000" w:fill="FFFFFF"/>
            <w:vAlign w:val="center"/>
          </w:tcPr>
          <w:p w14:paraId="0D5C31A0">
            <w:pPr>
              <w:widowControl/>
              <w:jc w:val="left"/>
              <w:rPr>
                <w:rFonts w:ascii="宋体" w:hAnsi="宋体" w:cs="宋体"/>
                <w:kern w:val="0"/>
                <w:sz w:val="18"/>
                <w:szCs w:val="18"/>
              </w:rPr>
            </w:pPr>
            <w:r>
              <w:rPr>
                <w:rFonts w:hint="eastAsia" w:ascii="宋体" w:hAnsi="宋体" w:cs="宋体"/>
                <w:kern w:val="0"/>
                <w:sz w:val="18"/>
                <w:szCs w:val="18"/>
              </w:rPr>
              <w:t xml:space="preserve">25000 </w:t>
            </w:r>
          </w:p>
        </w:tc>
        <w:tc>
          <w:tcPr>
            <w:tcW w:w="865" w:type="dxa"/>
            <w:tcBorders>
              <w:top w:val="nil"/>
              <w:left w:val="nil"/>
              <w:bottom w:val="single" w:color="auto" w:sz="4" w:space="0"/>
              <w:right w:val="single" w:color="auto" w:sz="4" w:space="0"/>
            </w:tcBorders>
            <w:shd w:val="clear" w:color="000000" w:fill="FFFFFF"/>
            <w:vAlign w:val="center"/>
          </w:tcPr>
          <w:p w14:paraId="24E889F7">
            <w:pPr>
              <w:widowControl/>
              <w:jc w:val="left"/>
              <w:rPr>
                <w:rFonts w:ascii="宋体" w:hAnsi="宋体" w:cs="宋体"/>
                <w:kern w:val="0"/>
                <w:sz w:val="18"/>
                <w:szCs w:val="18"/>
              </w:rPr>
            </w:pPr>
            <w:r>
              <w:rPr>
                <w:rFonts w:hint="eastAsia" w:ascii="宋体" w:hAnsi="宋体" w:cs="宋体"/>
                <w:kern w:val="0"/>
                <w:sz w:val="18"/>
                <w:szCs w:val="18"/>
              </w:rPr>
              <w:t xml:space="preserve">25000 </w:t>
            </w:r>
          </w:p>
        </w:tc>
      </w:tr>
      <w:tr w14:paraId="758E5F54">
        <w:tblPrEx>
          <w:tblCellMar>
            <w:top w:w="0" w:type="dxa"/>
            <w:left w:w="108" w:type="dxa"/>
            <w:bottom w:w="0" w:type="dxa"/>
            <w:right w:w="108" w:type="dxa"/>
          </w:tblCellMar>
        </w:tblPrEx>
        <w:trPr>
          <w:trHeight w:val="3001" w:hRule="atLeast"/>
        </w:trPr>
        <w:tc>
          <w:tcPr>
            <w:tcW w:w="409" w:type="dxa"/>
            <w:tcBorders>
              <w:top w:val="nil"/>
              <w:left w:val="single" w:color="auto" w:sz="4" w:space="0"/>
              <w:bottom w:val="single" w:color="auto" w:sz="4" w:space="0"/>
              <w:right w:val="single" w:color="auto" w:sz="4" w:space="0"/>
            </w:tcBorders>
            <w:shd w:val="clear" w:color="000000" w:fill="FFFFFF"/>
            <w:noWrap/>
            <w:vAlign w:val="center"/>
          </w:tcPr>
          <w:p w14:paraId="3C294D60">
            <w:pPr>
              <w:widowControl/>
              <w:jc w:val="center"/>
              <w:rPr>
                <w:rFonts w:ascii="宋体" w:hAnsi="宋体" w:cs="宋体"/>
                <w:kern w:val="0"/>
                <w:sz w:val="18"/>
                <w:szCs w:val="18"/>
              </w:rPr>
            </w:pPr>
            <w:r>
              <w:rPr>
                <w:rFonts w:hint="eastAsia" w:ascii="宋体" w:hAnsi="宋体" w:cs="宋体"/>
                <w:kern w:val="0"/>
                <w:sz w:val="18"/>
                <w:szCs w:val="18"/>
              </w:rPr>
              <w:t>8</w:t>
            </w:r>
          </w:p>
        </w:tc>
        <w:tc>
          <w:tcPr>
            <w:tcW w:w="878" w:type="dxa"/>
            <w:tcBorders>
              <w:top w:val="nil"/>
              <w:left w:val="nil"/>
              <w:bottom w:val="single" w:color="auto" w:sz="4" w:space="0"/>
              <w:right w:val="single" w:color="auto" w:sz="4" w:space="0"/>
            </w:tcBorders>
            <w:shd w:val="clear" w:color="000000" w:fill="FFFFFF"/>
            <w:vAlign w:val="center"/>
          </w:tcPr>
          <w:p w14:paraId="178A2A2E">
            <w:pPr>
              <w:widowControl/>
              <w:jc w:val="center"/>
              <w:rPr>
                <w:rFonts w:ascii="宋体" w:hAnsi="宋体" w:cs="宋体"/>
                <w:kern w:val="0"/>
                <w:sz w:val="18"/>
                <w:szCs w:val="18"/>
              </w:rPr>
            </w:pPr>
            <w:r>
              <w:rPr>
                <w:rFonts w:hint="eastAsia" w:ascii="宋体" w:hAnsi="宋体" w:cs="宋体"/>
                <w:kern w:val="0"/>
                <w:sz w:val="18"/>
                <w:szCs w:val="18"/>
              </w:rPr>
              <w:t>制卡机</w:t>
            </w:r>
          </w:p>
        </w:tc>
        <w:tc>
          <w:tcPr>
            <w:tcW w:w="4717" w:type="dxa"/>
            <w:tcBorders>
              <w:top w:val="nil"/>
              <w:left w:val="nil"/>
              <w:bottom w:val="single" w:color="auto" w:sz="4" w:space="0"/>
              <w:right w:val="single" w:color="auto" w:sz="4" w:space="0"/>
            </w:tcBorders>
            <w:shd w:val="clear" w:color="000000" w:fill="FFFFFF"/>
            <w:vAlign w:val="center"/>
          </w:tcPr>
          <w:p w14:paraId="2A80D312">
            <w:pPr>
              <w:widowControl/>
              <w:jc w:val="left"/>
              <w:rPr>
                <w:rFonts w:ascii="宋体" w:hAnsi="宋体" w:cs="宋体"/>
                <w:kern w:val="0"/>
                <w:sz w:val="18"/>
                <w:szCs w:val="18"/>
              </w:rPr>
            </w:pPr>
            <w:r>
              <w:rPr>
                <w:rFonts w:hint="eastAsia" w:ascii="宋体" w:hAnsi="宋体" w:cs="宋体"/>
                <w:kern w:val="0"/>
                <w:sz w:val="18"/>
                <w:szCs w:val="18"/>
              </w:rPr>
              <w:t>款式：台式</w:t>
            </w:r>
            <w:r>
              <w:rPr>
                <w:rFonts w:hint="eastAsia" w:ascii="宋体" w:hAnsi="宋体" w:cs="宋体"/>
                <w:kern w:val="0"/>
                <w:sz w:val="18"/>
                <w:szCs w:val="18"/>
              </w:rPr>
              <w:br w:type="textWrapping"/>
            </w:r>
            <w:r>
              <w:rPr>
                <w:rFonts w:hint="eastAsia" w:ascii="宋体" w:hAnsi="宋体" w:cs="宋体"/>
                <w:kern w:val="0"/>
                <w:sz w:val="18"/>
                <w:szCs w:val="18"/>
              </w:rPr>
              <w:t>颜色：白色</w:t>
            </w:r>
            <w:r>
              <w:rPr>
                <w:rFonts w:hint="eastAsia" w:ascii="宋体" w:hAnsi="宋体" w:cs="宋体"/>
                <w:kern w:val="0"/>
                <w:sz w:val="18"/>
                <w:szCs w:val="18"/>
              </w:rPr>
              <w:br w:type="textWrapping"/>
            </w:r>
            <w:r>
              <w:rPr>
                <w:rFonts w:hint="eastAsia" w:ascii="宋体" w:hAnsi="宋体" w:cs="宋体"/>
                <w:kern w:val="0"/>
                <w:sz w:val="18"/>
                <w:szCs w:val="18"/>
              </w:rPr>
              <w:t>L*W*H：29.6cm*17*cm*20.6cm（可以误差10mm)</w:t>
            </w:r>
            <w:r>
              <w:rPr>
                <w:rFonts w:hint="eastAsia" w:ascii="宋体" w:hAnsi="宋体" w:cs="宋体"/>
                <w:kern w:val="0"/>
                <w:sz w:val="18"/>
                <w:szCs w:val="18"/>
              </w:rPr>
              <w:br w:type="textWrapping"/>
            </w:r>
            <w:r>
              <w:rPr>
                <w:rFonts w:hint="eastAsia" w:ascii="宋体" w:hAnsi="宋体" w:cs="宋体"/>
                <w:kern w:val="0"/>
                <w:sz w:val="18"/>
                <w:szCs w:val="18"/>
              </w:rPr>
              <w:t>可容纳房卡数量：100张</w:t>
            </w:r>
            <w:r>
              <w:rPr>
                <w:rFonts w:hint="eastAsia" w:ascii="宋体" w:hAnsi="宋体" w:cs="宋体"/>
                <w:kern w:val="0"/>
                <w:sz w:val="18"/>
                <w:szCs w:val="18"/>
              </w:rPr>
              <w:br w:type="textWrapping"/>
            </w:r>
            <w:r>
              <w:rPr>
                <w:rFonts w:hint="eastAsia" w:ascii="宋体" w:hAnsi="宋体" w:cs="宋体"/>
                <w:kern w:val="0"/>
                <w:sz w:val="18"/>
                <w:szCs w:val="18"/>
              </w:rPr>
              <w:t>循环发卡：支持</w:t>
            </w:r>
            <w:r>
              <w:rPr>
                <w:rFonts w:hint="eastAsia" w:ascii="宋体" w:hAnsi="宋体" w:cs="宋体"/>
                <w:kern w:val="0"/>
                <w:sz w:val="18"/>
                <w:szCs w:val="18"/>
              </w:rPr>
              <w:br w:type="textWrapping"/>
            </w:r>
            <w:r>
              <w:rPr>
                <w:rFonts w:hint="eastAsia" w:ascii="宋体" w:hAnsi="宋体" w:cs="宋体"/>
                <w:kern w:val="0"/>
                <w:sz w:val="18"/>
                <w:szCs w:val="18"/>
              </w:rPr>
              <w:t>外壳材质：铁质</w:t>
            </w:r>
            <w:r>
              <w:rPr>
                <w:rFonts w:hint="eastAsia" w:ascii="宋体" w:hAnsi="宋体" w:cs="宋体"/>
                <w:kern w:val="0"/>
                <w:sz w:val="18"/>
                <w:szCs w:val="18"/>
              </w:rPr>
              <w:br w:type="textWrapping"/>
            </w:r>
            <w:r>
              <w:rPr>
                <w:rFonts w:hint="eastAsia" w:ascii="宋体" w:hAnsi="宋体" w:cs="宋体"/>
                <w:kern w:val="0"/>
                <w:sz w:val="18"/>
                <w:szCs w:val="18"/>
              </w:rPr>
              <w:t>网络模式：内含主板，自带windows系统，需连网线，无需连电脑</w:t>
            </w:r>
            <w:r>
              <w:rPr>
                <w:rFonts w:hint="eastAsia" w:ascii="宋体" w:hAnsi="宋体" w:cs="宋体"/>
                <w:kern w:val="0"/>
                <w:sz w:val="18"/>
                <w:szCs w:val="18"/>
              </w:rPr>
              <w:br w:type="textWrapping"/>
            </w:r>
            <w:r>
              <w:rPr>
                <w:rFonts w:hint="eastAsia" w:ascii="宋体" w:hAnsi="宋体" w:cs="宋体"/>
                <w:kern w:val="0"/>
                <w:sz w:val="18"/>
                <w:szCs w:val="18"/>
              </w:rPr>
              <w:t>制卡功能：蜻蜓入住自动制卡，也可在PMS中制卡</w:t>
            </w:r>
          </w:p>
        </w:tc>
        <w:tc>
          <w:tcPr>
            <w:tcW w:w="404" w:type="dxa"/>
            <w:tcBorders>
              <w:top w:val="nil"/>
              <w:left w:val="nil"/>
              <w:bottom w:val="single" w:color="auto" w:sz="4" w:space="0"/>
              <w:right w:val="single" w:color="auto" w:sz="4" w:space="0"/>
            </w:tcBorders>
            <w:shd w:val="clear" w:color="000000" w:fill="FFFFFF"/>
            <w:vAlign w:val="center"/>
          </w:tcPr>
          <w:p w14:paraId="2B2E2166">
            <w:pPr>
              <w:widowControl/>
              <w:jc w:val="center"/>
              <w:rPr>
                <w:rFonts w:ascii="宋体" w:hAnsi="宋体" w:cs="宋体"/>
                <w:kern w:val="0"/>
                <w:sz w:val="18"/>
                <w:szCs w:val="18"/>
              </w:rPr>
            </w:pPr>
            <w:r>
              <w:rPr>
                <w:rFonts w:hint="eastAsia" w:ascii="宋体" w:hAnsi="宋体" w:cs="宋体"/>
                <w:kern w:val="0"/>
                <w:sz w:val="18"/>
                <w:szCs w:val="18"/>
              </w:rPr>
              <w:t>1</w:t>
            </w:r>
          </w:p>
        </w:tc>
        <w:tc>
          <w:tcPr>
            <w:tcW w:w="504" w:type="dxa"/>
            <w:tcBorders>
              <w:top w:val="nil"/>
              <w:left w:val="nil"/>
              <w:bottom w:val="single" w:color="auto" w:sz="4" w:space="0"/>
              <w:right w:val="single" w:color="auto" w:sz="4" w:space="0"/>
            </w:tcBorders>
            <w:shd w:val="clear" w:color="000000" w:fill="FFFFFF"/>
            <w:vAlign w:val="center"/>
          </w:tcPr>
          <w:p w14:paraId="23C400F3">
            <w:pPr>
              <w:widowControl/>
              <w:jc w:val="center"/>
              <w:rPr>
                <w:rFonts w:ascii="宋体" w:hAnsi="宋体" w:cs="宋体"/>
                <w:kern w:val="0"/>
                <w:sz w:val="18"/>
                <w:szCs w:val="18"/>
              </w:rPr>
            </w:pPr>
            <w:r>
              <w:rPr>
                <w:rFonts w:hint="eastAsia" w:ascii="宋体" w:hAnsi="宋体" w:cs="宋体"/>
                <w:kern w:val="0"/>
                <w:sz w:val="18"/>
                <w:szCs w:val="18"/>
              </w:rPr>
              <w:t>台</w:t>
            </w:r>
          </w:p>
        </w:tc>
        <w:tc>
          <w:tcPr>
            <w:tcW w:w="823" w:type="dxa"/>
            <w:tcBorders>
              <w:top w:val="nil"/>
              <w:left w:val="nil"/>
              <w:bottom w:val="single" w:color="auto" w:sz="4" w:space="0"/>
              <w:right w:val="single" w:color="auto" w:sz="4" w:space="0"/>
            </w:tcBorders>
            <w:shd w:val="clear" w:color="000000" w:fill="FFFFFF"/>
            <w:vAlign w:val="center"/>
          </w:tcPr>
          <w:p w14:paraId="31653B47">
            <w:pPr>
              <w:widowControl/>
              <w:jc w:val="left"/>
              <w:rPr>
                <w:rFonts w:ascii="宋体" w:hAnsi="宋体" w:cs="宋体"/>
                <w:kern w:val="0"/>
                <w:sz w:val="18"/>
                <w:szCs w:val="18"/>
              </w:rPr>
            </w:pPr>
            <w:r>
              <w:rPr>
                <w:rFonts w:hint="eastAsia" w:ascii="宋体" w:hAnsi="宋体" w:cs="宋体"/>
                <w:kern w:val="0"/>
                <w:sz w:val="18"/>
                <w:szCs w:val="18"/>
              </w:rPr>
              <w:t xml:space="preserve">2500 </w:t>
            </w:r>
          </w:p>
        </w:tc>
        <w:tc>
          <w:tcPr>
            <w:tcW w:w="865" w:type="dxa"/>
            <w:tcBorders>
              <w:top w:val="nil"/>
              <w:left w:val="nil"/>
              <w:bottom w:val="single" w:color="auto" w:sz="4" w:space="0"/>
              <w:right w:val="single" w:color="auto" w:sz="4" w:space="0"/>
            </w:tcBorders>
            <w:shd w:val="clear" w:color="000000" w:fill="FFFFFF"/>
            <w:vAlign w:val="center"/>
          </w:tcPr>
          <w:p w14:paraId="139FD3D5">
            <w:pPr>
              <w:widowControl/>
              <w:jc w:val="left"/>
              <w:rPr>
                <w:rFonts w:ascii="宋体" w:hAnsi="宋体" w:cs="宋体"/>
                <w:kern w:val="0"/>
                <w:sz w:val="18"/>
                <w:szCs w:val="18"/>
              </w:rPr>
            </w:pPr>
            <w:r>
              <w:rPr>
                <w:rFonts w:hint="eastAsia" w:ascii="宋体" w:hAnsi="宋体" w:cs="宋体"/>
                <w:kern w:val="0"/>
                <w:sz w:val="18"/>
                <w:szCs w:val="18"/>
              </w:rPr>
              <w:t xml:space="preserve">2500 </w:t>
            </w:r>
          </w:p>
        </w:tc>
      </w:tr>
      <w:tr w14:paraId="6EC07FE9">
        <w:tblPrEx>
          <w:tblCellMar>
            <w:top w:w="0" w:type="dxa"/>
            <w:left w:w="108" w:type="dxa"/>
            <w:bottom w:w="0" w:type="dxa"/>
            <w:right w:w="108" w:type="dxa"/>
          </w:tblCellMar>
        </w:tblPrEx>
        <w:trPr>
          <w:trHeight w:val="1039" w:hRule="atLeast"/>
        </w:trPr>
        <w:tc>
          <w:tcPr>
            <w:tcW w:w="409" w:type="dxa"/>
            <w:tcBorders>
              <w:top w:val="nil"/>
              <w:left w:val="single" w:color="auto" w:sz="4" w:space="0"/>
              <w:bottom w:val="single" w:color="auto" w:sz="4" w:space="0"/>
              <w:right w:val="single" w:color="auto" w:sz="4" w:space="0"/>
            </w:tcBorders>
            <w:shd w:val="clear" w:color="000000" w:fill="FFFFFF"/>
            <w:noWrap/>
            <w:vAlign w:val="center"/>
          </w:tcPr>
          <w:p w14:paraId="71EC0842">
            <w:pPr>
              <w:widowControl/>
              <w:jc w:val="center"/>
              <w:rPr>
                <w:rFonts w:ascii="宋体" w:hAnsi="宋体" w:cs="宋体"/>
                <w:kern w:val="0"/>
                <w:sz w:val="18"/>
                <w:szCs w:val="18"/>
              </w:rPr>
            </w:pPr>
            <w:r>
              <w:rPr>
                <w:rFonts w:hint="eastAsia" w:ascii="宋体" w:hAnsi="宋体" w:cs="宋体"/>
                <w:kern w:val="0"/>
                <w:sz w:val="18"/>
                <w:szCs w:val="18"/>
              </w:rPr>
              <w:t>9</w:t>
            </w:r>
          </w:p>
        </w:tc>
        <w:tc>
          <w:tcPr>
            <w:tcW w:w="878" w:type="dxa"/>
            <w:tcBorders>
              <w:top w:val="nil"/>
              <w:left w:val="nil"/>
              <w:bottom w:val="single" w:color="auto" w:sz="4" w:space="0"/>
              <w:right w:val="single" w:color="auto" w:sz="4" w:space="0"/>
            </w:tcBorders>
            <w:shd w:val="clear" w:color="000000" w:fill="FFFFFF"/>
            <w:vAlign w:val="center"/>
          </w:tcPr>
          <w:p w14:paraId="0705B7CD">
            <w:pPr>
              <w:widowControl/>
              <w:jc w:val="center"/>
              <w:rPr>
                <w:rFonts w:ascii="宋体" w:hAnsi="宋体" w:cs="宋体"/>
                <w:kern w:val="0"/>
                <w:sz w:val="18"/>
                <w:szCs w:val="18"/>
              </w:rPr>
            </w:pPr>
            <w:r>
              <w:rPr>
                <w:rFonts w:hint="eastAsia" w:ascii="宋体" w:hAnsi="宋体" w:cs="宋体"/>
                <w:kern w:val="0"/>
                <w:sz w:val="18"/>
                <w:szCs w:val="18"/>
              </w:rPr>
              <w:t>POS机</w:t>
            </w:r>
          </w:p>
        </w:tc>
        <w:tc>
          <w:tcPr>
            <w:tcW w:w="4717" w:type="dxa"/>
            <w:tcBorders>
              <w:top w:val="nil"/>
              <w:left w:val="nil"/>
              <w:bottom w:val="single" w:color="auto" w:sz="4" w:space="0"/>
              <w:right w:val="single" w:color="auto" w:sz="4" w:space="0"/>
            </w:tcBorders>
            <w:shd w:val="clear" w:color="000000" w:fill="FFFFFF"/>
            <w:vAlign w:val="center"/>
          </w:tcPr>
          <w:p w14:paraId="0168F5A3">
            <w:pPr>
              <w:widowControl/>
              <w:jc w:val="left"/>
              <w:rPr>
                <w:rFonts w:ascii="宋体" w:hAnsi="宋体" w:cs="宋体"/>
                <w:kern w:val="0"/>
                <w:sz w:val="18"/>
                <w:szCs w:val="18"/>
              </w:rPr>
            </w:pPr>
            <w:r>
              <w:rPr>
                <w:rFonts w:hint="eastAsia" w:ascii="宋体" w:hAnsi="宋体" w:cs="宋体"/>
                <w:kern w:val="0"/>
                <w:sz w:val="18"/>
                <w:szCs w:val="18"/>
              </w:rPr>
              <w:t>支持微信、支付宝、云闪付、信用卡、借记卡。可完成模拟收款、退款、预授权功能；操作后可打印小票。</w:t>
            </w:r>
          </w:p>
        </w:tc>
        <w:tc>
          <w:tcPr>
            <w:tcW w:w="404" w:type="dxa"/>
            <w:tcBorders>
              <w:top w:val="nil"/>
              <w:left w:val="nil"/>
              <w:bottom w:val="single" w:color="auto" w:sz="4" w:space="0"/>
              <w:right w:val="single" w:color="auto" w:sz="4" w:space="0"/>
            </w:tcBorders>
            <w:shd w:val="clear" w:color="000000" w:fill="FFFFFF"/>
            <w:vAlign w:val="center"/>
          </w:tcPr>
          <w:p w14:paraId="32A4309A">
            <w:pPr>
              <w:widowControl/>
              <w:jc w:val="center"/>
              <w:rPr>
                <w:rFonts w:ascii="宋体" w:hAnsi="宋体" w:cs="宋体"/>
                <w:kern w:val="0"/>
                <w:sz w:val="18"/>
                <w:szCs w:val="18"/>
              </w:rPr>
            </w:pPr>
            <w:r>
              <w:rPr>
                <w:rFonts w:hint="eastAsia" w:ascii="宋体" w:hAnsi="宋体" w:cs="宋体"/>
                <w:kern w:val="0"/>
                <w:sz w:val="18"/>
                <w:szCs w:val="18"/>
              </w:rPr>
              <w:t>1</w:t>
            </w:r>
          </w:p>
        </w:tc>
        <w:tc>
          <w:tcPr>
            <w:tcW w:w="504" w:type="dxa"/>
            <w:tcBorders>
              <w:top w:val="nil"/>
              <w:left w:val="nil"/>
              <w:bottom w:val="single" w:color="auto" w:sz="4" w:space="0"/>
              <w:right w:val="single" w:color="auto" w:sz="4" w:space="0"/>
            </w:tcBorders>
            <w:shd w:val="clear" w:color="000000" w:fill="FFFFFF"/>
            <w:vAlign w:val="center"/>
          </w:tcPr>
          <w:p w14:paraId="5FE95B3C">
            <w:pPr>
              <w:widowControl/>
              <w:jc w:val="center"/>
              <w:rPr>
                <w:rFonts w:ascii="宋体" w:hAnsi="宋体" w:cs="宋体"/>
                <w:kern w:val="0"/>
                <w:sz w:val="18"/>
                <w:szCs w:val="18"/>
              </w:rPr>
            </w:pPr>
            <w:r>
              <w:rPr>
                <w:rFonts w:hint="eastAsia" w:ascii="宋体" w:hAnsi="宋体" w:cs="宋体"/>
                <w:kern w:val="0"/>
                <w:sz w:val="18"/>
                <w:szCs w:val="18"/>
              </w:rPr>
              <w:t>台</w:t>
            </w:r>
          </w:p>
        </w:tc>
        <w:tc>
          <w:tcPr>
            <w:tcW w:w="823" w:type="dxa"/>
            <w:tcBorders>
              <w:top w:val="nil"/>
              <w:left w:val="nil"/>
              <w:bottom w:val="single" w:color="auto" w:sz="4" w:space="0"/>
              <w:right w:val="single" w:color="auto" w:sz="4" w:space="0"/>
            </w:tcBorders>
            <w:shd w:val="clear" w:color="000000" w:fill="FFFFFF"/>
            <w:vAlign w:val="center"/>
          </w:tcPr>
          <w:p w14:paraId="165E0998">
            <w:pPr>
              <w:widowControl/>
              <w:jc w:val="left"/>
              <w:rPr>
                <w:rFonts w:ascii="宋体" w:hAnsi="宋体" w:cs="宋体"/>
                <w:kern w:val="0"/>
                <w:sz w:val="18"/>
                <w:szCs w:val="18"/>
              </w:rPr>
            </w:pPr>
            <w:r>
              <w:rPr>
                <w:rFonts w:hint="eastAsia" w:ascii="宋体" w:hAnsi="宋体" w:cs="宋体"/>
                <w:kern w:val="0"/>
                <w:sz w:val="18"/>
                <w:szCs w:val="18"/>
              </w:rPr>
              <w:t xml:space="preserve">2500 </w:t>
            </w:r>
          </w:p>
        </w:tc>
        <w:tc>
          <w:tcPr>
            <w:tcW w:w="865" w:type="dxa"/>
            <w:tcBorders>
              <w:top w:val="nil"/>
              <w:left w:val="nil"/>
              <w:bottom w:val="single" w:color="auto" w:sz="4" w:space="0"/>
              <w:right w:val="single" w:color="auto" w:sz="4" w:space="0"/>
            </w:tcBorders>
            <w:shd w:val="clear" w:color="000000" w:fill="FFFFFF"/>
            <w:vAlign w:val="center"/>
          </w:tcPr>
          <w:p w14:paraId="30A2C085">
            <w:pPr>
              <w:widowControl/>
              <w:jc w:val="left"/>
              <w:rPr>
                <w:rFonts w:ascii="宋体" w:hAnsi="宋体" w:cs="宋体"/>
                <w:kern w:val="0"/>
                <w:sz w:val="18"/>
                <w:szCs w:val="18"/>
              </w:rPr>
            </w:pPr>
            <w:r>
              <w:rPr>
                <w:rFonts w:hint="eastAsia" w:ascii="宋体" w:hAnsi="宋体" w:cs="宋体"/>
                <w:kern w:val="0"/>
                <w:sz w:val="18"/>
                <w:szCs w:val="18"/>
              </w:rPr>
              <w:t xml:space="preserve">2500 </w:t>
            </w:r>
          </w:p>
        </w:tc>
      </w:tr>
      <w:tr w14:paraId="4EB38EDB">
        <w:tblPrEx>
          <w:tblCellMar>
            <w:top w:w="0" w:type="dxa"/>
            <w:left w:w="108" w:type="dxa"/>
            <w:bottom w:w="0" w:type="dxa"/>
            <w:right w:w="108" w:type="dxa"/>
          </w:tblCellMar>
        </w:tblPrEx>
        <w:tc>
          <w:tcPr>
            <w:tcW w:w="409" w:type="dxa"/>
            <w:tcBorders>
              <w:top w:val="nil"/>
              <w:left w:val="single" w:color="auto" w:sz="4" w:space="0"/>
              <w:bottom w:val="single" w:color="auto" w:sz="4" w:space="0"/>
              <w:right w:val="single" w:color="auto" w:sz="4" w:space="0"/>
            </w:tcBorders>
            <w:shd w:val="clear" w:color="000000" w:fill="FFFFFF"/>
            <w:noWrap/>
            <w:vAlign w:val="center"/>
          </w:tcPr>
          <w:p w14:paraId="69F8066D">
            <w:pPr>
              <w:widowControl/>
              <w:jc w:val="center"/>
              <w:rPr>
                <w:rFonts w:ascii="宋体" w:hAnsi="宋体" w:cs="宋体"/>
                <w:kern w:val="0"/>
                <w:sz w:val="18"/>
                <w:szCs w:val="18"/>
              </w:rPr>
            </w:pPr>
            <w:r>
              <w:rPr>
                <w:rFonts w:hint="eastAsia" w:ascii="宋体" w:hAnsi="宋体" w:cs="宋体"/>
                <w:kern w:val="0"/>
                <w:sz w:val="18"/>
                <w:szCs w:val="18"/>
              </w:rPr>
              <w:t>10</w:t>
            </w:r>
          </w:p>
        </w:tc>
        <w:tc>
          <w:tcPr>
            <w:tcW w:w="878" w:type="dxa"/>
            <w:tcBorders>
              <w:top w:val="nil"/>
              <w:left w:val="nil"/>
              <w:bottom w:val="single" w:color="auto" w:sz="4" w:space="0"/>
              <w:right w:val="single" w:color="auto" w:sz="4" w:space="0"/>
            </w:tcBorders>
            <w:shd w:val="clear" w:color="000000" w:fill="FFFFFF"/>
            <w:vAlign w:val="center"/>
          </w:tcPr>
          <w:p w14:paraId="6B1B7C4E">
            <w:pPr>
              <w:widowControl/>
              <w:jc w:val="center"/>
              <w:rPr>
                <w:rFonts w:ascii="宋体" w:hAnsi="宋体" w:cs="宋体"/>
                <w:kern w:val="0"/>
                <w:sz w:val="18"/>
                <w:szCs w:val="18"/>
              </w:rPr>
            </w:pPr>
            <w:r>
              <w:rPr>
                <w:rFonts w:hint="eastAsia" w:ascii="宋体" w:hAnsi="宋体" w:cs="宋体"/>
                <w:kern w:val="0"/>
                <w:sz w:val="18"/>
                <w:szCs w:val="18"/>
              </w:rPr>
              <w:t>民宿数智经营管理仿真博弈沙盘</w:t>
            </w:r>
          </w:p>
        </w:tc>
        <w:tc>
          <w:tcPr>
            <w:tcW w:w="4717" w:type="dxa"/>
            <w:tcBorders>
              <w:top w:val="nil"/>
              <w:left w:val="nil"/>
              <w:bottom w:val="single" w:color="auto" w:sz="4" w:space="0"/>
              <w:right w:val="single" w:color="auto" w:sz="4" w:space="0"/>
            </w:tcBorders>
            <w:shd w:val="clear" w:color="000000" w:fill="FFFFFF"/>
            <w:vAlign w:val="center"/>
          </w:tcPr>
          <w:p w14:paraId="187CAE14">
            <w:pPr>
              <w:widowControl/>
              <w:jc w:val="left"/>
              <w:rPr>
                <w:rFonts w:ascii="宋体" w:hAnsi="宋体" w:cs="宋体"/>
                <w:kern w:val="0"/>
                <w:sz w:val="18"/>
                <w:szCs w:val="18"/>
              </w:rPr>
            </w:pPr>
            <w:r>
              <w:rPr>
                <w:rFonts w:hint="eastAsia" w:ascii="宋体" w:hAnsi="宋体" w:cs="宋体"/>
                <w:kern w:val="0"/>
                <w:sz w:val="18"/>
                <w:szCs w:val="18"/>
              </w:rPr>
              <w:t>沙盘硬件参数</w:t>
            </w:r>
            <w:r>
              <w:rPr>
                <w:rFonts w:hint="eastAsia" w:ascii="宋体" w:hAnsi="宋体" w:cs="宋体"/>
                <w:kern w:val="0"/>
                <w:sz w:val="18"/>
                <w:szCs w:val="18"/>
              </w:rPr>
              <w:br w:type="textWrapping"/>
            </w:r>
            <w:r>
              <w:rPr>
                <w:rFonts w:hint="eastAsia" w:ascii="宋体" w:hAnsi="宋体" w:cs="宋体"/>
                <w:kern w:val="0"/>
                <w:sz w:val="18"/>
                <w:szCs w:val="18"/>
              </w:rPr>
              <w:t>1.触摸屏：红外≥20点、4K 显示、尺寸≥55寸；整机屏前保护钢化玻璃采用3mm 高透钢化玻璃，高透光。</w:t>
            </w:r>
            <w:r>
              <w:rPr>
                <w:rFonts w:hint="eastAsia" w:ascii="宋体" w:hAnsi="宋体" w:cs="宋体"/>
                <w:kern w:val="0"/>
                <w:sz w:val="18"/>
                <w:szCs w:val="18"/>
              </w:rPr>
              <w:br w:type="textWrapping"/>
            </w:r>
            <w:r>
              <w:rPr>
                <w:rFonts w:hint="eastAsia" w:ascii="宋体" w:hAnsi="宋体" w:cs="宋体"/>
                <w:kern w:val="0"/>
                <w:sz w:val="18"/>
                <w:szCs w:val="18"/>
              </w:rPr>
              <w:t>2.处理器：六核十二线程及以上。</w:t>
            </w:r>
            <w:r>
              <w:rPr>
                <w:rFonts w:hint="eastAsia" w:ascii="宋体" w:hAnsi="宋体" w:cs="宋体"/>
                <w:kern w:val="0"/>
                <w:sz w:val="18"/>
                <w:szCs w:val="18"/>
              </w:rPr>
              <w:br w:type="textWrapping"/>
            </w:r>
            <w:r>
              <w:rPr>
                <w:rFonts w:hint="eastAsia" w:ascii="宋体" w:hAnsi="宋体" w:cs="宋体"/>
                <w:kern w:val="0"/>
                <w:sz w:val="18"/>
                <w:szCs w:val="18"/>
              </w:rPr>
              <w:t>3.硬盘：≥1T固态硬盘，内存≥16G。</w:t>
            </w:r>
            <w:r>
              <w:rPr>
                <w:rFonts w:hint="eastAsia" w:ascii="宋体" w:hAnsi="宋体" w:cs="宋体"/>
                <w:kern w:val="0"/>
                <w:sz w:val="18"/>
                <w:szCs w:val="18"/>
              </w:rPr>
              <w:br w:type="textWrapping"/>
            </w:r>
            <w:r>
              <w:rPr>
                <w:rFonts w:hint="eastAsia" w:ascii="宋体" w:hAnsi="宋体" w:cs="宋体"/>
                <w:kern w:val="0"/>
                <w:sz w:val="18"/>
                <w:szCs w:val="18"/>
              </w:rPr>
              <w:t>沙盘软件教师端功能</w:t>
            </w:r>
            <w:r>
              <w:rPr>
                <w:rFonts w:hint="eastAsia" w:ascii="宋体" w:hAnsi="宋体" w:cs="宋体"/>
                <w:kern w:val="0"/>
                <w:sz w:val="18"/>
                <w:szCs w:val="18"/>
              </w:rPr>
              <w:br w:type="textWrapping"/>
            </w:r>
            <w:r>
              <w:rPr>
                <w:rFonts w:hint="eastAsia" w:ascii="宋体" w:hAnsi="宋体" w:cs="宋体"/>
                <w:kern w:val="0"/>
                <w:sz w:val="18"/>
                <w:szCs w:val="18"/>
              </w:rPr>
              <w:t>一、基础信息</w:t>
            </w:r>
            <w:r>
              <w:rPr>
                <w:rFonts w:hint="eastAsia" w:ascii="宋体" w:hAnsi="宋体" w:cs="宋体"/>
                <w:kern w:val="0"/>
                <w:sz w:val="18"/>
                <w:szCs w:val="18"/>
              </w:rPr>
              <w:br w:type="textWrapping"/>
            </w:r>
            <w:r>
              <w:rPr>
                <w:rFonts w:hint="eastAsia" w:ascii="宋体" w:hAnsi="宋体" w:cs="宋体"/>
                <w:kern w:val="0"/>
                <w:sz w:val="18"/>
                <w:szCs w:val="18"/>
              </w:rPr>
              <w:t>（一）班级学生</w:t>
            </w:r>
            <w:r>
              <w:rPr>
                <w:rFonts w:hint="eastAsia" w:ascii="宋体" w:hAnsi="宋体" w:cs="宋体"/>
                <w:kern w:val="0"/>
                <w:sz w:val="18"/>
                <w:szCs w:val="18"/>
              </w:rPr>
              <w:br w:type="textWrapping"/>
            </w:r>
            <w:r>
              <w:rPr>
                <w:rFonts w:hint="eastAsia" w:ascii="宋体" w:hAnsi="宋体" w:cs="宋体"/>
                <w:kern w:val="0"/>
                <w:sz w:val="18"/>
                <w:szCs w:val="18"/>
              </w:rPr>
              <w:t>1、班级信息包含班名名称、人数、绑定激活人数、编辑、删除、新增等。</w:t>
            </w:r>
            <w:r>
              <w:rPr>
                <w:rFonts w:hint="eastAsia" w:ascii="宋体" w:hAnsi="宋体" w:cs="宋体"/>
                <w:kern w:val="0"/>
                <w:sz w:val="18"/>
                <w:szCs w:val="18"/>
              </w:rPr>
              <w:br w:type="textWrapping"/>
            </w:r>
            <w:r>
              <w:rPr>
                <w:rFonts w:hint="eastAsia" w:ascii="宋体" w:hAnsi="宋体" w:cs="宋体"/>
                <w:kern w:val="0"/>
                <w:sz w:val="18"/>
                <w:szCs w:val="18"/>
              </w:rPr>
              <w:t>2、学生信息包含学生姓名、学号、微信绑定状态、账号状态、编辑、删除、新增。</w:t>
            </w:r>
            <w:r>
              <w:rPr>
                <w:rFonts w:hint="eastAsia" w:ascii="宋体" w:hAnsi="宋体" w:cs="宋体"/>
                <w:kern w:val="0"/>
                <w:sz w:val="18"/>
                <w:szCs w:val="18"/>
              </w:rPr>
              <w:br w:type="textWrapping"/>
            </w:r>
            <w:r>
              <w:rPr>
                <w:rFonts w:hint="eastAsia" w:ascii="宋体" w:hAnsi="宋体" w:cs="宋体"/>
                <w:kern w:val="0"/>
                <w:sz w:val="18"/>
                <w:szCs w:val="18"/>
              </w:rPr>
              <w:t>3、支持批量导入学生信息。</w:t>
            </w:r>
            <w:r>
              <w:rPr>
                <w:rFonts w:hint="eastAsia" w:ascii="宋体" w:hAnsi="宋体" w:cs="宋体"/>
                <w:kern w:val="0"/>
                <w:sz w:val="18"/>
                <w:szCs w:val="18"/>
              </w:rPr>
              <w:br w:type="textWrapping"/>
            </w:r>
            <w:r>
              <w:rPr>
                <w:rFonts w:hint="eastAsia" w:ascii="宋体" w:hAnsi="宋体" w:cs="宋体"/>
                <w:kern w:val="0"/>
                <w:sz w:val="18"/>
                <w:szCs w:val="18"/>
              </w:rPr>
              <w:t>4、支持学生模糊搜索。</w:t>
            </w:r>
            <w:r>
              <w:rPr>
                <w:rFonts w:hint="eastAsia" w:ascii="宋体" w:hAnsi="宋体" w:cs="宋体"/>
                <w:kern w:val="0"/>
                <w:sz w:val="18"/>
                <w:szCs w:val="18"/>
              </w:rPr>
              <w:br w:type="textWrapping"/>
            </w:r>
            <w:r>
              <w:rPr>
                <w:rFonts w:hint="eastAsia" w:ascii="宋体" w:hAnsi="宋体" w:cs="宋体"/>
                <w:kern w:val="0"/>
                <w:sz w:val="18"/>
                <w:szCs w:val="18"/>
              </w:rPr>
              <w:t>（二）教师信息</w:t>
            </w:r>
            <w:r>
              <w:rPr>
                <w:rFonts w:hint="eastAsia" w:ascii="宋体" w:hAnsi="宋体" w:cs="宋体"/>
                <w:kern w:val="0"/>
                <w:sz w:val="18"/>
                <w:szCs w:val="18"/>
              </w:rPr>
              <w:br w:type="textWrapping"/>
            </w:r>
            <w:r>
              <w:rPr>
                <w:rFonts w:hint="eastAsia" w:ascii="宋体" w:hAnsi="宋体" w:cs="宋体"/>
                <w:kern w:val="0"/>
                <w:sz w:val="18"/>
                <w:szCs w:val="18"/>
              </w:rPr>
              <w:t>1、教师列表包含账号、姓名、手机号码、账号状态、微信绑定状态、账号角色、登录时间等信息。</w:t>
            </w:r>
            <w:r>
              <w:rPr>
                <w:rFonts w:hint="eastAsia" w:ascii="宋体" w:hAnsi="宋体" w:cs="宋体"/>
                <w:kern w:val="0"/>
                <w:sz w:val="18"/>
                <w:szCs w:val="18"/>
              </w:rPr>
              <w:br w:type="textWrapping"/>
            </w:r>
            <w:r>
              <w:rPr>
                <w:rFonts w:hint="eastAsia" w:ascii="宋体" w:hAnsi="宋体" w:cs="宋体"/>
                <w:kern w:val="0"/>
                <w:sz w:val="18"/>
                <w:szCs w:val="18"/>
              </w:rPr>
              <w:t>2、支持教师模糊搜索功能。</w:t>
            </w:r>
            <w:r>
              <w:rPr>
                <w:rFonts w:hint="eastAsia" w:ascii="宋体" w:hAnsi="宋体" w:cs="宋体"/>
                <w:kern w:val="0"/>
                <w:sz w:val="18"/>
                <w:szCs w:val="18"/>
              </w:rPr>
              <w:br w:type="textWrapping"/>
            </w:r>
            <w:r>
              <w:rPr>
                <w:rFonts w:hint="eastAsia" w:ascii="宋体" w:hAnsi="宋体" w:cs="宋体"/>
                <w:kern w:val="0"/>
                <w:sz w:val="18"/>
                <w:szCs w:val="18"/>
              </w:rPr>
              <w:t>（三）登录日志</w:t>
            </w:r>
            <w:r>
              <w:rPr>
                <w:rFonts w:hint="eastAsia" w:ascii="宋体" w:hAnsi="宋体" w:cs="宋体"/>
                <w:kern w:val="0"/>
                <w:sz w:val="18"/>
                <w:szCs w:val="18"/>
              </w:rPr>
              <w:br w:type="textWrapping"/>
            </w:r>
            <w:r>
              <w:rPr>
                <w:rFonts w:hint="eastAsia" w:ascii="宋体" w:hAnsi="宋体" w:cs="宋体"/>
                <w:kern w:val="0"/>
                <w:sz w:val="18"/>
                <w:szCs w:val="18"/>
              </w:rPr>
              <w:t>1、登录列表包含登录人员、登录IP、登录地点、登录状态、浏览器、操作系统、登录时间等信息。</w:t>
            </w:r>
            <w:r>
              <w:rPr>
                <w:rFonts w:hint="eastAsia" w:ascii="宋体" w:hAnsi="宋体" w:cs="宋体"/>
                <w:kern w:val="0"/>
                <w:sz w:val="18"/>
                <w:szCs w:val="18"/>
              </w:rPr>
              <w:br w:type="textWrapping"/>
            </w:r>
            <w:r>
              <w:rPr>
                <w:rFonts w:hint="eastAsia" w:ascii="宋体" w:hAnsi="宋体" w:cs="宋体"/>
                <w:kern w:val="0"/>
                <w:sz w:val="18"/>
                <w:szCs w:val="18"/>
              </w:rPr>
              <w:t>二、实验管理</w:t>
            </w:r>
            <w:r>
              <w:rPr>
                <w:rFonts w:hint="eastAsia" w:ascii="宋体" w:hAnsi="宋体" w:cs="宋体"/>
                <w:kern w:val="0"/>
                <w:sz w:val="18"/>
                <w:szCs w:val="18"/>
              </w:rPr>
              <w:br w:type="textWrapping"/>
            </w:r>
            <w:r>
              <w:rPr>
                <w:rFonts w:hint="eastAsia" w:ascii="宋体" w:hAnsi="宋体" w:cs="宋体"/>
                <w:kern w:val="0"/>
                <w:sz w:val="18"/>
                <w:szCs w:val="18"/>
              </w:rPr>
              <w:t>实验管理模块包含博弈管理、博弈过程监控、博弈分析等功能。</w:t>
            </w:r>
            <w:r>
              <w:rPr>
                <w:rFonts w:hint="eastAsia" w:ascii="宋体" w:hAnsi="宋体" w:cs="宋体"/>
                <w:kern w:val="0"/>
                <w:sz w:val="18"/>
                <w:szCs w:val="18"/>
              </w:rPr>
              <w:br w:type="textWrapping"/>
            </w:r>
            <w:r>
              <w:rPr>
                <w:rFonts w:hint="eastAsia" w:ascii="宋体" w:hAnsi="宋体" w:cs="宋体"/>
                <w:kern w:val="0"/>
                <w:sz w:val="18"/>
                <w:szCs w:val="18"/>
              </w:rPr>
              <w:t>（一）博弈管理</w:t>
            </w:r>
            <w:r>
              <w:rPr>
                <w:rFonts w:hint="eastAsia" w:ascii="宋体" w:hAnsi="宋体" w:cs="宋体"/>
                <w:kern w:val="0"/>
                <w:sz w:val="18"/>
                <w:szCs w:val="18"/>
              </w:rPr>
              <w:br w:type="textWrapping"/>
            </w:r>
            <w:r>
              <w:rPr>
                <w:rFonts w:hint="eastAsia" w:ascii="宋体" w:hAnsi="宋体" w:cs="宋体"/>
                <w:kern w:val="0"/>
                <w:sz w:val="18"/>
                <w:szCs w:val="18"/>
              </w:rPr>
              <w:t>1、博弈管理包括博弈实验列表、博弈团队等功能。</w:t>
            </w:r>
            <w:r>
              <w:rPr>
                <w:rFonts w:hint="eastAsia" w:ascii="宋体" w:hAnsi="宋体" w:cs="宋体"/>
                <w:kern w:val="0"/>
                <w:sz w:val="18"/>
                <w:szCs w:val="18"/>
              </w:rPr>
              <w:br w:type="textWrapping"/>
            </w:r>
            <w:r>
              <w:rPr>
                <w:rFonts w:hint="eastAsia" w:ascii="宋体" w:hAnsi="宋体" w:cs="宋体"/>
                <w:kern w:val="0"/>
                <w:sz w:val="18"/>
                <w:szCs w:val="18"/>
              </w:rPr>
              <w:t>2、博弈列表支持新增实验任务，包含实验名称、班级、指导老师、回合数、初始资金数、水、电、能源等相关指标。</w:t>
            </w:r>
            <w:r>
              <w:rPr>
                <w:rFonts w:hint="eastAsia" w:ascii="宋体" w:hAnsi="宋体" w:cs="宋体"/>
                <w:kern w:val="0"/>
                <w:sz w:val="18"/>
                <w:szCs w:val="18"/>
              </w:rPr>
              <w:br w:type="textWrapping"/>
            </w:r>
            <w:r>
              <w:rPr>
                <w:rFonts w:hint="eastAsia" w:ascii="宋体" w:hAnsi="宋体" w:cs="宋体"/>
                <w:kern w:val="0"/>
                <w:sz w:val="18"/>
                <w:szCs w:val="18"/>
              </w:rPr>
              <w:t>3、系统支持教师根据实验任务选择不同的城市数据，内置提供30多个城市数据。选择城市后，可进行城市商圈的选择并设置区域名称。</w:t>
            </w:r>
            <w:r>
              <w:rPr>
                <w:rFonts w:hint="eastAsia" w:ascii="宋体" w:hAnsi="宋体" w:cs="宋体"/>
                <w:kern w:val="0"/>
                <w:sz w:val="18"/>
                <w:szCs w:val="18"/>
              </w:rPr>
              <w:br w:type="textWrapping"/>
            </w:r>
            <w:r>
              <w:rPr>
                <w:rFonts w:hint="eastAsia" w:ascii="宋体" w:hAnsi="宋体" w:cs="宋体"/>
                <w:kern w:val="0"/>
                <w:sz w:val="18"/>
                <w:szCs w:val="18"/>
              </w:rPr>
              <w:t>4、可设置不同回合数的实验功能，包含启用、设为主要功能等。</w:t>
            </w:r>
            <w:r>
              <w:rPr>
                <w:rFonts w:hint="eastAsia" w:ascii="宋体" w:hAnsi="宋体" w:cs="宋体"/>
                <w:kern w:val="0"/>
                <w:sz w:val="18"/>
                <w:szCs w:val="18"/>
              </w:rPr>
              <w:br w:type="textWrapping"/>
            </w:r>
            <w:r>
              <w:rPr>
                <w:rFonts w:hint="eastAsia" w:ascii="宋体" w:hAnsi="宋体" w:cs="宋体"/>
                <w:kern w:val="0"/>
                <w:sz w:val="18"/>
                <w:szCs w:val="18"/>
              </w:rPr>
              <w:t>5、系统支持设置实验任务案例背景，教师可以自行设置客房结构、房间、OCC指标、活动、产品、营销渠道等指标，支持多个案例背景的设置。</w:t>
            </w:r>
            <w:r>
              <w:rPr>
                <w:rFonts w:hint="eastAsia" w:ascii="宋体" w:hAnsi="宋体" w:cs="宋体"/>
                <w:kern w:val="0"/>
                <w:sz w:val="18"/>
                <w:szCs w:val="18"/>
              </w:rPr>
              <w:br w:type="textWrapping"/>
            </w:r>
            <w:r>
              <w:rPr>
                <w:rFonts w:hint="eastAsia" w:ascii="宋体" w:hAnsi="宋体" w:cs="宋体"/>
                <w:kern w:val="0"/>
                <w:sz w:val="18"/>
                <w:szCs w:val="18"/>
              </w:rPr>
              <w:t>6、博弈团队支持自动或手动拖拽分配小组成员，为了满足教学便捷性，系统支持跨班级学生分配，方便教师进行统一授课。</w:t>
            </w:r>
            <w:r>
              <w:rPr>
                <w:rFonts w:hint="eastAsia" w:ascii="宋体" w:hAnsi="宋体" w:cs="宋体"/>
                <w:kern w:val="0"/>
                <w:sz w:val="18"/>
                <w:szCs w:val="18"/>
              </w:rPr>
              <w:br w:type="textWrapping"/>
            </w:r>
            <w:r>
              <w:rPr>
                <w:rFonts w:hint="eastAsia" w:ascii="宋体" w:hAnsi="宋体" w:cs="宋体"/>
                <w:kern w:val="0"/>
                <w:sz w:val="18"/>
                <w:szCs w:val="18"/>
              </w:rPr>
              <w:t>（二）博弈过程</w:t>
            </w:r>
            <w:r>
              <w:rPr>
                <w:rFonts w:hint="eastAsia" w:ascii="宋体" w:hAnsi="宋体" w:cs="宋体"/>
                <w:kern w:val="0"/>
                <w:sz w:val="18"/>
                <w:szCs w:val="18"/>
              </w:rPr>
              <w:br w:type="textWrapping"/>
            </w:r>
            <w:r>
              <w:rPr>
                <w:rFonts w:hint="eastAsia" w:ascii="宋体" w:hAnsi="宋体" w:cs="宋体"/>
                <w:kern w:val="0"/>
                <w:sz w:val="18"/>
                <w:szCs w:val="18"/>
              </w:rPr>
              <w:t>1、系统支持教师查看每回合的博弈指标雷达图、回合信息、排名信息、博弈数据等关键指标。</w:t>
            </w:r>
            <w:r>
              <w:rPr>
                <w:rFonts w:hint="eastAsia" w:ascii="宋体" w:hAnsi="宋体" w:cs="宋体"/>
                <w:kern w:val="0"/>
                <w:sz w:val="18"/>
                <w:szCs w:val="18"/>
              </w:rPr>
              <w:br w:type="textWrapping"/>
            </w:r>
            <w:r>
              <w:rPr>
                <w:rFonts w:hint="eastAsia" w:ascii="宋体" w:hAnsi="宋体" w:cs="宋体"/>
                <w:kern w:val="0"/>
                <w:sz w:val="18"/>
                <w:szCs w:val="18"/>
              </w:rPr>
              <w:t>2、系统支持每个学生实验数据查询功能，包含各功能模块雷达指标、经营数据、收支明细、等关键信息。</w:t>
            </w:r>
            <w:r>
              <w:rPr>
                <w:rFonts w:hint="eastAsia" w:ascii="宋体" w:hAnsi="宋体" w:cs="宋体"/>
                <w:kern w:val="0"/>
                <w:sz w:val="18"/>
                <w:szCs w:val="18"/>
              </w:rPr>
              <w:br w:type="textWrapping"/>
            </w:r>
            <w:r>
              <w:rPr>
                <w:rFonts w:hint="eastAsia" w:ascii="宋体" w:hAnsi="宋体" w:cs="宋体"/>
                <w:kern w:val="0"/>
                <w:sz w:val="18"/>
                <w:szCs w:val="18"/>
              </w:rPr>
              <w:t>（三）博弈分析</w:t>
            </w:r>
            <w:r>
              <w:rPr>
                <w:rFonts w:hint="eastAsia" w:ascii="宋体" w:hAnsi="宋体" w:cs="宋体"/>
                <w:kern w:val="0"/>
                <w:sz w:val="18"/>
                <w:szCs w:val="18"/>
              </w:rPr>
              <w:br w:type="textWrapping"/>
            </w:r>
            <w:r>
              <w:rPr>
                <w:rFonts w:hint="eastAsia" w:ascii="宋体" w:hAnsi="宋体" w:cs="宋体"/>
                <w:kern w:val="0"/>
                <w:sz w:val="18"/>
                <w:szCs w:val="18"/>
              </w:rPr>
              <w:t>1、系统支持教师通过博弈分析功能查询学生实验报告，包含营业收入、营业支出、活动策划、二消产品、营销管理等数据，支持下载实验报告。</w:t>
            </w:r>
            <w:r>
              <w:rPr>
                <w:rFonts w:hint="eastAsia" w:ascii="宋体" w:hAnsi="宋体" w:cs="宋体"/>
                <w:kern w:val="0"/>
                <w:sz w:val="18"/>
                <w:szCs w:val="18"/>
              </w:rPr>
              <w:br w:type="textWrapping"/>
            </w:r>
            <w:r>
              <w:rPr>
                <w:rFonts w:hint="eastAsia" w:ascii="宋体" w:hAnsi="宋体" w:cs="宋体"/>
                <w:kern w:val="0"/>
                <w:sz w:val="18"/>
                <w:szCs w:val="18"/>
              </w:rPr>
              <w:t>三、资源库</w:t>
            </w:r>
            <w:r>
              <w:rPr>
                <w:rFonts w:hint="eastAsia" w:ascii="宋体" w:hAnsi="宋体" w:cs="宋体"/>
                <w:kern w:val="0"/>
                <w:sz w:val="18"/>
                <w:szCs w:val="18"/>
              </w:rPr>
              <w:br w:type="textWrapping"/>
            </w:r>
            <w:r>
              <w:rPr>
                <w:rFonts w:hint="eastAsia" w:ascii="宋体" w:hAnsi="宋体" w:cs="宋体"/>
                <w:kern w:val="0"/>
                <w:sz w:val="18"/>
                <w:szCs w:val="18"/>
              </w:rPr>
              <w:t>1、系统提供35个以上城市商圈（如北京、上海、天津、深圳、重庆、泉州、贵阳、哈尔滨、杭州、厦门等），城市商圈信息包含城市简介、城市商圈数量、城市竞争酒店数量、消费能力、城市五维雷达、城市级别、城市线级等指标。</w:t>
            </w:r>
            <w:r>
              <w:rPr>
                <w:rFonts w:hint="eastAsia" w:ascii="宋体" w:hAnsi="宋体" w:cs="宋体"/>
                <w:kern w:val="0"/>
                <w:sz w:val="18"/>
                <w:szCs w:val="18"/>
              </w:rPr>
              <w:br w:type="textWrapping"/>
            </w:r>
            <w:r>
              <w:rPr>
                <w:rFonts w:hint="eastAsia" w:ascii="宋体" w:hAnsi="宋体" w:cs="宋体"/>
                <w:kern w:val="0"/>
                <w:sz w:val="18"/>
                <w:szCs w:val="18"/>
              </w:rPr>
              <w:t>2、城市详细信息包含城市名称、城市级别、城市线级、常住人口总数（万人）、户籍人口总数（万人）、户籍人口排名（名次）、新增人口总数（万人）、家庭户数（万户）、城市面积（km²）、城市面积排名（名次）、城市GDP（亿元）、GDP全国排名（名次）、城市GDP增速（%）、人均GDP（元）、人均GDP排名（名次）、人均消费支出（元）、人均消费支出排名（名次）、人均可支配收入（元）等信息。</w:t>
            </w:r>
            <w:r>
              <w:rPr>
                <w:rFonts w:hint="eastAsia" w:ascii="宋体" w:hAnsi="宋体" w:cs="宋体"/>
                <w:kern w:val="0"/>
                <w:sz w:val="18"/>
                <w:szCs w:val="18"/>
              </w:rPr>
              <w:br w:type="textWrapping"/>
            </w:r>
            <w:r>
              <w:rPr>
                <w:rFonts w:hint="eastAsia" w:ascii="宋体" w:hAnsi="宋体" w:cs="宋体"/>
                <w:kern w:val="0"/>
                <w:sz w:val="18"/>
                <w:szCs w:val="18"/>
              </w:rPr>
              <w:t>3、商圈基础信息包含商圈名称、区域人口规模（万人）、新房房价（m²/元）、二手房价格（m²/元）、人口规模占比（%）、交通信息、地铁站数量（个）、公交站数量（个）等信息。</w:t>
            </w:r>
            <w:r>
              <w:rPr>
                <w:rFonts w:hint="eastAsia" w:ascii="宋体" w:hAnsi="宋体" w:cs="宋体"/>
                <w:kern w:val="0"/>
                <w:sz w:val="18"/>
                <w:szCs w:val="18"/>
              </w:rPr>
              <w:br w:type="textWrapping"/>
            </w:r>
            <w:r>
              <w:rPr>
                <w:rFonts w:hint="eastAsia" w:ascii="宋体" w:hAnsi="宋体" w:cs="宋体"/>
                <w:kern w:val="0"/>
                <w:sz w:val="18"/>
                <w:szCs w:val="18"/>
              </w:rPr>
              <w:t>4、支持自定义新增城市，新增的城市商圈数据可同步到个人资源库。</w:t>
            </w:r>
            <w:r>
              <w:rPr>
                <w:rFonts w:hint="eastAsia" w:ascii="宋体" w:hAnsi="宋体" w:cs="宋体"/>
                <w:kern w:val="0"/>
                <w:sz w:val="18"/>
                <w:szCs w:val="18"/>
              </w:rPr>
              <w:br w:type="textWrapping"/>
            </w:r>
            <w:r>
              <w:rPr>
                <w:rFonts w:hint="eastAsia" w:ascii="宋体" w:hAnsi="宋体" w:cs="宋体"/>
                <w:kern w:val="0"/>
                <w:sz w:val="18"/>
                <w:szCs w:val="18"/>
              </w:rPr>
              <w:t>【沙盘软件学生端功能】</w:t>
            </w:r>
            <w:r>
              <w:rPr>
                <w:rFonts w:hint="eastAsia" w:ascii="宋体" w:hAnsi="宋体" w:cs="宋体"/>
                <w:kern w:val="0"/>
                <w:sz w:val="18"/>
                <w:szCs w:val="18"/>
              </w:rPr>
              <w:br w:type="textWrapping"/>
            </w:r>
            <w:r>
              <w:rPr>
                <w:rFonts w:hint="eastAsia" w:ascii="宋体" w:hAnsi="宋体" w:cs="宋体"/>
                <w:kern w:val="0"/>
                <w:sz w:val="18"/>
                <w:szCs w:val="18"/>
              </w:rPr>
              <w:t>（一）学生首页支持查看以下汇总数据：</w:t>
            </w:r>
            <w:r>
              <w:rPr>
                <w:rFonts w:hint="eastAsia" w:ascii="宋体" w:hAnsi="宋体" w:cs="宋体"/>
                <w:kern w:val="0"/>
                <w:sz w:val="18"/>
                <w:szCs w:val="18"/>
              </w:rPr>
              <w:br w:type="textWrapping"/>
            </w:r>
            <w:r>
              <w:rPr>
                <w:rFonts w:hint="eastAsia" w:ascii="宋体" w:hAnsi="宋体" w:cs="宋体"/>
                <w:kern w:val="0"/>
                <w:sz w:val="18"/>
                <w:szCs w:val="18"/>
              </w:rPr>
              <w:t>1、系统支持实验列表查询、实验名称、实验进度等信息。</w:t>
            </w:r>
            <w:r>
              <w:rPr>
                <w:rFonts w:hint="eastAsia" w:ascii="宋体" w:hAnsi="宋体" w:cs="宋体"/>
                <w:kern w:val="0"/>
                <w:sz w:val="18"/>
                <w:szCs w:val="18"/>
              </w:rPr>
              <w:br w:type="textWrapping"/>
            </w:r>
            <w:r>
              <w:rPr>
                <w:rFonts w:hint="eastAsia" w:ascii="宋体" w:hAnsi="宋体" w:cs="宋体"/>
                <w:kern w:val="0"/>
                <w:sz w:val="18"/>
                <w:szCs w:val="18"/>
              </w:rPr>
              <w:t>2、系统支持查看实验总收入、总支出、净利润、设备成本、水费成本、电力成本、互动次数、私域客户总数、民宿口碑总分、客户满意度、客房出租率等指标。</w:t>
            </w:r>
            <w:r>
              <w:rPr>
                <w:rFonts w:hint="eastAsia" w:ascii="宋体" w:hAnsi="宋体" w:cs="宋体"/>
                <w:kern w:val="0"/>
                <w:sz w:val="18"/>
                <w:szCs w:val="18"/>
              </w:rPr>
              <w:br w:type="textWrapping"/>
            </w:r>
            <w:r>
              <w:rPr>
                <w:rFonts w:hint="eastAsia" w:ascii="宋体" w:hAnsi="宋体" w:cs="宋体"/>
                <w:kern w:val="0"/>
                <w:sz w:val="18"/>
                <w:szCs w:val="18"/>
              </w:rPr>
              <w:t>3、系统支持查看客房运营明细，包含客房总数、客房总面积、接待总人数、客房总收入、客房总支出、摊销费用、其他费用支出、复住次数、OCC、客房结构等指标。</w:t>
            </w:r>
            <w:r>
              <w:rPr>
                <w:rFonts w:hint="eastAsia" w:ascii="宋体" w:hAnsi="宋体" w:cs="宋体"/>
                <w:kern w:val="0"/>
                <w:sz w:val="18"/>
                <w:szCs w:val="18"/>
              </w:rPr>
              <w:br w:type="textWrapping"/>
            </w:r>
            <w:r>
              <w:rPr>
                <w:rFonts w:hint="eastAsia" w:ascii="宋体" w:hAnsi="宋体" w:cs="宋体"/>
                <w:kern w:val="0"/>
                <w:sz w:val="18"/>
                <w:szCs w:val="18"/>
              </w:rPr>
              <w:t>4、系统支持查看营销推广明细，包含营销费用、推广总数、转化总数、转化率、营销其他费用、渠道总数、推广转化分析图表、客户类型图表等指标。</w:t>
            </w:r>
            <w:r>
              <w:rPr>
                <w:rFonts w:hint="eastAsia" w:ascii="宋体" w:hAnsi="宋体" w:cs="宋体"/>
                <w:kern w:val="0"/>
                <w:sz w:val="18"/>
                <w:szCs w:val="18"/>
              </w:rPr>
              <w:br w:type="textWrapping"/>
            </w:r>
            <w:r>
              <w:rPr>
                <w:rFonts w:hint="eastAsia" w:ascii="宋体" w:hAnsi="宋体" w:cs="宋体"/>
                <w:kern w:val="0"/>
                <w:sz w:val="18"/>
                <w:szCs w:val="18"/>
              </w:rPr>
              <w:t>5、系统支持查看活动策划明细，包含活动次数、活动达成率、活动满意度等指标。</w:t>
            </w:r>
            <w:r>
              <w:rPr>
                <w:rFonts w:hint="eastAsia" w:ascii="宋体" w:hAnsi="宋体" w:cs="宋体"/>
                <w:kern w:val="0"/>
                <w:sz w:val="18"/>
                <w:szCs w:val="18"/>
              </w:rPr>
              <w:br w:type="textWrapping"/>
            </w:r>
            <w:r>
              <w:rPr>
                <w:rFonts w:hint="eastAsia" w:ascii="宋体" w:hAnsi="宋体" w:cs="宋体"/>
                <w:kern w:val="0"/>
                <w:sz w:val="18"/>
                <w:szCs w:val="18"/>
              </w:rPr>
              <w:t>6、系统支持查看二消产品明细，包含产品销量、复购销量、复购率、产品收入、产品成本等指标。</w:t>
            </w:r>
            <w:r>
              <w:rPr>
                <w:rFonts w:hint="eastAsia" w:ascii="宋体" w:hAnsi="宋体" w:cs="宋体"/>
                <w:kern w:val="0"/>
                <w:sz w:val="18"/>
                <w:szCs w:val="18"/>
              </w:rPr>
              <w:br w:type="textWrapping"/>
            </w:r>
            <w:r>
              <w:rPr>
                <w:rFonts w:hint="eastAsia" w:ascii="宋体" w:hAnsi="宋体" w:cs="宋体"/>
                <w:kern w:val="0"/>
                <w:sz w:val="18"/>
                <w:szCs w:val="18"/>
              </w:rPr>
              <w:t>（二）民宿筹建阶段</w:t>
            </w:r>
            <w:r>
              <w:rPr>
                <w:rFonts w:hint="eastAsia" w:ascii="宋体" w:hAnsi="宋体" w:cs="宋体"/>
                <w:kern w:val="0"/>
                <w:sz w:val="18"/>
                <w:szCs w:val="18"/>
              </w:rPr>
              <w:br w:type="textWrapping"/>
            </w:r>
            <w:r>
              <w:rPr>
                <w:rFonts w:hint="eastAsia" w:ascii="宋体" w:hAnsi="宋体" w:cs="宋体"/>
                <w:kern w:val="0"/>
                <w:sz w:val="18"/>
                <w:szCs w:val="18"/>
              </w:rPr>
              <w:t>1、系统提供城市数据分析，方便学生进行民宿建设地城市信息、城市总览、经济数据和交通情况等市场分析数据。</w:t>
            </w:r>
            <w:r>
              <w:rPr>
                <w:rFonts w:hint="eastAsia" w:ascii="宋体" w:hAnsi="宋体" w:cs="宋体"/>
                <w:kern w:val="0"/>
                <w:sz w:val="18"/>
                <w:szCs w:val="18"/>
              </w:rPr>
              <w:br w:type="textWrapping"/>
            </w:r>
            <w:r>
              <w:rPr>
                <w:rFonts w:hint="eastAsia" w:ascii="宋体" w:hAnsi="宋体" w:cs="宋体"/>
                <w:kern w:val="0"/>
                <w:sz w:val="18"/>
                <w:szCs w:val="18"/>
              </w:rPr>
              <w:t>2、提供民宿商圈信息，商圈信息包含城市总览、周边配套信息、交通情况，其中城市总览需包含人口、规模规模占比、房价等信息；周边配套需包含娱乐数量、酒店数量、旅游景点数量等信息展示。</w:t>
            </w:r>
            <w:r>
              <w:rPr>
                <w:rFonts w:hint="eastAsia" w:ascii="宋体" w:hAnsi="宋体" w:cs="宋体"/>
                <w:kern w:val="0"/>
                <w:sz w:val="18"/>
                <w:szCs w:val="18"/>
              </w:rPr>
              <w:br w:type="textWrapping"/>
            </w:r>
            <w:r>
              <w:rPr>
                <w:rFonts w:hint="eastAsia" w:ascii="宋体" w:hAnsi="宋体" w:cs="宋体"/>
                <w:kern w:val="0"/>
                <w:sz w:val="18"/>
                <w:szCs w:val="18"/>
              </w:rPr>
              <w:t>3、系统提供四种民宿风格选择，满足民宿个性化设置。</w:t>
            </w:r>
            <w:r>
              <w:rPr>
                <w:rFonts w:hint="eastAsia" w:ascii="宋体" w:hAnsi="宋体" w:cs="宋体"/>
                <w:kern w:val="0"/>
                <w:sz w:val="18"/>
                <w:szCs w:val="18"/>
              </w:rPr>
              <w:br w:type="textWrapping"/>
            </w:r>
            <w:r>
              <w:rPr>
                <w:rFonts w:hint="eastAsia" w:ascii="宋体" w:hAnsi="宋体" w:cs="宋体"/>
                <w:kern w:val="0"/>
                <w:sz w:val="18"/>
                <w:szCs w:val="18"/>
              </w:rPr>
              <w:t>4、系统提供民宿主人特性选择，包含民族特色、活动型、艺术型、农业观光等，每种类型各有不同的形象IP和3种风格属性选择。</w:t>
            </w:r>
            <w:r>
              <w:rPr>
                <w:rFonts w:hint="eastAsia" w:ascii="宋体" w:hAnsi="宋体" w:cs="宋体"/>
                <w:kern w:val="0"/>
                <w:sz w:val="18"/>
                <w:szCs w:val="18"/>
              </w:rPr>
              <w:br w:type="textWrapping"/>
            </w:r>
            <w:r>
              <w:rPr>
                <w:rFonts w:hint="eastAsia" w:ascii="宋体" w:hAnsi="宋体" w:cs="宋体"/>
                <w:kern w:val="0"/>
                <w:sz w:val="18"/>
                <w:szCs w:val="18"/>
              </w:rPr>
              <w:t>5、系统提供两种民宿外观选择，确定外观类型后，选择不同风格属性，系统自动生成民宿渲染图。</w:t>
            </w:r>
            <w:r>
              <w:rPr>
                <w:rFonts w:hint="eastAsia" w:ascii="宋体" w:hAnsi="宋体" w:cs="宋体"/>
                <w:kern w:val="0"/>
                <w:sz w:val="18"/>
                <w:szCs w:val="18"/>
              </w:rPr>
              <w:br w:type="textWrapping"/>
            </w:r>
            <w:r>
              <w:rPr>
                <w:rFonts w:hint="eastAsia" w:ascii="宋体" w:hAnsi="宋体" w:cs="宋体"/>
                <w:kern w:val="0"/>
                <w:sz w:val="18"/>
                <w:szCs w:val="18"/>
              </w:rPr>
              <w:t>系统提供民宿区域设计，包含客房区、公共区、活动区、服务区、景观区等。</w:t>
            </w:r>
            <w:r>
              <w:rPr>
                <w:rFonts w:hint="eastAsia" w:ascii="宋体" w:hAnsi="宋体" w:cs="宋体"/>
                <w:kern w:val="0"/>
                <w:sz w:val="18"/>
                <w:szCs w:val="18"/>
              </w:rPr>
              <w:br w:type="textWrapping"/>
            </w:r>
            <w:r>
              <w:rPr>
                <w:rFonts w:hint="eastAsia" w:ascii="宋体" w:hAnsi="宋体" w:cs="宋体"/>
                <w:kern w:val="0"/>
                <w:sz w:val="18"/>
                <w:szCs w:val="18"/>
              </w:rPr>
              <w:t>系统提供客房设计功能，根据客房平面图选择不同房间风格，设置客房面积、客房类型等属性。</w:t>
            </w:r>
            <w:r>
              <w:rPr>
                <w:rFonts w:hint="eastAsia" w:ascii="宋体" w:hAnsi="宋体" w:cs="宋体"/>
                <w:kern w:val="0"/>
                <w:sz w:val="18"/>
                <w:szCs w:val="18"/>
              </w:rPr>
              <w:br w:type="textWrapping"/>
            </w:r>
            <w:r>
              <w:rPr>
                <w:rFonts w:hint="eastAsia" w:ascii="宋体" w:hAnsi="宋体" w:cs="宋体"/>
                <w:kern w:val="0"/>
                <w:sz w:val="18"/>
                <w:szCs w:val="18"/>
              </w:rPr>
              <w:t>系统提供民宿设施设备的安装，包含空调、热水器、吹风机、灭火器等，可根据民宿的定位选择设备的不同档次。</w:t>
            </w:r>
            <w:r>
              <w:rPr>
                <w:rFonts w:hint="eastAsia" w:ascii="宋体" w:hAnsi="宋体" w:cs="宋体"/>
                <w:kern w:val="0"/>
                <w:sz w:val="18"/>
                <w:szCs w:val="18"/>
              </w:rPr>
              <w:br w:type="textWrapping"/>
            </w:r>
            <w:r>
              <w:rPr>
                <w:rFonts w:hint="eastAsia" w:ascii="宋体" w:hAnsi="宋体" w:cs="宋体"/>
                <w:kern w:val="0"/>
                <w:sz w:val="18"/>
                <w:szCs w:val="18"/>
              </w:rPr>
              <w:t>系统提供民宿办证流程的学习，以拖拽和答题等方式呈现。</w:t>
            </w:r>
            <w:r>
              <w:rPr>
                <w:rFonts w:hint="eastAsia" w:ascii="宋体" w:hAnsi="宋体" w:cs="宋体"/>
                <w:kern w:val="0"/>
                <w:sz w:val="18"/>
                <w:szCs w:val="18"/>
              </w:rPr>
              <w:br w:type="textWrapping"/>
            </w:r>
            <w:r>
              <w:rPr>
                <w:rFonts w:hint="eastAsia" w:ascii="宋体" w:hAnsi="宋体" w:cs="宋体"/>
                <w:kern w:val="0"/>
                <w:sz w:val="18"/>
                <w:szCs w:val="18"/>
              </w:rPr>
              <w:t>系统提供筹建总览数据看板，包含民宿风格、主人特性、筹建支出明细、客房建造数据、设备安装等信息。</w:t>
            </w:r>
            <w:r>
              <w:rPr>
                <w:rFonts w:hint="eastAsia" w:ascii="宋体" w:hAnsi="宋体" w:cs="宋体"/>
                <w:kern w:val="0"/>
                <w:sz w:val="18"/>
                <w:szCs w:val="18"/>
              </w:rPr>
              <w:br w:type="textWrapping"/>
            </w:r>
            <w:r>
              <w:rPr>
                <w:rFonts w:hint="eastAsia" w:ascii="宋体" w:hAnsi="宋体" w:cs="宋体"/>
                <w:kern w:val="0"/>
                <w:sz w:val="18"/>
                <w:szCs w:val="18"/>
              </w:rPr>
              <w:t>（三）民宿运营阶段</w:t>
            </w:r>
            <w:r>
              <w:rPr>
                <w:rFonts w:hint="eastAsia" w:ascii="宋体" w:hAnsi="宋体" w:cs="宋体"/>
                <w:kern w:val="0"/>
                <w:sz w:val="18"/>
                <w:szCs w:val="18"/>
              </w:rPr>
              <w:br w:type="textWrapping"/>
            </w:r>
            <w:r>
              <w:rPr>
                <w:rFonts w:hint="eastAsia" w:ascii="宋体" w:hAnsi="宋体" w:cs="宋体"/>
                <w:kern w:val="0"/>
                <w:sz w:val="18"/>
                <w:szCs w:val="18"/>
              </w:rPr>
              <w:t>1、客房管理支持对客房进行定价，包含基础房间、营销房间、回头客房间；支持查看各个房型的每日occ分析图表查看；支持查看客房入住记录，包含客房名称、客源类型、入住日期、入住定价、入住人数、客房支出、入住评价等指标。</w:t>
            </w:r>
            <w:r>
              <w:rPr>
                <w:rFonts w:hint="eastAsia" w:ascii="宋体" w:hAnsi="宋体" w:cs="宋体"/>
                <w:kern w:val="0"/>
                <w:sz w:val="18"/>
                <w:szCs w:val="18"/>
              </w:rPr>
              <w:br w:type="textWrapping"/>
            </w:r>
            <w:r>
              <w:rPr>
                <w:rFonts w:hint="eastAsia" w:ascii="宋体" w:hAnsi="宋体" w:cs="宋体"/>
                <w:kern w:val="0"/>
                <w:sz w:val="18"/>
                <w:szCs w:val="18"/>
              </w:rPr>
              <w:t>营销管理支持5种以上营销渠道（抖音、快手、小红书、携程、大众点评等），每种营销渠道提供用户群体分析图表（访问时长、用户总量、活跃用户数量、留存率、点击率等指标）；支持查看渠道广告投放费用、平台服务费、营销计费模式等。</w:t>
            </w:r>
            <w:r>
              <w:rPr>
                <w:rFonts w:hint="eastAsia" w:ascii="宋体" w:hAnsi="宋体" w:cs="宋体"/>
                <w:kern w:val="0"/>
                <w:sz w:val="18"/>
                <w:szCs w:val="18"/>
              </w:rPr>
              <w:br w:type="textWrapping"/>
            </w:r>
            <w:r>
              <w:rPr>
                <w:rFonts w:hint="eastAsia" w:ascii="宋体" w:hAnsi="宋体" w:cs="宋体"/>
                <w:kern w:val="0"/>
                <w:sz w:val="18"/>
                <w:szCs w:val="18"/>
              </w:rPr>
              <w:t>3、活动策划功能支持用户根据民宿主人的特性选择不同的活动内容，通过选项的拖拽方式让学生掌握活动筹备运营的知识点。</w:t>
            </w:r>
            <w:r>
              <w:rPr>
                <w:rFonts w:hint="eastAsia" w:ascii="宋体" w:hAnsi="宋体" w:cs="宋体"/>
                <w:kern w:val="0"/>
                <w:sz w:val="18"/>
                <w:szCs w:val="18"/>
              </w:rPr>
              <w:br w:type="textWrapping"/>
            </w:r>
            <w:r>
              <w:rPr>
                <w:rFonts w:hint="eastAsia" w:ascii="宋体" w:hAnsi="宋体" w:cs="宋体"/>
                <w:kern w:val="0"/>
                <w:sz w:val="18"/>
                <w:szCs w:val="18"/>
              </w:rPr>
              <w:t>4、客户管理功能包含复住次数、复购次数、总收入、平均亲密度等指标，民宿主人可以通过聊天、送礼等方式与客户进行互动，增加客户亲密度，互动过程中通过情景对话的方式进行，送礼方式不少于20种选择。</w:t>
            </w:r>
            <w:r>
              <w:rPr>
                <w:rFonts w:hint="eastAsia" w:ascii="宋体" w:hAnsi="宋体" w:cs="宋体"/>
                <w:kern w:val="0"/>
                <w:sz w:val="18"/>
                <w:szCs w:val="18"/>
              </w:rPr>
              <w:br w:type="textWrapping"/>
            </w:r>
            <w:r>
              <w:rPr>
                <w:rFonts w:hint="eastAsia" w:ascii="宋体" w:hAnsi="宋体" w:cs="宋体"/>
                <w:kern w:val="0"/>
                <w:sz w:val="18"/>
                <w:szCs w:val="18"/>
              </w:rPr>
              <w:t>5、系统支持卫生管理功能，包含自己打扫、雇人打扫、外包服务等三种方式，每种方式对应不同的清洁时间和成本。</w:t>
            </w:r>
            <w:r>
              <w:rPr>
                <w:rFonts w:hint="eastAsia" w:ascii="宋体" w:hAnsi="宋体" w:cs="宋体"/>
                <w:kern w:val="0"/>
                <w:sz w:val="18"/>
                <w:szCs w:val="18"/>
              </w:rPr>
              <w:br w:type="textWrapping"/>
            </w:r>
            <w:r>
              <w:rPr>
                <w:rFonts w:hint="eastAsia" w:ascii="宋体" w:hAnsi="宋体" w:cs="宋体"/>
                <w:kern w:val="0"/>
                <w:sz w:val="18"/>
                <w:szCs w:val="18"/>
              </w:rPr>
              <w:t>6、设备管理功能支持对设备进行设备保修和设备安装等功能。</w:t>
            </w:r>
            <w:r>
              <w:rPr>
                <w:rFonts w:hint="eastAsia" w:ascii="宋体" w:hAnsi="宋体" w:cs="宋体"/>
                <w:kern w:val="0"/>
                <w:sz w:val="18"/>
                <w:szCs w:val="18"/>
              </w:rPr>
              <w:br w:type="textWrapping"/>
            </w:r>
            <w:r>
              <w:rPr>
                <w:rFonts w:hint="eastAsia" w:ascii="宋体" w:hAnsi="宋体" w:cs="宋体"/>
                <w:kern w:val="0"/>
                <w:sz w:val="18"/>
                <w:szCs w:val="18"/>
              </w:rPr>
              <w:t>7、支持主客互动功能，提供不少于3种的互动方式（接机服务、游览景点、体验美食），每种互动都基于不同的情景对话进行呈现。</w:t>
            </w:r>
            <w:r>
              <w:rPr>
                <w:rFonts w:hint="eastAsia" w:ascii="宋体" w:hAnsi="宋体" w:cs="宋体"/>
                <w:kern w:val="0"/>
                <w:sz w:val="18"/>
                <w:szCs w:val="18"/>
              </w:rPr>
              <w:br w:type="textWrapping"/>
            </w:r>
            <w:r>
              <w:rPr>
                <w:rFonts w:hint="eastAsia" w:ascii="宋体" w:hAnsi="宋体" w:cs="宋体"/>
                <w:kern w:val="0"/>
                <w:sz w:val="18"/>
                <w:szCs w:val="18"/>
              </w:rPr>
              <w:t>8、系统提供客户投诉处理功能，以情景对话的方式选择处理方法。</w:t>
            </w:r>
            <w:r>
              <w:rPr>
                <w:rFonts w:hint="eastAsia" w:ascii="宋体" w:hAnsi="宋体" w:cs="宋体"/>
                <w:kern w:val="0"/>
                <w:sz w:val="18"/>
                <w:szCs w:val="18"/>
              </w:rPr>
              <w:br w:type="textWrapping"/>
            </w:r>
            <w:r>
              <w:rPr>
                <w:rFonts w:hint="eastAsia" w:ascii="宋体" w:hAnsi="宋体" w:cs="宋体"/>
                <w:kern w:val="0"/>
                <w:sz w:val="18"/>
                <w:szCs w:val="18"/>
              </w:rPr>
              <w:t>9、支持产品二消功能，可以对二消产品进行采购及销售，以图文方式呈现产品的详细介绍。</w:t>
            </w:r>
            <w:r>
              <w:rPr>
                <w:rFonts w:hint="eastAsia" w:ascii="宋体" w:hAnsi="宋体" w:cs="宋体"/>
                <w:kern w:val="0"/>
                <w:sz w:val="18"/>
                <w:szCs w:val="18"/>
              </w:rPr>
              <w:br w:type="textWrapping"/>
            </w:r>
            <w:r>
              <w:rPr>
                <w:rFonts w:hint="eastAsia" w:ascii="宋体" w:hAnsi="宋体" w:cs="宋体"/>
                <w:kern w:val="0"/>
                <w:sz w:val="18"/>
                <w:szCs w:val="18"/>
              </w:rPr>
              <w:t>10、系统支持市场背景功能，包含用户行为分析和市场需求分析两种方式，每种方式对应数据采集和数据分析方法不同，如通过问卷访谈收集顾客信息、通过Python爬取相关数据、通过简单数据处理分析等方法。</w:t>
            </w:r>
            <w:r>
              <w:rPr>
                <w:rFonts w:hint="eastAsia" w:ascii="宋体" w:hAnsi="宋体" w:cs="宋体"/>
                <w:kern w:val="0"/>
                <w:sz w:val="18"/>
                <w:szCs w:val="18"/>
              </w:rPr>
              <w:br w:type="textWrapping"/>
            </w:r>
            <w:r>
              <w:rPr>
                <w:rFonts w:hint="eastAsia" w:ascii="宋体" w:hAnsi="宋体" w:cs="宋体"/>
                <w:kern w:val="0"/>
                <w:sz w:val="18"/>
                <w:szCs w:val="18"/>
              </w:rPr>
              <w:t>系统提供财务财务报表查询功能，能查询每个回合的经营数据。</w:t>
            </w:r>
            <w:r>
              <w:rPr>
                <w:rFonts w:hint="eastAsia" w:ascii="宋体" w:hAnsi="宋体" w:cs="宋体"/>
                <w:kern w:val="0"/>
                <w:sz w:val="18"/>
                <w:szCs w:val="18"/>
              </w:rPr>
              <w:br w:type="textWrapping"/>
            </w:r>
            <w:r>
              <w:rPr>
                <w:rFonts w:hint="eastAsia" w:ascii="宋体" w:hAnsi="宋体" w:cs="宋体"/>
                <w:kern w:val="0"/>
                <w:sz w:val="18"/>
                <w:szCs w:val="18"/>
              </w:rPr>
              <w:t>12、系统提供财务借贷管理功能，包含借贷金额、分期数、还款方式、利息等指标。</w:t>
            </w:r>
            <w:r>
              <w:rPr>
                <w:rFonts w:hint="eastAsia" w:ascii="宋体" w:hAnsi="宋体" w:cs="宋体"/>
                <w:kern w:val="0"/>
                <w:sz w:val="18"/>
                <w:szCs w:val="18"/>
              </w:rPr>
              <w:br w:type="textWrapping"/>
            </w:r>
            <w:r>
              <w:rPr>
                <w:rFonts w:hint="eastAsia" w:ascii="宋体" w:hAnsi="宋体" w:cs="宋体"/>
                <w:kern w:val="0"/>
                <w:sz w:val="18"/>
                <w:szCs w:val="18"/>
              </w:rPr>
              <w:t>13、系统提供数据看板功能，可以查询每个回合的经营数据，包含客房收入、支出、入住率、客户满意度、客源结构、营销数据、活动策划等关键指标。</w:t>
            </w:r>
            <w:r>
              <w:rPr>
                <w:rFonts w:hint="eastAsia" w:ascii="宋体" w:hAnsi="宋体" w:cs="宋体"/>
                <w:kern w:val="0"/>
                <w:sz w:val="18"/>
                <w:szCs w:val="18"/>
              </w:rPr>
              <w:br w:type="textWrapping"/>
            </w:r>
            <w:r>
              <w:rPr>
                <w:rFonts w:hint="eastAsia" w:ascii="宋体" w:hAnsi="宋体" w:cs="宋体"/>
                <w:kern w:val="0"/>
                <w:sz w:val="18"/>
                <w:szCs w:val="18"/>
              </w:rPr>
              <w:t>14、系统提供AI助教功能，学生可通过语音、文字输入等方式与AI进行互动问答，解决学生在操作过程中遇到的问题。</w:t>
            </w:r>
          </w:p>
        </w:tc>
        <w:tc>
          <w:tcPr>
            <w:tcW w:w="404" w:type="dxa"/>
            <w:tcBorders>
              <w:top w:val="nil"/>
              <w:left w:val="nil"/>
              <w:bottom w:val="single" w:color="auto" w:sz="4" w:space="0"/>
              <w:right w:val="single" w:color="auto" w:sz="4" w:space="0"/>
            </w:tcBorders>
            <w:shd w:val="clear" w:color="000000" w:fill="FFFFFF"/>
            <w:vAlign w:val="center"/>
          </w:tcPr>
          <w:p w14:paraId="022F04EB">
            <w:pPr>
              <w:widowControl/>
              <w:jc w:val="center"/>
              <w:rPr>
                <w:rFonts w:ascii="宋体" w:hAnsi="宋体" w:cs="宋体"/>
                <w:kern w:val="0"/>
                <w:sz w:val="18"/>
                <w:szCs w:val="18"/>
              </w:rPr>
            </w:pPr>
            <w:r>
              <w:rPr>
                <w:rFonts w:hint="eastAsia" w:ascii="宋体" w:hAnsi="宋体" w:cs="宋体"/>
                <w:kern w:val="0"/>
                <w:sz w:val="18"/>
                <w:szCs w:val="18"/>
              </w:rPr>
              <w:t>2</w:t>
            </w:r>
          </w:p>
        </w:tc>
        <w:tc>
          <w:tcPr>
            <w:tcW w:w="504" w:type="dxa"/>
            <w:tcBorders>
              <w:top w:val="nil"/>
              <w:left w:val="nil"/>
              <w:bottom w:val="single" w:color="auto" w:sz="4" w:space="0"/>
              <w:right w:val="single" w:color="auto" w:sz="4" w:space="0"/>
            </w:tcBorders>
            <w:shd w:val="clear" w:color="000000" w:fill="FFFFFF"/>
            <w:vAlign w:val="center"/>
          </w:tcPr>
          <w:p w14:paraId="60DC6211">
            <w:pPr>
              <w:widowControl/>
              <w:jc w:val="center"/>
              <w:rPr>
                <w:rFonts w:ascii="宋体" w:hAnsi="宋体" w:cs="宋体"/>
                <w:kern w:val="0"/>
                <w:sz w:val="18"/>
                <w:szCs w:val="18"/>
              </w:rPr>
            </w:pPr>
            <w:r>
              <w:rPr>
                <w:rFonts w:hint="eastAsia" w:ascii="宋体" w:hAnsi="宋体" w:cs="宋体"/>
                <w:kern w:val="0"/>
                <w:sz w:val="18"/>
                <w:szCs w:val="18"/>
              </w:rPr>
              <w:t>套</w:t>
            </w:r>
          </w:p>
        </w:tc>
        <w:tc>
          <w:tcPr>
            <w:tcW w:w="823" w:type="dxa"/>
            <w:tcBorders>
              <w:top w:val="nil"/>
              <w:left w:val="nil"/>
              <w:bottom w:val="single" w:color="auto" w:sz="4" w:space="0"/>
              <w:right w:val="single" w:color="auto" w:sz="4" w:space="0"/>
            </w:tcBorders>
            <w:shd w:val="clear" w:color="000000" w:fill="FFFFFF"/>
            <w:vAlign w:val="center"/>
          </w:tcPr>
          <w:p w14:paraId="01AB16F3">
            <w:pPr>
              <w:widowControl/>
              <w:jc w:val="left"/>
              <w:rPr>
                <w:rFonts w:ascii="宋体" w:hAnsi="宋体" w:cs="宋体"/>
                <w:kern w:val="0"/>
                <w:sz w:val="18"/>
                <w:szCs w:val="18"/>
              </w:rPr>
            </w:pPr>
            <w:r>
              <w:rPr>
                <w:rFonts w:hint="eastAsia" w:ascii="宋体" w:hAnsi="宋体" w:cs="宋体"/>
                <w:kern w:val="0"/>
                <w:sz w:val="18"/>
                <w:szCs w:val="18"/>
              </w:rPr>
              <w:t xml:space="preserve">112000 </w:t>
            </w:r>
          </w:p>
        </w:tc>
        <w:tc>
          <w:tcPr>
            <w:tcW w:w="865" w:type="dxa"/>
            <w:tcBorders>
              <w:top w:val="nil"/>
              <w:left w:val="nil"/>
              <w:bottom w:val="single" w:color="auto" w:sz="4" w:space="0"/>
              <w:right w:val="single" w:color="auto" w:sz="4" w:space="0"/>
            </w:tcBorders>
            <w:shd w:val="clear" w:color="000000" w:fill="FFFFFF"/>
            <w:vAlign w:val="center"/>
          </w:tcPr>
          <w:p w14:paraId="1B9C1A8F">
            <w:pPr>
              <w:widowControl/>
              <w:jc w:val="left"/>
              <w:rPr>
                <w:rFonts w:ascii="宋体" w:hAnsi="宋体" w:cs="宋体"/>
                <w:kern w:val="0"/>
                <w:sz w:val="18"/>
                <w:szCs w:val="18"/>
              </w:rPr>
            </w:pPr>
            <w:r>
              <w:rPr>
                <w:rFonts w:hint="eastAsia" w:ascii="宋体" w:hAnsi="宋体" w:cs="宋体"/>
                <w:kern w:val="0"/>
                <w:sz w:val="18"/>
                <w:szCs w:val="18"/>
              </w:rPr>
              <w:t xml:space="preserve">224000 </w:t>
            </w:r>
          </w:p>
        </w:tc>
      </w:tr>
      <w:tr w14:paraId="1AED11B4">
        <w:tblPrEx>
          <w:tblCellMar>
            <w:top w:w="0" w:type="dxa"/>
            <w:left w:w="108" w:type="dxa"/>
            <w:bottom w:w="0" w:type="dxa"/>
            <w:right w:w="108" w:type="dxa"/>
          </w:tblCellMar>
        </w:tblPrEx>
        <w:trPr>
          <w:trHeight w:val="7485" w:hRule="atLeast"/>
        </w:trPr>
        <w:tc>
          <w:tcPr>
            <w:tcW w:w="409" w:type="dxa"/>
            <w:tcBorders>
              <w:top w:val="nil"/>
              <w:left w:val="single" w:color="auto" w:sz="4" w:space="0"/>
              <w:bottom w:val="single" w:color="auto" w:sz="4" w:space="0"/>
              <w:right w:val="single" w:color="auto" w:sz="4" w:space="0"/>
            </w:tcBorders>
            <w:shd w:val="clear" w:color="000000" w:fill="FFFFFF"/>
            <w:noWrap/>
            <w:vAlign w:val="center"/>
          </w:tcPr>
          <w:p w14:paraId="597C4D29">
            <w:pPr>
              <w:widowControl/>
              <w:jc w:val="center"/>
              <w:rPr>
                <w:rFonts w:ascii="宋体" w:hAnsi="宋体" w:cs="宋体"/>
                <w:kern w:val="0"/>
                <w:sz w:val="18"/>
                <w:szCs w:val="18"/>
              </w:rPr>
            </w:pPr>
            <w:r>
              <w:rPr>
                <w:rFonts w:hint="eastAsia" w:ascii="宋体" w:hAnsi="宋体" w:cs="宋体"/>
                <w:kern w:val="0"/>
                <w:sz w:val="18"/>
                <w:szCs w:val="18"/>
              </w:rPr>
              <w:t>11</w:t>
            </w:r>
          </w:p>
        </w:tc>
        <w:tc>
          <w:tcPr>
            <w:tcW w:w="878" w:type="dxa"/>
            <w:tcBorders>
              <w:top w:val="nil"/>
              <w:left w:val="nil"/>
              <w:bottom w:val="single" w:color="auto" w:sz="4" w:space="0"/>
              <w:right w:val="single" w:color="auto" w:sz="4" w:space="0"/>
            </w:tcBorders>
            <w:shd w:val="clear" w:color="000000" w:fill="FFFFFF"/>
            <w:vAlign w:val="center"/>
          </w:tcPr>
          <w:p w14:paraId="10A9036D">
            <w:pPr>
              <w:widowControl/>
              <w:jc w:val="center"/>
              <w:rPr>
                <w:rFonts w:ascii="宋体" w:hAnsi="宋体" w:cs="宋体"/>
                <w:kern w:val="0"/>
                <w:sz w:val="18"/>
                <w:szCs w:val="18"/>
              </w:rPr>
            </w:pPr>
            <w:r>
              <w:rPr>
                <w:rFonts w:hint="eastAsia" w:ascii="宋体" w:hAnsi="宋体" w:cs="宋体"/>
                <w:kern w:val="0"/>
                <w:sz w:val="18"/>
                <w:szCs w:val="18"/>
              </w:rPr>
              <w:t>自助入住机</w:t>
            </w:r>
          </w:p>
        </w:tc>
        <w:tc>
          <w:tcPr>
            <w:tcW w:w="4717" w:type="dxa"/>
            <w:tcBorders>
              <w:top w:val="nil"/>
              <w:left w:val="nil"/>
              <w:bottom w:val="single" w:color="auto" w:sz="4" w:space="0"/>
              <w:right w:val="single" w:color="auto" w:sz="4" w:space="0"/>
            </w:tcBorders>
            <w:shd w:val="clear" w:color="000000" w:fill="FFFFFF"/>
            <w:vAlign w:val="center"/>
          </w:tcPr>
          <w:p w14:paraId="3EF524CB">
            <w:pPr>
              <w:widowControl/>
              <w:jc w:val="left"/>
              <w:rPr>
                <w:rFonts w:ascii="宋体" w:hAnsi="宋体" w:cs="宋体"/>
                <w:kern w:val="0"/>
                <w:sz w:val="18"/>
                <w:szCs w:val="18"/>
              </w:rPr>
            </w:pPr>
            <w:r>
              <w:rPr>
                <w:rFonts w:hint="eastAsia" w:ascii="宋体" w:hAnsi="宋体" w:cs="宋体"/>
                <w:kern w:val="0"/>
                <w:sz w:val="18"/>
                <w:szCs w:val="18"/>
              </w:rPr>
              <w:t>1. 外观参数：</w:t>
            </w:r>
            <w:r>
              <w:rPr>
                <w:rFonts w:hint="eastAsia" w:ascii="宋体" w:hAnsi="宋体" w:cs="宋体"/>
                <w:kern w:val="0"/>
                <w:sz w:val="18"/>
                <w:szCs w:val="18"/>
              </w:rPr>
              <w:br w:type="textWrapping"/>
            </w:r>
            <w:r>
              <w:rPr>
                <w:rFonts w:hint="eastAsia" w:ascii="宋体" w:hAnsi="宋体" w:cs="宋体"/>
                <w:kern w:val="0"/>
                <w:sz w:val="18"/>
                <w:szCs w:val="18"/>
              </w:rPr>
              <w:t>2. 产品尺寸（长×宽×高）：700mm×405.5mm×130mm（可以误差10mm)</w:t>
            </w:r>
            <w:r>
              <w:rPr>
                <w:rFonts w:hint="eastAsia" w:ascii="宋体" w:hAnsi="宋体" w:cs="宋体"/>
                <w:kern w:val="0"/>
                <w:sz w:val="18"/>
                <w:szCs w:val="18"/>
              </w:rPr>
              <w:br w:type="textWrapping"/>
            </w:r>
            <w:r>
              <w:rPr>
                <w:rFonts w:hint="eastAsia" w:ascii="宋体" w:hAnsi="宋体" w:cs="宋体"/>
                <w:kern w:val="0"/>
                <w:sz w:val="18"/>
                <w:szCs w:val="18"/>
              </w:rPr>
              <w:t>3. 显示屏参数：分辨率1920×1080；屏幕尺寸：≥21.5寸；触摸屏：支持，G+G支持多点触控，手写触摸</w:t>
            </w:r>
            <w:r>
              <w:rPr>
                <w:rFonts w:hint="eastAsia" w:ascii="宋体" w:hAnsi="宋体" w:cs="宋体"/>
                <w:kern w:val="0"/>
                <w:sz w:val="18"/>
                <w:szCs w:val="18"/>
              </w:rPr>
              <w:br w:type="textWrapping"/>
            </w:r>
            <w:r>
              <w:rPr>
                <w:rFonts w:hint="eastAsia" w:ascii="宋体" w:hAnsi="宋体" w:cs="宋体"/>
                <w:kern w:val="0"/>
                <w:sz w:val="18"/>
                <w:szCs w:val="18"/>
              </w:rPr>
              <w:t>4. 网络与连接参数：支持网络连接；支持IEEE 802.11 a/b/g/n/ac；Wi-Fi频率范围为2.4GHz &amp; 5GHz</w:t>
            </w:r>
            <w:r>
              <w:rPr>
                <w:rFonts w:hint="eastAsia" w:ascii="宋体" w:hAnsi="宋体" w:cs="宋体"/>
                <w:kern w:val="0"/>
                <w:sz w:val="18"/>
                <w:szCs w:val="18"/>
              </w:rPr>
              <w:br w:type="textWrapping"/>
            </w:r>
            <w:r>
              <w:rPr>
                <w:rFonts w:hint="eastAsia" w:ascii="宋体" w:hAnsi="宋体" w:cs="宋体"/>
                <w:kern w:val="0"/>
                <w:sz w:val="18"/>
                <w:szCs w:val="18"/>
              </w:rPr>
              <w:t>4. 存储参数：内存（主机）：8G；内置存储容量（主机）：128G；内存（显示屏）：4GB；内置存储容量（显示屏）：64GB</w:t>
            </w:r>
            <w:r>
              <w:rPr>
                <w:rFonts w:hint="eastAsia" w:ascii="宋体" w:hAnsi="宋体" w:cs="宋体"/>
                <w:kern w:val="0"/>
                <w:sz w:val="18"/>
                <w:szCs w:val="18"/>
              </w:rPr>
              <w:br w:type="textWrapping"/>
            </w:r>
            <w:r>
              <w:rPr>
                <w:rFonts w:hint="eastAsia" w:ascii="宋体" w:hAnsi="宋体" w:cs="宋体"/>
                <w:kern w:val="0"/>
                <w:sz w:val="18"/>
                <w:szCs w:val="18"/>
              </w:rPr>
              <w:t>5. 一般规范参数：电压：1个24V；产品重量：≥25KG；供电方式：DC电源供电，24Vdc（标配不同批次适配器6-6.25A）；操作系统（主机）：Windows；操作系统（显示屏）：SUMM OS；工作温度：-10℃~50℃；存储温度：-20℃~70℃；CPU（主机）：八核十六线程以上处理器；CPU（显示屏）：8核1.8G高速处理器；按键：电源、电源键、主机开关机键；打印机：针式/热敏58打印机；刷卡：50卡（100张卡）；身份证识别：身份证阅读器；二维码扫描口：1个；风扇：2个</w:t>
            </w:r>
            <w:r>
              <w:rPr>
                <w:rFonts w:hint="eastAsia" w:ascii="宋体" w:hAnsi="宋体" w:cs="宋体"/>
                <w:kern w:val="0"/>
                <w:sz w:val="18"/>
                <w:szCs w:val="18"/>
              </w:rPr>
              <w:br w:type="textWrapping"/>
            </w:r>
            <w:r>
              <w:rPr>
                <w:rFonts w:hint="eastAsia" w:ascii="宋体" w:hAnsi="宋体" w:cs="宋体"/>
                <w:kern w:val="0"/>
                <w:sz w:val="18"/>
                <w:szCs w:val="18"/>
              </w:rPr>
              <w:t>6. 外设接口参数：≥HDMI：1个；RJ45（网口）：1个；DC（电源）：1个；USB Type A口：4个；（提供设备实物照片）</w:t>
            </w:r>
            <w:r>
              <w:rPr>
                <w:rFonts w:hint="eastAsia" w:ascii="宋体" w:hAnsi="宋体" w:cs="宋体"/>
                <w:kern w:val="0"/>
                <w:sz w:val="18"/>
                <w:szCs w:val="18"/>
              </w:rPr>
              <w:br w:type="textWrapping"/>
            </w:r>
            <w:r>
              <w:rPr>
                <w:rFonts w:hint="eastAsia" w:ascii="宋体" w:hAnsi="宋体" w:cs="宋体"/>
                <w:kern w:val="0"/>
                <w:sz w:val="18"/>
                <w:szCs w:val="18"/>
              </w:rPr>
              <w:t>7. 摄像头参数</w:t>
            </w:r>
            <w:r>
              <w:rPr>
                <w:rFonts w:hint="eastAsia" w:ascii="宋体" w:hAnsi="宋体" w:cs="宋体"/>
                <w:kern w:val="0"/>
                <w:sz w:val="18"/>
                <w:szCs w:val="18"/>
              </w:rPr>
              <w:br w:type="textWrapping"/>
            </w:r>
            <w:r>
              <w:rPr>
                <w:rFonts w:hint="eastAsia" w:ascii="宋体" w:hAnsi="宋体" w:cs="宋体"/>
                <w:kern w:val="0"/>
                <w:sz w:val="18"/>
                <w:szCs w:val="18"/>
              </w:rPr>
              <w:t>1） 3D结构光摄像头：≥800万像素，分辨率为2480×1326</w:t>
            </w:r>
            <w:r>
              <w:rPr>
                <w:rFonts w:hint="eastAsia" w:ascii="宋体" w:hAnsi="宋体" w:cs="宋体"/>
                <w:kern w:val="0"/>
                <w:sz w:val="18"/>
                <w:szCs w:val="18"/>
              </w:rPr>
              <w:br w:type="textWrapping"/>
            </w:r>
            <w:r>
              <w:rPr>
                <w:rFonts w:hint="eastAsia" w:ascii="宋体" w:hAnsi="宋体" w:cs="宋体"/>
                <w:kern w:val="0"/>
                <w:sz w:val="18"/>
                <w:szCs w:val="18"/>
              </w:rPr>
              <w:t>8. 通过API接口与酒店信息管理系统实现数据实时同步、更新交互操作。</w:t>
            </w:r>
            <w:r>
              <w:rPr>
                <w:rFonts w:hint="eastAsia" w:ascii="宋体" w:hAnsi="宋体" w:cs="宋体"/>
                <w:kern w:val="0"/>
                <w:sz w:val="18"/>
                <w:szCs w:val="18"/>
              </w:rPr>
              <w:br w:type="textWrapping"/>
            </w:r>
            <w:r>
              <w:rPr>
                <w:rFonts w:hint="eastAsia" w:ascii="宋体" w:hAnsi="宋体" w:cs="宋体"/>
                <w:kern w:val="0"/>
                <w:sz w:val="18"/>
                <w:szCs w:val="18"/>
              </w:rPr>
              <w:t>9. 外观简洁美观</w:t>
            </w:r>
          </w:p>
        </w:tc>
        <w:tc>
          <w:tcPr>
            <w:tcW w:w="404" w:type="dxa"/>
            <w:tcBorders>
              <w:top w:val="nil"/>
              <w:left w:val="nil"/>
              <w:bottom w:val="single" w:color="auto" w:sz="4" w:space="0"/>
              <w:right w:val="single" w:color="auto" w:sz="4" w:space="0"/>
            </w:tcBorders>
            <w:shd w:val="clear" w:color="000000" w:fill="FFFFFF"/>
            <w:vAlign w:val="center"/>
          </w:tcPr>
          <w:p w14:paraId="5D91626D">
            <w:pPr>
              <w:widowControl/>
              <w:jc w:val="center"/>
              <w:rPr>
                <w:rFonts w:ascii="宋体" w:hAnsi="宋体" w:cs="宋体"/>
                <w:kern w:val="0"/>
                <w:sz w:val="18"/>
                <w:szCs w:val="18"/>
              </w:rPr>
            </w:pPr>
            <w:r>
              <w:rPr>
                <w:rFonts w:hint="eastAsia" w:ascii="宋体" w:hAnsi="宋体" w:cs="宋体"/>
                <w:kern w:val="0"/>
                <w:sz w:val="18"/>
                <w:szCs w:val="18"/>
              </w:rPr>
              <w:t>1</w:t>
            </w:r>
          </w:p>
        </w:tc>
        <w:tc>
          <w:tcPr>
            <w:tcW w:w="504" w:type="dxa"/>
            <w:tcBorders>
              <w:top w:val="nil"/>
              <w:left w:val="nil"/>
              <w:bottom w:val="single" w:color="auto" w:sz="4" w:space="0"/>
              <w:right w:val="single" w:color="auto" w:sz="4" w:space="0"/>
            </w:tcBorders>
            <w:shd w:val="clear" w:color="000000" w:fill="FFFFFF"/>
            <w:vAlign w:val="center"/>
          </w:tcPr>
          <w:p w14:paraId="2D79D1E8">
            <w:pPr>
              <w:widowControl/>
              <w:jc w:val="center"/>
              <w:rPr>
                <w:rFonts w:ascii="宋体" w:hAnsi="宋体" w:cs="宋体"/>
                <w:kern w:val="0"/>
                <w:sz w:val="18"/>
                <w:szCs w:val="18"/>
              </w:rPr>
            </w:pPr>
            <w:r>
              <w:rPr>
                <w:rFonts w:hint="eastAsia" w:ascii="宋体" w:hAnsi="宋体" w:cs="宋体"/>
                <w:kern w:val="0"/>
                <w:sz w:val="18"/>
                <w:szCs w:val="18"/>
              </w:rPr>
              <w:t>台</w:t>
            </w:r>
          </w:p>
        </w:tc>
        <w:tc>
          <w:tcPr>
            <w:tcW w:w="823" w:type="dxa"/>
            <w:tcBorders>
              <w:top w:val="nil"/>
              <w:left w:val="nil"/>
              <w:bottom w:val="single" w:color="auto" w:sz="4" w:space="0"/>
              <w:right w:val="single" w:color="auto" w:sz="4" w:space="0"/>
            </w:tcBorders>
            <w:shd w:val="clear" w:color="000000" w:fill="FFFFFF"/>
            <w:vAlign w:val="center"/>
          </w:tcPr>
          <w:p w14:paraId="357670BF">
            <w:pPr>
              <w:widowControl/>
              <w:jc w:val="left"/>
              <w:rPr>
                <w:rFonts w:ascii="宋体" w:hAnsi="宋体" w:cs="宋体"/>
                <w:kern w:val="0"/>
                <w:sz w:val="18"/>
                <w:szCs w:val="18"/>
              </w:rPr>
            </w:pPr>
            <w:r>
              <w:rPr>
                <w:rFonts w:hint="eastAsia" w:ascii="宋体" w:hAnsi="宋体" w:cs="宋体"/>
                <w:kern w:val="0"/>
                <w:sz w:val="18"/>
                <w:szCs w:val="18"/>
              </w:rPr>
              <w:t xml:space="preserve">35000 </w:t>
            </w:r>
          </w:p>
        </w:tc>
        <w:tc>
          <w:tcPr>
            <w:tcW w:w="865" w:type="dxa"/>
            <w:tcBorders>
              <w:top w:val="nil"/>
              <w:left w:val="nil"/>
              <w:bottom w:val="single" w:color="auto" w:sz="4" w:space="0"/>
              <w:right w:val="single" w:color="auto" w:sz="4" w:space="0"/>
            </w:tcBorders>
            <w:shd w:val="clear" w:color="000000" w:fill="FFFFFF"/>
            <w:vAlign w:val="center"/>
          </w:tcPr>
          <w:p w14:paraId="1BD02375">
            <w:pPr>
              <w:widowControl/>
              <w:jc w:val="left"/>
              <w:rPr>
                <w:rFonts w:ascii="宋体" w:hAnsi="宋体" w:cs="宋体"/>
                <w:kern w:val="0"/>
                <w:sz w:val="18"/>
                <w:szCs w:val="18"/>
              </w:rPr>
            </w:pPr>
            <w:r>
              <w:rPr>
                <w:rFonts w:hint="eastAsia" w:ascii="宋体" w:hAnsi="宋体" w:cs="宋体"/>
                <w:kern w:val="0"/>
                <w:sz w:val="18"/>
                <w:szCs w:val="18"/>
              </w:rPr>
              <w:t xml:space="preserve">35000 </w:t>
            </w:r>
          </w:p>
        </w:tc>
      </w:tr>
      <w:tr w14:paraId="2D1E6564">
        <w:tblPrEx>
          <w:tblCellMar>
            <w:top w:w="0" w:type="dxa"/>
            <w:left w:w="108" w:type="dxa"/>
            <w:bottom w:w="0" w:type="dxa"/>
            <w:right w:w="108" w:type="dxa"/>
          </w:tblCellMar>
        </w:tblPrEx>
        <w:tc>
          <w:tcPr>
            <w:tcW w:w="409" w:type="dxa"/>
            <w:tcBorders>
              <w:top w:val="nil"/>
              <w:left w:val="single" w:color="auto" w:sz="4" w:space="0"/>
              <w:bottom w:val="single" w:color="auto" w:sz="4" w:space="0"/>
              <w:right w:val="single" w:color="auto" w:sz="4" w:space="0"/>
            </w:tcBorders>
            <w:shd w:val="clear" w:color="000000" w:fill="FFFFFF"/>
            <w:noWrap/>
            <w:vAlign w:val="center"/>
          </w:tcPr>
          <w:p w14:paraId="13CCE3D6">
            <w:pPr>
              <w:widowControl/>
              <w:jc w:val="center"/>
              <w:rPr>
                <w:rFonts w:ascii="宋体" w:hAnsi="宋体" w:cs="宋体"/>
                <w:kern w:val="0"/>
                <w:sz w:val="18"/>
                <w:szCs w:val="18"/>
              </w:rPr>
            </w:pPr>
            <w:r>
              <w:rPr>
                <w:rFonts w:hint="eastAsia" w:ascii="宋体" w:hAnsi="宋体" w:cs="宋体"/>
                <w:kern w:val="0"/>
                <w:sz w:val="18"/>
                <w:szCs w:val="18"/>
              </w:rPr>
              <w:t>12</w:t>
            </w:r>
          </w:p>
        </w:tc>
        <w:tc>
          <w:tcPr>
            <w:tcW w:w="878" w:type="dxa"/>
            <w:tcBorders>
              <w:top w:val="nil"/>
              <w:left w:val="nil"/>
              <w:bottom w:val="single" w:color="auto" w:sz="4" w:space="0"/>
              <w:right w:val="single" w:color="auto" w:sz="4" w:space="0"/>
            </w:tcBorders>
            <w:shd w:val="clear" w:color="000000" w:fill="FFFFFF"/>
            <w:vAlign w:val="center"/>
          </w:tcPr>
          <w:p w14:paraId="364D3A1F">
            <w:pPr>
              <w:widowControl/>
              <w:jc w:val="center"/>
              <w:rPr>
                <w:rFonts w:ascii="宋体" w:hAnsi="宋体" w:cs="宋体"/>
                <w:kern w:val="0"/>
                <w:sz w:val="18"/>
                <w:szCs w:val="18"/>
              </w:rPr>
            </w:pPr>
            <w:r>
              <w:rPr>
                <w:rFonts w:hint="eastAsia" w:ascii="宋体" w:hAnsi="宋体" w:cs="宋体"/>
                <w:kern w:val="0"/>
                <w:sz w:val="18"/>
                <w:szCs w:val="18"/>
              </w:rPr>
              <w:t>移动入住设备</w:t>
            </w:r>
          </w:p>
        </w:tc>
        <w:tc>
          <w:tcPr>
            <w:tcW w:w="4717" w:type="dxa"/>
            <w:tcBorders>
              <w:top w:val="nil"/>
              <w:left w:val="nil"/>
              <w:bottom w:val="single" w:color="auto" w:sz="4" w:space="0"/>
              <w:right w:val="single" w:color="auto" w:sz="4" w:space="0"/>
            </w:tcBorders>
            <w:shd w:val="clear" w:color="000000" w:fill="FFFFFF"/>
            <w:vAlign w:val="center"/>
          </w:tcPr>
          <w:p w14:paraId="4BBB85A3">
            <w:pPr>
              <w:widowControl/>
              <w:jc w:val="left"/>
              <w:rPr>
                <w:rFonts w:ascii="宋体" w:hAnsi="宋体" w:cs="宋体"/>
                <w:kern w:val="0"/>
                <w:sz w:val="18"/>
                <w:szCs w:val="18"/>
              </w:rPr>
            </w:pPr>
            <w:r>
              <w:rPr>
                <w:rFonts w:hint="eastAsia" w:ascii="宋体" w:hAnsi="宋体" w:cs="宋体"/>
                <w:kern w:val="0"/>
                <w:sz w:val="18"/>
                <w:szCs w:val="18"/>
              </w:rPr>
              <w:t>1. 外观与物理规格</w:t>
            </w:r>
            <w:r>
              <w:rPr>
                <w:rFonts w:hint="eastAsia" w:ascii="宋体" w:hAnsi="宋体" w:cs="宋体"/>
                <w:kern w:val="0"/>
                <w:sz w:val="18"/>
                <w:szCs w:val="18"/>
              </w:rPr>
              <w:br w:type="textWrapping"/>
            </w:r>
            <w:r>
              <w:rPr>
                <w:rFonts w:hint="eastAsia" w:ascii="宋体" w:hAnsi="宋体" w:cs="宋体"/>
                <w:kern w:val="0"/>
                <w:sz w:val="18"/>
                <w:szCs w:val="18"/>
              </w:rPr>
              <w:t>颜色：黑色；</w:t>
            </w:r>
            <w:r>
              <w:rPr>
                <w:rFonts w:hint="eastAsia" w:ascii="宋体" w:hAnsi="宋体" w:cs="宋体"/>
                <w:kern w:val="0"/>
                <w:sz w:val="18"/>
                <w:szCs w:val="18"/>
              </w:rPr>
              <w:br w:type="textWrapping"/>
            </w:r>
            <w:r>
              <w:rPr>
                <w:rFonts w:hint="eastAsia" w:ascii="宋体" w:hAnsi="宋体" w:cs="宋体"/>
                <w:kern w:val="0"/>
                <w:sz w:val="18"/>
                <w:szCs w:val="18"/>
              </w:rPr>
              <w:t>外形尺寸（L×W×H）：≤ 162.3 mm × 74.9 mm × 18.9 mm；</w:t>
            </w:r>
            <w:r>
              <w:rPr>
                <w:rFonts w:hint="eastAsia" w:ascii="宋体" w:hAnsi="宋体" w:cs="宋体"/>
                <w:kern w:val="0"/>
                <w:sz w:val="18"/>
                <w:szCs w:val="18"/>
              </w:rPr>
              <w:br w:type="textWrapping"/>
            </w:r>
            <w:r>
              <w:rPr>
                <w:rFonts w:hint="eastAsia" w:ascii="宋体" w:hAnsi="宋体" w:cs="宋体"/>
                <w:kern w:val="0"/>
                <w:sz w:val="18"/>
                <w:szCs w:val="18"/>
              </w:rPr>
              <w:t>产品重量：≤ 273 g；</w:t>
            </w:r>
            <w:r>
              <w:rPr>
                <w:rFonts w:hint="eastAsia" w:ascii="宋体" w:hAnsi="宋体" w:cs="宋体"/>
                <w:kern w:val="0"/>
                <w:sz w:val="18"/>
                <w:szCs w:val="18"/>
              </w:rPr>
              <w:br w:type="textWrapping"/>
            </w:r>
            <w:r>
              <w:rPr>
                <w:rFonts w:hint="eastAsia" w:ascii="宋体" w:hAnsi="宋体" w:cs="宋体"/>
                <w:kern w:val="0"/>
                <w:sz w:val="18"/>
                <w:szCs w:val="18"/>
              </w:rPr>
              <w:t>防护等级：IP68（防尘防水，支持短时浸水及粉尘环境）；</w:t>
            </w:r>
            <w:r>
              <w:rPr>
                <w:rFonts w:hint="eastAsia" w:ascii="宋体" w:hAnsi="宋体" w:cs="宋体"/>
                <w:kern w:val="0"/>
                <w:sz w:val="18"/>
                <w:szCs w:val="18"/>
              </w:rPr>
              <w:br w:type="textWrapping"/>
            </w:r>
            <w:r>
              <w:rPr>
                <w:rFonts w:hint="eastAsia" w:ascii="宋体" w:hAnsi="宋体" w:cs="宋体"/>
                <w:kern w:val="0"/>
                <w:sz w:val="18"/>
                <w:szCs w:val="18"/>
              </w:rPr>
              <w:t>跌落性能：支持从1.5米高度自由跌落于硬质地面后仍可正常工作；</w:t>
            </w:r>
            <w:r>
              <w:rPr>
                <w:rFonts w:hint="eastAsia" w:ascii="宋体" w:hAnsi="宋体" w:cs="宋体"/>
                <w:kern w:val="0"/>
                <w:sz w:val="18"/>
                <w:szCs w:val="18"/>
              </w:rPr>
              <w:br w:type="textWrapping"/>
            </w:r>
            <w:r>
              <w:rPr>
                <w:rFonts w:hint="eastAsia" w:ascii="宋体" w:hAnsi="宋体" w:cs="宋体"/>
                <w:kern w:val="0"/>
                <w:sz w:val="18"/>
                <w:szCs w:val="18"/>
              </w:rPr>
              <w:t>按键配置：至少包含电源键、音量+/-键、自定义功能键、扫码专用键；</w:t>
            </w:r>
            <w:r>
              <w:rPr>
                <w:rFonts w:hint="eastAsia" w:ascii="宋体" w:hAnsi="宋体" w:cs="宋体"/>
                <w:kern w:val="0"/>
                <w:sz w:val="18"/>
                <w:szCs w:val="18"/>
              </w:rPr>
              <w:br w:type="textWrapping"/>
            </w:r>
            <w:r>
              <w:rPr>
                <w:rFonts w:hint="eastAsia" w:ascii="宋体" w:hAnsi="宋体" w:cs="宋体"/>
                <w:kern w:val="0"/>
                <w:sz w:val="18"/>
                <w:szCs w:val="18"/>
              </w:rPr>
              <w:t>打印功能：不支持内置打印模块（如需外接打印机，须说明兼容接口）。</w:t>
            </w:r>
            <w:r>
              <w:rPr>
                <w:rFonts w:hint="eastAsia" w:ascii="宋体" w:hAnsi="宋体" w:cs="宋体"/>
                <w:kern w:val="0"/>
                <w:sz w:val="18"/>
                <w:szCs w:val="18"/>
              </w:rPr>
              <w:br w:type="textWrapping"/>
            </w:r>
            <w:r>
              <w:rPr>
                <w:rFonts w:hint="eastAsia" w:ascii="宋体" w:hAnsi="宋体" w:cs="宋体"/>
                <w:kern w:val="0"/>
                <w:sz w:val="18"/>
                <w:szCs w:val="18"/>
              </w:rPr>
              <w:t>2. 显示系统</w:t>
            </w:r>
            <w:r>
              <w:rPr>
                <w:rFonts w:hint="eastAsia" w:ascii="宋体" w:hAnsi="宋体" w:cs="宋体"/>
                <w:kern w:val="0"/>
                <w:sz w:val="18"/>
                <w:szCs w:val="18"/>
              </w:rPr>
              <w:br w:type="textWrapping"/>
            </w:r>
            <w:r>
              <w:rPr>
                <w:rFonts w:hint="eastAsia" w:ascii="宋体" w:hAnsi="宋体" w:cs="宋体"/>
                <w:kern w:val="0"/>
                <w:sz w:val="18"/>
                <w:szCs w:val="18"/>
              </w:rPr>
              <w:t>主屏幕尺寸：5.5 英寸；</w:t>
            </w:r>
            <w:r>
              <w:rPr>
                <w:rFonts w:hint="eastAsia" w:ascii="宋体" w:hAnsi="宋体" w:cs="宋体"/>
                <w:kern w:val="0"/>
                <w:sz w:val="18"/>
                <w:szCs w:val="18"/>
              </w:rPr>
              <w:br w:type="textWrapping"/>
            </w:r>
            <w:r>
              <w:rPr>
                <w:rFonts w:hint="eastAsia" w:ascii="宋体" w:hAnsi="宋体" w:cs="宋体"/>
                <w:kern w:val="0"/>
                <w:sz w:val="18"/>
                <w:szCs w:val="18"/>
              </w:rPr>
              <w:t>分辨率：≥ 1440 × 720 像素；</w:t>
            </w:r>
            <w:r>
              <w:rPr>
                <w:rFonts w:hint="eastAsia" w:ascii="宋体" w:hAnsi="宋体" w:cs="宋体"/>
                <w:kern w:val="0"/>
                <w:sz w:val="18"/>
                <w:szCs w:val="18"/>
              </w:rPr>
              <w:br w:type="textWrapping"/>
            </w:r>
            <w:r>
              <w:rPr>
                <w:rFonts w:hint="eastAsia" w:ascii="宋体" w:hAnsi="宋体" w:cs="宋体"/>
                <w:kern w:val="0"/>
                <w:sz w:val="18"/>
                <w:szCs w:val="18"/>
              </w:rPr>
              <w:t>电子签名支持：必须支持手写签名采集与存储功能（用于业务签收、确认等场景）；</w:t>
            </w:r>
            <w:r>
              <w:rPr>
                <w:rFonts w:hint="eastAsia" w:ascii="宋体" w:hAnsi="宋体" w:cs="宋体"/>
                <w:kern w:val="0"/>
                <w:sz w:val="18"/>
                <w:szCs w:val="18"/>
              </w:rPr>
              <w:br w:type="textWrapping"/>
            </w:r>
            <w:r>
              <w:rPr>
                <w:rFonts w:hint="eastAsia" w:ascii="宋体" w:hAnsi="宋体" w:cs="宋体"/>
                <w:kern w:val="0"/>
                <w:sz w:val="18"/>
                <w:szCs w:val="18"/>
              </w:rPr>
              <w:t>指示灯：配备充电状态指示灯与工作运行指示灯。</w:t>
            </w:r>
            <w:r>
              <w:rPr>
                <w:rFonts w:hint="eastAsia" w:ascii="宋体" w:hAnsi="宋体" w:cs="宋体"/>
                <w:kern w:val="0"/>
                <w:sz w:val="18"/>
                <w:szCs w:val="18"/>
              </w:rPr>
              <w:br w:type="textWrapping"/>
            </w:r>
            <w:r>
              <w:rPr>
                <w:rFonts w:hint="eastAsia" w:ascii="宋体" w:hAnsi="宋体" w:cs="宋体"/>
                <w:kern w:val="0"/>
                <w:sz w:val="18"/>
                <w:szCs w:val="18"/>
              </w:rPr>
              <w:t>3. 网络与通信能力</w:t>
            </w:r>
            <w:r>
              <w:rPr>
                <w:rFonts w:hint="eastAsia" w:ascii="宋体" w:hAnsi="宋体" w:cs="宋体"/>
                <w:kern w:val="0"/>
                <w:sz w:val="18"/>
                <w:szCs w:val="18"/>
              </w:rPr>
              <w:br w:type="textWrapping"/>
            </w:r>
            <w:r>
              <w:rPr>
                <w:rFonts w:hint="eastAsia" w:ascii="宋体" w:hAnsi="宋体" w:cs="宋体"/>
                <w:kern w:val="0"/>
                <w:sz w:val="18"/>
                <w:szCs w:val="18"/>
              </w:rPr>
              <w:t>蓝牙版本：Bluetooth 5.0 或以上；</w:t>
            </w:r>
            <w:r>
              <w:rPr>
                <w:rFonts w:hint="eastAsia" w:ascii="宋体" w:hAnsi="宋体" w:cs="宋体"/>
                <w:kern w:val="0"/>
                <w:sz w:val="18"/>
                <w:szCs w:val="18"/>
              </w:rPr>
              <w:br w:type="textWrapping"/>
            </w:r>
            <w:r>
              <w:rPr>
                <w:rFonts w:hint="eastAsia" w:ascii="宋体" w:hAnsi="宋体" w:cs="宋体"/>
                <w:kern w:val="0"/>
                <w:sz w:val="18"/>
                <w:szCs w:val="18"/>
              </w:rPr>
              <w:t>定位系统：支持 GPS + 北斗 + GLONASS 多模卫星定位；</w:t>
            </w:r>
            <w:r>
              <w:rPr>
                <w:rFonts w:hint="eastAsia" w:ascii="宋体" w:hAnsi="宋体" w:cs="宋体"/>
                <w:kern w:val="0"/>
                <w:sz w:val="18"/>
                <w:szCs w:val="18"/>
              </w:rPr>
              <w:br w:type="textWrapping"/>
            </w:r>
            <w:r>
              <w:rPr>
                <w:rFonts w:hint="eastAsia" w:ascii="宋体" w:hAnsi="宋体" w:cs="宋体"/>
                <w:kern w:val="0"/>
                <w:sz w:val="18"/>
                <w:szCs w:val="18"/>
              </w:rPr>
              <w:t>NFC 功能：支持近场通信（可用于身份识别、支付、门禁等）；</w:t>
            </w:r>
            <w:r>
              <w:rPr>
                <w:rFonts w:hint="eastAsia" w:ascii="宋体" w:hAnsi="宋体" w:cs="宋体"/>
                <w:kern w:val="0"/>
                <w:sz w:val="18"/>
                <w:szCs w:val="18"/>
              </w:rPr>
              <w:br w:type="textWrapping"/>
            </w:r>
            <w:r>
              <w:rPr>
                <w:rFonts w:hint="eastAsia" w:ascii="宋体" w:hAnsi="宋体" w:cs="宋体"/>
                <w:kern w:val="0"/>
                <w:sz w:val="18"/>
                <w:szCs w:val="18"/>
              </w:rPr>
              <w:t>Wi-Fi 工作模式：支持 AP 模式与 STATION 模式双模切换；</w:t>
            </w:r>
            <w:r>
              <w:rPr>
                <w:rFonts w:hint="eastAsia" w:ascii="宋体" w:hAnsi="宋体" w:cs="宋体"/>
                <w:kern w:val="0"/>
                <w:sz w:val="18"/>
                <w:szCs w:val="18"/>
              </w:rPr>
              <w:br w:type="textWrapping"/>
            </w:r>
            <w:r>
              <w:rPr>
                <w:rFonts w:hint="eastAsia" w:ascii="宋体" w:hAnsi="宋体" w:cs="宋体"/>
                <w:kern w:val="0"/>
                <w:sz w:val="18"/>
                <w:szCs w:val="18"/>
              </w:rPr>
              <w:t>Wi-Fi 频段支持：</w:t>
            </w:r>
            <w:r>
              <w:rPr>
                <w:rFonts w:hint="eastAsia" w:ascii="宋体" w:hAnsi="宋体" w:cs="宋体"/>
                <w:kern w:val="0"/>
                <w:sz w:val="18"/>
                <w:szCs w:val="18"/>
              </w:rPr>
              <w:br w:type="textWrapping"/>
            </w:r>
            <w:r>
              <w:rPr>
                <w:rFonts w:hint="eastAsia" w:ascii="宋体" w:hAnsi="宋体" w:cs="宋体"/>
                <w:kern w:val="0"/>
                <w:sz w:val="18"/>
                <w:szCs w:val="18"/>
              </w:rPr>
              <w:t>2.4 GHz：2.412–2.472 GHz；</w:t>
            </w:r>
            <w:r>
              <w:rPr>
                <w:rFonts w:hint="eastAsia" w:ascii="宋体" w:hAnsi="宋体" w:cs="宋体"/>
                <w:kern w:val="0"/>
                <w:sz w:val="18"/>
                <w:szCs w:val="18"/>
              </w:rPr>
              <w:br w:type="textWrapping"/>
            </w:r>
            <w:r>
              <w:rPr>
                <w:rFonts w:hint="eastAsia" w:ascii="宋体" w:hAnsi="宋体" w:cs="宋体"/>
                <w:kern w:val="0"/>
                <w:sz w:val="18"/>
                <w:szCs w:val="18"/>
              </w:rPr>
              <w:t>5 GHz：5.15–5.25 GHz / 5.25–5.35 GHz / 5.725–5.875 GHz / 5.47–5.725 GHz；</w:t>
            </w:r>
            <w:r>
              <w:rPr>
                <w:rFonts w:hint="eastAsia" w:ascii="宋体" w:hAnsi="宋体" w:cs="宋体"/>
                <w:kern w:val="0"/>
                <w:sz w:val="18"/>
                <w:szCs w:val="18"/>
              </w:rPr>
              <w:br w:type="textWrapping"/>
            </w:r>
            <w:r>
              <w:rPr>
                <w:rFonts w:hint="eastAsia" w:ascii="宋体" w:hAnsi="宋体" w:cs="宋体"/>
                <w:kern w:val="0"/>
                <w:sz w:val="18"/>
                <w:szCs w:val="18"/>
              </w:rPr>
              <w:t>SIM卡槽数量：2个 Nano SIM 卡槽（支持双卡双待或数据/语音分离）；</w:t>
            </w:r>
            <w:r>
              <w:rPr>
                <w:rFonts w:hint="eastAsia" w:ascii="宋体" w:hAnsi="宋体" w:cs="宋体"/>
                <w:kern w:val="0"/>
                <w:sz w:val="18"/>
                <w:szCs w:val="18"/>
              </w:rPr>
              <w:br w:type="textWrapping"/>
            </w:r>
            <w:r>
              <w:rPr>
                <w:rFonts w:hint="eastAsia" w:ascii="宋体" w:hAnsi="宋体" w:cs="宋体"/>
                <w:kern w:val="0"/>
                <w:sz w:val="18"/>
                <w:szCs w:val="18"/>
              </w:rPr>
              <w:t>麦克风（MIC）：支持录音及语音输入；</w:t>
            </w:r>
            <w:r>
              <w:rPr>
                <w:rFonts w:hint="eastAsia" w:ascii="宋体" w:hAnsi="宋体" w:cs="宋体"/>
                <w:kern w:val="0"/>
                <w:sz w:val="18"/>
                <w:szCs w:val="18"/>
              </w:rPr>
              <w:br w:type="textWrapping"/>
            </w:r>
            <w:r>
              <w:rPr>
                <w:rFonts w:hint="eastAsia" w:ascii="宋体" w:hAnsi="宋体" w:cs="宋体"/>
                <w:kern w:val="0"/>
                <w:sz w:val="18"/>
                <w:szCs w:val="18"/>
              </w:rPr>
              <w:t>扬声器：支持外放音频输出；</w:t>
            </w:r>
            <w:r>
              <w:rPr>
                <w:rFonts w:hint="eastAsia" w:ascii="宋体" w:hAnsi="宋体" w:cs="宋体"/>
                <w:kern w:val="0"/>
                <w:sz w:val="18"/>
                <w:szCs w:val="18"/>
              </w:rPr>
              <w:br w:type="textWrapping"/>
            </w:r>
            <w:r>
              <w:rPr>
                <w:rFonts w:hint="eastAsia" w:ascii="宋体" w:hAnsi="宋体" w:cs="宋体"/>
                <w:kern w:val="0"/>
                <w:sz w:val="18"/>
                <w:szCs w:val="18"/>
              </w:rPr>
              <w:t>充电接口：Type-C 接口（支持快充协议者优先）；</w:t>
            </w:r>
            <w:r>
              <w:rPr>
                <w:rFonts w:hint="eastAsia" w:ascii="宋体" w:hAnsi="宋体" w:cs="宋体"/>
                <w:kern w:val="0"/>
                <w:sz w:val="18"/>
                <w:szCs w:val="18"/>
              </w:rPr>
              <w:br w:type="textWrapping"/>
            </w:r>
            <w:r>
              <w:rPr>
                <w:rFonts w:hint="eastAsia" w:ascii="宋体" w:hAnsi="宋体" w:cs="宋体"/>
                <w:kern w:val="0"/>
                <w:sz w:val="18"/>
                <w:szCs w:val="18"/>
              </w:rPr>
              <w:t>4.存储与计算性能</w:t>
            </w:r>
            <w:r>
              <w:rPr>
                <w:rFonts w:hint="eastAsia" w:ascii="宋体" w:hAnsi="宋体" w:cs="宋体"/>
                <w:kern w:val="0"/>
                <w:sz w:val="18"/>
                <w:szCs w:val="18"/>
              </w:rPr>
              <w:br w:type="textWrapping"/>
            </w:r>
            <w:r>
              <w:rPr>
                <w:rFonts w:hint="eastAsia" w:ascii="宋体" w:hAnsi="宋体" w:cs="宋体"/>
                <w:kern w:val="0"/>
                <w:sz w:val="18"/>
                <w:szCs w:val="18"/>
              </w:rPr>
              <w:t>操作系统：Android 11.0 或以上版本；</w:t>
            </w:r>
            <w:r>
              <w:rPr>
                <w:rFonts w:hint="eastAsia" w:ascii="宋体" w:hAnsi="宋体" w:cs="宋体"/>
                <w:kern w:val="0"/>
                <w:sz w:val="18"/>
                <w:szCs w:val="18"/>
              </w:rPr>
              <w:br w:type="textWrapping"/>
            </w:r>
            <w:r>
              <w:rPr>
                <w:rFonts w:hint="eastAsia" w:ascii="宋体" w:hAnsi="宋体" w:cs="宋体"/>
                <w:kern w:val="0"/>
                <w:sz w:val="18"/>
                <w:szCs w:val="18"/>
              </w:rPr>
              <w:t>CPU架构：八核处理器，具体为 2×A75 @ 2.0GHz + 6×A55 @ 1.8GHz；</w:t>
            </w:r>
            <w:r>
              <w:rPr>
                <w:rFonts w:hint="eastAsia" w:ascii="宋体" w:hAnsi="宋体" w:cs="宋体"/>
                <w:kern w:val="0"/>
                <w:sz w:val="18"/>
                <w:szCs w:val="18"/>
              </w:rPr>
              <w:br w:type="textWrapping"/>
            </w:r>
            <w:r>
              <w:rPr>
                <w:rFonts w:hint="eastAsia" w:ascii="宋体" w:hAnsi="宋体" w:cs="宋体"/>
                <w:kern w:val="0"/>
                <w:sz w:val="18"/>
                <w:szCs w:val="18"/>
              </w:rPr>
              <w:t>内存（RAM）：≥ 4GB LPDDR4；</w:t>
            </w:r>
            <w:r>
              <w:rPr>
                <w:rFonts w:hint="eastAsia" w:ascii="宋体" w:hAnsi="宋体" w:cs="宋体"/>
                <w:kern w:val="0"/>
                <w:sz w:val="18"/>
                <w:szCs w:val="18"/>
              </w:rPr>
              <w:br w:type="textWrapping"/>
            </w:r>
            <w:r>
              <w:rPr>
                <w:rFonts w:hint="eastAsia" w:ascii="宋体" w:hAnsi="宋体" w:cs="宋体"/>
                <w:kern w:val="0"/>
                <w:sz w:val="18"/>
                <w:szCs w:val="18"/>
              </w:rPr>
              <w:t>内置存储（ROM）：≥ 64GB eMMC/UFS；</w:t>
            </w:r>
            <w:r>
              <w:rPr>
                <w:rFonts w:hint="eastAsia" w:ascii="宋体" w:hAnsi="宋体" w:cs="宋体"/>
                <w:kern w:val="0"/>
                <w:sz w:val="18"/>
                <w:szCs w:val="18"/>
              </w:rPr>
              <w:br w:type="textWrapping"/>
            </w:r>
            <w:r>
              <w:rPr>
                <w:rFonts w:hint="eastAsia" w:ascii="宋体" w:hAnsi="宋体" w:cs="宋体"/>
                <w:kern w:val="0"/>
                <w:sz w:val="18"/>
                <w:szCs w:val="18"/>
              </w:rPr>
              <w:t>电池容量：≥ 5000mAh 锂离子电池；</w:t>
            </w:r>
            <w:r>
              <w:rPr>
                <w:rFonts w:hint="eastAsia" w:ascii="宋体" w:hAnsi="宋体" w:cs="宋体"/>
                <w:kern w:val="0"/>
                <w:sz w:val="18"/>
                <w:szCs w:val="18"/>
              </w:rPr>
              <w:br w:type="textWrapping"/>
            </w:r>
            <w:r>
              <w:rPr>
                <w:rFonts w:hint="eastAsia" w:ascii="宋体" w:hAnsi="宋体" w:cs="宋体"/>
                <w:kern w:val="0"/>
                <w:sz w:val="18"/>
                <w:szCs w:val="18"/>
              </w:rPr>
              <w:t>电池类型：锂离子聚合物电池，支持过充/过放/高温保护；</w:t>
            </w:r>
            <w:r>
              <w:rPr>
                <w:rFonts w:hint="eastAsia" w:ascii="宋体" w:hAnsi="宋体" w:cs="宋体"/>
                <w:kern w:val="0"/>
                <w:sz w:val="18"/>
                <w:szCs w:val="18"/>
              </w:rPr>
              <w:br w:type="textWrapping"/>
            </w:r>
            <w:r>
              <w:rPr>
                <w:rFonts w:hint="eastAsia" w:ascii="宋体" w:hAnsi="宋体" w:cs="宋体"/>
                <w:kern w:val="0"/>
                <w:sz w:val="18"/>
                <w:szCs w:val="18"/>
              </w:rPr>
              <w:t>电池可拆卸性：支持用户自行更换电池（非焊接式设计）；</w:t>
            </w:r>
            <w:r>
              <w:rPr>
                <w:rFonts w:hint="eastAsia" w:ascii="宋体" w:hAnsi="宋体" w:cs="宋体"/>
                <w:kern w:val="0"/>
                <w:sz w:val="18"/>
                <w:szCs w:val="18"/>
              </w:rPr>
              <w:br w:type="textWrapping"/>
            </w:r>
            <w:r>
              <w:rPr>
                <w:rFonts w:hint="eastAsia" w:ascii="宋体" w:hAnsi="宋体" w:cs="宋体"/>
                <w:kern w:val="0"/>
                <w:sz w:val="18"/>
                <w:szCs w:val="18"/>
              </w:rPr>
              <w:t>关机充电时间：&lt; 4 小时（从0%至100%，使用原装充电器）；</w:t>
            </w:r>
            <w:r>
              <w:rPr>
                <w:rFonts w:hint="eastAsia" w:ascii="宋体" w:hAnsi="宋体" w:cs="宋体"/>
                <w:kern w:val="0"/>
                <w:sz w:val="18"/>
                <w:szCs w:val="18"/>
              </w:rPr>
              <w:br w:type="textWrapping"/>
            </w:r>
            <w:r>
              <w:rPr>
                <w:rFonts w:hint="eastAsia" w:ascii="宋体" w:hAnsi="宋体" w:cs="宋体"/>
                <w:kern w:val="0"/>
                <w:sz w:val="18"/>
                <w:szCs w:val="18"/>
              </w:rPr>
              <w:t>5. 环境与可靠性</w:t>
            </w:r>
            <w:r>
              <w:rPr>
                <w:rFonts w:hint="eastAsia" w:ascii="宋体" w:hAnsi="宋体" w:cs="宋体"/>
                <w:kern w:val="0"/>
                <w:sz w:val="18"/>
                <w:szCs w:val="18"/>
              </w:rPr>
              <w:br w:type="textWrapping"/>
            </w:r>
            <w:r>
              <w:rPr>
                <w:rFonts w:hint="eastAsia" w:ascii="宋体" w:hAnsi="宋体" w:cs="宋体"/>
                <w:kern w:val="0"/>
                <w:sz w:val="18"/>
                <w:szCs w:val="18"/>
              </w:rPr>
              <w:t>工作温度范围：-20°C ~ +55°C；</w:t>
            </w:r>
            <w:r>
              <w:rPr>
                <w:rFonts w:hint="eastAsia" w:ascii="宋体" w:hAnsi="宋体" w:cs="宋体"/>
                <w:kern w:val="0"/>
                <w:sz w:val="18"/>
                <w:szCs w:val="18"/>
              </w:rPr>
              <w:br w:type="textWrapping"/>
            </w:r>
            <w:r>
              <w:rPr>
                <w:rFonts w:hint="eastAsia" w:ascii="宋体" w:hAnsi="宋体" w:cs="宋体"/>
                <w:kern w:val="0"/>
                <w:sz w:val="18"/>
                <w:szCs w:val="18"/>
              </w:rPr>
              <w:t>工作湿度范围：&lt; 95% RH（无冷凝）；</w:t>
            </w:r>
            <w:r>
              <w:rPr>
                <w:rFonts w:hint="eastAsia" w:ascii="宋体" w:hAnsi="宋体" w:cs="宋体"/>
                <w:kern w:val="0"/>
                <w:sz w:val="18"/>
                <w:szCs w:val="18"/>
              </w:rPr>
              <w:br w:type="textWrapping"/>
            </w:r>
            <w:r>
              <w:rPr>
                <w:rFonts w:hint="eastAsia" w:ascii="宋体" w:hAnsi="宋体" w:cs="宋体"/>
                <w:kern w:val="0"/>
                <w:sz w:val="18"/>
                <w:szCs w:val="18"/>
              </w:rPr>
              <w:t>震动适应性：支持在运输或移动作业中承受常规振动而不影响功能；</w:t>
            </w:r>
            <w:r>
              <w:rPr>
                <w:rFonts w:hint="eastAsia" w:ascii="宋体" w:hAnsi="宋体" w:cs="宋体"/>
                <w:kern w:val="0"/>
                <w:sz w:val="18"/>
                <w:szCs w:val="18"/>
              </w:rPr>
              <w:br w:type="textWrapping"/>
            </w:r>
            <w:r>
              <w:rPr>
                <w:rFonts w:hint="eastAsia" w:ascii="宋体" w:hAnsi="宋体" w:cs="宋体"/>
                <w:kern w:val="0"/>
                <w:sz w:val="18"/>
                <w:szCs w:val="18"/>
              </w:rPr>
              <w:t>6.影像系统</w:t>
            </w:r>
            <w:r>
              <w:rPr>
                <w:rFonts w:hint="eastAsia" w:ascii="宋体" w:hAnsi="宋体" w:cs="宋体"/>
                <w:kern w:val="0"/>
                <w:sz w:val="18"/>
                <w:szCs w:val="18"/>
              </w:rPr>
              <w:br w:type="textWrapping"/>
            </w:r>
            <w:r>
              <w:rPr>
                <w:rFonts w:hint="eastAsia" w:ascii="宋体" w:hAnsi="宋体" w:cs="宋体"/>
                <w:kern w:val="0"/>
                <w:sz w:val="18"/>
                <w:szCs w:val="18"/>
              </w:rPr>
              <w:t>摄像头配置：</w:t>
            </w:r>
            <w:r>
              <w:rPr>
                <w:rFonts w:hint="eastAsia" w:ascii="宋体" w:hAnsi="宋体" w:cs="宋体"/>
                <w:kern w:val="0"/>
                <w:sz w:val="18"/>
                <w:szCs w:val="18"/>
              </w:rPr>
              <w:br w:type="textWrapping"/>
            </w:r>
            <w:r>
              <w:rPr>
                <w:rFonts w:hint="eastAsia" w:ascii="宋体" w:hAnsi="宋体" w:cs="宋体"/>
                <w:kern w:val="0"/>
                <w:sz w:val="18"/>
                <w:szCs w:val="18"/>
              </w:rPr>
              <w:t>后置主摄：≥ 1300万像素，自动对焦；</w:t>
            </w:r>
            <w:r>
              <w:rPr>
                <w:rFonts w:hint="eastAsia" w:ascii="宋体" w:hAnsi="宋体" w:cs="宋体"/>
                <w:kern w:val="0"/>
                <w:sz w:val="18"/>
                <w:szCs w:val="18"/>
              </w:rPr>
              <w:br w:type="textWrapping"/>
            </w:r>
            <w:r>
              <w:rPr>
                <w:rFonts w:hint="eastAsia" w:ascii="宋体" w:hAnsi="宋体" w:cs="宋体"/>
                <w:kern w:val="0"/>
                <w:sz w:val="18"/>
                <w:szCs w:val="18"/>
              </w:rPr>
              <w:t>前置摄像头：≥ 500万像素，定焦；</w:t>
            </w:r>
            <w:r>
              <w:rPr>
                <w:rFonts w:hint="eastAsia" w:ascii="宋体" w:hAnsi="宋体" w:cs="宋体"/>
                <w:kern w:val="0"/>
                <w:sz w:val="18"/>
                <w:szCs w:val="18"/>
              </w:rPr>
              <w:br w:type="textWrapping"/>
            </w:r>
            <w:r>
              <w:rPr>
                <w:rFonts w:hint="eastAsia" w:ascii="宋体" w:hAnsi="宋体" w:cs="宋体"/>
                <w:kern w:val="0"/>
                <w:sz w:val="18"/>
                <w:szCs w:val="18"/>
              </w:rPr>
              <w:t>图片分辨率支持：2M / 5M / 8M / 13M 可选；</w:t>
            </w:r>
            <w:r>
              <w:rPr>
                <w:rFonts w:hint="eastAsia" w:ascii="宋体" w:hAnsi="宋体" w:cs="宋体"/>
                <w:kern w:val="0"/>
                <w:sz w:val="18"/>
                <w:szCs w:val="18"/>
              </w:rPr>
              <w:br w:type="textWrapping"/>
            </w:r>
            <w:r>
              <w:rPr>
                <w:rFonts w:hint="eastAsia" w:ascii="宋体" w:hAnsi="宋体" w:cs="宋体"/>
                <w:kern w:val="0"/>
                <w:sz w:val="18"/>
                <w:szCs w:val="18"/>
              </w:rPr>
              <w:t>图片格式：JPEG 格式输出；</w:t>
            </w:r>
            <w:r>
              <w:rPr>
                <w:rFonts w:hint="eastAsia" w:ascii="宋体" w:hAnsi="宋体" w:cs="宋体"/>
                <w:kern w:val="0"/>
                <w:sz w:val="18"/>
                <w:szCs w:val="18"/>
              </w:rPr>
              <w:br w:type="textWrapping"/>
            </w:r>
            <w:r>
              <w:rPr>
                <w:rFonts w:hint="eastAsia" w:ascii="宋体" w:hAnsi="宋体" w:cs="宋体"/>
                <w:kern w:val="0"/>
                <w:sz w:val="18"/>
                <w:szCs w:val="18"/>
              </w:rPr>
              <w:t>聚焦模式：</w:t>
            </w:r>
            <w:r>
              <w:rPr>
                <w:rFonts w:hint="eastAsia" w:ascii="宋体" w:hAnsi="宋体" w:cs="宋体"/>
                <w:kern w:val="0"/>
                <w:sz w:val="18"/>
                <w:szCs w:val="18"/>
              </w:rPr>
              <w:br w:type="textWrapping"/>
            </w:r>
            <w:r>
              <w:rPr>
                <w:rFonts w:hint="eastAsia" w:ascii="宋体" w:hAnsi="宋体" w:cs="宋体"/>
                <w:kern w:val="0"/>
                <w:sz w:val="18"/>
                <w:szCs w:val="18"/>
              </w:rPr>
              <w:t>前置：固定焦距；</w:t>
            </w:r>
            <w:r>
              <w:rPr>
                <w:rFonts w:hint="eastAsia" w:ascii="宋体" w:hAnsi="宋体" w:cs="宋体"/>
                <w:kern w:val="0"/>
                <w:sz w:val="18"/>
                <w:szCs w:val="18"/>
              </w:rPr>
              <w:br w:type="textWrapping"/>
            </w:r>
            <w:r>
              <w:rPr>
                <w:rFonts w:hint="eastAsia" w:ascii="宋体" w:hAnsi="宋体" w:cs="宋体"/>
                <w:kern w:val="0"/>
                <w:sz w:val="18"/>
                <w:szCs w:val="18"/>
              </w:rPr>
              <w:t>后置：自动对焦（AF）；</w:t>
            </w:r>
            <w:r>
              <w:rPr>
                <w:rFonts w:hint="eastAsia" w:ascii="宋体" w:hAnsi="宋体" w:cs="宋体"/>
                <w:kern w:val="0"/>
                <w:sz w:val="18"/>
                <w:szCs w:val="18"/>
              </w:rPr>
              <w:br w:type="textWrapping"/>
            </w:r>
            <w:r>
              <w:rPr>
                <w:rFonts w:hint="eastAsia" w:ascii="宋体" w:hAnsi="宋体" w:cs="宋体"/>
                <w:kern w:val="0"/>
                <w:sz w:val="18"/>
                <w:szCs w:val="18"/>
              </w:rPr>
              <w:t xml:space="preserve"> 7. 通过API接口与本项目采购的酒店信息管理系统实现数据实时同步、交互和更新操作。</w:t>
            </w:r>
          </w:p>
        </w:tc>
        <w:tc>
          <w:tcPr>
            <w:tcW w:w="404" w:type="dxa"/>
            <w:tcBorders>
              <w:top w:val="nil"/>
              <w:left w:val="nil"/>
              <w:bottom w:val="single" w:color="auto" w:sz="4" w:space="0"/>
              <w:right w:val="single" w:color="auto" w:sz="4" w:space="0"/>
            </w:tcBorders>
            <w:shd w:val="clear" w:color="000000" w:fill="FFFFFF"/>
            <w:vAlign w:val="center"/>
          </w:tcPr>
          <w:p w14:paraId="740297E7">
            <w:pPr>
              <w:widowControl/>
              <w:jc w:val="center"/>
              <w:rPr>
                <w:rFonts w:ascii="宋体" w:hAnsi="宋体" w:cs="宋体"/>
                <w:kern w:val="0"/>
                <w:sz w:val="18"/>
                <w:szCs w:val="18"/>
              </w:rPr>
            </w:pPr>
            <w:r>
              <w:rPr>
                <w:rFonts w:hint="eastAsia" w:ascii="宋体" w:hAnsi="宋体" w:cs="宋体"/>
                <w:kern w:val="0"/>
                <w:sz w:val="18"/>
                <w:szCs w:val="18"/>
              </w:rPr>
              <w:t>1</w:t>
            </w:r>
          </w:p>
        </w:tc>
        <w:tc>
          <w:tcPr>
            <w:tcW w:w="504" w:type="dxa"/>
            <w:tcBorders>
              <w:top w:val="nil"/>
              <w:left w:val="nil"/>
              <w:bottom w:val="single" w:color="auto" w:sz="4" w:space="0"/>
              <w:right w:val="single" w:color="auto" w:sz="4" w:space="0"/>
            </w:tcBorders>
            <w:shd w:val="clear" w:color="000000" w:fill="FFFFFF"/>
            <w:vAlign w:val="center"/>
          </w:tcPr>
          <w:p w14:paraId="228A6305">
            <w:pPr>
              <w:widowControl/>
              <w:jc w:val="center"/>
              <w:rPr>
                <w:rFonts w:ascii="宋体" w:hAnsi="宋体" w:cs="宋体"/>
                <w:kern w:val="0"/>
                <w:sz w:val="18"/>
                <w:szCs w:val="18"/>
              </w:rPr>
            </w:pPr>
            <w:r>
              <w:rPr>
                <w:rFonts w:hint="eastAsia" w:ascii="宋体" w:hAnsi="宋体" w:cs="宋体"/>
                <w:kern w:val="0"/>
                <w:sz w:val="18"/>
                <w:szCs w:val="18"/>
              </w:rPr>
              <w:t>台</w:t>
            </w:r>
          </w:p>
        </w:tc>
        <w:tc>
          <w:tcPr>
            <w:tcW w:w="823" w:type="dxa"/>
            <w:tcBorders>
              <w:top w:val="nil"/>
              <w:left w:val="nil"/>
              <w:bottom w:val="single" w:color="auto" w:sz="4" w:space="0"/>
              <w:right w:val="single" w:color="auto" w:sz="4" w:space="0"/>
            </w:tcBorders>
            <w:shd w:val="clear" w:color="000000" w:fill="FFFFFF"/>
            <w:vAlign w:val="center"/>
          </w:tcPr>
          <w:p w14:paraId="32057216">
            <w:pPr>
              <w:widowControl/>
              <w:jc w:val="left"/>
              <w:rPr>
                <w:rFonts w:ascii="宋体" w:hAnsi="宋体" w:cs="宋体"/>
                <w:kern w:val="0"/>
                <w:sz w:val="18"/>
                <w:szCs w:val="18"/>
              </w:rPr>
            </w:pPr>
            <w:r>
              <w:rPr>
                <w:rFonts w:hint="eastAsia" w:ascii="宋体" w:hAnsi="宋体" w:cs="宋体"/>
                <w:kern w:val="0"/>
                <w:sz w:val="18"/>
                <w:szCs w:val="18"/>
              </w:rPr>
              <w:t xml:space="preserve">9500 </w:t>
            </w:r>
          </w:p>
        </w:tc>
        <w:tc>
          <w:tcPr>
            <w:tcW w:w="865" w:type="dxa"/>
            <w:tcBorders>
              <w:top w:val="nil"/>
              <w:left w:val="nil"/>
              <w:bottom w:val="single" w:color="auto" w:sz="4" w:space="0"/>
              <w:right w:val="single" w:color="auto" w:sz="4" w:space="0"/>
            </w:tcBorders>
            <w:shd w:val="clear" w:color="000000" w:fill="FFFFFF"/>
            <w:vAlign w:val="center"/>
          </w:tcPr>
          <w:p w14:paraId="15F68379">
            <w:pPr>
              <w:widowControl/>
              <w:jc w:val="left"/>
              <w:rPr>
                <w:rFonts w:ascii="宋体" w:hAnsi="宋体" w:cs="宋体"/>
                <w:kern w:val="0"/>
                <w:sz w:val="18"/>
                <w:szCs w:val="18"/>
              </w:rPr>
            </w:pPr>
            <w:r>
              <w:rPr>
                <w:rFonts w:hint="eastAsia" w:ascii="宋体" w:hAnsi="宋体" w:cs="宋体"/>
                <w:kern w:val="0"/>
                <w:sz w:val="18"/>
                <w:szCs w:val="18"/>
              </w:rPr>
              <w:t xml:space="preserve">9500 </w:t>
            </w:r>
          </w:p>
        </w:tc>
      </w:tr>
      <w:tr w14:paraId="0C4DED6A">
        <w:tblPrEx>
          <w:tblCellMar>
            <w:top w:w="0" w:type="dxa"/>
            <w:left w:w="108" w:type="dxa"/>
            <w:bottom w:w="0" w:type="dxa"/>
            <w:right w:w="108" w:type="dxa"/>
          </w:tblCellMar>
        </w:tblPrEx>
        <w:trPr>
          <w:trHeight w:val="759" w:hRule="atLeast"/>
        </w:trPr>
        <w:tc>
          <w:tcPr>
            <w:tcW w:w="409" w:type="dxa"/>
            <w:tcBorders>
              <w:top w:val="nil"/>
              <w:left w:val="single" w:color="auto" w:sz="4" w:space="0"/>
              <w:bottom w:val="single" w:color="auto" w:sz="4" w:space="0"/>
              <w:right w:val="single" w:color="auto" w:sz="4" w:space="0"/>
            </w:tcBorders>
            <w:shd w:val="clear" w:color="000000" w:fill="FFFFFF"/>
            <w:noWrap/>
            <w:vAlign w:val="center"/>
          </w:tcPr>
          <w:p w14:paraId="02247C28">
            <w:pPr>
              <w:widowControl/>
              <w:jc w:val="center"/>
              <w:rPr>
                <w:rFonts w:ascii="宋体" w:hAnsi="宋体" w:cs="宋体"/>
                <w:kern w:val="0"/>
                <w:sz w:val="18"/>
                <w:szCs w:val="18"/>
              </w:rPr>
            </w:pPr>
            <w:r>
              <w:rPr>
                <w:rFonts w:hint="eastAsia" w:ascii="宋体" w:hAnsi="宋体" w:cs="宋体"/>
                <w:kern w:val="0"/>
                <w:sz w:val="18"/>
                <w:szCs w:val="18"/>
              </w:rPr>
              <w:t>13</w:t>
            </w:r>
          </w:p>
        </w:tc>
        <w:tc>
          <w:tcPr>
            <w:tcW w:w="878" w:type="dxa"/>
            <w:tcBorders>
              <w:top w:val="nil"/>
              <w:left w:val="nil"/>
              <w:bottom w:val="single" w:color="auto" w:sz="4" w:space="0"/>
              <w:right w:val="single" w:color="auto" w:sz="4" w:space="0"/>
            </w:tcBorders>
            <w:shd w:val="clear" w:color="000000" w:fill="FFFFFF"/>
            <w:vAlign w:val="center"/>
          </w:tcPr>
          <w:p w14:paraId="4CBBC14E">
            <w:pPr>
              <w:widowControl/>
              <w:jc w:val="center"/>
              <w:rPr>
                <w:rFonts w:ascii="宋体" w:hAnsi="宋体" w:cs="宋体"/>
                <w:kern w:val="0"/>
                <w:sz w:val="18"/>
                <w:szCs w:val="18"/>
              </w:rPr>
            </w:pPr>
            <w:r>
              <w:rPr>
                <w:rFonts w:hint="eastAsia" w:ascii="宋体" w:hAnsi="宋体" w:cs="宋体"/>
                <w:kern w:val="0"/>
                <w:sz w:val="18"/>
                <w:szCs w:val="18"/>
              </w:rPr>
              <w:t>实训终端</w:t>
            </w:r>
          </w:p>
        </w:tc>
        <w:tc>
          <w:tcPr>
            <w:tcW w:w="4717" w:type="dxa"/>
            <w:tcBorders>
              <w:top w:val="nil"/>
              <w:left w:val="nil"/>
              <w:bottom w:val="single" w:color="auto" w:sz="4" w:space="0"/>
              <w:right w:val="single" w:color="auto" w:sz="4" w:space="0"/>
            </w:tcBorders>
            <w:shd w:val="clear" w:color="000000" w:fill="FFFFFF"/>
            <w:vAlign w:val="center"/>
          </w:tcPr>
          <w:p w14:paraId="59F39EB6">
            <w:pPr>
              <w:widowControl/>
              <w:jc w:val="left"/>
              <w:rPr>
                <w:rFonts w:ascii="宋体" w:hAnsi="宋体" w:cs="宋体"/>
                <w:kern w:val="0"/>
                <w:sz w:val="18"/>
                <w:szCs w:val="18"/>
              </w:rPr>
            </w:pPr>
            <w:r>
              <w:rPr>
                <w:rFonts w:hint="eastAsia" w:ascii="宋体" w:hAnsi="宋体" w:cs="宋体"/>
                <w:kern w:val="0"/>
                <w:sz w:val="18"/>
                <w:szCs w:val="18"/>
              </w:rPr>
              <w:t>前厅接待场景应用，处理器八核十二线程，最高睿频4.4GHz/≥16G DDR5/≥1T SSD/无光驱/集成显卡/ USB键鼠/≥23.8寸显示屏</w:t>
            </w:r>
          </w:p>
        </w:tc>
        <w:tc>
          <w:tcPr>
            <w:tcW w:w="404" w:type="dxa"/>
            <w:tcBorders>
              <w:top w:val="nil"/>
              <w:left w:val="nil"/>
              <w:bottom w:val="single" w:color="auto" w:sz="4" w:space="0"/>
              <w:right w:val="single" w:color="auto" w:sz="4" w:space="0"/>
            </w:tcBorders>
            <w:shd w:val="clear" w:color="000000" w:fill="FFFFFF"/>
            <w:vAlign w:val="center"/>
          </w:tcPr>
          <w:p w14:paraId="721C80A2">
            <w:pPr>
              <w:widowControl/>
              <w:jc w:val="center"/>
              <w:rPr>
                <w:rFonts w:ascii="宋体" w:hAnsi="宋体" w:cs="宋体"/>
                <w:kern w:val="0"/>
                <w:sz w:val="18"/>
                <w:szCs w:val="18"/>
              </w:rPr>
            </w:pPr>
            <w:r>
              <w:rPr>
                <w:rFonts w:hint="eastAsia" w:ascii="宋体" w:hAnsi="宋体" w:cs="宋体"/>
                <w:kern w:val="0"/>
                <w:sz w:val="18"/>
                <w:szCs w:val="18"/>
              </w:rPr>
              <w:t>7</w:t>
            </w:r>
          </w:p>
        </w:tc>
        <w:tc>
          <w:tcPr>
            <w:tcW w:w="504" w:type="dxa"/>
            <w:tcBorders>
              <w:top w:val="nil"/>
              <w:left w:val="nil"/>
              <w:bottom w:val="single" w:color="auto" w:sz="4" w:space="0"/>
              <w:right w:val="single" w:color="auto" w:sz="4" w:space="0"/>
            </w:tcBorders>
            <w:shd w:val="clear" w:color="000000" w:fill="FFFFFF"/>
            <w:vAlign w:val="center"/>
          </w:tcPr>
          <w:p w14:paraId="4A7FC2DC">
            <w:pPr>
              <w:widowControl/>
              <w:jc w:val="center"/>
              <w:rPr>
                <w:rFonts w:ascii="宋体" w:hAnsi="宋体" w:cs="宋体"/>
                <w:kern w:val="0"/>
                <w:sz w:val="18"/>
                <w:szCs w:val="18"/>
              </w:rPr>
            </w:pPr>
            <w:r>
              <w:rPr>
                <w:rFonts w:hint="eastAsia" w:ascii="宋体" w:hAnsi="宋体" w:cs="宋体"/>
                <w:kern w:val="0"/>
                <w:sz w:val="18"/>
                <w:szCs w:val="18"/>
              </w:rPr>
              <w:t>台</w:t>
            </w:r>
          </w:p>
        </w:tc>
        <w:tc>
          <w:tcPr>
            <w:tcW w:w="823" w:type="dxa"/>
            <w:tcBorders>
              <w:top w:val="nil"/>
              <w:left w:val="nil"/>
              <w:bottom w:val="single" w:color="auto" w:sz="4" w:space="0"/>
              <w:right w:val="single" w:color="auto" w:sz="4" w:space="0"/>
            </w:tcBorders>
            <w:shd w:val="clear" w:color="000000" w:fill="FFFFFF"/>
            <w:vAlign w:val="center"/>
          </w:tcPr>
          <w:p w14:paraId="22633D14">
            <w:pPr>
              <w:widowControl/>
              <w:jc w:val="left"/>
              <w:rPr>
                <w:rFonts w:ascii="宋体" w:hAnsi="宋体" w:cs="宋体"/>
                <w:kern w:val="0"/>
                <w:sz w:val="18"/>
                <w:szCs w:val="18"/>
              </w:rPr>
            </w:pPr>
            <w:r>
              <w:rPr>
                <w:rFonts w:hint="eastAsia" w:ascii="宋体" w:hAnsi="宋体" w:cs="宋体"/>
                <w:kern w:val="0"/>
                <w:sz w:val="18"/>
                <w:szCs w:val="18"/>
              </w:rPr>
              <w:t xml:space="preserve">5800 </w:t>
            </w:r>
          </w:p>
        </w:tc>
        <w:tc>
          <w:tcPr>
            <w:tcW w:w="865" w:type="dxa"/>
            <w:tcBorders>
              <w:top w:val="nil"/>
              <w:left w:val="nil"/>
              <w:bottom w:val="single" w:color="auto" w:sz="4" w:space="0"/>
              <w:right w:val="single" w:color="auto" w:sz="4" w:space="0"/>
            </w:tcBorders>
            <w:shd w:val="clear" w:color="000000" w:fill="FFFFFF"/>
            <w:vAlign w:val="center"/>
          </w:tcPr>
          <w:p w14:paraId="542AE2DC">
            <w:pPr>
              <w:widowControl/>
              <w:jc w:val="left"/>
              <w:rPr>
                <w:rFonts w:ascii="宋体" w:hAnsi="宋体" w:cs="宋体"/>
                <w:kern w:val="0"/>
                <w:sz w:val="18"/>
                <w:szCs w:val="18"/>
              </w:rPr>
            </w:pPr>
            <w:r>
              <w:rPr>
                <w:rFonts w:hint="eastAsia" w:ascii="宋体" w:hAnsi="宋体" w:cs="宋体"/>
                <w:kern w:val="0"/>
                <w:sz w:val="18"/>
                <w:szCs w:val="18"/>
              </w:rPr>
              <w:t xml:space="preserve">40600 </w:t>
            </w:r>
          </w:p>
        </w:tc>
      </w:tr>
      <w:tr w14:paraId="15C2317D">
        <w:tblPrEx>
          <w:tblCellMar>
            <w:top w:w="0" w:type="dxa"/>
            <w:left w:w="108" w:type="dxa"/>
            <w:bottom w:w="0" w:type="dxa"/>
            <w:right w:w="108" w:type="dxa"/>
          </w:tblCellMar>
        </w:tblPrEx>
        <w:trPr>
          <w:trHeight w:val="3000" w:hRule="atLeast"/>
        </w:trPr>
        <w:tc>
          <w:tcPr>
            <w:tcW w:w="409" w:type="dxa"/>
            <w:tcBorders>
              <w:top w:val="nil"/>
              <w:left w:val="single" w:color="auto" w:sz="4" w:space="0"/>
              <w:bottom w:val="single" w:color="auto" w:sz="4" w:space="0"/>
              <w:right w:val="single" w:color="auto" w:sz="4" w:space="0"/>
            </w:tcBorders>
            <w:shd w:val="clear" w:color="000000" w:fill="FFFFFF"/>
            <w:noWrap/>
            <w:vAlign w:val="center"/>
          </w:tcPr>
          <w:p w14:paraId="2499A6AB">
            <w:pPr>
              <w:widowControl/>
              <w:jc w:val="center"/>
              <w:rPr>
                <w:rFonts w:ascii="宋体" w:hAnsi="宋体" w:cs="宋体"/>
                <w:kern w:val="0"/>
                <w:sz w:val="18"/>
                <w:szCs w:val="18"/>
              </w:rPr>
            </w:pPr>
            <w:r>
              <w:rPr>
                <w:rFonts w:hint="eastAsia" w:ascii="宋体" w:hAnsi="宋体" w:cs="宋体"/>
                <w:kern w:val="0"/>
                <w:sz w:val="18"/>
                <w:szCs w:val="18"/>
              </w:rPr>
              <w:t>14</w:t>
            </w:r>
          </w:p>
        </w:tc>
        <w:tc>
          <w:tcPr>
            <w:tcW w:w="878" w:type="dxa"/>
            <w:tcBorders>
              <w:top w:val="nil"/>
              <w:left w:val="nil"/>
              <w:bottom w:val="single" w:color="auto" w:sz="4" w:space="0"/>
              <w:right w:val="single" w:color="auto" w:sz="4" w:space="0"/>
            </w:tcBorders>
            <w:shd w:val="clear" w:color="000000" w:fill="FFFFFF"/>
            <w:vAlign w:val="center"/>
          </w:tcPr>
          <w:p w14:paraId="359BB993">
            <w:pPr>
              <w:widowControl/>
              <w:jc w:val="center"/>
              <w:rPr>
                <w:rFonts w:ascii="宋体" w:hAnsi="宋体" w:cs="宋体"/>
                <w:kern w:val="0"/>
                <w:sz w:val="18"/>
                <w:szCs w:val="18"/>
              </w:rPr>
            </w:pPr>
            <w:r>
              <w:rPr>
                <w:rFonts w:hint="eastAsia" w:ascii="宋体" w:hAnsi="宋体" w:cs="宋体"/>
                <w:kern w:val="0"/>
                <w:sz w:val="18"/>
                <w:szCs w:val="18"/>
              </w:rPr>
              <w:t>前厅工作区</w:t>
            </w:r>
          </w:p>
        </w:tc>
        <w:tc>
          <w:tcPr>
            <w:tcW w:w="4717" w:type="dxa"/>
            <w:tcBorders>
              <w:top w:val="nil"/>
              <w:left w:val="nil"/>
              <w:bottom w:val="single" w:color="auto" w:sz="4" w:space="0"/>
              <w:right w:val="single" w:color="auto" w:sz="4" w:space="0"/>
            </w:tcBorders>
            <w:shd w:val="clear" w:color="000000" w:fill="FFFFFF"/>
            <w:vAlign w:val="center"/>
          </w:tcPr>
          <w:p w14:paraId="322B12DF">
            <w:pPr>
              <w:widowControl/>
              <w:jc w:val="left"/>
              <w:rPr>
                <w:rFonts w:ascii="宋体" w:hAnsi="宋体" w:cs="宋体"/>
                <w:kern w:val="0"/>
                <w:sz w:val="18"/>
                <w:szCs w:val="18"/>
              </w:rPr>
            </w:pPr>
            <w:r>
              <w:rPr>
                <w:rFonts w:hint="eastAsia" w:ascii="宋体" w:hAnsi="宋体" w:cs="宋体"/>
                <w:kern w:val="0"/>
                <w:sz w:val="18"/>
                <w:szCs w:val="18"/>
              </w:rPr>
              <w:t>规格：需要定制</w:t>
            </w:r>
            <w:r>
              <w:rPr>
                <w:rFonts w:hint="eastAsia" w:ascii="宋体" w:hAnsi="宋体" w:cs="宋体"/>
                <w:kern w:val="0"/>
                <w:sz w:val="18"/>
                <w:szCs w:val="18"/>
              </w:rPr>
              <w:br w:type="textWrapping"/>
            </w:r>
            <w:r>
              <w:rPr>
                <w:rFonts w:hint="eastAsia" w:ascii="宋体" w:hAnsi="宋体" w:cs="宋体"/>
                <w:kern w:val="0"/>
                <w:sz w:val="18"/>
                <w:szCs w:val="18"/>
              </w:rPr>
              <w:t>颜色：多色可选，加印LOGO</w:t>
            </w:r>
            <w:r>
              <w:rPr>
                <w:rFonts w:hint="eastAsia" w:ascii="宋体" w:hAnsi="宋体" w:cs="宋体"/>
                <w:kern w:val="0"/>
                <w:sz w:val="18"/>
                <w:szCs w:val="18"/>
              </w:rPr>
              <w:br w:type="textWrapping"/>
            </w:r>
            <w:r>
              <w:rPr>
                <w:rFonts w:hint="eastAsia" w:ascii="宋体" w:hAnsi="宋体" w:cs="宋体"/>
                <w:kern w:val="0"/>
                <w:sz w:val="18"/>
                <w:szCs w:val="18"/>
              </w:rPr>
              <w:t>风格：简约现代</w:t>
            </w:r>
            <w:r>
              <w:rPr>
                <w:rFonts w:hint="eastAsia" w:ascii="宋体" w:hAnsi="宋体" w:cs="宋体"/>
                <w:kern w:val="0"/>
                <w:sz w:val="18"/>
                <w:szCs w:val="18"/>
              </w:rPr>
              <w:br w:type="textWrapping"/>
            </w:r>
            <w:r>
              <w:rPr>
                <w:rFonts w:hint="eastAsia" w:ascii="宋体" w:hAnsi="宋体" w:cs="宋体"/>
                <w:kern w:val="0"/>
                <w:sz w:val="18"/>
                <w:szCs w:val="18"/>
              </w:rPr>
              <w:t>环保等级：E1级</w:t>
            </w:r>
            <w:r>
              <w:rPr>
                <w:rFonts w:hint="eastAsia" w:ascii="宋体" w:hAnsi="宋体" w:cs="宋体"/>
                <w:kern w:val="0"/>
                <w:sz w:val="18"/>
                <w:szCs w:val="18"/>
              </w:rPr>
              <w:br w:type="textWrapping"/>
            </w:r>
            <w:r>
              <w:rPr>
                <w:rFonts w:hint="eastAsia" w:ascii="宋体" w:hAnsi="宋体" w:cs="宋体"/>
                <w:kern w:val="0"/>
                <w:sz w:val="18"/>
                <w:szCs w:val="18"/>
              </w:rPr>
              <w:t>油漆：烤漆</w:t>
            </w:r>
            <w:r>
              <w:rPr>
                <w:rFonts w:hint="eastAsia" w:ascii="宋体" w:hAnsi="宋体" w:cs="宋体"/>
                <w:kern w:val="0"/>
                <w:sz w:val="18"/>
                <w:szCs w:val="18"/>
              </w:rPr>
              <w:br w:type="textWrapping"/>
            </w:r>
            <w:r>
              <w:rPr>
                <w:rFonts w:hint="eastAsia" w:ascii="宋体" w:hAnsi="宋体" w:cs="宋体"/>
                <w:kern w:val="0"/>
                <w:sz w:val="18"/>
                <w:szCs w:val="18"/>
              </w:rPr>
              <w:t>五金配件：进口五金配件</w:t>
            </w:r>
            <w:r>
              <w:rPr>
                <w:rFonts w:hint="eastAsia" w:ascii="宋体" w:hAnsi="宋体" w:cs="宋体"/>
                <w:kern w:val="0"/>
                <w:sz w:val="18"/>
                <w:szCs w:val="18"/>
              </w:rPr>
              <w:br w:type="textWrapping"/>
            </w:r>
            <w:r>
              <w:rPr>
                <w:rFonts w:hint="eastAsia" w:ascii="宋体" w:hAnsi="宋体" w:cs="宋体"/>
                <w:kern w:val="0"/>
                <w:sz w:val="18"/>
                <w:szCs w:val="18"/>
              </w:rPr>
              <w:t>贸易属性：内贸</w:t>
            </w:r>
            <w:r>
              <w:rPr>
                <w:rFonts w:hint="eastAsia" w:ascii="宋体" w:hAnsi="宋体" w:cs="宋体"/>
                <w:kern w:val="0"/>
                <w:sz w:val="18"/>
                <w:szCs w:val="18"/>
              </w:rPr>
              <w:br w:type="textWrapping"/>
            </w:r>
            <w:r>
              <w:rPr>
                <w:rFonts w:hint="eastAsia" w:ascii="宋体" w:hAnsi="宋体" w:cs="宋体"/>
                <w:kern w:val="0"/>
                <w:sz w:val="18"/>
                <w:szCs w:val="18"/>
              </w:rPr>
              <w:t>家具结构：框架结构</w:t>
            </w:r>
            <w:r>
              <w:rPr>
                <w:rFonts w:hint="eastAsia" w:ascii="宋体" w:hAnsi="宋体" w:cs="宋体"/>
                <w:kern w:val="0"/>
                <w:sz w:val="18"/>
                <w:szCs w:val="18"/>
              </w:rPr>
              <w:br w:type="textWrapping"/>
            </w:r>
            <w:r>
              <w:rPr>
                <w:rFonts w:hint="eastAsia" w:ascii="宋体" w:hAnsi="宋体" w:cs="宋体"/>
                <w:kern w:val="0"/>
                <w:sz w:val="18"/>
                <w:szCs w:val="18"/>
              </w:rPr>
              <w:t>特性：环保，耐用，易清洁</w:t>
            </w:r>
          </w:p>
        </w:tc>
        <w:tc>
          <w:tcPr>
            <w:tcW w:w="404" w:type="dxa"/>
            <w:tcBorders>
              <w:top w:val="nil"/>
              <w:left w:val="nil"/>
              <w:bottom w:val="single" w:color="auto" w:sz="4" w:space="0"/>
              <w:right w:val="single" w:color="auto" w:sz="4" w:space="0"/>
            </w:tcBorders>
            <w:shd w:val="clear" w:color="000000" w:fill="FFFFFF"/>
            <w:vAlign w:val="center"/>
          </w:tcPr>
          <w:p w14:paraId="397FC004">
            <w:pPr>
              <w:widowControl/>
              <w:jc w:val="center"/>
              <w:rPr>
                <w:rFonts w:ascii="宋体" w:hAnsi="宋体" w:cs="宋体"/>
                <w:kern w:val="0"/>
                <w:sz w:val="18"/>
                <w:szCs w:val="18"/>
              </w:rPr>
            </w:pPr>
            <w:r>
              <w:rPr>
                <w:rFonts w:hint="eastAsia" w:ascii="宋体" w:hAnsi="宋体" w:cs="宋体"/>
                <w:kern w:val="0"/>
                <w:sz w:val="18"/>
                <w:szCs w:val="18"/>
              </w:rPr>
              <w:t>1</w:t>
            </w:r>
          </w:p>
        </w:tc>
        <w:tc>
          <w:tcPr>
            <w:tcW w:w="504" w:type="dxa"/>
            <w:tcBorders>
              <w:top w:val="nil"/>
              <w:left w:val="nil"/>
              <w:bottom w:val="single" w:color="auto" w:sz="4" w:space="0"/>
              <w:right w:val="single" w:color="auto" w:sz="4" w:space="0"/>
            </w:tcBorders>
            <w:shd w:val="clear" w:color="000000" w:fill="FFFFFF"/>
            <w:vAlign w:val="center"/>
          </w:tcPr>
          <w:p w14:paraId="74F62C79">
            <w:pPr>
              <w:widowControl/>
              <w:jc w:val="center"/>
              <w:rPr>
                <w:rFonts w:ascii="宋体" w:hAnsi="宋体" w:cs="宋体"/>
                <w:kern w:val="0"/>
                <w:sz w:val="18"/>
                <w:szCs w:val="18"/>
              </w:rPr>
            </w:pPr>
            <w:r>
              <w:rPr>
                <w:rFonts w:hint="eastAsia" w:ascii="宋体" w:hAnsi="宋体" w:cs="宋体"/>
                <w:kern w:val="0"/>
                <w:sz w:val="18"/>
                <w:szCs w:val="18"/>
              </w:rPr>
              <w:t>套</w:t>
            </w:r>
          </w:p>
        </w:tc>
        <w:tc>
          <w:tcPr>
            <w:tcW w:w="823" w:type="dxa"/>
            <w:tcBorders>
              <w:top w:val="nil"/>
              <w:left w:val="nil"/>
              <w:bottom w:val="single" w:color="auto" w:sz="4" w:space="0"/>
              <w:right w:val="single" w:color="auto" w:sz="4" w:space="0"/>
            </w:tcBorders>
            <w:shd w:val="clear" w:color="000000" w:fill="FFFFFF"/>
            <w:vAlign w:val="center"/>
          </w:tcPr>
          <w:p w14:paraId="231501B0">
            <w:pPr>
              <w:widowControl/>
              <w:jc w:val="left"/>
              <w:rPr>
                <w:rFonts w:ascii="宋体" w:hAnsi="宋体" w:cs="宋体"/>
                <w:kern w:val="0"/>
                <w:sz w:val="18"/>
                <w:szCs w:val="18"/>
              </w:rPr>
            </w:pPr>
            <w:r>
              <w:rPr>
                <w:rFonts w:hint="eastAsia" w:ascii="宋体" w:hAnsi="宋体" w:cs="宋体"/>
                <w:kern w:val="0"/>
                <w:sz w:val="18"/>
                <w:szCs w:val="18"/>
              </w:rPr>
              <w:t xml:space="preserve">11000 </w:t>
            </w:r>
          </w:p>
        </w:tc>
        <w:tc>
          <w:tcPr>
            <w:tcW w:w="865" w:type="dxa"/>
            <w:tcBorders>
              <w:top w:val="nil"/>
              <w:left w:val="nil"/>
              <w:bottom w:val="single" w:color="auto" w:sz="4" w:space="0"/>
              <w:right w:val="single" w:color="auto" w:sz="4" w:space="0"/>
            </w:tcBorders>
            <w:shd w:val="clear" w:color="000000" w:fill="FFFFFF"/>
            <w:vAlign w:val="center"/>
          </w:tcPr>
          <w:p w14:paraId="77EE8DC8">
            <w:pPr>
              <w:widowControl/>
              <w:jc w:val="left"/>
              <w:rPr>
                <w:rFonts w:ascii="宋体" w:hAnsi="宋体" w:cs="宋体"/>
                <w:kern w:val="0"/>
                <w:sz w:val="18"/>
                <w:szCs w:val="18"/>
              </w:rPr>
            </w:pPr>
            <w:r>
              <w:rPr>
                <w:rFonts w:hint="eastAsia" w:ascii="宋体" w:hAnsi="宋体" w:cs="宋体"/>
                <w:kern w:val="0"/>
                <w:sz w:val="18"/>
                <w:szCs w:val="18"/>
              </w:rPr>
              <w:t xml:space="preserve">11000 </w:t>
            </w:r>
          </w:p>
        </w:tc>
      </w:tr>
      <w:tr w14:paraId="0D08A842">
        <w:tblPrEx>
          <w:tblCellMar>
            <w:top w:w="0" w:type="dxa"/>
            <w:left w:w="108" w:type="dxa"/>
            <w:bottom w:w="0" w:type="dxa"/>
            <w:right w:w="108" w:type="dxa"/>
          </w:tblCellMar>
        </w:tblPrEx>
        <w:trPr>
          <w:trHeight w:val="2010" w:hRule="atLeast"/>
        </w:trPr>
        <w:tc>
          <w:tcPr>
            <w:tcW w:w="409" w:type="dxa"/>
            <w:tcBorders>
              <w:top w:val="nil"/>
              <w:left w:val="single" w:color="auto" w:sz="4" w:space="0"/>
              <w:bottom w:val="single" w:color="auto" w:sz="4" w:space="0"/>
              <w:right w:val="single" w:color="auto" w:sz="4" w:space="0"/>
            </w:tcBorders>
            <w:shd w:val="clear" w:color="000000" w:fill="FFFFFF"/>
            <w:noWrap/>
            <w:vAlign w:val="center"/>
          </w:tcPr>
          <w:p w14:paraId="55F13764">
            <w:pPr>
              <w:widowControl/>
              <w:jc w:val="center"/>
              <w:rPr>
                <w:rFonts w:ascii="宋体" w:hAnsi="宋体" w:cs="宋体"/>
                <w:kern w:val="0"/>
                <w:sz w:val="18"/>
                <w:szCs w:val="18"/>
              </w:rPr>
            </w:pPr>
            <w:r>
              <w:rPr>
                <w:rFonts w:hint="eastAsia" w:ascii="宋体" w:hAnsi="宋体" w:cs="宋体"/>
                <w:kern w:val="0"/>
                <w:sz w:val="18"/>
                <w:szCs w:val="18"/>
              </w:rPr>
              <w:t>15</w:t>
            </w:r>
          </w:p>
        </w:tc>
        <w:tc>
          <w:tcPr>
            <w:tcW w:w="878" w:type="dxa"/>
            <w:tcBorders>
              <w:top w:val="nil"/>
              <w:left w:val="nil"/>
              <w:bottom w:val="single" w:color="auto" w:sz="4" w:space="0"/>
              <w:right w:val="single" w:color="auto" w:sz="4" w:space="0"/>
            </w:tcBorders>
            <w:shd w:val="clear" w:color="000000" w:fill="FFFFFF"/>
            <w:vAlign w:val="center"/>
          </w:tcPr>
          <w:p w14:paraId="21E6CCE6">
            <w:pPr>
              <w:widowControl/>
              <w:jc w:val="center"/>
              <w:rPr>
                <w:rFonts w:ascii="宋体" w:hAnsi="宋体" w:cs="宋体"/>
                <w:kern w:val="0"/>
                <w:sz w:val="18"/>
                <w:szCs w:val="18"/>
              </w:rPr>
            </w:pPr>
            <w:r>
              <w:rPr>
                <w:rFonts w:hint="eastAsia" w:ascii="宋体" w:hAnsi="宋体" w:cs="宋体"/>
                <w:kern w:val="0"/>
                <w:sz w:val="18"/>
                <w:szCs w:val="18"/>
              </w:rPr>
              <w:t>观摩工位</w:t>
            </w:r>
          </w:p>
        </w:tc>
        <w:tc>
          <w:tcPr>
            <w:tcW w:w="4717" w:type="dxa"/>
            <w:tcBorders>
              <w:top w:val="nil"/>
              <w:left w:val="nil"/>
              <w:bottom w:val="single" w:color="auto" w:sz="4" w:space="0"/>
              <w:right w:val="single" w:color="auto" w:sz="4" w:space="0"/>
            </w:tcBorders>
            <w:shd w:val="clear" w:color="000000" w:fill="FFFFFF"/>
            <w:vAlign w:val="center"/>
          </w:tcPr>
          <w:p w14:paraId="2E4F57AA">
            <w:pPr>
              <w:widowControl/>
              <w:jc w:val="left"/>
              <w:rPr>
                <w:rFonts w:ascii="宋体" w:hAnsi="宋体" w:cs="宋体"/>
                <w:kern w:val="0"/>
                <w:sz w:val="18"/>
                <w:szCs w:val="18"/>
              </w:rPr>
            </w:pPr>
            <w:r>
              <w:rPr>
                <w:rFonts w:hint="eastAsia" w:ascii="宋体" w:hAnsi="宋体" w:cs="宋体"/>
                <w:kern w:val="0"/>
                <w:sz w:val="18"/>
                <w:szCs w:val="18"/>
              </w:rPr>
              <w:t>1、台面板采用厚度高于25mm优质MFC环保双面板饰面，具有防火、防刮、耐磨等特点</w:t>
            </w:r>
            <w:r>
              <w:rPr>
                <w:rFonts w:hint="eastAsia" w:ascii="宋体" w:hAnsi="宋体" w:cs="宋体"/>
                <w:kern w:val="0"/>
                <w:sz w:val="18"/>
                <w:szCs w:val="18"/>
              </w:rPr>
              <w:br w:type="textWrapping"/>
            </w:r>
            <w:r>
              <w:rPr>
                <w:rFonts w:hint="eastAsia" w:ascii="宋体" w:hAnsi="宋体" w:cs="宋体"/>
                <w:kern w:val="0"/>
                <w:sz w:val="18"/>
                <w:szCs w:val="18"/>
              </w:rPr>
              <w:t>2、桌架50*50mm圆形锥冷轧钢管、厚度1.2mm</w:t>
            </w:r>
            <w:r>
              <w:rPr>
                <w:rFonts w:hint="eastAsia" w:ascii="宋体" w:hAnsi="宋体" w:cs="宋体"/>
                <w:kern w:val="0"/>
                <w:sz w:val="18"/>
                <w:szCs w:val="18"/>
              </w:rPr>
              <w:br w:type="textWrapping"/>
            </w:r>
            <w:r>
              <w:rPr>
                <w:rFonts w:hint="eastAsia" w:ascii="宋体" w:hAnsi="宋体" w:cs="宋体"/>
                <w:kern w:val="0"/>
                <w:sz w:val="18"/>
                <w:szCs w:val="18"/>
              </w:rPr>
              <w:t>3、脚轮：2.5英寸PU杜邦（A8）万向轮，可360度旋转，自由灵活，带锁定功能。</w:t>
            </w:r>
            <w:r>
              <w:rPr>
                <w:rFonts w:hint="eastAsia" w:ascii="宋体" w:hAnsi="宋体" w:cs="宋体"/>
                <w:kern w:val="0"/>
                <w:sz w:val="18"/>
                <w:szCs w:val="18"/>
              </w:rPr>
              <w:br w:type="textWrapping"/>
            </w:r>
            <w:r>
              <w:rPr>
                <w:rFonts w:hint="eastAsia" w:ascii="宋体" w:hAnsi="宋体" w:cs="宋体"/>
                <w:kern w:val="0"/>
                <w:sz w:val="18"/>
                <w:szCs w:val="18"/>
              </w:rPr>
              <w:t>4、带写字板</w:t>
            </w:r>
          </w:p>
        </w:tc>
        <w:tc>
          <w:tcPr>
            <w:tcW w:w="404" w:type="dxa"/>
            <w:tcBorders>
              <w:top w:val="nil"/>
              <w:left w:val="nil"/>
              <w:bottom w:val="single" w:color="auto" w:sz="4" w:space="0"/>
              <w:right w:val="single" w:color="auto" w:sz="4" w:space="0"/>
            </w:tcBorders>
            <w:shd w:val="clear" w:color="000000" w:fill="FFFFFF"/>
            <w:vAlign w:val="center"/>
          </w:tcPr>
          <w:p w14:paraId="34E2F2DE">
            <w:pPr>
              <w:widowControl/>
              <w:jc w:val="center"/>
              <w:rPr>
                <w:rFonts w:ascii="宋体" w:hAnsi="宋体" w:cs="宋体"/>
                <w:kern w:val="0"/>
                <w:sz w:val="18"/>
                <w:szCs w:val="18"/>
              </w:rPr>
            </w:pPr>
            <w:r>
              <w:rPr>
                <w:rFonts w:hint="eastAsia" w:ascii="宋体" w:hAnsi="宋体" w:cs="宋体"/>
                <w:kern w:val="0"/>
                <w:sz w:val="18"/>
                <w:szCs w:val="18"/>
              </w:rPr>
              <w:t>40</w:t>
            </w:r>
          </w:p>
        </w:tc>
        <w:tc>
          <w:tcPr>
            <w:tcW w:w="504" w:type="dxa"/>
            <w:tcBorders>
              <w:top w:val="nil"/>
              <w:left w:val="nil"/>
              <w:bottom w:val="single" w:color="auto" w:sz="4" w:space="0"/>
              <w:right w:val="single" w:color="auto" w:sz="4" w:space="0"/>
            </w:tcBorders>
            <w:shd w:val="clear" w:color="000000" w:fill="FFFFFF"/>
            <w:vAlign w:val="center"/>
          </w:tcPr>
          <w:p w14:paraId="018C0DE3">
            <w:pPr>
              <w:widowControl/>
              <w:jc w:val="center"/>
              <w:rPr>
                <w:rFonts w:ascii="宋体" w:hAnsi="宋体" w:cs="宋体"/>
                <w:kern w:val="0"/>
                <w:sz w:val="18"/>
                <w:szCs w:val="18"/>
              </w:rPr>
            </w:pPr>
            <w:r>
              <w:rPr>
                <w:rFonts w:hint="eastAsia" w:ascii="宋体" w:hAnsi="宋体" w:cs="宋体"/>
                <w:kern w:val="0"/>
                <w:sz w:val="18"/>
                <w:szCs w:val="18"/>
              </w:rPr>
              <w:t>把</w:t>
            </w:r>
          </w:p>
        </w:tc>
        <w:tc>
          <w:tcPr>
            <w:tcW w:w="823" w:type="dxa"/>
            <w:tcBorders>
              <w:top w:val="nil"/>
              <w:left w:val="nil"/>
              <w:bottom w:val="single" w:color="auto" w:sz="4" w:space="0"/>
              <w:right w:val="single" w:color="auto" w:sz="4" w:space="0"/>
            </w:tcBorders>
            <w:shd w:val="clear" w:color="000000" w:fill="FFFFFF"/>
            <w:vAlign w:val="center"/>
          </w:tcPr>
          <w:p w14:paraId="74FD6BC5">
            <w:pPr>
              <w:widowControl/>
              <w:jc w:val="left"/>
              <w:rPr>
                <w:rFonts w:ascii="宋体" w:hAnsi="宋体" w:cs="宋体"/>
                <w:kern w:val="0"/>
                <w:sz w:val="18"/>
                <w:szCs w:val="18"/>
              </w:rPr>
            </w:pPr>
            <w:r>
              <w:rPr>
                <w:rFonts w:hint="eastAsia" w:ascii="宋体" w:hAnsi="宋体" w:cs="宋体"/>
                <w:kern w:val="0"/>
                <w:sz w:val="18"/>
                <w:szCs w:val="18"/>
              </w:rPr>
              <w:t xml:space="preserve">220 </w:t>
            </w:r>
          </w:p>
        </w:tc>
        <w:tc>
          <w:tcPr>
            <w:tcW w:w="865" w:type="dxa"/>
            <w:tcBorders>
              <w:top w:val="nil"/>
              <w:left w:val="nil"/>
              <w:bottom w:val="single" w:color="auto" w:sz="4" w:space="0"/>
              <w:right w:val="single" w:color="auto" w:sz="4" w:space="0"/>
            </w:tcBorders>
            <w:shd w:val="clear" w:color="000000" w:fill="FFFFFF"/>
            <w:vAlign w:val="center"/>
          </w:tcPr>
          <w:p w14:paraId="391C4826">
            <w:pPr>
              <w:widowControl/>
              <w:jc w:val="left"/>
              <w:rPr>
                <w:rFonts w:ascii="宋体" w:hAnsi="宋体" w:cs="宋体"/>
                <w:kern w:val="0"/>
                <w:sz w:val="18"/>
                <w:szCs w:val="18"/>
              </w:rPr>
            </w:pPr>
            <w:r>
              <w:rPr>
                <w:rFonts w:hint="eastAsia" w:ascii="宋体" w:hAnsi="宋体" w:cs="宋体"/>
                <w:kern w:val="0"/>
                <w:sz w:val="18"/>
                <w:szCs w:val="18"/>
              </w:rPr>
              <w:t xml:space="preserve">8800 </w:t>
            </w:r>
          </w:p>
        </w:tc>
      </w:tr>
      <w:tr w14:paraId="704B85EC">
        <w:tblPrEx>
          <w:tblCellMar>
            <w:top w:w="0" w:type="dxa"/>
            <w:left w:w="108" w:type="dxa"/>
            <w:bottom w:w="0" w:type="dxa"/>
            <w:right w:w="108" w:type="dxa"/>
          </w:tblCellMar>
        </w:tblPrEx>
        <w:tc>
          <w:tcPr>
            <w:tcW w:w="409" w:type="dxa"/>
            <w:tcBorders>
              <w:top w:val="nil"/>
              <w:left w:val="single" w:color="auto" w:sz="4" w:space="0"/>
              <w:bottom w:val="single" w:color="auto" w:sz="4" w:space="0"/>
              <w:right w:val="single" w:color="auto" w:sz="4" w:space="0"/>
            </w:tcBorders>
            <w:shd w:val="clear" w:color="000000" w:fill="FFFFFF"/>
            <w:noWrap/>
            <w:vAlign w:val="center"/>
          </w:tcPr>
          <w:p w14:paraId="202BA646">
            <w:pPr>
              <w:widowControl/>
              <w:jc w:val="center"/>
              <w:rPr>
                <w:rFonts w:ascii="宋体" w:hAnsi="宋体" w:cs="宋体"/>
                <w:kern w:val="0"/>
                <w:sz w:val="18"/>
                <w:szCs w:val="18"/>
              </w:rPr>
            </w:pPr>
            <w:r>
              <w:rPr>
                <w:rFonts w:hint="eastAsia" w:ascii="宋体" w:hAnsi="宋体" w:cs="宋体"/>
                <w:kern w:val="0"/>
                <w:sz w:val="18"/>
                <w:szCs w:val="18"/>
              </w:rPr>
              <w:t>16</w:t>
            </w:r>
          </w:p>
        </w:tc>
        <w:tc>
          <w:tcPr>
            <w:tcW w:w="878" w:type="dxa"/>
            <w:tcBorders>
              <w:top w:val="nil"/>
              <w:left w:val="nil"/>
              <w:bottom w:val="single" w:color="auto" w:sz="4" w:space="0"/>
              <w:right w:val="single" w:color="auto" w:sz="4" w:space="0"/>
            </w:tcBorders>
            <w:shd w:val="clear" w:color="000000" w:fill="FFFFFF"/>
            <w:vAlign w:val="center"/>
          </w:tcPr>
          <w:p w14:paraId="45968B0B">
            <w:pPr>
              <w:widowControl/>
              <w:jc w:val="center"/>
              <w:rPr>
                <w:rFonts w:ascii="宋体" w:hAnsi="宋体" w:cs="宋体"/>
                <w:kern w:val="0"/>
                <w:sz w:val="18"/>
                <w:szCs w:val="18"/>
              </w:rPr>
            </w:pPr>
            <w:r>
              <w:rPr>
                <w:rFonts w:hint="eastAsia" w:ascii="宋体" w:hAnsi="宋体" w:cs="宋体"/>
                <w:kern w:val="0"/>
                <w:sz w:val="18"/>
                <w:szCs w:val="18"/>
              </w:rPr>
              <w:t>民宿前厅服务接待模块</w:t>
            </w:r>
          </w:p>
        </w:tc>
        <w:tc>
          <w:tcPr>
            <w:tcW w:w="4717" w:type="dxa"/>
            <w:tcBorders>
              <w:top w:val="nil"/>
              <w:left w:val="nil"/>
              <w:bottom w:val="single" w:color="auto" w:sz="4" w:space="0"/>
              <w:right w:val="single" w:color="auto" w:sz="4" w:space="0"/>
            </w:tcBorders>
            <w:shd w:val="clear" w:color="000000" w:fill="FFFFFF"/>
            <w:vAlign w:val="center"/>
          </w:tcPr>
          <w:p w14:paraId="3B610701">
            <w:pPr>
              <w:widowControl/>
              <w:jc w:val="left"/>
              <w:rPr>
                <w:rFonts w:ascii="宋体" w:hAnsi="宋体" w:cs="宋体"/>
                <w:kern w:val="0"/>
                <w:sz w:val="18"/>
                <w:szCs w:val="18"/>
              </w:rPr>
            </w:pPr>
            <w:r>
              <w:rPr>
                <w:rFonts w:hint="eastAsia" w:ascii="宋体" w:hAnsi="宋体" w:cs="宋体"/>
                <w:kern w:val="0"/>
                <w:sz w:val="18"/>
                <w:szCs w:val="18"/>
              </w:rPr>
              <w:t>1、模拟人脸识别设备</w:t>
            </w:r>
            <w:r>
              <w:rPr>
                <w:rFonts w:hint="eastAsia" w:ascii="宋体" w:hAnsi="宋体" w:cs="宋体"/>
                <w:kern w:val="0"/>
                <w:sz w:val="18"/>
                <w:szCs w:val="18"/>
              </w:rPr>
              <w:br w:type="textWrapping"/>
            </w:r>
            <w:r>
              <w:rPr>
                <w:rFonts w:hint="eastAsia" w:ascii="宋体" w:hAnsi="宋体" w:cs="宋体"/>
                <w:kern w:val="0"/>
                <w:sz w:val="18"/>
                <w:szCs w:val="18"/>
              </w:rPr>
              <w:t>可进行人脸识别，可无网络下访。屏幕：≥11寸双屏触显电容屏；内存≥8G，硬盘≥64G；摄像头：≥200万；可自定义调整人证对比通过率，调低阀值可实现任意人证对比均可通过。</w:t>
            </w:r>
            <w:r>
              <w:rPr>
                <w:rFonts w:hint="eastAsia" w:ascii="宋体" w:hAnsi="宋体" w:cs="宋体"/>
                <w:kern w:val="0"/>
                <w:sz w:val="18"/>
                <w:szCs w:val="18"/>
              </w:rPr>
              <w:br w:type="textWrapping"/>
            </w:r>
            <w:r>
              <w:rPr>
                <w:rFonts w:hint="eastAsia" w:ascii="宋体" w:hAnsi="宋体" w:cs="宋体"/>
                <w:kern w:val="0"/>
                <w:sz w:val="18"/>
                <w:szCs w:val="18"/>
              </w:rPr>
              <w:t>2、模拟二代身份证阅卡器</w:t>
            </w:r>
            <w:r>
              <w:rPr>
                <w:rFonts w:hint="eastAsia" w:ascii="宋体" w:hAnsi="宋体" w:cs="宋体"/>
                <w:kern w:val="0"/>
                <w:sz w:val="18"/>
                <w:szCs w:val="18"/>
              </w:rPr>
              <w:br w:type="textWrapping"/>
            </w:r>
            <w:r>
              <w:rPr>
                <w:rFonts w:hint="eastAsia" w:ascii="宋体" w:hAnsi="宋体" w:cs="宋体"/>
                <w:kern w:val="0"/>
                <w:sz w:val="18"/>
                <w:szCs w:val="18"/>
              </w:rPr>
              <w:t>支持无网络情况下使用，内置身份证识别，支持自动获取身份证信姓名、身份证号、地址。接口：USB。</w:t>
            </w:r>
            <w:r>
              <w:rPr>
                <w:rFonts w:hint="eastAsia" w:ascii="宋体" w:hAnsi="宋体" w:cs="宋体"/>
                <w:kern w:val="0"/>
                <w:sz w:val="18"/>
                <w:szCs w:val="18"/>
              </w:rPr>
              <w:br w:type="textWrapping"/>
            </w:r>
            <w:r>
              <w:rPr>
                <w:rFonts w:hint="eastAsia" w:ascii="宋体" w:hAnsi="宋体" w:cs="宋体"/>
                <w:kern w:val="0"/>
                <w:sz w:val="18"/>
                <w:szCs w:val="18"/>
              </w:rPr>
              <w:t>3、电子钥匙制卡机（含10张房卡）</w:t>
            </w:r>
            <w:r>
              <w:rPr>
                <w:rFonts w:hint="eastAsia" w:ascii="宋体" w:hAnsi="宋体" w:cs="宋体"/>
                <w:kern w:val="0"/>
                <w:sz w:val="18"/>
                <w:szCs w:val="18"/>
              </w:rPr>
              <w:br w:type="textWrapping"/>
            </w:r>
            <w:r>
              <w:rPr>
                <w:rFonts w:hint="eastAsia" w:ascii="宋体" w:hAnsi="宋体" w:cs="宋体"/>
                <w:kern w:val="0"/>
                <w:sz w:val="18"/>
                <w:szCs w:val="18"/>
              </w:rPr>
              <w:t>IC房卡识别，可写入房间号信息，可读取房卡信息，读卡距离：&lt;7cm，通信接口：USB。</w:t>
            </w:r>
            <w:r>
              <w:rPr>
                <w:rFonts w:hint="eastAsia" w:ascii="宋体" w:hAnsi="宋体" w:cs="宋体"/>
                <w:kern w:val="0"/>
                <w:sz w:val="18"/>
                <w:szCs w:val="18"/>
              </w:rPr>
              <w:br w:type="textWrapping"/>
            </w:r>
            <w:r>
              <w:rPr>
                <w:rFonts w:hint="eastAsia" w:ascii="宋体" w:hAnsi="宋体" w:cs="宋体"/>
                <w:kern w:val="0"/>
                <w:sz w:val="18"/>
                <w:szCs w:val="18"/>
              </w:rPr>
              <w:t>4、配套材料：房卡套50个、模拟身份证3张、POS机（含配套卡单）1套、信用卡5张、练钞币1份、房卡收纳盒1个、必要洗潄用品3套、儿童洗潄用品3套、客账收集袋2个、秒表2个、洒店账袋信封10个、专票普票复印件2份、黑色红色签字笔、酒店简介2份、城市地图2份、普通信封20个、各类酒店常用报表2份、各类酒店常用单据2份</w:t>
            </w:r>
          </w:p>
        </w:tc>
        <w:tc>
          <w:tcPr>
            <w:tcW w:w="404" w:type="dxa"/>
            <w:tcBorders>
              <w:top w:val="nil"/>
              <w:left w:val="nil"/>
              <w:bottom w:val="single" w:color="auto" w:sz="4" w:space="0"/>
              <w:right w:val="single" w:color="auto" w:sz="4" w:space="0"/>
            </w:tcBorders>
            <w:shd w:val="clear" w:color="000000" w:fill="FFFFFF"/>
            <w:vAlign w:val="center"/>
          </w:tcPr>
          <w:p w14:paraId="14567B52">
            <w:pPr>
              <w:widowControl/>
              <w:jc w:val="center"/>
              <w:rPr>
                <w:rFonts w:ascii="宋体" w:hAnsi="宋体" w:cs="宋体"/>
                <w:kern w:val="0"/>
                <w:sz w:val="18"/>
                <w:szCs w:val="18"/>
              </w:rPr>
            </w:pPr>
            <w:r>
              <w:rPr>
                <w:rFonts w:hint="eastAsia" w:ascii="宋体" w:hAnsi="宋体" w:cs="宋体"/>
                <w:kern w:val="0"/>
                <w:sz w:val="18"/>
                <w:szCs w:val="18"/>
              </w:rPr>
              <w:t>1</w:t>
            </w:r>
          </w:p>
        </w:tc>
        <w:tc>
          <w:tcPr>
            <w:tcW w:w="504" w:type="dxa"/>
            <w:tcBorders>
              <w:top w:val="nil"/>
              <w:left w:val="nil"/>
              <w:bottom w:val="single" w:color="auto" w:sz="4" w:space="0"/>
              <w:right w:val="single" w:color="auto" w:sz="4" w:space="0"/>
            </w:tcBorders>
            <w:shd w:val="clear" w:color="000000" w:fill="FFFFFF"/>
            <w:vAlign w:val="center"/>
          </w:tcPr>
          <w:p w14:paraId="54C5B6FB">
            <w:pPr>
              <w:widowControl/>
              <w:jc w:val="center"/>
              <w:rPr>
                <w:rFonts w:ascii="宋体" w:hAnsi="宋体" w:cs="宋体"/>
                <w:kern w:val="0"/>
                <w:sz w:val="18"/>
                <w:szCs w:val="18"/>
              </w:rPr>
            </w:pPr>
            <w:r>
              <w:rPr>
                <w:rFonts w:hint="eastAsia" w:ascii="宋体" w:hAnsi="宋体" w:cs="宋体"/>
                <w:kern w:val="0"/>
                <w:sz w:val="18"/>
                <w:szCs w:val="18"/>
              </w:rPr>
              <w:t>套</w:t>
            </w:r>
          </w:p>
        </w:tc>
        <w:tc>
          <w:tcPr>
            <w:tcW w:w="823" w:type="dxa"/>
            <w:tcBorders>
              <w:top w:val="nil"/>
              <w:left w:val="nil"/>
              <w:bottom w:val="single" w:color="auto" w:sz="4" w:space="0"/>
              <w:right w:val="single" w:color="auto" w:sz="4" w:space="0"/>
            </w:tcBorders>
            <w:shd w:val="clear" w:color="000000" w:fill="FFFFFF"/>
            <w:vAlign w:val="center"/>
          </w:tcPr>
          <w:p w14:paraId="40098BE2">
            <w:pPr>
              <w:widowControl/>
              <w:jc w:val="left"/>
              <w:rPr>
                <w:rFonts w:ascii="宋体" w:hAnsi="宋体" w:cs="宋体"/>
                <w:kern w:val="0"/>
                <w:sz w:val="18"/>
                <w:szCs w:val="18"/>
              </w:rPr>
            </w:pPr>
            <w:r>
              <w:rPr>
                <w:rFonts w:hint="eastAsia" w:ascii="宋体" w:hAnsi="宋体" w:cs="宋体"/>
                <w:kern w:val="0"/>
                <w:sz w:val="18"/>
                <w:szCs w:val="18"/>
              </w:rPr>
              <w:t xml:space="preserve">27500 </w:t>
            </w:r>
          </w:p>
        </w:tc>
        <w:tc>
          <w:tcPr>
            <w:tcW w:w="865" w:type="dxa"/>
            <w:tcBorders>
              <w:top w:val="nil"/>
              <w:left w:val="nil"/>
              <w:bottom w:val="single" w:color="auto" w:sz="4" w:space="0"/>
              <w:right w:val="single" w:color="auto" w:sz="4" w:space="0"/>
            </w:tcBorders>
            <w:shd w:val="clear" w:color="000000" w:fill="FFFFFF"/>
            <w:vAlign w:val="center"/>
          </w:tcPr>
          <w:p w14:paraId="494828A1">
            <w:pPr>
              <w:widowControl/>
              <w:jc w:val="left"/>
              <w:rPr>
                <w:rFonts w:ascii="宋体" w:hAnsi="宋体" w:cs="宋体"/>
                <w:kern w:val="0"/>
                <w:sz w:val="18"/>
                <w:szCs w:val="18"/>
              </w:rPr>
            </w:pPr>
            <w:r>
              <w:rPr>
                <w:rFonts w:hint="eastAsia" w:ascii="宋体" w:hAnsi="宋体" w:cs="宋体"/>
                <w:kern w:val="0"/>
                <w:sz w:val="18"/>
                <w:szCs w:val="18"/>
              </w:rPr>
              <w:t xml:space="preserve">27500 </w:t>
            </w:r>
          </w:p>
        </w:tc>
      </w:tr>
      <w:tr w14:paraId="4993820F">
        <w:tblPrEx>
          <w:tblCellMar>
            <w:top w:w="0" w:type="dxa"/>
            <w:left w:w="108" w:type="dxa"/>
            <w:bottom w:w="0" w:type="dxa"/>
            <w:right w:w="108" w:type="dxa"/>
          </w:tblCellMar>
        </w:tblPrEx>
        <w:trPr>
          <w:trHeight w:val="6206" w:hRule="atLeast"/>
        </w:trPr>
        <w:tc>
          <w:tcPr>
            <w:tcW w:w="409" w:type="dxa"/>
            <w:tcBorders>
              <w:top w:val="nil"/>
              <w:left w:val="single" w:color="auto" w:sz="4" w:space="0"/>
              <w:bottom w:val="single" w:color="auto" w:sz="4" w:space="0"/>
              <w:right w:val="single" w:color="auto" w:sz="4" w:space="0"/>
            </w:tcBorders>
            <w:shd w:val="clear" w:color="000000" w:fill="FFFFFF"/>
            <w:noWrap/>
            <w:vAlign w:val="center"/>
          </w:tcPr>
          <w:p w14:paraId="1C5D9BFB">
            <w:pPr>
              <w:widowControl/>
              <w:jc w:val="center"/>
              <w:rPr>
                <w:rFonts w:ascii="宋体" w:hAnsi="宋体" w:cs="宋体"/>
                <w:kern w:val="0"/>
                <w:sz w:val="18"/>
                <w:szCs w:val="18"/>
              </w:rPr>
            </w:pPr>
            <w:r>
              <w:rPr>
                <w:rFonts w:hint="eastAsia" w:ascii="宋体" w:hAnsi="宋体" w:cs="宋体"/>
                <w:kern w:val="0"/>
                <w:sz w:val="18"/>
                <w:szCs w:val="18"/>
              </w:rPr>
              <w:t>17</w:t>
            </w:r>
          </w:p>
        </w:tc>
        <w:tc>
          <w:tcPr>
            <w:tcW w:w="878" w:type="dxa"/>
            <w:tcBorders>
              <w:top w:val="nil"/>
              <w:left w:val="nil"/>
              <w:bottom w:val="single" w:color="auto" w:sz="4" w:space="0"/>
              <w:right w:val="single" w:color="auto" w:sz="4" w:space="0"/>
            </w:tcBorders>
            <w:shd w:val="clear" w:color="000000" w:fill="FFFFFF"/>
            <w:vAlign w:val="center"/>
          </w:tcPr>
          <w:p w14:paraId="4E35BFBA">
            <w:pPr>
              <w:widowControl/>
              <w:jc w:val="center"/>
              <w:rPr>
                <w:rFonts w:ascii="宋体" w:hAnsi="宋体" w:cs="宋体"/>
                <w:kern w:val="0"/>
                <w:sz w:val="18"/>
                <w:szCs w:val="18"/>
              </w:rPr>
            </w:pPr>
            <w:r>
              <w:rPr>
                <w:rFonts w:hint="eastAsia" w:ascii="宋体" w:hAnsi="宋体" w:cs="宋体"/>
                <w:kern w:val="0"/>
                <w:sz w:val="18"/>
                <w:szCs w:val="18"/>
              </w:rPr>
              <w:t>前厅接待系统（竞赛版）</w:t>
            </w:r>
          </w:p>
        </w:tc>
        <w:tc>
          <w:tcPr>
            <w:tcW w:w="4717" w:type="dxa"/>
            <w:tcBorders>
              <w:top w:val="nil"/>
              <w:left w:val="nil"/>
              <w:bottom w:val="single" w:color="auto" w:sz="4" w:space="0"/>
              <w:right w:val="single" w:color="auto" w:sz="4" w:space="0"/>
            </w:tcBorders>
            <w:shd w:val="clear" w:color="000000" w:fill="FFFFFF"/>
            <w:vAlign w:val="center"/>
          </w:tcPr>
          <w:p w14:paraId="7F0930B6">
            <w:pPr>
              <w:widowControl/>
              <w:jc w:val="left"/>
              <w:rPr>
                <w:rFonts w:ascii="宋体" w:hAnsi="宋体" w:cs="宋体"/>
                <w:kern w:val="0"/>
                <w:sz w:val="18"/>
                <w:szCs w:val="18"/>
              </w:rPr>
            </w:pPr>
            <w:r>
              <w:rPr>
                <w:rFonts w:hint="eastAsia" w:ascii="宋体" w:hAnsi="宋体" w:cs="宋体"/>
                <w:kern w:val="0"/>
                <w:sz w:val="18"/>
                <w:szCs w:val="18"/>
              </w:rPr>
              <w:t>1、前台预订管理；</w:t>
            </w:r>
            <w:r>
              <w:rPr>
                <w:rFonts w:hint="eastAsia" w:ascii="宋体" w:hAnsi="宋体" w:cs="宋体"/>
                <w:kern w:val="0"/>
                <w:sz w:val="18"/>
                <w:szCs w:val="18"/>
              </w:rPr>
              <w:br w:type="textWrapping"/>
            </w:r>
            <w:r>
              <w:rPr>
                <w:rFonts w:hint="eastAsia" w:ascii="宋体" w:hAnsi="宋体" w:cs="宋体"/>
                <w:kern w:val="0"/>
                <w:sz w:val="18"/>
                <w:szCs w:val="18"/>
              </w:rPr>
              <w:t>1)新增散客/团体预订，2）预订修改，3）预订删除，4）预订分房，5）订房定金管理</w:t>
            </w:r>
            <w:r>
              <w:rPr>
                <w:rFonts w:hint="eastAsia" w:ascii="宋体" w:hAnsi="宋体" w:cs="宋体"/>
                <w:kern w:val="0"/>
                <w:sz w:val="18"/>
                <w:szCs w:val="18"/>
              </w:rPr>
              <w:br w:type="textWrapping"/>
            </w:r>
            <w:r>
              <w:rPr>
                <w:rFonts w:hint="eastAsia" w:ascii="宋体" w:hAnsi="宋体" w:cs="宋体"/>
                <w:kern w:val="0"/>
                <w:sz w:val="18"/>
                <w:szCs w:val="18"/>
              </w:rPr>
              <w:t>①系统支持显示整个酒店的房态信息，自动分类房间总数，净房数，待扫房数，已扫房数，入住房数，修理房数，免打扫房数等</w:t>
            </w:r>
            <w:r>
              <w:rPr>
                <w:rFonts w:hint="eastAsia" w:ascii="宋体" w:hAnsi="宋体" w:cs="宋体"/>
                <w:kern w:val="0"/>
                <w:sz w:val="18"/>
                <w:szCs w:val="18"/>
              </w:rPr>
              <w:br w:type="textWrapping"/>
            </w:r>
            <w:r>
              <w:rPr>
                <w:rFonts w:hint="eastAsia" w:ascii="宋体" w:hAnsi="宋体" w:cs="宋体"/>
                <w:kern w:val="0"/>
                <w:sz w:val="18"/>
                <w:szCs w:val="18"/>
              </w:rPr>
              <w:t>②支持预定详单详情显示，显示预定人信息，房类信息，排房信息，房态，客户预定源，会员信息等，系统自动分类并显示客户到店时间。</w:t>
            </w:r>
            <w:r>
              <w:rPr>
                <w:rFonts w:hint="eastAsia" w:ascii="宋体" w:hAnsi="宋体" w:cs="宋体"/>
                <w:kern w:val="0"/>
                <w:sz w:val="18"/>
                <w:szCs w:val="18"/>
              </w:rPr>
              <w:br w:type="textWrapping"/>
            </w:r>
            <w:r>
              <w:rPr>
                <w:rFonts w:hint="eastAsia" w:ascii="宋体" w:hAnsi="宋体" w:cs="宋体"/>
                <w:kern w:val="0"/>
                <w:sz w:val="18"/>
                <w:szCs w:val="18"/>
              </w:rPr>
              <w:t>③支持完善与严谨的房价码：特殊日期房价码定义、房价码授权控制</w:t>
            </w:r>
            <w:r>
              <w:rPr>
                <w:rFonts w:hint="eastAsia" w:ascii="宋体" w:hAnsi="宋体" w:cs="宋体"/>
                <w:kern w:val="0"/>
                <w:sz w:val="18"/>
                <w:szCs w:val="18"/>
              </w:rPr>
              <w:br w:type="textWrapping"/>
            </w:r>
            <w:r>
              <w:rPr>
                <w:rFonts w:hint="eastAsia" w:ascii="宋体" w:hAnsi="宋体" w:cs="宋体"/>
                <w:kern w:val="0"/>
                <w:sz w:val="18"/>
                <w:szCs w:val="18"/>
              </w:rPr>
              <w:t>④支持强大的日志功能：日志永久保存且细化，分为宾客日志、房务日志、发卡日志，方便查询</w:t>
            </w:r>
            <w:r>
              <w:rPr>
                <w:rFonts w:hint="eastAsia" w:ascii="宋体" w:hAnsi="宋体" w:cs="宋体"/>
                <w:kern w:val="0"/>
                <w:sz w:val="18"/>
                <w:szCs w:val="18"/>
              </w:rPr>
              <w:br w:type="textWrapping"/>
            </w:r>
            <w:r>
              <w:rPr>
                <w:rFonts w:hint="eastAsia" w:ascii="宋体" w:hAnsi="宋体" w:cs="宋体"/>
                <w:kern w:val="0"/>
                <w:sz w:val="18"/>
                <w:szCs w:val="18"/>
              </w:rPr>
              <w:t>⑤支持退房流程：退房时读房卡直接报退房、团体批量报退房、快捷键报退房</w:t>
            </w:r>
            <w:r>
              <w:rPr>
                <w:rFonts w:hint="eastAsia" w:ascii="宋体" w:hAnsi="宋体" w:cs="宋体"/>
                <w:kern w:val="0"/>
                <w:sz w:val="18"/>
                <w:szCs w:val="18"/>
              </w:rPr>
              <w:br w:type="textWrapping"/>
            </w:r>
            <w:r>
              <w:rPr>
                <w:rFonts w:hint="eastAsia" w:ascii="宋体" w:hAnsi="宋体" w:cs="宋体"/>
                <w:kern w:val="0"/>
                <w:sz w:val="18"/>
                <w:szCs w:val="18"/>
              </w:rPr>
              <w:t>细化的房态显示：新入住、续住房标识，按房类、姓名来显示房态</w:t>
            </w:r>
            <w:r>
              <w:rPr>
                <w:rFonts w:hint="eastAsia" w:ascii="宋体" w:hAnsi="宋体" w:cs="宋体"/>
                <w:kern w:val="0"/>
                <w:sz w:val="18"/>
                <w:szCs w:val="18"/>
              </w:rPr>
              <w:br w:type="textWrapping"/>
            </w:r>
            <w:r>
              <w:rPr>
                <w:rFonts w:hint="eastAsia" w:ascii="宋体" w:hAnsi="宋体" w:cs="宋体"/>
                <w:kern w:val="0"/>
                <w:sz w:val="18"/>
                <w:szCs w:val="18"/>
              </w:rPr>
              <w:t>⑥支持快捷的入住流程：读身份证、发房卡、打印登记单（中英文帐单）同一界面一次性化完成</w:t>
            </w:r>
            <w:r>
              <w:rPr>
                <w:rFonts w:hint="eastAsia" w:ascii="宋体" w:hAnsi="宋体" w:cs="宋体"/>
                <w:kern w:val="0"/>
                <w:sz w:val="18"/>
                <w:szCs w:val="18"/>
              </w:rPr>
              <w:br w:type="textWrapping"/>
            </w:r>
            <w:r>
              <w:rPr>
                <w:rFonts w:hint="eastAsia" w:ascii="宋体" w:hAnsi="宋体" w:cs="宋体"/>
                <w:kern w:val="0"/>
                <w:sz w:val="18"/>
                <w:szCs w:val="18"/>
              </w:rPr>
              <w:t>⑦支持会员卡快速登记，姓名、联系方式、身份证、住址信息自动关联（不需要出示身份证）</w:t>
            </w:r>
            <w:r>
              <w:rPr>
                <w:rFonts w:hint="eastAsia" w:ascii="宋体" w:hAnsi="宋体" w:cs="宋体"/>
                <w:kern w:val="0"/>
                <w:sz w:val="18"/>
                <w:szCs w:val="18"/>
              </w:rPr>
              <w:br w:type="textWrapping"/>
            </w:r>
            <w:r>
              <w:rPr>
                <w:rFonts w:hint="eastAsia" w:ascii="宋体" w:hAnsi="宋体" w:cs="宋体"/>
                <w:kern w:val="0"/>
                <w:sz w:val="18"/>
                <w:szCs w:val="18"/>
              </w:rPr>
              <w:t>⑧信用卡预授权、消费卡也支持预授权</w:t>
            </w:r>
            <w:r>
              <w:rPr>
                <w:rFonts w:hint="eastAsia" w:ascii="宋体" w:hAnsi="宋体" w:cs="宋体"/>
                <w:kern w:val="0"/>
                <w:sz w:val="18"/>
                <w:szCs w:val="18"/>
              </w:rPr>
              <w:br w:type="textWrapping"/>
            </w:r>
            <w:r>
              <w:rPr>
                <w:rFonts w:hint="eastAsia" w:ascii="宋体" w:hAnsi="宋体" w:cs="宋体"/>
                <w:kern w:val="0"/>
                <w:sz w:val="18"/>
                <w:szCs w:val="18"/>
              </w:rPr>
              <w:t>⑨预订可以预订发卡（可以授权），</w:t>
            </w:r>
            <w:r>
              <w:rPr>
                <w:rFonts w:hint="eastAsia" w:ascii="宋体" w:hAnsi="宋体" w:cs="宋体"/>
                <w:kern w:val="0"/>
                <w:sz w:val="18"/>
                <w:szCs w:val="18"/>
              </w:rPr>
              <w:br w:type="textWrapping"/>
            </w:r>
            <w:r>
              <w:rPr>
                <w:rFonts w:hint="eastAsia" w:ascii="宋体" w:hAnsi="宋体" w:cs="宋体"/>
                <w:kern w:val="0"/>
                <w:sz w:val="18"/>
                <w:szCs w:val="18"/>
              </w:rPr>
              <w:t>⑩预订可以分批次分价格预订，分房后可以打印分房明细</w:t>
            </w:r>
            <w:r>
              <w:rPr>
                <w:rFonts w:hint="eastAsia" w:ascii="宋体" w:hAnsi="宋体" w:cs="宋体"/>
                <w:kern w:val="0"/>
                <w:sz w:val="18"/>
                <w:szCs w:val="18"/>
              </w:rPr>
              <w:br w:type="textWrapping"/>
            </w:r>
            <w:r>
              <w:rPr>
                <w:rFonts w:ascii="Cambria Math" w:hAnsi="Cambria Math" w:cs="Cambria Math"/>
                <w:kern w:val="0"/>
                <w:sz w:val="18"/>
                <w:szCs w:val="18"/>
              </w:rPr>
              <w:t>⑪</w:t>
            </w:r>
            <w:r>
              <w:rPr>
                <w:rFonts w:hint="eastAsia" w:ascii="宋体" w:hAnsi="宋体" w:cs="宋体"/>
                <w:kern w:val="0"/>
                <w:sz w:val="18"/>
                <w:szCs w:val="18"/>
              </w:rPr>
              <w:t>预订用房分析和用房明细、预订分房占用标记，方便前台的分房管理</w:t>
            </w:r>
            <w:r>
              <w:rPr>
                <w:rFonts w:hint="eastAsia" w:ascii="宋体" w:hAnsi="宋体" w:cs="宋体"/>
                <w:kern w:val="0"/>
                <w:sz w:val="18"/>
                <w:szCs w:val="18"/>
              </w:rPr>
              <w:br w:type="textWrapping"/>
            </w:r>
            <w:r>
              <w:rPr>
                <w:rFonts w:ascii="Cambria Math" w:hAnsi="Cambria Math" w:cs="Cambria Math"/>
                <w:kern w:val="0"/>
                <w:sz w:val="18"/>
                <w:szCs w:val="18"/>
              </w:rPr>
              <w:t>⑫</w:t>
            </w:r>
            <w:r>
              <w:rPr>
                <w:rFonts w:hint="eastAsia" w:ascii="宋体" w:hAnsi="宋体" w:cs="宋体"/>
                <w:kern w:val="0"/>
                <w:sz w:val="18"/>
                <w:szCs w:val="18"/>
              </w:rPr>
              <w:t>支持会议预订，详细的会议信息查看</w:t>
            </w:r>
            <w:r>
              <w:rPr>
                <w:rFonts w:hint="eastAsia" w:ascii="宋体" w:hAnsi="宋体" w:cs="宋体"/>
                <w:kern w:val="0"/>
                <w:sz w:val="18"/>
                <w:szCs w:val="18"/>
              </w:rPr>
              <w:br w:type="textWrapping"/>
            </w:r>
            <w:r>
              <w:rPr>
                <w:rFonts w:ascii="Cambria Math" w:hAnsi="Cambria Math" w:cs="Cambria Math"/>
                <w:kern w:val="0"/>
                <w:sz w:val="18"/>
                <w:szCs w:val="18"/>
              </w:rPr>
              <w:t>⑬</w:t>
            </w:r>
            <w:r>
              <w:rPr>
                <w:rFonts w:hint="eastAsia" w:ascii="宋体" w:hAnsi="宋体" w:cs="宋体"/>
                <w:kern w:val="0"/>
                <w:sz w:val="18"/>
                <w:szCs w:val="18"/>
              </w:rPr>
              <w:t>支持团体成员在同一界面批量读身份证、发房卡操作</w:t>
            </w:r>
            <w:r>
              <w:rPr>
                <w:rFonts w:hint="eastAsia" w:ascii="宋体" w:hAnsi="宋体" w:cs="宋体"/>
                <w:kern w:val="0"/>
                <w:sz w:val="18"/>
                <w:szCs w:val="18"/>
              </w:rPr>
              <w:br w:type="textWrapping"/>
            </w:r>
            <w:r>
              <w:rPr>
                <w:rFonts w:ascii="Cambria Math" w:hAnsi="Cambria Math" w:cs="Cambria Math"/>
                <w:kern w:val="0"/>
                <w:sz w:val="18"/>
                <w:szCs w:val="18"/>
              </w:rPr>
              <w:t>⑭</w:t>
            </w:r>
            <w:r>
              <w:rPr>
                <w:rFonts w:hint="eastAsia" w:ascii="宋体" w:hAnsi="宋体" w:cs="宋体"/>
                <w:kern w:val="0"/>
                <w:sz w:val="18"/>
                <w:szCs w:val="18"/>
              </w:rPr>
              <w:t>支持团体费用清单</w:t>
            </w:r>
            <w:r>
              <w:rPr>
                <w:rFonts w:hint="eastAsia" w:ascii="宋体" w:hAnsi="宋体" w:cs="宋体"/>
                <w:kern w:val="0"/>
                <w:sz w:val="18"/>
                <w:szCs w:val="18"/>
              </w:rPr>
              <w:br w:type="textWrapping"/>
            </w:r>
            <w:r>
              <w:rPr>
                <w:rFonts w:ascii="Cambria Math" w:hAnsi="Cambria Math" w:cs="Cambria Math"/>
                <w:kern w:val="0"/>
                <w:sz w:val="18"/>
                <w:szCs w:val="18"/>
              </w:rPr>
              <w:t>⑮</w:t>
            </w:r>
            <w:r>
              <w:rPr>
                <w:rFonts w:hint="eastAsia" w:ascii="宋体" w:hAnsi="宋体" w:cs="宋体"/>
                <w:kern w:val="0"/>
                <w:sz w:val="18"/>
                <w:szCs w:val="18"/>
              </w:rPr>
              <w:t>支持交班报表明细与汇总打印</w:t>
            </w:r>
            <w:r>
              <w:rPr>
                <w:rFonts w:hint="eastAsia" w:ascii="宋体" w:hAnsi="宋体" w:cs="宋体"/>
                <w:kern w:val="0"/>
                <w:sz w:val="18"/>
                <w:szCs w:val="18"/>
              </w:rPr>
              <w:br w:type="textWrapping"/>
            </w:r>
            <w:r>
              <w:rPr>
                <w:rFonts w:ascii="Cambria Math" w:hAnsi="Cambria Math" w:cs="Cambria Math"/>
                <w:kern w:val="0"/>
                <w:sz w:val="18"/>
                <w:szCs w:val="18"/>
              </w:rPr>
              <w:t>⑯</w:t>
            </w:r>
            <w:r>
              <w:rPr>
                <w:rFonts w:hint="eastAsia" w:ascii="宋体" w:hAnsi="宋体" w:cs="宋体"/>
                <w:kern w:val="0"/>
                <w:sz w:val="18"/>
                <w:szCs w:val="18"/>
              </w:rPr>
              <w:t>支持押金单明细控制</w:t>
            </w:r>
            <w:r>
              <w:rPr>
                <w:rFonts w:hint="eastAsia" w:ascii="宋体" w:hAnsi="宋体" w:cs="宋体"/>
                <w:kern w:val="0"/>
                <w:sz w:val="18"/>
                <w:szCs w:val="18"/>
              </w:rPr>
              <w:br w:type="textWrapping"/>
            </w:r>
            <w:r>
              <w:rPr>
                <w:rFonts w:hint="eastAsia" w:ascii="宋体" w:hAnsi="宋体" w:cs="宋体"/>
                <w:kern w:val="0"/>
                <w:sz w:val="18"/>
                <w:szCs w:val="18"/>
              </w:rPr>
              <w:t>2、前台接待管理；</w:t>
            </w:r>
            <w:r>
              <w:rPr>
                <w:rFonts w:hint="eastAsia" w:ascii="宋体" w:hAnsi="宋体" w:cs="宋体"/>
                <w:kern w:val="0"/>
                <w:sz w:val="18"/>
                <w:szCs w:val="18"/>
              </w:rPr>
              <w:br w:type="textWrapping"/>
            </w:r>
            <w:r>
              <w:rPr>
                <w:rFonts w:hint="eastAsia" w:ascii="宋体" w:hAnsi="宋体" w:cs="宋体"/>
                <w:kern w:val="0"/>
                <w:sz w:val="18"/>
                <w:szCs w:val="18"/>
              </w:rPr>
              <w:t>1）预订宾客入住，2）无预订宾客入住，3）联房/出团管理，4）续住管理，5）换房管理，6）房卡制作管理，7）登记单打印</w:t>
            </w:r>
            <w:r>
              <w:rPr>
                <w:rFonts w:hint="eastAsia" w:ascii="宋体" w:hAnsi="宋体" w:cs="宋体"/>
                <w:kern w:val="0"/>
                <w:sz w:val="18"/>
                <w:szCs w:val="18"/>
              </w:rPr>
              <w:br w:type="textWrapping"/>
            </w:r>
            <w:r>
              <w:rPr>
                <w:rFonts w:hint="eastAsia" w:ascii="宋体" w:hAnsi="宋体" w:cs="宋体"/>
                <w:kern w:val="0"/>
                <w:sz w:val="18"/>
                <w:szCs w:val="18"/>
              </w:rPr>
              <w:t>3、前台收银管理；</w:t>
            </w:r>
            <w:r>
              <w:rPr>
                <w:rFonts w:hint="eastAsia" w:ascii="宋体" w:hAnsi="宋体" w:cs="宋体"/>
                <w:kern w:val="0"/>
                <w:sz w:val="18"/>
                <w:szCs w:val="18"/>
              </w:rPr>
              <w:br w:type="textWrapping"/>
            </w:r>
            <w:r>
              <w:rPr>
                <w:rFonts w:hint="eastAsia" w:ascii="宋体" w:hAnsi="宋体" w:cs="宋体"/>
                <w:kern w:val="0"/>
                <w:sz w:val="18"/>
                <w:szCs w:val="18"/>
              </w:rPr>
              <w:t>1）押金录入，2）帐务录入，3）房间转帐，4）单房结帐，5）团体结帐，6）非住店客帐管理，7）房间临时挂起，8支付宝/微信支付，9）帐务撤销，10）特殊操作授权管理</w:t>
            </w:r>
            <w:r>
              <w:rPr>
                <w:rFonts w:hint="eastAsia" w:ascii="宋体" w:hAnsi="宋体" w:cs="宋体"/>
                <w:kern w:val="0"/>
                <w:sz w:val="18"/>
                <w:szCs w:val="18"/>
              </w:rPr>
              <w:br w:type="textWrapping"/>
            </w:r>
            <w:r>
              <w:rPr>
                <w:rFonts w:hint="eastAsia" w:ascii="宋体" w:hAnsi="宋体" w:cs="宋体"/>
                <w:kern w:val="0"/>
                <w:sz w:val="18"/>
                <w:szCs w:val="18"/>
              </w:rPr>
              <w:t>①提供多种团队结算清单(明细账单，按房间汇总账单等)</w:t>
            </w:r>
            <w:r>
              <w:rPr>
                <w:rFonts w:hint="eastAsia" w:ascii="宋体" w:hAnsi="宋体" w:cs="宋体"/>
                <w:kern w:val="0"/>
                <w:sz w:val="18"/>
                <w:szCs w:val="18"/>
              </w:rPr>
              <w:br w:type="textWrapping"/>
            </w:r>
            <w:r>
              <w:rPr>
                <w:rFonts w:hint="eastAsia" w:ascii="宋体" w:hAnsi="宋体" w:cs="宋体"/>
                <w:kern w:val="0"/>
                <w:sz w:val="18"/>
                <w:szCs w:val="18"/>
              </w:rPr>
              <w:t>②提供多维度报表查询，支持报表切换，方便总台财务查账</w:t>
            </w:r>
            <w:r>
              <w:rPr>
                <w:rFonts w:hint="eastAsia" w:ascii="宋体" w:hAnsi="宋体" w:cs="宋体"/>
                <w:kern w:val="0"/>
                <w:sz w:val="18"/>
                <w:szCs w:val="18"/>
              </w:rPr>
              <w:br w:type="textWrapping"/>
            </w:r>
            <w:r>
              <w:rPr>
                <w:rFonts w:hint="eastAsia" w:ascii="宋体" w:hAnsi="宋体" w:cs="宋体"/>
                <w:kern w:val="0"/>
                <w:sz w:val="18"/>
                <w:szCs w:val="18"/>
              </w:rPr>
              <w:t>③提供防漏报表方便酒店管理各种异常账务处理</w:t>
            </w:r>
            <w:r>
              <w:rPr>
                <w:rFonts w:hint="eastAsia" w:ascii="宋体" w:hAnsi="宋体" w:cs="宋体"/>
                <w:kern w:val="0"/>
                <w:sz w:val="18"/>
                <w:szCs w:val="18"/>
              </w:rPr>
              <w:br w:type="textWrapping"/>
            </w:r>
            <w:r>
              <w:rPr>
                <w:rFonts w:hint="eastAsia" w:ascii="宋体" w:hAnsi="宋体" w:cs="宋体"/>
                <w:kern w:val="0"/>
                <w:sz w:val="18"/>
                <w:szCs w:val="18"/>
              </w:rPr>
              <w:t>4、房务中心管理；</w:t>
            </w:r>
            <w:r>
              <w:rPr>
                <w:rFonts w:hint="eastAsia" w:ascii="宋体" w:hAnsi="宋体" w:cs="宋体"/>
                <w:kern w:val="0"/>
                <w:sz w:val="18"/>
                <w:szCs w:val="18"/>
              </w:rPr>
              <w:br w:type="textWrapping"/>
            </w:r>
            <w:r>
              <w:rPr>
                <w:rFonts w:hint="eastAsia" w:ascii="宋体" w:hAnsi="宋体" w:cs="宋体"/>
                <w:kern w:val="0"/>
                <w:sz w:val="18"/>
                <w:szCs w:val="18"/>
              </w:rPr>
              <w:t>1）房态修改，2）客吧消费录入，3）客房借物品管理，4）宾客信息查询，5）客吧消费项目统计，6）房间清扫人员录入统计，7）客房物品遗落登记管理</w:t>
            </w:r>
            <w:r>
              <w:rPr>
                <w:rFonts w:hint="eastAsia" w:ascii="宋体" w:hAnsi="宋体" w:cs="宋体"/>
                <w:kern w:val="0"/>
                <w:sz w:val="18"/>
                <w:szCs w:val="18"/>
              </w:rPr>
              <w:br w:type="textWrapping"/>
            </w:r>
            <w:r>
              <w:rPr>
                <w:rFonts w:hint="eastAsia" w:ascii="宋体" w:hAnsi="宋体" w:cs="宋体"/>
                <w:kern w:val="0"/>
                <w:sz w:val="18"/>
                <w:szCs w:val="18"/>
              </w:rPr>
              <w:t>①支持物品借还管理</w:t>
            </w:r>
            <w:r>
              <w:rPr>
                <w:rFonts w:hint="eastAsia" w:ascii="宋体" w:hAnsi="宋体" w:cs="宋体"/>
                <w:kern w:val="0"/>
                <w:sz w:val="18"/>
                <w:szCs w:val="18"/>
              </w:rPr>
              <w:br w:type="textWrapping"/>
            </w:r>
            <w:r>
              <w:rPr>
                <w:rFonts w:hint="eastAsia" w:ascii="宋体" w:hAnsi="宋体" w:cs="宋体"/>
                <w:kern w:val="0"/>
                <w:sz w:val="18"/>
                <w:szCs w:val="18"/>
              </w:rPr>
              <w:t>②支持系统房态功能丰富，钟点房、自用房、免费房、生日提示、贵宾、保密</w:t>
            </w:r>
            <w:r>
              <w:rPr>
                <w:rFonts w:hint="eastAsia" w:ascii="宋体" w:hAnsi="宋体" w:cs="宋体"/>
                <w:kern w:val="0"/>
                <w:sz w:val="18"/>
                <w:szCs w:val="18"/>
              </w:rPr>
              <w:br w:type="textWrapping"/>
            </w:r>
            <w:r>
              <w:rPr>
                <w:rFonts w:hint="eastAsia" w:ascii="宋体" w:hAnsi="宋体" w:cs="宋体"/>
                <w:kern w:val="0"/>
                <w:sz w:val="18"/>
                <w:szCs w:val="18"/>
              </w:rPr>
              <w:t>③支持联房各项信息显示</w:t>
            </w:r>
            <w:r>
              <w:rPr>
                <w:rFonts w:hint="eastAsia" w:ascii="宋体" w:hAnsi="宋体" w:cs="宋体"/>
                <w:kern w:val="0"/>
                <w:sz w:val="18"/>
                <w:szCs w:val="18"/>
              </w:rPr>
              <w:br w:type="textWrapping"/>
            </w:r>
            <w:r>
              <w:rPr>
                <w:rFonts w:hint="eastAsia" w:ascii="宋体" w:hAnsi="宋体" w:cs="宋体"/>
                <w:kern w:val="0"/>
                <w:sz w:val="18"/>
                <w:szCs w:val="18"/>
              </w:rPr>
              <w:t>④支持一键查询功能，在账务列表中输入相关信息可以查询到宾客，已结账，在住、预定、临时挂账等信息</w:t>
            </w:r>
            <w:r>
              <w:rPr>
                <w:rFonts w:hint="eastAsia" w:ascii="宋体" w:hAnsi="宋体" w:cs="宋体"/>
                <w:kern w:val="0"/>
                <w:sz w:val="18"/>
                <w:szCs w:val="18"/>
              </w:rPr>
              <w:br w:type="textWrapping"/>
            </w:r>
            <w:r>
              <w:rPr>
                <w:rFonts w:hint="eastAsia" w:ascii="宋体" w:hAnsi="宋体" w:cs="宋体"/>
                <w:kern w:val="0"/>
                <w:sz w:val="18"/>
                <w:szCs w:val="18"/>
              </w:rPr>
              <w:t>⑤支持详细日志，接待日志，房间状态日志，门锁发卡日志，重点授权日志</w:t>
            </w:r>
            <w:r>
              <w:rPr>
                <w:rFonts w:hint="eastAsia" w:ascii="宋体" w:hAnsi="宋体" w:cs="宋体"/>
                <w:kern w:val="0"/>
                <w:sz w:val="18"/>
                <w:szCs w:val="18"/>
              </w:rPr>
              <w:br w:type="textWrapping"/>
            </w:r>
            <w:r>
              <w:rPr>
                <w:rFonts w:hint="eastAsia" w:ascii="宋体" w:hAnsi="宋体" w:cs="宋体"/>
                <w:kern w:val="0"/>
                <w:sz w:val="18"/>
                <w:szCs w:val="18"/>
              </w:rPr>
              <w:t>⑥支持客房自动报查房，和客房吧入账</w:t>
            </w:r>
            <w:r>
              <w:rPr>
                <w:rFonts w:hint="eastAsia" w:ascii="宋体" w:hAnsi="宋体" w:cs="宋体"/>
                <w:kern w:val="0"/>
                <w:sz w:val="18"/>
                <w:szCs w:val="18"/>
              </w:rPr>
              <w:br w:type="textWrapping"/>
            </w:r>
            <w:r>
              <w:rPr>
                <w:rFonts w:hint="eastAsia" w:ascii="宋体" w:hAnsi="宋体" w:cs="宋体"/>
                <w:kern w:val="0"/>
                <w:sz w:val="18"/>
                <w:szCs w:val="18"/>
              </w:rPr>
              <w:t>⑦支持房务部员工工作量统计(住脏房清扫，脏退房清扫等)</w:t>
            </w:r>
            <w:r>
              <w:rPr>
                <w:rFonts w:hint="eastAsia" w:ascii="宋体" w:hAnsi="宋体" w:cs="宋体"/>
                <w:kern w:val="0"/>
                <w:sz w:val="18"/>
                <w:szCs w:val="18"/>
              </w:rPr>
              <w:br w:type="textWrapping"/>
            </w:r>
            <w:r>
              <w:rPr>
                <w:rFonts w:hint="eastAsia" w:ascii="宋体" w:hAnsi="宋体" w:cs="宋体"/>
                <w:kern w:val="0"/>
                <w:sz w:val="18"/>
                <w:szCs w:val="18"/>
              </w:rPr>
              <w:t>⑦支持外借登记管理，遗留物品登记管理</w:t>
            </w:r>
            <w:r>
              <w:rPr>
                <w:rFonts w:hint="eastAsia" w:ascii="宋体" w:hAnsi="宋体" w:cs="宋体"/>
                <w:kern w:val="0"/>
                <w:sz w:val="18"/>
                <w:szCs w:val="18"/>
              </w:rPr>
              <w:br w:type="textWrapping"/>
            </w:r>
            <w:r>
              <w:rPr>
                <w:rFonts w:hint="eastAsia" w:ascii="宋体" w:hAnsi="宋体" w:cs="宋体"/>
                <w:kern w:val="0"/>
                <w:sz w:val="18"/>
                <w:szCs w:val="18"/>
              </w:rPr>
              <w:t>⑧支持多维度，多层次价格方案，不同渠道不同价格，支持节假日特殊房价</w:t>
            </w:r>
            <w:r>
              <w:rPr>
                <w:rFonts w:hint="eastAsia" w:ascii="宋体" w:hAnsi="宋体" w:cs="宋体"/>
                <w:kern w:val="0"/>
                <w:sz w:val="18"/>
                <w:szCs w:val="18"/>
              </w:rPr>
              <w:br w:type="textWrapping"/>
            </w:r>
            <w:r>
              <w:rPr>
                <w:rFonts w:hint="eastAsia" w:ascii="宋体" w:hAnsi="宋体" w:cs="宋体"/>
                <w:kern w:val="0"/>
                <w:sz w:val="18"/>
                <w:szCs w:val="18"/>
              </w:rPr>
              <w:t>⑨支持钟点房凌晨房房费自动计算</w:t>
            </w:r>
            <w:r>
              <w:rPr>
                <w:rFonts w:hint="eastAsia" w:ascii="宋体" w:hAnsi="宋体" w:cs="宋体"/>
                <w:kern w:val="0"/>
                <w:sz w:val="18"/>
                <w:szCs w:val="18"/>
              </w:rPr>
              <w:br w:type="textWrapping"/>
            </w:r>
            <w:r>
              <w:rPr>
                <w:rFonts w:hint="eastAsia" w:ascii="宋体" w:hAnsi="宋体" w:cs="宋体"/>
                <w:kern w:val="0"/>
                <w:sz w:val="18"/>
                <w:szCs w:val="18"/>
              </w:rPr>
              <w:t>⑩支持酒店虚拟账单功能</w:t>
            </w:r>
            <w:r>
              <w:rPr>
                <w:rFonts w:hint="eastAsia" w:ascii="宋体" w:hAnsi="宋体" w:cs="宋体"/>
                <w:kern w:val="0"/>
                <w:sz w:val="18"/>
                <w:szCs w:val="18"/>
              </w:rPr>
              <w:br w:type="textWrapping"/>
            </w:r>
            <w:r>
              <w:rPr>
                <w:rFonts w:ascii="Cambria Math" w:hAnsi="Cambria Math" w:cs="Cambria Math"/>
                <w:kern w:val="0"/>
                <w:sz w:val="18"/>
                <w:szCs w:val="18"/>
              </w:rPr>
              <w:t>⑪</w:t>
            </w:r>
            <w:r>
              <w:rPr>
                <w:rFonts w:hint="eastAsia" w:ascii="宋体" w:hAnsi="宋体" w:cs="宋体"/>
                <w:kern w:val="0"/>
                <w:sz w:val="18"/>
                <w:szCs w:val="18"/>
              </w:rPr>
              <w:t>支持前台配合报入住与退房，入住与退房分两种声音提示，且退房优先</w:t>
            </w:r>
            <w:r>
              <w:rPr>
                <w:rFonts w:hint="eastAsia" w:ascii="宋体" w:hAnsi="宋体" w:cs="宋体"/>
                <w:kern w:val="0"/>
                <w:sz w:val="18"/>
                <w:szCs w:val="18"/>
              </w:rPr>
              <w:br w:type="textWrapping"/>
            </w:r>
            <w:r>
              <w:rPr>
                <w:rFonts w:hint="eastAsia" w:ascii="宋体" w:hAnsi="宋体" w:cs="宋体"/>
                <w:kern w:val="0"/>
                <w:sz w:val="18"/>
                <w:szCs w:val="18"/>
              </w:rPr>
              <w:t>脏房与续住房打扫操作（可以先设置待查，待领班查房后再改成净房，二次确认）</w:t>
            </w:r>
            <w:r>
              <w:rPr>
                <w:rFonts w:hint="eastAsia" w:ascii="宋体" w:hAnsi="宋体" w:cs="宋体"/>
                <w:kern w:val="0"/>
                <w:sz w:val="18"/>
                <w:szCs w:val="18"/>
              </w:rPr>
              <w:br w:type="textWrapping"/>
            </w:r>
            <w:r>
              <w:rPr>
                <w:rFonts w:ascii="Cambria Math" w:hAnsi="Cambria Math" w:cs="Cambria Math"/>
                <w:kern w:val="0"/>
                <w:sz w:val="18"/>
                <w:szCs w:val="18"/>
              </w:rPr>
              <w:t>⑫</w:t>
            </w:r>
            <w:r>
              <w:rPr>
                <w:rFonts w:hint="eastAsia" w:ascii="宋体" w:hAnsi="宋体" w:cs="宋体"/>
                <w:kern w:val="0"/>
                <w:sz w:val="18"/>
                <w:szCs w:val="18"/>
              </w:rPr>
              <w:t>支持客吧的消费品明细、汇总统计</w:t>
            </w:r>
            <w:r>
              <w:rPr>
                <w:rFonts w:hint="eastAsia" w:ascii="宋体" w:hAnsi="宋体" w:cs="宋体"/>
                <w:kern w:val="0"/>
                <w:sz w:val="18"/>
                <w:szCs w:val="18"/>
              </w:rPr>
              <w:br w:type="textWrapping"/>
            </w:r>
            <w:r>
              <w:rPr>
                <w:rFonts w:ascii="Cambria Math" w:hAnsi="Cambria Math" w:cs="Cambria Math"/>
                <w:kern w:val="0"/>
                <w:sz w:val="18"/>
                <w:szCs w:val="18"/>
              </w:rPr>
              <w:t>⑬</w:t>
            </w:r>
            <w:r>
              <w:rPr>
                <w:rFonts w:hint="eastAsia" w:ascii="宋体" w:hAnsi="宋体" w:cs="宋体"/>
                <w:kern w:val="0"/>
                <w:sz w:val="18"/>
                <w:szCs w:val="18"/>
              </w:rPr>
              <w:t>支持外借各遗失登记，外借未归还结帐提醒，不允许结帐</w:t>
            </w:r>
            <w:r>
              <w:rPr>
                <w:rFonts w:hint="eastAsia" w:ascii="宋体" w:hAnsi="宋体" w:cs="宋体"/>
                <w:kern w:val="0"/>
                <w:sz w:val="18"/>
                <w:szCs w:val="18"/>
              </w:rPr>
              <w:br w:type="textWrapping"/>
            </w:r>
            <w:r>
              <w:rPr>
                <w:rFonts w:ascii="Cambria Math" w:hAnsi="Cambria Math" w:cs="Cambria Math"/>
                <w:kern w:val="0"/>
                <w:sz w:val="18"/>
                <w:szCs w:val="18"/>
              </w:rPr>
              <w:t>⑭</w:t>
            </w:r>
            <w:r>
              <w:rPr>
                <w:rFonts w:hint="eastAsia" w:ascii="宋体" w:hAnsi="宋体" w:cs="宋体"/>
                <w:kern w:val="0"/>
                <w:sz w:val="18"/>
                <w:szCs w:val="18"/>
              </w:rPr>
              <w:t>支持报修过程的优化（设置维修房输入维修原因自动生成维修单）</w:t>
            </w:r>
            <w:r>
              <w:rPr>
                <w:rFonts w:hint="eastAsia" w:ascii="宋体" w:hAnsi="宋体" w:cs="宋体"/>
                <w:kern w:val="0"/>
                <w:sz w:val="18"/>
                <w:szCs w:val="18"/>
              </w:rPr>
              <w:br w:type="textWrapping"/>
            </w:r>
            <w:r>
              <w:rPr>
                <w:rFonts w:hint="eastAsia" w:ascii="宋体" w:hAnsi="宋体" w:cs="宋体"/>
                <w:kern w:val="0"/>
                <w:sz w:val="18"/>
                <w:szCs w:val="18"/>
              </w:rPr>
              <w:t>5、CRM客户管理；</w:t>
            </w:r>
            <w:r>
              <w:rPr>
                <w:rFonts w:hint="eastAsia" w:ascii="宋体" w:hAnsi="宋体" w:cs="宋体"/>
                <w:kern w:val="0"/>
                <w:sz w:val="18"/>
                <w:szCs w:val="18"/>
              </w:rPr>
              <w:br w:type="textWrapping"/>
            </w:r>
            <w:r>
              <w:rPr>
                <w:rFonts w:hint="eastAsia" w:ascii="宋体" w:hAnsi="宋体" w:cs="宋体"/>
                <w:kern w:val="0"/>
                <w:sz w:val="18"/>
                <w:szCs w:val="18"/>
              </w:rPr>
              <w:t>1）生日提醒，2）客人喜好设定，3）回头客提醒</w:t>
            </w:r>
            <w:r>
              <w:rPr>
                <w:rFonts w:hint="eastAsia" w:ascii="宋体" w:hAnsi="宋体" w:cs="宋体"/>
                <w:kern w:val="0"/>
                <w:sz w:val="18"/>
                <w:szCs w:val="18"/>
              </w:rPr>
              <w:br w:type="textWrapping"/>
            </w:r>
            <w:r>
              <w:rPr>
                <w:rFonts w:hint="eastAsia" w:ascii="宋体" w:hAnsi="宋体" w:cs="宋体"/>
                <w:kern w:val="0"/>
                <w:sz w:val="18"/>
                <w:szCs w:val="18"/>
              </w:rPr>
              <w:t>6、协议单位管理；</w:t>
            </w:r>
            <w:r>
              <w:rPr>
                <w:rFonts w:hint="eastAsia" w:ascii="宋体" w:hAnsi="宋体" w:cs="宋体"/>
                <w:kern w:val="0"/>
                <w:sz w:val="18"/>
                <w:szCs w:val="18"/>
              </w:rPr>
              <w:br w:type="textWrapping"/>
            </w:r>
            <w:r>
              <w:rPr>
                <w:rFonts w:hint="eastAsia" w:ascii="宋体" w:hAnsi="宋体" w:cs="宋体"/>
                <w:kern w:val="0"/>
                <w:sz w:val="18"/>
                <w:szCs w:val="18"/>
              </w:rPr>
              <w:t>1）协议新增/修改/删除，2）挂帐权限管理，3）签单人管理，4）协议价设定，5）支持一个协议单位一个价格独立设定</w:t>
            </w:r>
            <w:r>
              <w:rPr>
                <w:rFonts w:hint="eastAsia" w:ascii="宋体" w:hAnsi="宋体" w:cs="宋体"/>
                <w:kern w:val="0"/>
                <w:sz w:val="18"/>
                <w:szCs w:val="18"/>
              </w:rPr>
              <w:br w:type="textWrapping"/>
            </w:r>
            <w:r>
              <w:rPr>
                <w:rFonts w:hint="eastAsia" w:ascii="宋体" w:hAnsi="宋体" w:cs="宋体"/>
                <w:kern w:val="0"/>
                <w:sz w:val="18"/>
                <w:szCs w:val="18"/>
              </w:rPr>
              <w:t>7、协议应收帐管理；</w:t>
            </w:r>
            <w:r>
              <w:rPr>
                <w:rFonts w:hint="eastAsia" w:ascii="宋体" w:hAnsi="宋体" w:cs="宋体"/>
                <w:kern w:val="0"/>
                <w:sz w:val="18"/>
                <w:szCs w:val="18"/>
              </w:rPr>
              <w:br w:type="textWrapping"/>
            </w:r>
            <w:r>
              <w:rPr>
                <w:rFonts w:hint="eastAsia" w:ascii="宋体" w:hAnsi="宋体" w:cs="宋体"/>
                <w:kern w:val="0"/>
                <w:sz w:val="18"/>
                <w:szCs w:val="18"/>
              </w:rPr>
              <w:t>1）应收帐查询分析，2）应收帐收回管理，3）帐龄分析，4）应收帐拆分、转帐，5）营销员应收帐归责管理</w:t>
            </w:r>
            <w:r>
              <w:rPr>
                <w:rFonts w:hint="eastAsia" w:ascii="宋体" w:hAnsi="宋体" w:cs="宋体"/>
                <w:kern w:val="0"/>
                <w:sz w:val="18"/>
                <w:szCs w:val="18"/>
              </w:rPr>
              <w:br w:type="textWrapping"/>
            </w:r>
            <w:r>
              <w:rPr>
                <w:rFonts w:hint="eastAsia" w:ascii="宋体" w:hAnsi="宋体" w:cs="宋体"/>
                <w:kern w:val="0"/>
                <w:sz w:val="18"/>
                <w:szCs w:val="18"/>
              </w:rPr>
              <w:t>8、房价体系管理（房价码管理）；</w:t>
            </w:r>
            <w:r>
              <w:rPr>
                <w:rFonts w:hint="eastAsia" w:ascii="宋体" w:hAnsi="宋体" w:cs="宋体"/>
                <w:kern w:val="0"/>
                <w:sz w:val="18"/>
                <w:szCs w:val="18"/>
              </w:rPr>
              <w:br w:type="textWrapping"/>
            </w:r>
            <w:r>
              <w:rPr>
                <w:rFonts w:hint="eastAsia" w:ascii="宋体" w:hAnsi="宋体" w:cs="宋体"/>
                <w:kern w:val="0"/>
                <w:sz w:val="18"/>
                <w:szCs w:val="18"/>
              </w:rPr>
              <w:t>1）房价码新增/修改，2）房价码房价自动更改，3）特殊假期房价码设定</w:t>
            </w:r>
            <w:r>
              <w:rPr>
                <w:rFonts w:hint="eastAsia" w:ascii="宋体" w:hAnsi="宋体" w:cs="宋体"/>
                <w:kern w:val="0"/>
                <w:sz w:val="18"/>
                <w:szCs w:val="18"/>
              </w:rPr>
              <w:br w:type="textWrapping"/>
            </w:r>
            <w:r>
              <w:rPr>
                <w:rFonts w:hint="eastAsia" w:ascii="宋体" w:hAnsi="宋体" w:cs="宋体"/>
                <w:kern w:val="0"/>
                <w:sz w:val="18"/>
                <w:szCs w:val="18"/>
              </w:rPr>
              <w:t>9、会员管理（含积分管理机制）；</w:t>
            </w:r>
            <w:r>
              <w:rPr>
                <w:rFonts w:hint="eastAsia" w:ascii="宋体" w:hAnsi="宋体" w:cs="宋体"/>
                <w:kern w:val="0"/>
                <w:sz w:val="18"/>
                <w:szCs w:val="18"/>
              </w:rPr>
              <w:br w:type="textWrapping"/>
            </w:r>
            <w:r>
              <w:rPr>
                <w:rFonts w:hint="eastAsia" w:ascii="宋体" w:hAnsi="宋体" w:cs="宋体"/>
                <w:kern w:val="0"/>
                <w:sz w:val="18"/>
                <w:szCs w:val="18"/>
              </w:rPr>
              <w:t>1）会员新增/修改/删除，2）会员折扣管理，3）会员充值/消费，4）会员积分管理，5）会员多店共享消费</w:t>
            </w:r>
            <w:r>
              <w:rPr>
                <w:rFonts w:hint="eastAsia" w:ascii="宋体" w:hAnsi="宋体" w:cs="宋体"/>
                <w:kern w:val="0"/>
                <w:sz w:val="18"/>
                <w:szCs w:val="18"/>
              </w:rPr>
              <w:br w:type="textWrapping"/>
            </w:r>
            <w:r>
              <w:rPr>
                <w:rFonts w:hint="eastAsia" w:ascii="宋体" w:hAnsi="宋体" w:cs="宋体"/>
                <w:kern w:val="0"/>
                <w:sz w:val="18"/>
                <w:szCs w:val="18"/>
              </w:rPr>
              <w:t>10、销售员管理（全员销售）；</w:t>
            </w:r>
            <w:r>
              <w:rPr>
                <w:rFonts w:hint="eastAsia" w:ascii="宋体" w:hAnsi="宋体" w:cs="宋体"/>
                <w:kern w:val="0"/>
                <w:sz w:val="18"/>
                <w:szCs w:val="18"/>
              </w:rPr>
              <w:br w:type="textWrapping"/>
            </w:r>
            <w:r>
              <w:rPr>
                <w:rFonts w:hint="eastAsia" w:ascii="宋体" w:hAnsi="宋体" w:cs="宋体"/>
                <w:kern w:val="0"/>
                <w:sz w:val="18"/>
                <w:szCs w:val="18"/>
              </w:rPr>
              <w:t>1）销售员新增/删除，2）销售业绩统计，3）销售订单管理</w:t>
            </w:r>
            <w:r>
              <w:rPr>
                <w:rFonts w:hint="eastAsia" w:ascii="宋体" w:hAnsi="宋体" w:cs="宋体"/>
                <w:kern w:val="0"/>
                <w:sz w:val="18"/>
                <w:szCs w:val="18"/>
              </w:rPr>
              <w:br w:type="textWrapping"/>
            </w:r>
            <w:r>
              <w:rPr>
                <w:rFonts w:hint="eastAsia" w:ascii="宋体" w:hAnsi="宋体" w:cs="宋体"/>
                <w:kern w:val="0"/>
                <w:sz w:val="18"/>
                <w:szCs w:val="18"/>
              </w:rPr>
              <w:t>11、佣金体系管理；</w:t>
            </w:r>
            <w:r>
              <w:rPr>
                <w:rFonts w:hint="eastAsia" w:ascii="宋体" w:hAnsi="宋体" w:cs="宋体"/>
                <w:kern w:val="0"/>
                <w:sz w:val="18"/>
                <w:szCs w:val="18"/>
              </w:rPr>
              <w:br w:type="textWrapping"/>
            </w:r>
            <w:r>
              <w:rPr>
                <w:rFonts w:hint="eastAsia" w:ascii="宋体" w:hAnsi="宋体" w:cs="宋体"/>
                <w:kern w:val="0"/>
                <w:sz w:val="18"/>
                <w:szCs w:val="18"/>
              </w:rPr>
              <w:t>1）佣金比例设定，2）佣金统计分析</w:t>
            </w:r>
            <w:r>
              <w:rPr>
                <w:rFonts w:hint="eastAsia" w:ascii="宋体" w:hAnsi="宋体" w:cs="宋体"/>
                <w:kern w:val="0"/>
                <w:sz w:val="18"/>
                <w:szCs w:val="18"/>
              </w:rPr>
              <w:br w:type="textWrapping"/>
            </w:r>
            <w:r>
              <w:rPr>
                <w:rFonts w:hint="eastAsia" w:ascii="宋体" w:hAnsi="宋体" w:cs="宋体"/>
                <w:kern w:val="0"/>
                <w:sz w:val="18"/>
                <w:szCs w:val="18"/>
              </w:rPr>
              <w:t>12、夜审处理；</w:t>
            </w:r>
            <w:r>
              <w:rPr>
                <w:rFonts w:hint="eastAsia" w:ascii="宋体" w:hAnsi="宋体" w:cs="宋体"/>
                <w:kern w:val="0"/>
                <w:sz w:val="18"/>
                <w:szCs w:val="18"/>
              </w:rPr>
              <w:br w:type="textWrapping"/>
            </w:r>
            <w:r>
              <w:rPr>
                <w:rFonts w:hint="eastAsia" w:ascii="宋体" w:hAnsi="宋体" w:cs="宋体"/>
                <w:kern w:val="0"/>
                <w:sz w:val="18"/>
                <w:szCs w:val="18"/>
              </w:rPr>
              <w:t>1）预审分析，2）房费稽核管理，3）夜审系统</w:t>
            </w:r>
            <w:r>
              <w:rPr>
                <w:rFonts w:hint="eastAsia" w:ascii="宋体" w:hAnsi="宋体" w:cs="宋体"/>
                <w:kern w:val="0"/>
                <w:sz w:val="18"/>
                <w:szCs w:val="18"/>
              </w:rPr>
              <w:br w:type="textWrapping"/>
            </w:r>
            <w:r>
              <w:rPr>
                <w:rFonts w:hint="eastAsia" w:ascii="宋体" w:hAnsi="宋体" w:cs="宋体"/>
                <w:kern w:val="0"/>
                <w:sz w:val="18"/>
                <w:szCs w:val="18"/>
              </w:rPr>
              <w:t>13、报表中心系统（自定义报表）；</w:t>
            </w:r>
            <w:r>
              <w:rPr>
                <w:rFonts w:hint="eastAsia" w:ascii="宋体" w:hAnsi="宋体" w:cs="宋体"/>
                <w:kern w:val="0"/>
                <w:sz w:val="18"/>
                <w:szCs w:val="18"/>
              </w:rPr>
              <w:br w:type="textWrapping"/>
            </w:r>
            <w:r>
              <w:rPr>
                <w:rFonts w:hint="eastAsia" w:ascii="宋体" w:hAnsi="宋体" w:cs="宋体"/>
                <w:kern w:val="0"/>
                <w:sz w:val="18"/>
                <w:szCs w:val="18"/>
              </w:rPr>
              <w:t>1）自定义报表设计，2）自定义报表调整</w:t>
            </w:r>
            <w:r>
              <w:rPr>
                <w:rFonts w:hint="eastAsia" w:ascii="宋体" w:hAnsi="宋体" w:cs="宋体"/>
                <w:kern w:val="0"/>
                <w:sz w:val="18"/>
                <w:szCs w:val="18"/>
              </w:rPr>
              <w:br w:type="textWrapping"/>
            </w:r>
            <w:r>
              <w:rPr>
                <w:rFonts w:hint="eastAsia" w:ascii="宋体" w:hAnsi="宋体" w:cs="宋体"/>
                <w:kern w:val="0"/>
                <w:sz w:val="18"/>
                <w:szCs w:val="18"/>
              </w:rPr>
              <w:t>①支持交班报表明细与汇总，开票与未开票分开统计</w:t>
            </w:r>
            <w:r>
              <w:rPr>
                <w:rFonts w:hint="eastAsia" w:ascii="宋体" w:hAnsi="宋体" w:cs="宋体"/>
                <w:kern w:val="0"/>
                <w:sz w:val="18"/>
                <w:szCs w:val="18"/>
              </w:rPr>
              <w:br w:type="textWrapping"/>
            </w:r>
            <w:r>
              <w:rPr>
                <w:rFonts w:hint="eastAsia" w:ascii="宋体" w:hAnsi="宋体" w:cs="宋体"/>
                <w:kern w:val="0"/>
                <w:sz w:val="18"/>
                <w:szCs w:val="18"/>
              </w:rPr>
              <w:t>②支持押金单明细控制</w:t>
            </w:r>
            <w:r>
              <w:rPr>
                <w:rFonts w:hint="eastAsia" w:ascii="宋体" w:hAnsi="宋体" w:cs="宋体"/>
                <w:kern w:val="0"/>
                <w:sz w:val="18"/>
                <w:szCs w:val="18"/>
              </w:rPr>
              <w:br w:type="textWrapping"/>
            </w:r>
            <w:r>
              <w:rPr>
                <w:rFonts w:hint="eastAsia" w:ascii="宋体" w:hAnsi="宋体" w:cs="宋体"/>
                <w:kern w:val="0"/>
                <w:sz w:val="18"/>
                <w:szCs w:val="18"/>
              </w:rPr>
              <w:t>③支持后台应收帐管理细化，消费卡独立；未收回应收帐帐齡分析，单位应收帐本</w:t>
            </w:r>
            <w:r>
              <w:rPr>
                <w:rFonts w:hint="eastAsia" w:ascii="宋体" w:hAnsi="宋体" w:cs="宋体"/>
                <w:kern w:val="0"/>
                <w:sz w:val="18"/>
                <w:szCs w:val="18"/>
              </w:rPr>
              <w:br w:type="textWrapping"/>
            </w:r>
            <w:r>
              <w:rPr>
                <w:rFonts w:hint="eastAsia" w:ascii="宋体" w:hAnsi="宋体" w:cs="宋体"/>
                <w:kern w:val="0"/>
                <w:sz w:val="18"/>
                <w:szCs w:val="18"/>
              </w:rPr>
              <w:t>④支持销售员业绩统计（按发生与结帐两种统计）：客人消费分为 挂账单位、协议单位、消费卡、直接消费</w:t>
            </w:r>
            <w:r>
              <w:rPr>
                <w:rFonts w:hint="eastAsia" w:ascii="宋体" w:hAnsi="宋体" w:cs="宋体"/>
                <w:kern w:val="0"/>
                <w:sz w:val="18"/>
                <w:szCs w:val="18"/>
              </w:rPr>
              <w:br w:type="textWrapping"/>
            </w:r>
            <w:r>
              <w:rPr>
                <w:rFonts w:hint="eastAsia" w:ascii="宋体" w:hAnsi="宋体" w:cs="宋体"/>
                <w:kern w:val="0"/>
                <w:sz w:val="18"/>
                <w:szCs w:val="18"/>
              </w:rPr>
              <w:t>⑤支持夜审报表：权责与收付两套报表，酒店总收入、实际收入与内部签单三种格式；本日、本月、本年、环比、同比查看分析</w:t>
            </w:r>
          </w:p>
        </w:tc>
        <w:tc>
          <w:tcPr>
            <w:tcW w:w="404" w:type="dxa"/>
            <w:tcBorders>
              <w:top w:val="nil"/>
              <w:left w:val="nil"/>
              <w:bottom w:val="single" w:color="auto" w:sz="4" w:space="0"/>
              <w:right w:val="single" w:color="auto" w:sz="4" w:space="0"/>
            </w:tcBorders>
            <w:shd w:val="clear" w:color="000000" w:fill="FFFFFF"/>
            <w:vAlign w:val="center"/>
          </w:tcPr>
          <w:p w14:paraId="1E9EB6C5">
            <w:pPr>
              <w:widowControl/>
              <w:jc w:val="center"/>
              <w:rPr>
                <w:rFonts w:ascii="宋体" w:hAnsi="宋体" w:cs="宋体"/>
                <w:kern w:val="0"/>
                <w:sz w:val="18"/>
                <w:szCs w:val="18"/>
              </w:rPr>
            </w:pPr>
            <w:r>
              <w:rPr>
                <w:rFonts w:hint="eastAsia" w:ascii="宋体" w:hAnsi="宋体" w:cs="宋体"/>
                <w:kern w:val="0"/>
                <w:sz w:val="18"/>
                <w:szCs w:val="18"/>
              </w:rPr>
              <w:t>1</w:t>
            </w:r>
          </w:p>
        </w:tc>
        <w:tc>
          <w:tcPr>
            <w:tcW w:w="504" w:type="dxa"/>
            <w:tcBorders>
              <w:top w:val="nil"/>
              <w:left w:val="nil"/>
              <w:bottom w:val="single" w:color="auto" w:sz="4" w:space="0"/>
              <w:right w:val="single" w:color="auto" w:sz="4" w:space="0"/>
            </w:tcBorders>
            <w:shd w:val="clear" w:color="000000" w:fill="FFFFFF"/>
            <w:vAlign w:val="center"/>
          </w:tcPr>
          <w:p w14:paraId="49D678C2">
            <w:pPr>
              <w:widowControl/>
              <w:jc w:val="center"/>
              <w:rPr>
                <w:rFonts w:ascii="宋体" w:hAnsi="宋体" w:cs="宋体"/>
                <w:kern w:val="0"/>
                <w:sz w:val="18"/>
                <w:szCs w:val="18"/>
              </w:rPr>
            </w:pPr>
            <w:r>
              <w:rPr>
                <w:rFonts w:hint="eastAsia" w:ascii="宋体" w:hAnsi="宋体" w:cs="宋体"/>
                <w:kern w:val="0"/>
                <w:sz w:val="18"/>
                <w:szCs w:val="18"/>
              </w:rPr>
              <w:t>套</w:t>
            </w:r>
          </w:p>
        </w:tc>
        <w:tc>
          <w:tcPr>
            <w:tcW w:w="823" w:type="dxa"/>
            <w:tcBorders>
              <w:top w:val="nil"/>
              <w:left w:val="nil"/>
              <w:bottom w:val="single" w:color="auto" w:sz="4" w:space="0"/>
              <w:right w:val="single" w:color="auto" w:sz="4" w:space="0"/>
            </w:tcBorders>
            <w:shd w:val="clear" w:color="000000" w:fill="FFFFFF"/>
            <w:vAlign w:val="center"/>
          </w:tcPr>
          <w:p w14:paraId="43E39879">
            <w:pPr>
              <w:widowControl/>
              <w:jc w:val="left"/>
              <w:rPr>
                <w:rFonts w:ascii="宋体" w:hAnsi="宋体" w:cs="宋体"/>
                <w:kern w:val="0"/>
                <w:sz w:val="18"/>
                <w:szCs w:val="18"/>
              </w:rPr>
            </w:pPr>
            <w:r>
              <w:rPr>
                <w:rFonts w:hint="eastAsia" w:ascii="宋体" w:hAnsi="宋体" w:cs="宋体"/>
                <w:kern w:val="0"/>
                <w:sz w:val="18"/>
                <w:szCs w:val="18"/>
              </w:rPr>
              <w:t xml:space="preserve">95000 </w:t>
            </w:r>
          </w:p>
        </w:tc>
        <w:tc>
          <w:tcPr>
            <w:tcW w:w="865" w:type="dxa"/>
            <w:tcBorders>
              <w:top w:val="nil"/>
              <w:left w:val="nil"/>
              <w:bottom w:val="single" w:color="auto" w:sz="4" w:space="0"/>
              <w:right w:val="single" w:color="auto" w:sz="4" w:space="0"/>
            </w:tcBorders>
            <w:shd w:val="clear" w:color="000000" w:fill="FFFFFF"/>
            <w:vAlign w:val="center"/>
          </w:tcPr>
          <w:p w14:paraId="0D5D2650">
            <w:pPr>
              <w:widowControl/>
              <w:jc w:val="left"/>
              <w:rPr>
                <w:rFonts w:ascii="宋体" w:hAnsi="宋体" w:cs="宋体"/>
                <w:kern w:val="0"/>
                <w:sz w:val="18"/>
                <w:szCs w:val="18"/>
              </w:rPr>
            </w:pPr>
            <w:r>
              <w:rPr>
                <w:rFonts w:hint="eastAsia" w:ascii="宋体" w:hAnsi="宋体" w:cs="宋体"/>
                <w:kern w:val="0"/>
                <w:sz w:val="18"/>
                <w:szCs w:val="18"/>
              </w:rPr>
              <w:t xml:space="preserve">95000 </w:t>
            </w:r>
          </w:p>
        </w:tc>
      </w:tr>
      <w:tr w14:paraId="5399F9B6">
        <w:tblPrEx>
          <w:tblCellMar>
            <w:top w:w="0" w:type="dxa"/>
            <w:left w:w="108" w:type="dxa"/>
            <w:bottom w:w="0" w:type="dxa"/>
            <w:right w:w="108" w:type="dxa"/>
          </w:tblCellMar>
        </w:tblPrEx>
        <w:trPr>
          <w:trHeight w:val="1052" w:hRule="atLeast"/>
        </w:trPr>
        <w:tc>
          <w:tcPr>
            <w:tcW w:w="409" w:type="dxa"/>
            <w:tcBorders>
              <w:top w:val="nil"/>
              <w:left w:val="single" w:color="auto" w:sz="4" w:space="0"/>
              <w:bottom w:val="single" w:color="auto" w:sz="4" w:space="0"/>
              <w:right w:val="single" w:color="auto" w:sz="4" w:space="0"/>
            </w:tcBorders>
            <w:shd w:val="clear" w:color="000000" w:fill="FFFFFF"/>
            <w:noWrap/>
            <w:vAlign w:val="center"/>
          </w:tcPr>
          <w:p w14:paraId="3AF15FBA">
            <w:pPr>
              <w:widowControl/>
              <w:jc w:val="center"/>
              <w:rPr>
                <w:rFonts w:ascii="宋体" w:hAnsi="宋体" w:cs="宋体"/>
                <w:kern w:val="0"/>
                <w:sz w:val="18"/>
                <w:szCs w:val="18"/>
              </w:rPr>
            </w:pPr>
            <w:r>
              <w:rPr>
                <w:rFonts w:hint="eastAsia" w:ascii="宋体" w:hAnsi="宋体" w:cs="宋体"/>
                <w:kern w:val="0"/>
                <w:sz w:val="18"/>
                <w:szCs w:val="18"/>
              </w:rPr>
              <w:t>18</w:t>
            </w:r>
          </w:p>
        </w:tc>
        <w:tc>
          <w:tcPr>
            <w:tcW w:w="878" w:type="dxa"/>
            <w:tcBorders>
              <w:top w:val="nil"/>
              <w:left w:val="nil"/>
              <w:bottom w:val="single" w:color="auto" w:sz="4" w:space="0"/>
              <w:right w:val="single" w:color="auto" w:sz="4" w:space="0"/>
            </w:tcBorders>
            <w:shd w:val="clear" w:color="000000" w:fill="FFFFFF"/>
            <w:vAlign w:val="center"/>
          </w:tcPr>
          <w:p w14:paraId="58F23A16">
            <w:pPr>
              <w:widowControl/>
              <w:jc w:val="center"/>
              <w:rPr>
                <w:rFonts w:ascii="宋体" w:hAnsi="宋体" w:cs="宋体"/>
                <w:kern w:val="0"/>
                <w:sz w:val="18"/>
                <w:szCs w:val="18"/>
              </w:rPr>
            </w:pPr>
            <w:r>
              <w:rPr>
                <w:rFonts w:hint="eastAsia" w:ascii="宋体" w:hAnsi="宋体" w:cs="宋体"/>
                <w:kern w:val="0"/>
                <w:sz w:val="18"/>
                <w:szCs w:val="18"/>
              </w:rPr>
              <w:t>点钞机</w:t>
            </w:r>
          </w:p>
        </w:tc>
        <w:tc>
          <w:tcPr>
            <w:tcW w:w="4717" w:type="dxa"/>
            <w:tcBorders>
              <w:top w:val="nil"/>
              <w:left w:val="nil"/>
              <w:bottom w:val="single" w:color="auto" w:sz="4" w:space="0"/>
              <w:right w:val="single" w:color="auto" w:sz="4" w:space="0"/>
            </w:tcBorders>
            <w:shd w:val="clear" w:color="000000" w:fill="FFFFFF"/>
            <w:vAlign w:val="center"/>
          </w:tcPr>
          <w:p w14:paraId="5FAB3DD3">
            <w:pPr>
              <w:widowControl/>
              <w:jc w:val="left"/>
              <w:rPr>
                <w:rFonts w:ascii="宋体" w:hAnsi="宋体" w:cs="宋体"/>
                <w:kern w:val="0"/>
                <w:sz w:val="18"/>
                <w:szCs w:val="18"/>
              </w:rPr>
            </w:pPr>
            <w:r>
              <w:rPr>
                <w:rFonts w:hint="eastAsia" w:ascii="宋体" w:hAnsi="宋体" w:cs="宋体"/>
                <w:kern w:val="0"/>
                <w:sz w:val="18"/>
                <w:szCs w:val="18"/>
              </w:rPr>
              <w:t>具备点、验人民币功能，24*20*29厘米，≧900张/分，可验五版人民币，六大模式，五双检测功能，双屏显示，智能语音点钞机，液晶日光灯示验钞带报警功能</w:t>
            </w:r>
          </w:p>
        </w:tc>
        <w:tc>
          <w:tcPr>
            <w:tcW w:w="404" w:type="dxa"/>
            <w:tcBorders>
              <w:top w:val="nil"/>
              <w:left w:val="nil"/>
              <w:bottom w:val="single" w:color="auto" w:sz="4" w:space="0"/>
              <w:right w:val="single" w:color="auto" w:sz="4" w:space="0"/>
            </w:tcBorders>
            <w:shd w:val="clear" w:color="000000" w:fill="FFFFFF"/>
            <w:vAlign w:val="center"/>
          </w:tcPr>
          <w:p w14:paraId="476FADB4">
            <w:pPr>
              <w:widowControl/>
              <w:jc w:val="center"/>
              <w:rPr>
                <w:rFonts w:ascii="宋体" w:hAnsi="宋体" w:cs="宋体"/>
                <w:kern w:val="0"/>
                <w:sz w:val="18"/>
                <w:szCs w:val="18"/>
              </w:rPr>
            </w:pPr>
            <w:r>
              <w:rPr>
                <w:rFonts w:hint="eastAsia" w:ascii="宋体" w:hAnsi="宋体" w:cs="宋体"/>
                <w:kern w:val="0"/>
                <w:sz w:val="18"/>
                <w:szCs w:val="18"/>
              </w:rPr>
              <w:t>1</w:t>
            </w:r>
          </w:p>
        </w:tc>
        <w:tc>
          <w:tcPr>
            <w:tcW w:w="504" w:type="dxa"/>
            <w:tcBorders>
              <w:top w:val="nil"/>
              <w:left w:val="nil"/>
              <w:bottom w:val="single" w:color="auto" w:sz="4" w:space="0"/>
              <w:right w:val="single" w:color="auto" w:sz="4" w:space="0"/>
            </w:tcBorders>
            <w:shd w:val="clear" w:color="000000" w:fill="FFFFFF"/>
            <w:vAlign w:val="center"/>
          </w:tcPr>
          <w:p w14:paraId="2267BB5E">
            <w:pPr>
              <w:widowControl/>
              <w:jc w:val="center"/>
              <w:rPr>
                <w:rFonts w:ascii="宋体" w:hAnsi="宋体" w:cs="宋体"/>
                <w:kern w:val="0"/>
                <w:sz w:val="18"/>
                <w:szCs w:val="18"/>
              </w:rPr>
            </w:pPr>
            <w:r>
              <w:rPr>
                <w:rFonts w:hint="eastAsia" w:ascii="宋体" w:hAnsi="宋体" w:cs="宋体"/>
                <w:kern w:val="0"/>
                <w:sz w:val="18"/>
                <w:szCs w:val="18"/>
              </w:rPr>
              <w:t>台</w:t>
            </w:r>
          </w:p>
        </w:tc>
        <w:tc>
          <w:tcPr>
            <w:tcW w:w="823" w:type="dxa"/>
            <w:tcBorders>
              <w:top w:val="nil"/>
              <w:left w:val="nil"/>
              <w:bottom w:val="single" w:color="auto" w:sz="4" w:space="0"/>
              <w:right w:val="single" w:color="auto" w:sz="4" w:space="0"/>
            </w:tcBorders>
            <w:shd w:val="clear" w:color="000000" w:fill="FFFFFF"/>
            <w:vAlign w:val="center"/>
          </w:tcPr>
          <w:p w14:paraId="008BCAFC">
            <w:pPr>
              <w:widowControl/>
              <w:jc w:val="left"/>
              <w:rPr>
                <w:rFonts w:ascii="宋体" w:hAnsi="宋体" w:cs="宋体"/>
                <w:kern w:val="0"/>
                <w:sz w:val="18"/>
                <w:szCs w:val="18"/>
              </w:rPr>
            </w:pPr>
            <w:r>
              <w:rPr>
                <w:rFonts w:hint="eastAsia" w:ascii="宋体" w:hAnsi="宋体" w:cs="宋体"/>
                <w:kern w:val="0"/>
                <w:sz w:val="18"/>
                <w:szCs w:val="18"/>
              </w:rPr>
              <w:t xml:space="preserve">550 </w:t>
            </w:r>
          </w:p>
        </w:tc>
        <w:tc>
          <w:tcPr>
            <w:tcW w:w="865" w:type="dxa"/>
            <w:tcBorders>
              <w:top w:val="nil"/>
              <w:left w:val="nil"/>
              <w:bottom w:val="single" w:color="auto" w:sz="4" w:space="0"/>
              <w:right w:val="single" w:color="auto" w:sz="4" w:space="0"/>
            </w:tcBorders>
            <w:shd w:val="clear" w:color="000000" w:fill="FFFFFF"/>
            <w:vAlign w:val="center"/>
          </w:tcPr>
          <w:p w14:paraId="0DF6E41E">
            <w:pPr>
              <w:widowControl/>
              <w:jc w:val="left"/>
              <w:rPr>
                <w:rFonts w:ascii="宋体" w:hAnsi="宋体" w:cs="宋体"/>
                <w:kern w:val="0"/>
                <w:sz w:val="18"/>
                <w:szCs w:val="18"/>
              </w:rPr>
            </w:pPr>
            <w:r>
              <w:rPr>
                <w:rFonts w:hint="eastAsia" w:ascii="宋体" w:hAnsi="宋体" w:cs="宋体"/>
                <w:kern w:val="0"/>
                <w:sz w:val="18"/>
                <w:szCs w:val="18"/>
              </w:rPr>
              <w:t xml:space="preserve">550 </w:t>
            </w:r>
          </w:p>
        </w:tc>
      </w:tr>
      <w:tr w14:paraId="6D960DD2">
        <w:tblPrEx>
          <w:tblCellMar>
            <w:top w:w="0" w:type="dxa"/>
            <w:left w:w="108" w:type="dxa"/>
            <w:bottom w:w="0" w:type="dxa"/>
            <w:right w:w="108" w:type="dxa"/>
          </w:tblCellMar>
        </w:tblPrEx>
        <w:trPr>
          <w:trHeight w:val="2627" w:hRule="atLeast"/>
        </w:trPr>
        <w:tc>
          <w:tcPr>
            <w:tcW w:w="409" w:type="dxa"/>
            <w:tcBorders>
              <w:top w:val="nil"/>
              <w:left w:val="single" w:color="auto" w:sz="4" w:space="0"/>
              <w:bottom w:val="single" w:color="auto" w:sz="4" w:space="0"/>
              <w:right w:val="single" w:color="auto" w:sz="4" w:space="0"/>
            </w:tcBorders>
            <w:shd w:val="clear" w:color="000000" w:fill="FFFFFF"/>
            <w:noWrap/>
            <w:vAlign w:val="center"/>
          </w:tcPr>
          <w:p w14:paraId="550DA3E7">
            <w:pPr>
              <w:widowControl/>
              <w:jc w:val="center"/>
              <w:rPr>
                <w:rFonts w:ascii="宋体" w:hAnsi="宋体" w:cs="宋体"/>
                <w:kern w:val="0"/>
                <w:sz w:val="18"/>
                <w:szCs w:val="18"/>
              </w:rPr>
            </w:pPr>
            <w:r>
              <w:rPr>
                <w:rFonts w:hint="eastAsia" w:ascii="宋体" w:hAnsi="宋体" w:cs="宋体"/>
                <w:kern w:val="0"/>
                <w:sz w:val="18"/>
                <w:szCs w:val="18"/>
              </w:rPr>
              <w:t>19</w:t>
            </w:r>
          </w:p>
        </w:tc>
        <w:tc>
          <w:tcPr>
            <w:tcW w:w="878" w:type="dxa"/>
            <w:tcBorders>
              <w:top w:val="nil"/>
              <w:left w:val="nil"/>
              <w:bottom w:val="single" w:color="auto" w:sz="4" w:space="0"/>
              <w:right w:val="single" w:color="auto" w:sz="4" w:space="0"/>
            </w:tcBorders>
            <w:shd w:val="clear" w:color="000000" w:fill="FFFFFF"/>
            <w:vAlign w:val="center"/>
          </w:tcPr>
          <w:p w14:paraId="0755C2EB">
            <w:pPr>
              <w:widowControl/>
              <w:jc w:val="center"/>
              <w:rPr>
                <w:rFonts w:ascii="宋体" w:hAnsi="宋体" w:cs="宋体"/>
                <w:kern w:val="0"/>
                <w:sz w:val="18"/>
                <w:szCs w:val="18"/>
              </w:rPr>
            </w:pPr>
            <w:r>
              <w:rPr>
                <w:rFonts w:hint="eastAsia" w:ascii="宋体" w:hAnsi="宋体" w:cs="宋体"/>
                <w:kern w:val="0"/>
                <w:sz w:val="18"/>
                <w:szCs w:val="18"/>
              </w:rPr>
              <w:t>民宿服务实训物品</w:t>
            </w:r>
          </w:p>
        </w:tc>
        <w:tc>
          <w:tcPr>
            <w:tcW w:w="4717" w:type="dxa"/>
            <w:tcBorders>
              <w:top w:val="nil"/>
              <w:left w:val="nil"/>
              <w:bottom w:val="single" w:color="auto" w:sz="4" w:space="0"/>
              <w:right w:val="single" w:color="auto" w:sz="4" w:space="0"/>
            </w:tcBorders>
            <w:shd w:val="clear" w:color="000000" w:fill="FFFFFF"/>
            <w:vAlign w:val="center"/>
          </w:tcPr>
          <w:p w14:paraId="0023575D">
            <w:pPr>
              <w:widowControl/>
              <w:jc w:val="left"/>
              <w:rPr>
                <w:rFonts w:ascii="宋体" w:hAnsi="宋体" w:cs="宋体"/>
                <w:kern w:val="0"/>
                <w:sz w:val="18"/>
                <w:szCs w:val="18"/>
              </w:rPr>
            </w:pPr>
            <w:r>
              <w:rPr>
                <w:rFonts w:hint="eastAsia" w:ascii="宋体" w:hAnsi="宋体" w:cs="宋体"/>
                <w:kern w:val="0"/>
                <w:sz w:val="18"/>
                <w:szCs w:val="18"/>
              </w:rPr>
              <w:t>餐台2张，边台1张、边台台布2块，台布2块、展示盘4个、面包盘4个、黄油碟4个、（开胃菜刀、开胃菜叉、鱼刀、鱼叉、主菜刀、主菜叉、主餐勺、浓汤勺、甜品叉、甜品勺、黄油刀）4套、刀叉盒3个、水杯8个、红葡萄酒杯4个、白葡萄酒杯4个、冰桶2个、醒酒器2个、咖啡壶2个、（咖啡杯、杯碟、咖啡勺）4套、（茶杯、茶碟、勺）4套、（糖盅、奶盅）2套、餐巾16块、开胃菜盘8个、主菜盘8个、沙司盅3个、甜品盘4给、（盐盅、胡椒盅、牙签盅）2套、（冰桶、冰块、冰夹）2套、扫台器1个、熏桶1个、面包篮2个、面包夹1个、黄油夹1个、黄油盘1个，满足技能赛标准和实训要求。</w:t>
            </w:r>
          </w:p>
        </w:tc>
        <w:tc>
          <w:tcPr>
            <w:tcW w:w="404" w:type="dxa"/>
            <w:tcBorders>
              <w:top w:val="nil"/>
              <w:left w:val="nil"/>
              <w:bottom w:val="single" w:color="auto" w:sz="4" w:space="0"/>
              <w:right w:val="single" w:color="auto" w:sz="4" w:space="0"/>
            </w:tcBorders>
            <w:shd w:val="clear" w:color="000000" w:fill="FFFFFF"/>
            <w:vAlign w:val="center"/>
          </w:tcPr>
          <w:p w14:paraId="66DB41C8">
            <w:pPr>
              <w:widowControl/>
              <w:jc w:val="center"/>
              <w:rPr>
                <w:rFonts w:ascii="宋体" w:hAnsi="宋体" w:cs="宋体"/>
                <w:kern w:val="0"/>
                <w:sz w:val="18"/>
                <w:szCs w:val="18"/>
              </w:rPr>
            </w:pPr>
            <w:r>
              <w:rPr>
                <w:rFonts w:hint="eastAsia" w:ascii="宋体" w:hAnsi="宋体" w:cs="宋体"/>
                <w:kern w:val="0"/>
                <w:sz w:val="18"/>
                <w:szCs w:val="18"/>
              </w:rPr>
              <w:t>1</w:t>
            </w:r>
          </w:p>
        </w:tc>
        <w:tc>
          <w:tcPr>
            <w:tcW w:w="504" w:type="dxa"/>
            <w:tcBorders>
              <w:top w:val="nil"/>
              <w:left w:val="nil"/>
              <w:bottom w:val="single" w:color="auto" w:sz="4" w:space="0"/>
              <w:right w:val="single" w:color="auto" w:sz="4" w:space="0"/>
            </w:tcBorders>
            <w:shd w:val="clear" w:color="000000" w:fill="FFFFFF"/>
            <w:vAlign w:val="center"/>
          </w:tcPr>
          <w:p w14:paraId="04777BF0">
            <w:pPr>
              <w:widowControl/>
              <w:jc w:val="center"/>
              <w:rPr>
                <w:rFonts w:ascii="宋体" w:hAnsi="宋体" w:cs="宋体"/>
                <w:kern w:val="0"/>
                <w:sz w:val="18"/>
                <w:szCs w:val="18"/>
              </w:rPr>
            </w:pPr>
            <w:r>
              <w:rPr>
                <w:rFonts w:hint="eastAsia" w:ascii="宋体" w:hAnsi="宋体" w:cs="宋体"/>
                <w:kern w:val="0"/>
                <w:sz w:val="18"/>
                <w:szCs w:val="18"/>
              </w:rPr>
              <w:t>套</w:t>
            </w:r>
          </w:p>
        </w:tc>
        <w:tc>
          <w:tcPr>
            <w:tcW w:w="823" w:type="dxa"/>
            <w:tcBorders>
              <w:top w:val="nil"/>
              <w:left w:val="nil"/>
              <w:bottom w:val="single" w:color="auto" w:sz="4" w:space="0"/>
              <w:right w:val="single" w:color="auto" w:sz="4" w:space="0"/>
            </w:tcBorders>
            <w:shd w:val="clear" w:color="000000" w:fill="FFFFFF"/>
            <w:vAlign w:val="center"/>
          </w:tcPr>
          <w:p w14:paraId="76DA65B9">
            <w:pPr>
              <w:widowControl/>
              <w:jc w:val="left"/>
              <w:rPr>
                <w:rFonts w:ascii="宋体" w:hAnsi="宋体" w:cs="宋体"/>
                <w:kern w:val="0"/>
                <w:sz w:val="18"/>
                <w:szCs w:val="18"/>
              </w:rPr>
            </w:pPr>
            <w:r>
              <w:rPr>
                <w:rFonts w:hint="eastAsia" w:ascii="宋体" w:hAnsi="宋体" w:cs="宋体"/>
                <w:kern w:val="0"/>
                <w:sz w:val="18"/>
                <w:szCs w:val="18"/>
              </w:rPr>
              <w:t xml:space="preserve">11000 </w:t>
            </w:r>
          </w:p>
        </w:tc>
        <w:tc>
          <w:tcPr>
            <w:tcW w:w="865" w:type="dxa"/>
            <w:tcBorders>
              <w:top w:val="nil"/>
              <w:left w:val="nil"/>
              <w:bottom w:val="single" w:color="auto" w:sz="4" w:space="0"/>
              <w:right w:val="single" w:color="auto" w:sz="4" w:space="0"/>
            </w:tcBorders>
            <w:shd w:val="clear" w:color="000000" w:fill="FFFFFF"/>
            <w:vAlign w:val="center"/>
          </w:tcPr>
          <w:p w14:paraId="337D6B9C">
            <w:pPr>
              <w:widowControl/>
              <w:jc w:val="left"/>
              <w:rPr>
                <w:rFonts w:ascii="宋体" w:hAnsi="宋体" w:cs="宋体"/>
                <w:kern w:val="0"/>
                <w:sz w:val="18"/>
                <w:szCs w:val="18"/>
              </w:rPr>
            </w:pPr>
            <w:r>
              <w:rPr>
                <w:rFonts w:hint="eastAsia" w:ascii="宋体" w:hAnsi="宋体" w:cs="宋体"/>
                <w:kern w:val="0"/>
                <w:sz w:val="18"/>
                <w:szCs w:val="18"/>
              </w:rPr>
              <w:t xml:space="preserve">11000 </w:t>
            </w:r>
          </w:p>
        </w:tc>
      </w:tr>
      <w:tr w14:paraId="580FCFA8">
        <w:tblPrEx>
          <w:tblCellMar>
            <w:top w:w="0" w:type="dxa"/>
            <w:left w:w="108" w:type="dxa"/>
            <w:bottom w:w="0" w:type="dxa"/>
            <w:right w:w="108" w:type="dxa"/>
          </w:tblCellMar>
        </w:tblPrEx>
        <w:trPr>
          <w:trHeight w:val="1052" w:hRule="atLeast"/>
        </w:trPr>
        <w:tc>
          <w:tcPr>
            <w:tcW w:w="409" w:type="dxa"/>
            <w:tcBorders>
              <w:top w:val="nil"/>
              <w:left w:val="single" w:color="auto" w:sz="4" w:space="0"/>
              <w:bottom w:val="single" w:color="auto" w:sz="4" w:space="0"/>
              <w:right w:val="single" w:color="auto" w:sz="4" w:space="0"/>
            </w:tcBorders>
            <w:shd w:val="clear" w:color="000000" w:fill="FFFFFF"/>
            <w:noWrap/>
            <w:vAlign w:val="center"/>
          </w:tcPr>
          <w:p w14:paraId="309D1C70">
            <w:pPr>
              <w:widowControl/>
              <w:jc w:val="center"/>
              <w:rPr>
                <w:rFonts w:ascii="宋体" w:hAnsi="宋体" w:cs="宋体"/>
                <w:kern w:val="0"/>
                <w:sz w:val="18"/>
                <w:szCs w:val="18"/>
              </w:rPr>
            </w:pPr>
            <w:r>
              <w:rPr>
                <w:rFonts w:hint="eastAsia" w:ascii="宋体" w:hAnsi="宋体" w:cs="宋体"/>
                <w:kern w:val="0"/>
                <w:sz w:val="18"/>
                <w:szCs w:val="18"/>
              </w:rPr>
              <w:t>20</w:t>
            </w:r>
          </w:p>
        </w:tc>
        <w:tc>
          <w:tcPr>
            <w:tcW w:w="878" w:type="dxa"/>
            <w:tcBorders>
              <w:top w:val="nil"/>
              <w:left w:val="nil"/>
              <w:bottom w:val="single" w:color="auto" w:sz="4" w:space="0"/>
              <w:right w:val="single" w:color="auto" w:sz="4" w:space="0"/>
            </w:tcBorders>
            <w:shd w:val="clear" w:color="000000" w:fill="FFFFFF"/>
            <w:vAlign w:val="center"/>
          </w:tcPr>
          <w:p w14:paraId="1658C4F0">
            <w:pPr>
              <w:widowControl/>
              <w:jc w:val="center"/>
              <w:rPr>
                <w:rFonts w:ascii="宋体" w:hAnsi="宋体" w:cs="宋体"/>
                <w:kern w:val="0"/>
                <w:sz w:val="18"/>
                <w:szCs w:val="18"/>
              </w:rPr>
            </w:pPr>
            <w:r>
              <w:rPr>
                <w:rFonts w:hint="eastAsia" w:ascii="宋体" w:hAnsi="宋体" w:cs="宋体"/>
                <w:kern w:val="0"/>
                <w:sz w:val="18"/>
                <w:szCs w:val="18"/>
              </w:rPr>
              <w:t>系统集成及辅材</w:t>
            </w:r>
          </w:p>
        </w:tc>
        <w:tc>
          <w:tcPr>
            <w:tcW w:w="4717" w:type="dxa"/>
            <w:tcBorders>
              <w:top w:val="nil"/>
              <w:left w:val="nil"/>
              <w:bottom w:val="single" w:color="auto" w:sz="4" w:space="0"/>
              <w:right w:val="single" w:color="auto" w:sz="4" w:space="0"/>
            </w:tcBorders>
            <w:shd w:val="clear" w:color="000000" w:fill="FFFFFF"/>
            <w:vAlign w:val="center"/>
          </w:tcPr>
          <w:p w14:paraId="6687F344">
            <w:pPr>
              <w:widowControl/>
              <w:jc w:val="left"/>
              <w:rPr>
                <w:rFonts w:ascii="宋体" w:hAnsi="宋体" w:cs="宋体"/>
                <w:kern w:val="0"/>
                <w:sz w:val="18"/>
                <w:szCs w:val="18"/>
              </w:rPr>
            </w:pPr>
            <w:r>
              <w:rPr>
                <w:rFonts w:hint="eastAsia" w:ascii="宋体" w:hAnsi="宋体" w:cs="宋体"/>
                <w:kern w:val="0"/>
                <w:sz w:val="18"/>
                <w:szCs w:val="18"/>
              </w:rPr>
              <w:t>1.硬件安装施工等</w:t>
            </w:r>
            <w:r>
              <w:rPr>
                <w:rFonts w:hint="eastAsia" w:ascii="宋体" w:hAnsi="宋体" w:cs="宋体"/>
                <w:kern w:val="0"/>
                <w:sz w:val="18"/>
                <w:szCs w:val="18"/>
              </w:rPr>
              <w:br w:type="textWrapping"/>
            </w:r>
            <w:r>
              <w:rPr>
                <w:rFonts w:hint="eastAsia" w:ascii="宋体" w:hAnsi="宋体" w:cs="宋体"/>
                <w:kern w:val="0"/>
                <w:sz w:val="18"/>
                <w:szCs w:val="18"/>
              </w:rPr>
              <w:t>2.网线、电源线、HDMI高清线等辅材费用及系统集成安装调试等</w:t>
            </w:r>
          </w:p>
        </w:tc>
        <w:tc>
          <w:tcPr>
            <w:tcW w:w="404" w:type="dxa"/>
            <w:tcBorders>
              <w:top w:val="nil"/>
              <w:left w:val="nil"/>
              <w:bottom w:val="single" w:color="auto" w:sz="4" w:space="0"/>
              <w:right w:val="single" w:color="auto" w:sz="4" w:space="0"/>
            </w:tcBorders>
            <w:shd w:val="clear" w:color="000000" w:fill="FFFFFF"/>
            <w:vAlign w:val="center"/>
          </w:tcPr>
          <w:p w14:paraId="088C6DDE">
            <w:pPr>
              <w:widowControl/>
              <w:jc w:val="center"/>
              <w:rPr>
                <w:rFonts w:ascii="宋体" w:hAnsi="宋体" w:cs="宋体"/>
                <w:kern w:val="0"/>
                <w:sz w:val="18"/>
                <w:szCs w:val="18"/>
              </w:rPr>
            </w:pPr>
            <w:r>
              <w:rPr>
                <w:rFonts w:hint="eastAsia" w:ascii="宋体" w:hAnsi="宋体" w:cs="宋体"/>
                <w:kern w:val="0"/>
                <w:sz w:val="18"/>
                <w:szCs w:val="18"/>
              </w:rPr>
              <w:t>1</w:t>
            </w:r>
          </w:p>
        </w:tc>
        <w:tc>
          <w:tcPr>
            <w:tcW w:w="504" w:type="dxa"/>
            <w:tcBorders>
              <w:top w:val="nil"/>
              <w:left w:val="nil"/>
              <w:bottom w:val="single" w:color="auto" w:sz="4" w:space="0"/>
              <w:right w:val="single" w:color="auto" w:sz="4" w:space="0"/>
            </w:tcBorders>
            <w:shd w:val="clear" w:color="000000" w:fill="FFFFFF"/>
            <w:vAlign w:val="center"/>
          </w:tcPr>
          <w:p w14:paraId="0E5FA249">
            <w:pPr>
              <w:widowControl/>
              <w:jc w:val="center"/>
              <w:rPr>
                <w:rFonts w:ascii="宋体" w:hAnsi="宋体" w:cs="宋体"/>
                <w:kern w:val="0"/>
                <w:sz w:val="18"/>
                <w:szCs w:val="18"/>
              </w:rPr>
            </w:pPr>
            <w:r>
              <w:rPr>
                <w:rFonts w:hint="eastAsia" w:ascii="宋体" w:hAnsi="宋体" w:cs="宋体"/>
                <w:kern w:val="0"/>
                <w:sz w:val="18"/>
                <w:szCs w:val="18"/>
              </w:rPr>
              <w:t>项</w:t>
            </w:r>
          </w:p>
        </w:tc>
        <w:tc>
          <w:tcPr>
            <w:tcW w:w="823" w:type="dxa"/>
            <w:tcBorders>
              <w:top w:val="nil"/>
              <w:left w:val="nil"/>
              <w:bottom w:val="single" w:color="auto" w:sz="4" w:space="0"/>
              <w:right w:val="single" w:color="auto" w:sz="4" w:space="0"/>
            </w:tcBorders>
            <w:shd w:val="clear" w:color="000000" w:fill="FFFFFF"/>
            <w:vAlign w:val="center"/>
          </w:tcPr>
          <w:p w14:paraId="05E18CAF">
            <w:pPr>
              <w:widowControl/>
              <w:jc w:val="left"/>
              <w:rPr>
                <w:rFonts w:ascii="宋体" w:hAnsi="宋体" w:cs="宋体"/>
                <w:kern w:val="0"/>
                <w:sz w:val="18"/>
                <w:szCs w:val="18"/>
              </w:rPr>
            </w:pPr>
            <w:r>
              <w:rPr>
                <w:rFonts w:hint="eastAsia" w:ascii="宋体" w:hAnsi="宋体" w:cs="宋体"/>
                <w:kern w:val="0"/>
                <w:sz w:val="18"/>
                <w:szCs w:val="18"/>
              </w:rPr>
              <w:t xml:space="preserve">5000 </w:t>
            </w:r>
          </w:p>
        </w:tc>
        <w:tc>
          <w:tcPr>
            <w:tcW w:w="865" w:type="dxa"/>
            <w:tcBorders>
              <w:top w:val="nil"/>
              <w:left w:val="nil"/>
              <w:bottom w:val="single" w:color="auto" w:sz="4" w:space="0"/>
              <w:right w:val="single" w:color="auto" w:sz="4" w:space="0"/>
            </w:tcBorders>
            <w:shd w:val="clear" w:color="000000" w:fill="FFFFFF"/>
            <w:vAlign w:val="center"/>
          </w:tcPr>
          <w:p w14:paraId="38DED7F6">
            <w:pPr>
              <w:widowControl/>
              <w:jc w:val="left"/>
              <w:rPr>
                <w:rFonts w:ascii="宋体" w:hAnsi="宋体" w:cs="宋体"/>
                <w:kern w:val="0"/>
                <w:sz w:val="18"/>
                <w:szCs w:val="18"/>
              </w:rPr>
            </w:pPr>
            <w:r>
              <w:rPr>
                <w:rFonts w:hint="eastAsia" w:ascii="宋体" w:hAnsi="宋体" w:cs="宋体"/>
                <w:kern w:val="0"/>
                <w:sz w:val="18"/>
                <w:szCs w:val="18"/>
              </w:rPr>
              <w:t xml:space="preserve">5000 </w:t>
            </w:r>
          </w:p>
        </w:tc>
      </w:tr>
      <w:tr w14:paraId="34D76D8A">
        <w:tblPrEx>
          <w:tblCellMar>
            <w:top w:w="0" w:type="dxa"/>
            <w:left w:w="108" w:type="dxa"/>
            <w:bottom w:w="0" w:type="dxa"/>
            <w:right w:w="108" w:type="dxa"/>
          </w:tblCellMar>
        </w:tblPrEx>
        <w:trPr>
          <w:trHeight w:val="2253" w:hRule="atLeast"/>
        </w:trPr>
        <w:tc>
          <w:tcPr>
            <w:tcW w:w="409" w:type="dxa"/>
            <w:tcBorders>
              <w:top w:val="nil"/>
              <w:left w:val="single" w:color="auto" w:sz="4" w:space="0"/>
              <w:bottom w:val="single" w:color="auto" w:sz="4" w:space="0"/>
              <w:right w:val="single" w:color="auto" w:sz="4" w:space="0"/>
            </w:tcBorders>
            <w:shd w:val="clear" w:color="000000" w:fill="FFFFFF"/>
            <w:noWrap/>
            <w:vAlign w:val="center"/>
          </w:tcPr>
          <w:p w14:paraId="719E5152">
            <w:pPr>
              <w:widowControl/>
              <w:jc w:val="center"/>
              <w:rPr>
                <w:rFonts w:ascii="宋体" w:hAnsi="宋体" w:cs="宋体"/>
                <w:kern w:val="0"/>
                <w:sz w:val="18"/>
                <w:szCs w:val="18"/>
              </w:rPr>
            </w:pPr>
            <w:r>
              <w:rPr>
                <w:rFonts w:hint="eastAsia" w:ascii="宋体" w:hAnsi="宋体" w:cs="宋体"/>
                <w:kern w:val="0"/>
                <w:sz w:val="18"/>
                <w:szCs w:val="18"/>
              </w:rPr>
              <w:t>21</w:t>
            </w:r>
          </w:p>
        </w:tc>
        <w:tc>
          <w:tcPr>
            <w:tcW w:w="878" w:type="dxa"/>
            <w:tcBorders>
              <w:top w:val="nil"/>
              <w:left w:val="nil"/>
              <w:bottom w:val="single" w:color="auto" w:sz="4" w:space="0"/>
              <w:right w:val="single" w:color="auto" w:sz="4" w:space="0"/>
            </w:tcBorders>
            <w:shd w:val="clear" w:color="000000" w:fill="FFFFFF"/>
            <w:vAlign w:val="center"/>
          </w:tcPr>
          <w:p w14:paraId="61A2A934">
            <w:pPr>
              <w:widowControl/>
              <w:jc w:val="center"/>
              <w:rPr>
                <w:rFonts w:ascii="宋体" w:hAnsi="宋体" w:cs="宋体"/>
                <w:kern w:val="0"/>
                <w:sz w:val="18"/>
                <w:szCs w:val="18"/>
              </w:rPr>
            </w:pPr>
            <w:r>
              <w:rPr>
                <w:rFonts w:hint="eastAsia" w:ascii="宋体" w:hAnsi="宋体" w:cs="宋体"/>
                <w:kern w:val="0"/>
                <w:sz w:val="18"/>
                <w:szCs w:val="18"/>
              </w:rPr>
              <w:t>实训室环境搭建</w:t>
            </w:r>
          </w:p>
        </w:tc>
        <w:tc>
          <w:tcPr>
            <w:tcW w:w="4717" w:type="dxa"/>
            <w:tcBorders>
              <w:top w:val="nil"/>
              <w:left w:val="nil"/>
              <w:bottom w:val="single" w:color="auto" w:sz="4" w:space="0"/>
              <w:right w:val="single" w:color="auto" w:sz="4" w:space="0"/>
            </w:tcBorders>
            <w:shd w:val="clear" w:color="000000" w:fill="FFFFFF"/>
            <w:vAlign w:val="center"/>
          </w:tcPr>
          <w:p w14:paraId="384217D1">
            <w:pPr>
              <w:widowControl/>
              <w:jc w:val="left"/>
              <w:rPr>
                <w:rFonts w:ascii="宋体" w:hAnsi="宋体" w:cs="宋体"/>
                <w:kern w:val="0"/>
                <w:sz w:val="18"/>
                <w:szCs w:val="18"/>
              </w:rPr>
            </w:pPr>
            <w:r>
              <w:rPr>
                <w:rFonts w:hint="eastAsia" w:ascii="宋体" w:hAnsi="宋体" w:cs="宋体"/>
                <w:kern w:val="0"/>
                <w:sz w:val="18"/>
                <w:szCs w:val="18"/>
              </w:rPr>
              <w:t>1、实训环境搭建，包括整体氛围装修装饰、强弱电改造，墙饰布置生动形象、富有美感：墙饰布置体现教育价值，具有审美价值；</w:t>
            </w:r>
            <w:r>
              <w:rPr>
                <w:rFonts w:hint="eastAsia" w:ascii="宋体" w:hAnsi="宋体" w:cs="宋体"/>
                <w:kern w:val="0"/>
                <w:sz w:val="18"/>
                <w:szCs w:val="18"/>
              </w:rPr>
              <w:br w:type="textWrapping"/>
            </w:r>
            <w:r>
              <w:rPr>
                <w:rFonts w:hint="eastAsia" w:ascii="宋体" w:hAnsi="宋体" w:cs="宋体"/>
                <w:kern w:val="0"/>
                <w:sz w:val="18"/>
                <w:szCs w:val="18"/>
              </w:rPr>
              <w:t>2、设计后效果更加真实，寓教于墙饰之中，让墙饰产生潜移默化的教育和熏陶作用，充分表现不同功能空间和使用对象的精神内涵，每一个细节有独特的设计理念，满足实训室实训情境门窗地面环境需求，能够打造出一个富有个性而且优美的实训室，包括设计效果图，满足用户要求为准。</w:t>
            </w:r>
          </w:p>
        </w:tc>
        <w:tc>
          <w:tcPr>
            <w:tcW w:w="404" w:type="dxa"/>
            <w:tcBorders>
              <w:top w:val="nil"/>
              <w:left w:val="nil"/>
              <w:bottom w:val="single" w:color="auto" w:sz="4" w:space="0"/>
              <w:right w:val="single" w:color="auto" w:sz="4" w:space="0"/>
            </w:tcBorders>
            <w:shd w:val="clear" w:color="000000" w:fill="FFFFFF"/>
            <w:vAlign w:val="center"/>
          </w:tcPr>
          <w:p w14:paraId="5A98844A">
            <w:pPr>
              <w:widowControl/>
              <w:jc w:val="center"/>
              <w:rPr>
                <w:rFonts w:ascii="宋体" w:hAnsi="宋体" w:cs="宋体"/>
                <w:kern w:val="0"/>
                <w:sz w:val="18"/>
                <w:szCs w:val="18"/>
              </w:rPr>
            </w:pPr>
            <w:r>
              <w:rPr>
                <w:rFonts w:hint="eastAsia" w:ascii="宋体" w:hAnsi="宋体" w:cs="宋体"/>
                <w:kern w:val="0"/>
                <w:sz w:val="18"/>
                <w:szCs w:val="18"/>
              </w:rPr>
              <w:t>1</w:t>
            </w:r>
          </w:p>
        </w:tc>
        <w:tc>
          <w:tcPr>
            <w:tcW w:w="504" w:type="dxa"/>
            <w:tcBorders>
              <w:top w:val="nil"/>
              <w:left w:val="nil"/>
              <w:bottom w:val="single" w:color="auto" w:sz="4" w:space="0"/>
              <w:right w:val="single" w:color="auto" w:sz="4" w:space="0"/>
            </w:tcBorders>
            <w:shd w:val="clear" w:color="000000" w:fill="FFFFFF"/>
            <w:vAlign w:val="center"/>
          </w:tcPr>
          <w:p w14:paraId="28180325">
            <w:pPr>
              <w:widowControl/>
              <w:jc w:val="center"/>
              <w:rPr>
                <w:rFonts w:ascii="宋体" w:hAnsi="宋体" w:cs="宋体"/>
                <w:kern w:val="0"/>
                <w:sz w:val="18"/>
                <w:szCs w:val="18"/>
              </w:rPr>
            </w:pPr>
            <w:r>
              <w:rPr>
                <w:rFonts w:hint="eastAsia" w:ascii="宋体" w:hAnsi="宋体" w:cs="宋体"/>
                <w:kern w:val="0"/>
                <w:sz w:val="18"/>
                <w:szCs w:val="18"/>
              </w:rPr>
              <w:t>项</w:t>
            </w:r>
          </w:p>
        </w:tc>
        <w:tc>
          <w:tcPr>
            <w:tcW w:w="823" w:type="dxa"/>
            <w:tcBorders>
              <w:top w:val="nil"/>
              <w:left w:val="nil"/>
              <w:bottom w:val="single" w:color="auto" w:sz="4" w:space="0"/>
              <w:right w:val="single" w:color="auto" w:sz="4" w:space="0"/>
            </w:tcBorders>
            <w:shd w:val="clear" w:color="000000" w:fill="FFFFFF"/>
            <w:vAlign w:val="center"/>
          </w:tcPr>
          <w:p w14:paraId="3C3D6A60">
            <w:pPr>
              <w:widowControl/>
              <w:jc w:val="left"/>
              <w:rPr>
                <w:rFonts w:ascii="宋体" w:hAnsi="宋体" w:cs="宋体"/>
                <w:kern w:val="0"/>
                <w:sz w:val="18"/>
                <w:szCs w:val="18"/>
              </w:rPr>
            </w:pPr>
            <w:r>
              <w:rPr>
                <w:rFonts w:hint="eastAsia" w:ascii="宋体" w:hAnsi="宋体" w:cs="宋体"/>
                <w:kern w:val="0"/>
                <w:sz w:val="18"/>
                <w:szCs w:val="18"/>
              </w:rPr>
              <w:t xml:space="preserve">65000 </w:t>
            </w:r>
          </w:p>
        </w:tc>
        <w:tc>
          <w:tcPr>
            <w:tcW w:w="865" w:type="dxa"/>
            <w:tcBorders>
              <w:top w:val="nil"/>
              <w:left w:val="nil"/>
              <w:bottom w:val="single" w:color="auto" w:sz="4" w:space="0"/>
              <w:right w:val="single" w:color="auto" w:sz="4" w:space="0"/>
            </w:tcBorders>
            <w:shd w:val="clear" w:color="000000" w:fill="FFFFFF"/>
            <w:vAlign w:val="center"/>
          </w:tcPr>
          <w:p w14:paraId="1B26A6BD">
            <w:pPr>
              <w:widowControl/>
              <w:jc w:val="left"/>
              <w:rPr>
                <w:rFonts w:ascii="宋体" w:hAnsi="宋体" w:cs="宋体"/>
                <w:kern w:val="0"/>
                <w:sz w:val="18"/>
                <w:szCs w:val="18"/>
              </w:rPr>
            </w:pPr>
            <w:r>
              <w:rPr>
                <w:rFonts w:hint="eastAsia" w:ascii="宋体" w:hAnsi="宋体" w:cs="宋体"/>
                <w:kern w:val="0"/>
                <w:sz w:val="18"/>
                <w:szCs w:val="18"/>
              </w:rPr>
              <w:t xml:space="preserve">65000 </w:t>
            </w:r>
          </w:p>
        </w:tc>
      </w:tr>
      <w:tr w14:paraId="61656916">
        <w:tblPrEx>
          <w:tblCellMar>
            <w:top w:w="0" w:type="dxa"/>
            <w:left w:w="108" w:type="dxa"/>
            <w:bottom w:w="0" w:type="dxa"/>
            <w:right w:w="108" w:type="dxa"/>
          </w:tblCellMar>
        </w:tblPrEx>
        <w:trPr>
          <w:trHeight w:val="4507" w:hRule="atLeast"/>
        </w:trPr>
        <w:tc>
          <w:tcPr>
            <w:tcW w:w="409" w:type="dxa"/>
            <w:tcBorders>
              <w:top w:val="nil"/>
              <w:left w:val="single" w:color="auto" w:sz="4" w:space="0"/>
              <w:bottom w:val="single" w:color="auto" w:sz="4" w:space="0"/>
              <w:right w:val="single" w:color="auto" w:sz="4" w:space="0"/>
            </w:tcBorders>
            <w:shd w:val="clear" w:color="000000" w:fill="FFFFFF"/>
            <w:noWrap/>
            <w:vAlign w:val="center"/>
          </w:tcPr>
          <w:p w14:paraId="4792088C">
            <w:pPr>
              <w:widowControl/>
              <w:jc w:val="center"/>
              <w:rPr>
                <w:rFonts w:ascii="宋体" w:hAnsi="宋体" w:cs="宋体"/>
                <w:kern w:val="0"/>
                <w:sz w:val="18"/>
                <w:szCs w:val="18"/>
              </w:rPr>
            </w:pPr>
            <w:r>
              <w:rPr>
                <w:rFonts w:hint="eastAsia" w:ascii="宋体" w:hAnsi="宋体" w:cs="宋体"/>
                <w:kern w:val="0"/>
                <w:sz w:val="18"/>
                <w:szCs w:val="18"/>
              </w:rPr>
              <w:t>22</w:t>
            </w:r>
          </w:p>
        </w:tc>
        <w:tc>
          <w:tcPr>
            <w:tcW w:w="878" w:type="dxa"/>
            <w:tcBorders>
              <w:top w:val="nil"/>
              <w:left w:val="nil"/>
              <w:bottom w:val="single" w:color="auto" w:sz="4" w:space="0"/>
              <w:right w:val="single" w:color="auto" w:sz="4" w:space="0"/>
            </w:tcBorders>
            <w:shd w:val="clear" w:color="000000" w:fill="FFFFFF"/>
            <w:vAlign w:val="center"/>
          </w:tcPr>
          <w:p w14:paraId="485EAC4A">
            <w:pPr>
              <w:widowControl/>
              <w:jc w:val="center"/>
              <w:rPr>
                <w:rFonts w:ascii="宋体" w:hAnsi="宋体" w:cs="宋体"/>
                <w:kern w:val="0"/>
                <w:sz w:val="18"/>
                <w:szCs w:val="18"/>
              </w:rPr>
            </w:pPr>
            <w:bookmarkStart w:id="117" w:name="OLE_LINK1"/>
            <w:r>
              <w:rPr>
                <w:rFonts w:hint="eastAsia" w:ascii="宋体" w:hAnsi="宋体" w:cs="宋体"/>
                <w:kern w:val="0"/>
                <w:sz w:val="18"/>
                <w:szCs w:val="18"/>
              </w:rPr>
              <w:t>客房实训室搬迁改造</w:t>
            </w:r>
            <w:bookmarkEnd w:id="117"/>
          </w:p>
        </w:tc>
        <w:tc>
          <w:tcPr>
            <w:tcW w:w="4717" w:type="dxa"/>
            <w:tcBorders>
              <w:top w:val="nil"/>
              <w:left w:val="nil"/>
              <w:bottom w:val="single" w:color="auto" w:sz="4" w:space="0"/>
              <w:right w:val="single" w:color="auto" w:sz="4" w:space="0"/>
            </w:tcBorders>
            <w:shd w:val="clear" w:color="000000" w:fill="FFFFFF"/>
            <w:vAlign w:val="center"/>
          </w:tcPr>
          <w:p w14:paraId="73046D05">
            <w:pPr>
              <w:widowControl/>
              <w:jc w:val="left"/>
              <w:rPr>
                <w:rFonts w:ascii="宋体" w:hAnsi="宋体" w:cs="宋体"/>
                <w:kern w:val="0"/>
                <w:sz w:val="18"/>
                <w:szCs w:val="18"/>
              </w:rPr>
            </w:pPr>
            <w:r>
              <w:rPr>
                <w:rFonts w:hint="eastAsia" w:ascii="宋体" w:hAnsi="宋体" w:cs="宋体"/>
                <w:kern w:val="0"/>
                <w:sz w:val="18"/>
                <w:szCs w:val="18"/>
              </w:rPr>
              <w:t>客房实训室环境改造，面积约90平米。</w:t>
            </w:r>
            <w:r>
              <w:rPr>
                <w:rFonts w:hint="eastAsia" w:ascii="宋体" w:hAnsi="宋体" w:cs="宋体"/>
                <w:kern w:val="0"/>
                <w:sz w:val="18"/>
                <w:szCs w:val="18"/>
              </w:rPr>
              <w:br w:type="textWrapping"/>
            </w:r>
            <w:r>
              <w:rPr>
                <w:rFonts w:hint="eastAsia" w:ascii="宋体" w:hAnsi="宋体" w:cs="宋体"/>
                <w:kern w:val="0"/>
                <w:sz w:val="18"/>
                <w:szCs w:val="18"/>
              </w:rPr>
              <w:t>1.石膏板造型顶约20m2，工艺:按图要求在顶面或地面划线定位 根据标高安装。</w:t>
            </w:r>
            <w:r>
              <w:rPr>
                <w:rFonts w:hint="eastAsia" w:ascii="宋体" w:hAnsi="宋体" w:cs="宋体"/>
                <w:kern w:val="0"/>
                <w:sz w:val="18"/>
                <w:szCs w:val="18"/>
              </w:rPr>
              <w:br w:type="textWrapping"/>
            </w:r>
            <w:r>
              <w:rPr>
                <w:rFonts w:hint="eastAsia" w:ascii="宋体" w:hAnsi="宋体" w:cs="宋体"/>
                <w:kern w:val="0"/>
                <w:sz w:val="18"/>
                <w:szCs w:val="18"/>
              </w:rPr>
              <w:t>2.铝方通吊顶约70m2，工艺:轻钢龙骨支架,0.6厚50X100铝方通。</w:t>
            </w:r>
            <w:r>
              <w:rPr>
                <w:rFonts w:hint="eastAsia" w:ascii="宋体" w:hAnsi="宋体" w:cs="宋体"/>
                <w:kern w:val="0"/>
                <w:sz w:val="18"/>
                <w:szCs w:val="18"/>
              </w:rPr>
              <w:br w:type="textWrapping"/>
            </w:r>
            <w:r>
              <w:rPr>
                <w:rFonts w:hint="eastAsia" w:ascii="宋体" w:hAnsi="宋体" w:cs="宋体"/>
                <w:kern w:val="0"/>
                <w:sz w:val="18"/>
                <w:szCs w:val="18"/>
              </w:rPr>
              <w:t>3.室内文化墙墙面石膏板找平8m2，工艺:按图要求在顶面或地面划线定位，根据标高安装,木龙骨支架,阻燃板打底,单层石膏板饰面。</w:t>
            </w:r>
            <w:r>
              <w:rPr>
                <w:rFonts w:hint="eastAsia" w:ascii="宋体" w:hAnsi="宋体" w:cs="宋体"/>
                <w:kern w:val="0"/>
                <w:sz w:val="18"/>
                <w:szCs w:val="18"/>
              </w:rPr>
              <w:br w:type="textWrapping"/>
            </w:r>
            <w:r>
              <w:rPr>
                <w:rFonts w:hint="eastAsia" w:ascii="宋体" w:hAnsi="宋体" w:cs="宋体"/>
                <w:kern w:val="0"/>
                <w:sz w:val="18"/>
                <w:szCs w:val="18"/>
              </w:rPr>
              <w:t>4.局部墙面顶面白色乳胶漆约90m2，工艺:环保腻子批刮2遍,乳胶漆滚涂2遍。</w:t>
            </w:r>
          </w:p>
          <w:p w14:paraId="0BD7465D">
            <w:pPr>
              <w:widowControl/>
              <w:jc w:val="left"/>
              <w:rPr>
                <w:rFonts w:ascii="宋体" w:hAnsi="宋体" w:cs="宋体"/>
                <w:kern w:val="0"/>
                <w:sz w:val="18"/>
                <w:szCs w:val="18"/>
              </w:rPr>
            </w:pPr>
            <w:r>
              <w:rPr>
                <w:rFonts w:hint="eastAsia" w:ascii="宋体" w:hAnsi="宋体" w:cs="宋体"/>
                <w:kern w:val="0"/>
                <w:sz w:val="18"/>
                <w:szCs w:val="18"/>
              </w:rPr>
              <w:t>5.含灯具</w:t>
            </w:r>
            <w:r>
              <w:rPr>
                <w:rFonts w:hint="eastAsia" w:ascii="宋体" w:hAnsi="宋体" w:cs="宋体"/>
                <w:kern w:val="0"/>
                <w:sz w:val="18"/>
                <w:szCs w:val="18"/>
              </w:rPr>
              <w:br w:type="textWrapping"/>
            </w:r>
            <w:r>
              <w:rPr>
                <w:rFonts w:hint="eastAsia" w:ascii="宋体" w:hAnsi="宋体" w:cs="宋体"/>
                <w:kern w:val="0"/>
                <w:sz w:val="18"/>
                <w:szCs w:val="18"/>
              </w:rPr>
              <w:t>6.石膏板钢条工艺:不锈钢装饰钢条</w:t>
            </w:r>
            <w:r>
              <w:rPr>
                <w:rFonts w:hint="eastAsia" w:ascii="宋体" w:hAnsi="宋体" w:cs="宋体"/>
                <w:kern w:val="0"/>
                <w:sz w:val="18"/>
                <w:szCs w:val="18"/>
              </w:rPr>
              <w:br w:type="textWrapping"/>
            </w:r>
            <w:r>
              <w:rPr>
                <w:rFonts w:hint="eastAsia" w:ascii="宋体" w:hAnsi="宋体" w:cs="宋体"/>
                <w:kern w:val="0"/>
                <w:sz w:val="18"/>
                <w:szCs w:val="18"/>
              </w:rPr>
              <w:t>7.电路排设及系统集成90平米空间施工区域强弱电布管布线、20PVC线管、多芯电线、2.5平方、4平方电线、6平方电线,网络布线综合布线。</w:t>
            </w:r>
          </w:p>
          <w:p w14:paraId="5CB326D7">
            <w:pPr>
              <w:widowControl/>
              <w:jc w:val="left"/>
              <w:rPr>
                <w:rFonts w:ascii="宋体" w:hAnsi="宋体" w:cs="宋体"/>
                <w:kern w:val="0"/>
                <w:sz w:val="18"/>
                <w:szCs w:val="18"/>
              </w:rPr>
            </w:pPr>
            <w:r>
              <w:rPr>
                <w:rFonts w:hint="eastAsia" w:ascii="宋体" w:hAnsi="宋体" w:cs="宋体"/>
                <w:kern w:val="0"/>
                <w:sz w:val="18"/>
                <w:szCs w:val="18"/>
              </w:rPr>
              <w:t>8.中标施工前需要出效果图和设计图，以使用方满意为准。</w:t>
            </w:r>
            <w:r>
              <w:rPr>
                <w:rFonts w:hint="eastAsia" w:ascii="宋体" w:hAnsi="宋体" w:cs="宋体"/>
                <w:kern w:val="0"/>
                <w:sz w:val="18"/>
                <w:szCs w:val="18"/>
              </w:rPr>
              <w:br w:type="textWrapping"/>
            </w:r>
            <w:r>
              <w:rPr>
                <w:rFonts w:hint="eastAsia" w:ascii="宋体" w:hAnsi="宋体" w:cs="宋体"/>
                <w:kern w:val="0"/>
                <w:sz w:val="18"/>
                <w:szCs w:val="18"/>
              </w:rPr>
              <w:t>9.一楼客房实训物品设备整体拆卸搬运至四楼，组装调试完成。</w:t>
            </w:r>
          </w:p>
        </w:tc>
        <w:tc>
          <w:tcPr>
            <w:tcW w:w="404" w:type="dxa"/>
            <w:tcBorders>
              <w:top w:val="nil"/>
              <w:left w:val="nil"/>
              <w:bottom w:val="single" w:color="auto" w:sz="4" w:space="0"/>
              <w:right w:val="single" w:color="auto" w:sz="4" w:space="0"/>
            </w:tcBorders>
            <w:shd w:val="clear" w:color="000000" w:fill="FFFFFF"/>
            <w:noWrap/>
            <w:vAlign w:val="center"/>
          </w:tcPr>
          <w:p w14:paraId="5FE5E3C4">
            <w:pPr>
              <w:widowControl/>
              <w:jc w:val="center"/>
              <w:rPr>
                <w:rFonts w:ascii="宋体" w:hAnsi="宋体" w:cs="宋体"/>
                <w:kern w:val="0"/>
                <w:sz w:val="18"/>
                <w:szCs w:val="18"/>
              </w:rPr>
            </w:pPr>
            <w:r>
              <w:rPr>
                <w:rFonts w:hint="eastAsia" w:ascii="宋体" w:hAnsi="宋体" w:cs="宋体"/>
                <w:kern w:val="0"/>
                <w:sz w:val="18"/>
                <w:szCs w:val="18"/>
              </w:rPr>
              <w:t>1</w:t>
            </w:r>
          </w:p>
        </w:tc>
        <w:tc>
          <w:tcPr>
            <w:tcW w:w="504" w:type="dxa"/>
            <w:tcBorders>
              <w:top w:val="nil"/>
              <w:left w:val="nil"/>
              <w:bottom w:val="single" w:color="auto" w:sz="4" w:space="0"/>
              <w:right w:val="single" w:color="auto" w:sz="4" w:space="0"/>
            </w:tcBorders>
            <w:shd w:val="clear" w:color="000000" w:fill="FFFFFF"/>
            <w:noWrap/>
            <w:vAlign w:val="center"/>
          </w:tcPr>
          <w:p w14:paraId="115FB1FE">
            <w:pPr>
              <w:widowControl/>
              <w:jc w:val="center"/>
              <w:rPr>
                <w:rFonts w:ascii="宋体" w:hAnsi="宋体" w:cs="宋体"/>
                <w:kern w:val="0"/>
                <w:sz w:val="18"/>
                <w:szCs w:val="18"/>
              </w:rPr>
            </w:pPr>
            <w:r>
              <w:rPr>
                <w:rFonts w:hint="eastAsia" w:ascii="宋体" w:hAnsi="宋体" w:cs="宋体"/>
                <w:kern w:val="0"/>
                <w:sz w:val="18"/>
                <w:szCs w:val="18"/>
              </w:rPr>
              <w:t>项</w:t>
            </w:r>
          </w:p>
        </w:tc>
        <w:tc>
          <w:tcPr>
            <w:tcW w:w="823" w:type="dxa"/>
            <w:tcBorders>
              <w:top w:val="nil"/>
              <w:left w:val="nil"/>
              <w:bottom w:val="single" w:color="auto" w:sz="4" w:space="0"/>
              <w:right w:val="single" w:color="auto" w:sz="4" w:space="0"/>
            </w:tcBorders>
            <w:shd w:val="clear" w:color="000000" w:fill="FFFFFF"/>
            <w:vAlign w:val="center"/>
          </w:tcPr>
          <w:p w14:paraId="1F3C244F">
            <w:pPr>
              <w:widowControl/>
              <w:jc w:val="left"/>
              <w:rPr>
                <w:rFonts w:ascii="宋体" w:hAnsi="宋体" w:cs="宋体"/>
                <w:kern w:val="0"/>
                <w:sz w:val="18"/>
                <w:szCs w:val="18"/>
              </w:rPr>
            </w:pPr>
            <w:r>
              <w:rPr>
                <w:rFonts w:hint="eastAsia" w:ascii="宋体" w:hAnsi="宋体" w:cs="宋体"/>
                <w:kern w:val="0"/>
                <w:sz w:val="18"/>
                <w:szCs w:val="18"/>
              </w:rPr>
              <w:t>38750</w:t>
            </w:r>
          </w:p>
        </w:tc>
        <w:tc>
          <w:tcPr>
            <w:tcW w:w="865" w:type="dxa"/>
            <w:tcBorders>
              <w:top w:val="nil"/>
              <w:left w:val="nil"/>
              <w:bottom w:val="single" w:color="auto" w:sz="4" w:space="0"/>
              <w:right w:val="single" w:color="auto" w:sz="4" w:space="0"/>
            </w:tcBorders>
            <w:shd w:val="clear" w:color="000000" w:fill="FFFFFF"/>
            <w:vAlign w:val="center"/>
          </w:tcPr>
          <w:p w14:paraId="6149A5AB">
            <w:pPr>
              <w:widowControl/>
              <w:jc w:val="left"/>
              <w:rPr>
                <w:rFonts w:ascii="宋体" w:hAnsi="宋体" w:cs="宋体"/>
                <w:kern w:val="0"/>
                <w:sz w:val="18"/>
                <w:szCs w:val="18"/>
              </w:rPr>
            </w:pPr>
            <w:r>
              <w:rPr>
                <w:rFonts w:hint="eastAsia" w:ascii="宋体" w:hAnsi="宋体" w:cs="宋体"/>
                <w:kern w:val="0"/>
                <w:sz w:val="18"/>
                <w:szCs w:val="18"/>
              </w:rPr>
              <w:t>38750</w:t>
            </w:r>
          </w:p>
        </w:tc>
      </w:tr>
    </w:tbl>
    <w:p w14:paraId="44568074">
      <w:pPr>
        <w:pStyle w:val="34"/>
        <w:shd w:val="clear" w:color="auto" w:fill="FFFFFF"/>
        <w:spacing w:before="0" w:beforeAutospacing="0" w:after="0" w:afterAutospacing="0" w:line="400" w:lineRule="exact"/>
        <w:jc w:val="both"/>
        <w:outlineLvl w:val="1"/>
        <w:rPr>
          <w:rStyle w:val="39"/>
          <w:rFonts w:hint="eastAsia"/>
          <w:color w:val="auto"/>
          <w:sz w:val="20"/>
          <w:szCs w:val="20"/>
        </w:rPr>
      </w:pPr>
    </w:p>
    <w:p w14:paraId="2672FA82">
      <w:pPr>
        <w:pStyle w:val="34"/>
        <w:shd w:val="clear" w:color="auto" w:fill="FFFFFF"/>
        <w:spacing w:before="0" w:beforeAutospacing="0" w:after="0" w:afterAutospacing="0" w:line="400" w:lineRule="exact"/>
        <w:jc w:val="both"/>
        <w:outlineLvl w:val="1"/>
        <w:rPr>
          <w:rStyle w:val="39"/>
          <w:rFonts w:hint="eastAsia"/>
          <w:color w:val="auto"/>
          <w:sz w:val="20"/>
          <w:szCs w:val="20"/>
        </w:rPr>
      </w:pPr>
    </w:p>
    <w:p w14:paraId="4319E230">
      <w:pPr>
        <w:pStyle w:val="34"/>
        <w:shd w:val="clear" w:color="auto" w:fill="FFFFFF"/>
        <w:spacing w:before="0" w:beforeAutospacing="0" w:after="0" w:afterAutospacing="0" w:line="400" w:lineRule="exact"/>
        <w:jc w:val="both"/>
        <w:outlineLvl w:val="1"/>
        <w:rPr>
          <w:rStyle w:val="39"/>
          <w:rFonts w:hint="eastAsia"/>
          <w:color w:val="auto"/>
          <w:sz w:val="20"/>
          <w:szCs w:val="20"/>
        </w:rPr>
      </w:pPr>
    </w:p>
    <w:p w14:paraId="6BF6B403">
      <w:pPr>
        <w:pStyle w:val="34"/>
        <w:shd w:val="clear" w:color="auto" w:fill="FFFFFF"/>
        <w:spacing w:before="0" w:beforeAutospacing="0" w:after="0" w:afterAutospacing="0" w:line="400" w:lineRule="exact"/>
        <w:jc w:val="both"/>
        <w:outlineLvl w:val="1"/>
        <w:rPr>
          <w:rStyle w:val="39"/>
          <w:b w:val="0"/>
          <w:bCs w:val="0"/>
          <w:color w:val="auto"/>
          <w:sz w:val="20"/>
          <w:szCs w:val="20"/>
        </w:rPr>
      </w:pPr>
    </w:p>
    <w:p w14:paraId="11DD58F6">
      <w:pPr>
        <w:pStyle w:val="14"/>
        <w:rPr>
          <w:rFonts w:ascii="宋体" w:hAnsi="宋体" w:eastAsia="宋体"/>
          <w:b w:val="0"/>
          <w:color w:val="auto"/>
          <w:sz w:val="36"/>
        </w:rPr>
      </w:pPr>
      <w:r>
        <w:rPr>
          <w:rFonts w:ascii="宋体" w:hAnsi="宋体" w:eastAsia="宋体"/>
          <w:b w:val="0"/>
          <w:color w:val="auto"/>
          <w:sz w:val="36"/>
        </w:rPr>
        <w:br w:type="page"/>
      </w:r>
    </w:p>
    <w:p w14:paraId="50F2240C">
      <w:pPr>
        <w:pStyle w:val="14"/>
        <w:tabs>
          <w:tab w:val="left" w:pos="4724"/>
        </w:tabs>
        <w:jc w:val="center"/>
        <w:rPr>
          <w:rFonts w:ascii="宋体" w:hAnsi="宋体" w:eastAsia="宋体"/>
          <w:b w:val="0"/>
          <w:color w:val="auto"/>
          <w:sz w:val="36"/>
        </w:rPr>
      </w:pPr>
      <w:r>
        <w:rPr>
          <w:rFonts w:ascii="宋体" w:hAnsi="宋体" w:eastAsia="宋体"/>
          <w:b w:val="0"/>
          <w:color w:val="auto"/>
          <w:sz w:val="36"/>
        </w:rPr>
        <w:t>第六章  评标办法</w:t>
      </w:r>
      <w:bookmarkEnd w:id="114"/>
    </w:p>
    <w:p w14:paraId="00D2E048">
      <w:pPr>
        <w:pStyle w:val="3"/>
        <w:numPr>
          <w:ilvl w:val="0"/>
          <w:numId w:val="0"/>
        </w:numPr>
        <w:tabs>
          <w:tab w:val="left" w:pos="1021"/>
        </w:tabs>
        <w:spacing w:line="240" w:lineRule="auto"/>
        <w:jc w:val="center"/>
        <w:rPr>
          <w:rFonts w:ascii="宋体" w:hAnsi="宋体" w:eastAsia="宋体"/>
          <w:color w:val="auto"/>
        </w:rPr>
      </w:pPr>
      <w:bookmarkStart w:id="118" w:name="_Toc396093005"/>
      <w:bookmarkStart w:id="119" w:name="_Toc326218110"/>
      <w:bookmarkStart w:id="120" w:name="_Toc9845"/>
      <w:r>
        <w:rPr>
          <w:rFonts w:ascii="宋体" w:hAnsi="宋体" w:eastAsia="宋体"/>
          <w:color w:val="auto"/>
        </w:rPr>
        <w:t>评标办法前附表</w:t>
      </w:r>
      <w:bookmarkEnd w:id="118"/>
      <w:bookmarkEnd w:id="119"/>
      <w:bookmarkEnd w:id="120"/>
    </w:p>
    <w:p w14:paraId="6FAF673B">
      <w:pPr>
        <w:rPr>
          <w:color w:val="auto"/>
        </w:rPr>
      </w:pPr>
    </w:p>
    <w:tbl>
      <w:tblPr>
        <w:tblStyle w:val="36"/>
        <w:tblW w:w="974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24"/>
        <w:gridCol w:w="850"/>
        <w:gridCol w:w="2400"/>
        <w:gridCol w:w="5667"/>
      </w:tblGrid>
      <w:tr w14:paraId="50163B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2" w:hRule="exact"/>
          <w:tblHeader/>
          <w:jc w:val="center"/>
        </w:trPr>
        <w:tc>
          <w:tcPr>
            <w:tcW w:w="1674" w:type="dxa"/>
            <w:gridSpan w:val="2"/>
            <w:noWrap w:val="0"/>
            <w:vAlign w:val="center"/>
          </w:tcPr>
          <w:p w14:paraId="332A9759">
            <w:pPr>
              <w:spacing w:before="100" w:beforeAutospacing="1" w:after="100" w:afterAutospacing="1"/>
              <w:jc w:val="center"/>
              <w:rPr>
                <w:rFonts w:ascii="宋体" w:hAnsi="宋体"/>
                <w:b/>
                <w:color w:val="auto"/>
                <w:szCs w:val="21"/>
              </w:rPr>
            </w:pPr>
            <w:r>
              <w:rPr>
                <w:rFonts w:hint="eastAsia" w:ascii="宋体" w:hAnsi="宋体"/>
                <w:b/>
                <w:color w:val="auto"/>
                <w:szCs w:val="21"/>
              </w:rPr>
              <w:t>条款号</w:t>
            </w:r>
          </w:p>
        </w:tc>
        <w:tc>
          <w:tcPr>
            <w:tcW w:w="2400" w:type="dxa"/>
            <w:noWrap w:val="0"/>
            <w:vAlign w:val="center"/>
          </w:tcPr>
          <w:p w14:paraId="1B1CBB55">
            <w:pPr>
              <w:spacing w:before="100" w:beforeAutospacing="1" w:after="100" w:afterAutospacing="1"/>
              <w:jc w:val="center"/>
              <w:rPr>
                <w:rFonts w:ascii="宋体" w:hAnsi="宋体"/>
                <w:b/>
                <w:color w:val="auto"/>
                <w:szCs w:val="21"/>
              </w:rPr>
            </w:pPr>
            <w:r>
              <w:rPr>
                <w:rFonts w:hint="eastAsia" w:ascii="宋体" w:hAnsi="宋体"/>
                <w:b/>
                <w:color w:val="auto"/>
                <w:szCs w:val="21"/>
              </w:rPr>
              <w:t>评 审 内 容</w:t>
            </w:r>
          </w:p>
        </w:tc>
        <w:tc>
          <w:tcPr>
            <w:tcW w:w="5667" w:type="dxa"/>
            <w:noWrap w:val="0"/>
            <w:vAlign w:val="center"/>
          </w:tcPr>
          <w:p w14:paraId="77988675">
            <w:pPr>
              <w:spacing w:before="100" w:beforeAutospacing="1" w:after="100" w:afterAutospacing="1"/>
              <w:jc w:val="center"/>
              <w:rPr>
                <w:rFonts w:ascii="宋体" w:hAnsi="宋体"/>
                <w:b/>
                <w:color w:val="auto"/>
                <w:szCs w:val="21"/>
              </w:rPr>
            </w:pPr>
            <w:r>
              <w:rPr>
                <w:rFonts w:hint="eastAsia" w:ascii="宋体" w:hAnsi="宋体"/>
                <w:b/>
                <w:color w:val="auto"/>
                <w:szCs w:val="21"/>
              </w:rPr>
              <w:t>评 审 标 准</w:t>
            </w:r>
          </w:p>
        </w:tc>
      </w:tr>
      <w:tr w14:paraId="23EE47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3" w:hRule="exact"/>
          <w:jc w:val="center"/>
        </w:trPr>
        <w:tc>
          <w:tcPr>
            <w:tcW w:w="824" w:type="dxa"/>
            <w:vMerge w:val="restart"/>
            <w:noWrap w:val="0"/>
            <w:vAlign w:val="center"/>
          </w:tcPr>
          <w:p w14:paraId="221A9269">
            <w:pPr>
              <w:spacing w:before="100" w:beforeAutospacing="1" w:after="100" w:afterAutospacing="1"/>
              <w:jc w:val="center"/>
              <w:rPr>
                <w:rFonts w:ascii="宋体" w:hAnsi="宋体"/>
                <w:color w:val="auto"/>
                <w:szCs w:val="21"/>
              </w:rPr>
            </w:pPr>
            <w:r>
              <w:rPr>
                <w:rFonts w:hint="eastAsia" w:ascii="宋体" w:hAnsi="宋体"/>
                <w:color w:val="auto"/>
                <w:szCs w:val="21"/>
              </w:rPr>
              <w:t>2.1.1</w:t>
            </w:r>
          </w:p>
        </w:tc>
        <w:tc>
          <w:tcPr>
            <w:tcW w:w="850" w:type="dxa"/>
            <w:vMerge w:val="restart"/>
            <w:noWrap w:val="0"/>
            <w:vAlign w:val="center"/>
          </w:tcPr>
          <w:p w14:paraId="5EA919D9">
            <w:pPr>
              <w:spacing w:before="100" w:beforeAutospacing="1" w:after="100" w:afterAutospacing="1"/>
              <w:jc w:val="center"/>
              <w:rPr>
                <w:rFonts w:ascii="宋体" w:hAnsi="宋体"/>
                <w:color w:val="auto"/>
                <w:szCs w:val="21"/>
              </w:rPr>
            </w:pPr>
            <w:r>
              <w:rPr>
                <w:rFonts w:hint="eastAsia" w:ascii="宋体" w:hAnsi="宋体"/>
                <w:color w:val="auto"/>
                <w:szCs w:val="21"/>
              </w:rPr>
              <w:t>资格评审标准</w:t>
            </w:r>
          </w:p>
        </w:tc>
        <w:tc>
          <w:tcPr>
            <w:tcW w:w="2400" w:type="dxa"/>
            <w:noWrap w:val="0"/>
            <w:vAlign w:val="center"/>
          </w:tcPr>
          <w:p w14:paraId="17EBB552">
            <w:pPr>
              <w:spacing w:before="100" w:beforeAutospacing="1" w:after="100" w:afterAutospacing="1"/>
              <w:jc w:val="center"/>
              <w:rPr>
                <w:rFonts w:ascii="宋体" w:hAnsi="宋体"/>
                <w:color w:val="auto"/>
                <w:szCs w:val="21"/>
              </w:rPr>
            </w:pPr>
            <w:r>
              <w:rPr>
                <w:rFonts w:hint="eastAsia" w:ascii="宋体" w:hAnsi="宋体"/>
                <w:color w:val="auto"/>
                <w:szCs w:val="21"/>
              </w:rPr>
              <w:t>资格条件</w:t>
            </w:r>
          </w:p>
        </w:tc>
        <w:tc>
          <w:tcPr>
            <w:tcW w:w="5667" w:type="dxa"/>
            <w:noWrap w:val="0"/>
            <w:vAlign w:val="center"/>
          </w:tcPr>
          <w:p w14:paraId="2CACC86D">
            <w:pPr>
              <w:spacing w:before="100" w:beforeAutospacing="1" w:after="100" w:afterAutospacing="1"/>
              <w:jc w:val="left"/>
              <w:rPr>
                <w:rFonts w:ascii="宋体" w:hAnsi="宋体"/>
                <w:color w:val="auto"/>
                <w:szCs w:val="21"/>
              </w:rPr>
            </w:pPr>
            <w:r>
              <w:rPr>
                <w:rFonts w:hint="eastAsia" w:ascii="宋体" w:hAnsi="宋体"/>
                <w:color w:val="auto"/>
                <w:szCs w:val="21"/>
              </w:rPr>
              <w:t>符合第二章“投标人须知”第</w:t>
            </w:r>
            <w:r>
              <w:rPr>
                <w:rFonts w:ascii="宋体" w:hAnsi="宋体"/>
                <w:color w:val="auto"/>
                <w:szCs w:val="21"/>
              </w:rPr>
              <w:t>4</w:t>
            </w:r>
            <w:r>
              <w:rPr>
                <w:rFonts w:hint="eastAsia" w:ascii="宋体" w:hAnsi="宋体"/>
                <w:color w:val="auto"/>
                <w:szCs w:val="21"/>
              </w:rPr>
              <w:t>.1项规定</w:t>
            </w:r>
          </w:p>
        </w:tc>
      </w:tr>
      <w:tr w14:paraId="1EF7FC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97" w:hRule="exact"/>
          <w:jc w:val="center"/>
        </w:trPr>
        <w:tc>
          <w:tcPr>
            <w:tcW w:w="824" w:type="dxa"/>
            <w:vMerge w:val="continue"/>
            <w:noWrap w:val="0"/>
            <w:vAlign w:val="center"/>
          </w:tcPr>
          <w:p w14:paraId="219B3519">
            <w:pPr>
              <w:spacing w:before="100" w:beforeAutospacing="1" w:after="100" w:afterAutospacing="1"/>
              <w:jc w:val="center"/>
              <w:rPr>
                <w:rFonts w:ascii="宋体" w:hAnsi="宋体"/>
                <w:color w:val="auto"/>
                <w:szCs w:val="21"/>
              </w:rPr>
            </w:pPr>
          </w:p>
        </w:tc>
        <w:tc>
          <w:tcPr>
            <w:tcW w:w="850" w:type="dxa"/>
            <w:vMerge w:val="continue"/>
            <w:noWrap w:val="0"/>
            <w:vAlign w:val="center"/>
          </w:tcPr>
          <w:p w14:paraId="5CA60BC4">
            <w:pPr>
              <w:spacing w:before="100" w:beforeAutospacing="1" w:after="100" w:afterAutospacing="1"/>
              <w:jc w:val="center"/>
              <w:rPr>
                <w:rFonts w:ascii="宋体" w:hAnsi="宋体"/>
                <w:color w:val="auto"/>
                <w:szCs w:val="21"/>
              </w:rPr>
            </w:pPr>
          </w:p>
        </w:tc>
        <w:tc>
          <w:tcPr>
            <w:tcW w:w="2400" w:type="dxa"/>
            <w:noWrap w:val="0"/>
            <w:vAlign w:val="center"/>
          </w:tcPr>
          <w:p w14:paraId="471441ED">
            <w:pPr>
              <w:spacing w:before="100" w:beforeAutospacing="1" w:after="100" w:afterAutospacing="1"/>
              <w:jc w:val="center"/>
              <w:rPr>
                <w:rFonts w:ascii="宋体" w:hAnsi="宋体"/>
                <w:color w:val="auto"/>
                <w:szCs w:val="21"/>
              </w:rPr>
            </w:pPr>
            <w:r>
              <w:rPr>
                <w:rFonts w:hint="eastAsia" w:ascii="宋体" w:hAnsi="宋体"/>
                <w:color w:val="auto"/>
                <w:szCs w:val="21"/>
              </w:rPr>
              <w:t>投标保证金</w:t>
            </w:r>
          </w:p>
        </w:tc>
        <w:tc>
          <w:tcPr>
            <w:tcW w:w="5667" w:type="dxa"/>
            <w:noWrap w:val="0"/>
            <w:vAlign w:val="center"/>
          </w:tcPr>
          <w:p w14:paraId="3F8B74AE">
            <w:pPr>
              <w:spacing w:before="100" w:beforeAutospacing="1" w:after="100" w:afterAutospacing="1"/>
              <w:jc w:val="left"/>
              <w:rPr>
                <w:rFonts w:ascii="宋体" w:hAnsi="宋体"/>
                <w:color w:val="auto"/>
                <w:szCs w:val="21"/>
              </w:rPr>
            </w:pPr>
            <w:r>
              <w:rPr>
                <w:rFonts w:hint="eastAsia" w:ascii="宋体" w:hAnsi="宋体"/>
                <w:color w:val="auto"/>
                <w:szCs w:val="21"/>
              </w:rPr>
              <w:t>符合第二章“投标人须知”第</w:t>
            </w:r>
            <w:r>
              <w:rPr>
                <w:rFonts w:ascii="宋体" w:hAnsi="宋体"/>
                <w:color w:val="auto"/>
                <w:szCs w:val="21"/>
              </w:rPr>
              <w:t>1</w:t>
            </w:r>
            <w:r>
              <w:rPr>
                <w:rFonts w:hint="eastAsia" w:ascii="宋体" w:hAnsi="宋体"/>
                <w:color w:val="auto"/>
                <w:szCs w:val="21"/>
              </w:rPr>
              <w:t>9.1项规定</w:t>
            </w:r>
          </w:p>
        </w:tc>
      </w:tr>
      <w:tr w14:paraId="5C526E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0" w:hRule="exact"/>
          <w:jc w:val="center"/>
        </w:trPr>
        <w:tc>
          <w:tcPr>
            <w:tcW w:w="824" w:type="dxa"/>
            <w:vMerge w:val="continue"/>
            <w:noWrap w:val="0"/>
            <w:vAlign w:val="center"/>
          </w:tcPr>
          <w:p w14:paraId="70AF7938">
            <w:pPr>
              <w:spacing w:before="100" w:beforeAutospacing="1" w:after="100" w:afterAutospacing="1"/>
              <w:jc w:val="center"/>
              <w:rPr>
                <w:rFonts w:ascii="宋体" w:hAnsi="宋体"/>
                <w:color w:val="auto"/>
                <w:szCs w:val="21"/>
              </w:rPr>
            </w:pPr>
          </w:p>
        </w:tc>
        <w:tc>
          <w:tcPr>
            <w:tcW w:w="850" w:type="dxa"/>
            <w:vMerge w:val="continue"/>
            <w:noWrap w:val="0"/>
            <w:vAlign w:val="center"/>
          </w:tcPr>
          <w:p w14:paraId="7029310B">
            <w:pPr>
              <w:spacing w:before="100" w:beforeAutospacing="1" w:after="100" w:afterAutospacing="1"/>
              <w:jc w:val="center"/>
              <w:rPr>
                <w:rFonts w:ascii="宋体" w:hAnsi="宋体"/>
                <w:color w:val="auto"/>
                <w:szCs w:val="21"/>
              </w:rPr>
            </w:pPr>
          </w:p>
        </w:tc>
        <w:tc>
          <w:tcPr>
            <w:tcW w:w="2400" w:type="dxa"/>
            <w:noWrap w:val="0"/>
            <w:vAlign w:val="center"/>
          </w:tcPr>
          <w:p w14:paraId="7682F714">
            <w:pPr>
              <w:spacing w:before="100" w:beforeAutospacing="1" w:after="100" w:afterAutospacing="1"/>
              <w:jc w:val="center"/>
              <w:rPr>
                <w:rFonts w:ascii="宋体" w:hAnsi="宋体"/>
                <w:color w:val="auto"/>
                <w:szCs w:val="21"/>
              </w:rPr>
            </w:pPr>
            <w:r>
              <w:rPr>
                <w:rFonts w:hint="eastAsia" w:ascii="宋体" w:hAnsi="宋体"/>
                <w:color w:val="auto"/>
                <w:szCs w:val="21"/>
              </w:rPr>
              <w:t>营业执照</w:t>
            </w:r>
          </w:p>
        </w:tc>
        <w:tc>
          <w:tcPr>
            <w:tcW w:w="5667" w:type="dxa"/>
            <w:noWrap w:val="0"/>
            <w:vAlign w:val="center"/>
          </w:tcPr>
          <w:p w14:paraId="493A6044">
            <w:pPr>
              <w:spacing w:before="100" w:beforeAutospacing="1" w:after="100" w:afterAutospacing="1"/>
              <w:jc w:val="left"/>
              <w:rPr>
                <w:rFonts w:ascii="宋体" w:hAnsi="宋体"/>
                <w:color w:val="auto"/>
                <w:szCs w:val="21"/>
              </w:rPr>
            </w:pPr>
            <w:r>
              <w:rPr>
                <w:rFonts w:hint="eastAsia" w:ascii="宋体" w:hAnsi="宋体"/>
                <w:color w:val="auto"/>
                <w:szCs w:val="21"/>
              </w:rPr>
              <w:t>具有有效的营业执照</w:t>
            </w:r>
          </w:p>
        </w:tc>
      </w:tr>
      <w:tr w14:paraId="5CC1F0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8" w:hRule="atLeast"/>
          <w:jc w:val="center"/>
        </w:trPr>
        <w:tc>
          <w:tcPr>
            <w:tcW w:w="824" w:type="dxa"/>
            <w:vMerge w:val="restart"/>
            <w:noWrap w:val="0"/>
            <w:vAlign w:val="center"/>
          </w:tcPr>
          <w:p w14:paraId="6ADA2C4F">
            <w:pPr>
              <w:spacing w:before="100" w:beforeAutospacing="1" w:after="100" w:afterAutospacing="1"/>
              <w:jc w:val="center"/>
              <w:rPr>
                <w:rFonts w:ascii="宋体" w:hAnsi="宋体"/>
                <w:color w:val="auto"/>
                <w:szCs w:val="21"/>
              </w:rPr>
            </w:pPr>
            <w:r>
              <w:rPr>
                <w:rFonts w:hint="eastAsia" w:ascii="宋体" w:hAnsi="宋体"/>
                <w:color w:val="auto"/>
                <w:szCs w:val="21"/>
              </w:rPr>
              <w:t>2.1.2</w:t>
            </w:r>
          </w:p>
        </w:tc>
        <w:tc>
          <w:tcPr>
            <w:tcW w:w="850" w:type="dxa"/>
            <w:vMerge w:val="restart"/>
            <w:noWrap w:val="0"/>
            <w:vAlign w:val="center"/>
          </w:tcPr>
          <w:p w14:paraId="3880CAB8">
            <w:pPr>
              <w:spacing w:before="100" w:beforeAutospacing="1" w:after="100" w:afterAutospacing="1"/>
              <w:jc w:val="center"/>
              <w:rPr>
                <w:rFonts w:ascii="宋体" w:hAnsi="宋体"/>
                <w:color w:val="auto"/>
                <w:szCs w:val="21"/>
              </w:rPr>
            </w:pPr>
            <w:r>
              <w:rPr>
                <w:rFonts w:hint="eastAsia" w:ascii="宋体" w:hAnsi="宋体"/>
                <w:color w:val="auto"/>
                <w:szCs w:val="21"/>
              </w:rPr>
              <w:t>符合性评审标准</w:t>
            </w:r>
          </w:p>
        </w:tc>
        <w:tc>
          <w:tcPr>
            <w:tcW w:w="2400" w:type="dxa"/>
            <w:noWrap w:val="0"/>
            <w:vAlign w:val="center"/>
          </w:tcPr>
          <w:p w14:paraId="50993DBB">
            <w:pPr>
              <w:spacing w:before="100" w:beforeAutospacing="1" w:after="100" w:afterAutospacing="1"/>
              <w:jc w:val="center"/>
              <w:rPr>
                <w:rFonts w:ascii="宋体" w:hAnsi="宋体"/>
                <w:color w:val="auto"/>
                <w:szCs w:val="21"/>
              </w:rPr>
            </w:pPr>
            <w:r>
              <w:rPr>
                <w:rFonts w:hint="eastAsia" w:ascii="宋体" w:hAnsi="宋体"/>
                <w:color w:val="auto"/>
                <w:szCs w:val="21"/>
              </w:rPr>
              <w:t>投标函</w:t>
            </w:r>
          </w:p>
        </w:tc>
        <w:tc>
          <w:tcPr>
            <w:tcW w:w="5667" w:type="dxa"/>
            <w:noWrap w:val="0"/>
            <w:vAlign w:val="center"/>
          </w:tcPr>
          <w:p w14:paraId="756858CD">
            <w:pPr>
              <w:spacing w:line="320" w:lineRule="exact"/>
              <w:rPr>
                <w:rFonts w:ascii="宋体" w:hAnsi="宋体"/>
                <w:color w:val="auto"/>
                <w:szCs w:val="21"/>
              </w:rPr>
            </w:pPr>
            <w:r>
              <w:rPr>
                <w:rFonts w:hint="eastAsia" w:ascii="宋体" w:hAnsi="宋体"/>
                <w:color w:val="auto"/>
                <w:szCs w:val="21"/>
              </w:rPr>
              <w:t>有法定代表人签字，并盖单位章；</w:t>
            </w:r>
          </w:p>
          <w:p w14:paraId="4A6BF875">
            <w:pPr>
              <w:spacing w:line="320" w:lineRule="exact"/>
              <w:rPr>
                <w:rFonts w:ascii="宋体" w:hAnsi="宋体"/>
                <w:color w:val="auto"/>
                <w:szCs w:val="21"/>
              </w:rPr>
            </w:pPr>
            <w:bookmarkStart w:id="121" w:name="OLE_LINK5"/>
            <w:r>
              <w:rPr>
                <w:rFonts w:hint="eastAsia" w:ascii="宋体" w:hAnsi="宋体"/>
                <w:color w:val="auto"/>
                <w:szCs w:val="21"/>
              </w:rPr>
              <w:t>符合第四章“投标文件格式”中规定的格式及内容。</w:t>
            </w:r>
            <w:bookmarkEnd w:id="121"/>
          </w:p>
        </w:tc>
      </w:tr>
      <w:tr w14:paraId="12FC96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9" w:hRule="atLeast"/>
          <w:jc w:val="center"/>
        </w:trPr>
        <w:tc>
          <w:tcPr>
            <w:tcW w:w="824" w:type="dxa"/>
            <w:vMerge w:val="continue"/>
            <w:noWrap w:val="0"/>
            <w:vAlign w:val="center"/>
          </w:tcPr>
          <w:p w14:paraId="0895B219">
            <w:pPr>
              <w:spacing w:before="100" w:beforeAutospacing="1" w:after="100" w:afterAutospacing="1"/>
              <w:rPr>
                <w:rFonts w:ascii="宋体" w:hAnsi="宋体"/>
                <w:color w:val="auto"/>
                <w:szCs w:val="21"/>
              </w:rPr>
            </w:pPr>
          </w:p>
        </w:tc>
        <w:tc>
          <w:tcPr>
            <w:tcW w:w="850" w:type="dxa"/>
            <w:vMerge w:val="continue"/>
            <w:noWrap w:val="0"/>
            <w:vAlign w:val="center"/>
          </w:tcPr>
          <w:p w14:paraId="2E0452A9">
            <w:pPr>
              <w:spacing w:before="100" w:beforeAutospacing="1" w:after="100" w:afterAutospacing="1"/>
              <w:rPr>
                <w:rFonts w:ascii="宋体" w:hAnsi="宋体"/>
                <w:color w:val="auto"/>
                <w:szCs w:val="21"/>
              </w:rPr>
            </w:pPr>
          </w:p>
        </w:tc>
        <w:tc>
          <w:tcPr>
            <w:tcW w:w="2400" w:type="dxa"/>
            <w:noWrap w:val="0"/>
            <w:vAlign w:val="center"/>
          </w:tcPr>
          <w:p w14:paraId="5F789176">
            <w:pPr>
              <w:jc w:val="center"/>
              <w:rPr>
                <w:rFonts w:ascii="宋体" w:hAnsi="宋体"/>
                <w:color w:val="auto"/>
                <w:szCs w:val="21"/>
              </w:rPr>
            </w:pPr>
            <w:r>
              <w:rPr>
                <w:rFonts w:ascii="宋体" w:hAnsi="宋体"/>
                <w:color w:val="auto"/>
                <w:szCs w:val="21"/>
              </w:rPr>
              <w:t>法定代表人身份证明书</w:t>
            </w:r>
          </w:p>
        </w:tc>
        <w:tc>
          <w:tcPr>
            <w:tcW w:w="5667" w:type="dxa"/>
            <w:noWrap w:val="0"/>
            <w:vAlign w:val="center"/>
          </w:tcPr>
          <w:p w14:paraId="6BCCF336">
            <w:pPr>
              <w:rPr>
                <w:rFonts w:ascii="宋体" w:hAnsi="宋体"/>
                <w:color w:val="auto"/>
                <w:szCs w:val="21"/>
              </w:rPr>
            </w:pPr>
            <w:r>
              <w:rPr>
                <w:rFonts w:ascii="宋体" w:hAnsi="宋体"/>
                <w:color w:val="auto"/>
                <w:szCs w:val="21"/>
              </w:rPr>
              <w:t>符合招标文件</w:t>
            </w:r>
            <w:r>
              <w:rPr>
                <w:rFonts w:hint="eastAsia" w:ascii="宋体" w:hAnsi="宋体"/>
                <w:color w:val="auto"/>
                <w:szCs w:val="21"/>
              </w:rPr>
              <w:t>规</w:t>
            </w:r>
            <w:r>
              <w:rPr>
                <w:rFonts w:ascii="宋体" w:hAnsi="宋体"/>
                <w:color w:val="auto"/>
                <w:szCs w:val="21"/>
              </w:rPr>
              <w:t>定</w:t>
            </w:r>
            <w:r>
              <w:rPr>
                <w:rFonts w:hint="eastAsia" w:ascii="宋体" w:hAnsi="宋体"/>
                <w:color w:val="auto"/>
                <w:szCs w:val="21"/>
              </w:rPr>
              <w:t>的</w:t>
            </w:r>
            <w:r>
              <w:rPr>
                <w:rFonts w:ascii="宋体" w:hAnsi="宋体"/>
                <w:color w:val="auto"/>
                <w:szCs w:val="21"/>
              </w:rPr>
              <w:t>格式及内容</w:t>
            </w:r>
            <w:r>
              <w:rPr>
                <w:rFonts w:hint="eastAsia" w:ascii="宋体" w:hAnsi="宋体"/>
                <w:color w:val="auto"/>
                <w:szCs w:val="21"/>
              </w:rPr>
              <w:t>，</w:t>
            </w:r>
            <w:r>
              <w:rPr>
                <w:rFonts w:ascii="宋体" w:hAnsi="宋体"/>
                <w:color w:val="auto"/>
                <w:szCs w:val="21"/>
              </w:rPr>
              <w:t>并盖单位章；投标文件正本中法定代表人身份证明书为原件。</w:t>
            </w:r>
          </w:p>
        </w:tc>
      </w:tr>
      <w:tr w14:paraId="2A000A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66" w:hRule="atLeast"/>
          <w:jc w:val="center"/>
        </w:trPr>
        <w:tc>
          <w:tcPr>
            <w:tcW w:w="824" w:type="dxa"/>
            <w:vMerge w:val="continue"/>
            <w:noWrap w:val="0"/>
            <w:vAlign w:val="center"/>
          </w:tcPr>
          <w:p w14:paraId="5F81B699">
            <w:pPr>
              <w:spacing w:before="100" w:beforeAutospacing="1" w:after="100" w:afterAutospacing="1"/>
              <w:rPr>
                <w:rFonts w:ascii="宋体" w:hAnsi="宋体"/>
                <w:color w:val="auto"/>
                <w:szCs w:val="21"/>
              </w:rPr>
            </w:pPr>
          </w:p>
        </w:tc>
        <w:tc>
          <w:tcPr>
            <w:tcW w:w="850" w:type="dxa"/>
            <w:vMerge w:val="continue"/>
            <w:noWrap w:val="0"/>
            <w:vAlign w:val="center"/>
          </w:tcPr>
          <w:p w14:paraId="35C74522">
            <w:pPr>
              <w:spacing w:before="100" w:beforeAutospacing="1" w:after="100" w:afterAutospacing="1"/>
              <w:rPr>
                <w:rFonts w:ascii="宋体" w:hAnsi="宋体"/>
                <w:color w:val="auto"/>
                <w:szCs w:val="21"/>
              </w:rPr>
            </w:pPr>
          </w:p>
        </w:tc>
        <w:tc>
          <w:tcPr>
            <w:tcW w:w="2400" w:type="dxa"/>
            <w:noWrap w:val="0"/>
            <w:vAlign w:val="center"/>
          </w:tcPr>
          <w:p w14:paraId="132D82DE">
            <w:pPr>
              <w:jc w:val="center"/>
              <w:rPr>
                <w:rFonts w:ascii="宋体" w:hAnsi="宋体"/>
                <w:color w:val="auto"/>
                <w:szCs w:val="21"/>
              </w:rPr>
            </w:pPr>
            <w:r>
              <w:rPr>
                <w:rFonts w:ascii="宋体" w:hAnsi="宋体"/>
                <w:color w:val="auto"/>
                <w:szCs w:val="21"/>
              </w:rPr>
              <w:t>法定代表人授权委托书</w:t>
            </w:r>
          </w:p>
        </w:tc>
        <w:tc>
          <w:tcPr>
            <w:tcW w:w="5667" w:type="dxa"/>
            <w:noWrap w:val="0"/>
            <w:vAlign w:val="center"/>
          </w:tcPr>
          <w:p w14:paraId="1A5A330C">
            <w:pPr>
              <w:rPr>
                <w:rFonts w:ascii="宋体" w:hAnsi="宋体"/>
                <w:color w:val="auto"/>
                <w:szCs w:val="21"/>
              </w:rPr>
            </w:pPr>
            <w:r>
              <w:rPr>
                <w:rFonts w:ascii="宋体" w:hAnsi="宋体"/>
                <w:color w:val="auto"/>
                <w:szCs w:val="21"/>
              </w:rPr>
              <w:t>有法定代表人及其委托代理人签字，并盖单位章；符合招标文件</w:t>
            </w:r>
            <w:r>
              <w:rPr>
                <w:rFonts w:hint="eastAsia" w:ascii="宋体" w:hAnsi="宋体"/>
                <w:color w:val="auto"/>
                <w:szCs w:val="21"/>
              </w:rPr>
              <w:t>规</w:t>
            </w:r>
            <w:r>
              <w:rPr>
                <w:rFonts w:ascii="宋体" w:hAnsi="宋体"/>
                <w:color w:val="auto"/>
                <w:szCs w:val="21"/>
              </w:rPr>
              <w:t>定</w:t>
            </w:r>
            <w:r>
              <w:rPr>
                <w:rFonts w:hint="eastAsia" w:ascii="宋体" w:hAnsi="宋体"/>
                <w:color w:val="auto"/>
                <w:szCs w:val="21"/>
              </w:rPr>
              <w:t>的</w:t>
            </w:r>
            <w:r>
              <w:rPr>
                <w:rFonts w:ascii="宋体" w:hAnsi="宋体"/>
                <w:color w:val="auto"/>
                <w:szCs w:val="21"/>
              </w:rPr>
              <w:t>格式及内容；投标文件正本中法定代表人授权委托书为原件</w:t>
            </w:r>
          </w:p>
        </w:tc>
      </w:tr>
      <w:tr w14:paraId="166876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824" w:type="dxa"/>
            <w:vMerge w:val="continue"/>
            <w:noWrap w:val="0"/>
            <w:vAlign w:val="center"/>
          </w:tcPr>
          <w:p w14:paraId="36AEBB03">
            <w:pPr>
              <w:spacing w:before="100" w:beforeAutospacing="1" w:after="100" w:afterAutospacing="1"/>
              <w:rPr>
                <w:rFonts w:ascii="宋体" w:hAnsi="宋体"/>
                <w:color w:val="auto"/>
                <w:szCs w:val="21"/>
              </w:rPr>
            </w:pPr>
          </w:p>
        </w:tc>
        <w:tc>
          <w:tcPr>
            <w:tcW w:w="850" w:type="dxa"/>
            <w:vMerge w:val="continue"/>
            <w:noWrap w:val="0"/>
            <w:vAlign w:val="center"/>
          </w:tcPr>
          <w:p w14:paraId="3BD68B40">
            <w:pPr>
              <w:spacing w:before="100" w:beforeAutospacing="1" w:after="100" w:afterAutospacing="1"/>
              <w:rPr>
                <w:rFonts w:ascii="宋体" w:hAnsi="宋体"/>
                <w:color w:val="auto"/>
                <w:szCs w:val="21"/>
              </w:rPr>
            </w:pPr>
          </w:p>
        </w:tc>
        <w:tc>
          <w:tcPr>
            <w:tcW w:w="2400" w:type="dxa"/>
            <w:noWrap w:val="0"/>
            <w:vAlign w:val="center"/>
          </w:tcPr>
          <w:p w14:paraId="357482F6">
            <w:pPr>
              <w:spacing w:before="100" w:beforeAutospacing="1" w:after="100" w:afterAutospacing="1"/>
              <w:jc w:val="center"/>
              <w:rPr>
                <w:rFonts w:ascii="宋体" w:hAnsi="宋体"/>
                <w:color w:val="auto"/>
                <w:szCs w:val="21"/>
              </w:rPr>
            </w:pPr>
            <w:r>
              <w:rPr>
                <w:rFonts w:hint="eastAsia" w:ascii="宋体" w:hAnsi="宋体"/>
                <w:color w:val="auto"/>
                <w:szCs w:val="21"/>
              </w:rPr>
              <w:t>投标报价</w:t>
            </w:r>
          </w:p>
        </w:tc>
        <w:tc>
          <w:tcPr>
            <w:tcW w:w="5667" w:type="dxa"/>
            <w:noWrap w:val="0"/>
            <w:vAlign w:val="center"/>
          </w:tcPr>
          <w:p w14:paraId="108308D2">
            <w:pPr>
              <w:spacing w:before="100" w:beforeAutospacing="1" w:after="100" w:afterAutospacing="1"/>
              <w:jc w:val="left"/>
              <w:rPr>
                <w:rFonts w:ascii="宋体" w:hAnsi="宋体"/>
                <w:color w:val="auto"/>
                <w:szCs w:val="21"/>
              </w:rPr>
            </w:pPr>
            <w:r>
              <w:rPr>
                <w:rFonts w:hint="eastAsia" w:ascii="宋体" w:hAnsi="宋体"/>
                <w:color w:val="auto"/>
                <w:szCs w:val="21"/>
              </w:rPr>
              <w:t>报价完整且仅有一个报价方案</w:t>
            </w:r>
          </w:p>
        </w:tc>
      </w:tr>
      <w:tr w14:paraId="36C409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4" w:hRule="exact"/>
          <w:jc w:val="center"/>
        </w:trPr>
        <w:tc>
          <w:tcPr>
            <w:tcW w:w="824" w:type="dxa"/>
            <w:vMerge w:val="continue"/>
            <w:noWrap w:val="0"/>
            <w:vAlign w:val="center"/>
          </w:tcPr>
          <w:p w14:paraId="78619715">
            <w:pPr>
              <w:spacing w:before="100" w:beforeAutospacing="1" w:after="100" w:afterAutospacing="1"/>
              <w:rPr>
                <w:rFonts w:ascii="宋体" w:hAnsi="宋体"/>
                <w:color w:val="auto"/>
                <w:szCs w:val="21"/>
              </w:rPr>
            </w:pPr>
          </w:p>
        </w:tc>
        <w:tc>
          <w:tcPr>
            <w:tcW w:w="850" w:type="dxa"/>
            <w:vMerge w:val="continue"/>
            <w:noWrap w:val="0"/>
            <w:vAlign w:val="center"/>
          </w:tcPr>
          <w:p w14:paraId="197BA344">
            <w:pPr>
              <w:spacing w:before="100" w:beforeAutospacing="1" w:after="100" w:afterAutospacing="1"/>
              <w:rPr>
                <w:rFonts w:ascii="宋体" w:hAnsi="宋体"/>
                <w:color w:val="auto"/>
                <w:szCs w:val="21"/>
              </w:rPr>
            </w:pPr>
          </w:p>
        </w:tc>
        <w:tc>
          <w:tcPr>
            <w:tcW w:w="2400" w:type="dxa"/>
            <w:noWrap w:val="0"/>
            <w:vAlign w:val="center"/>
          </w:tcPr>
          <w:p w14:paraId="514E8EA5">
            <w:pPr>
              <w:spacing w:before="100" w:beforeAutospacing="1" w:after="100" w:afterAutospacing="1"/>
              <w:jc w:val="center"/>
              <w:rPr>
                <w:rFonts w:ascii="宋体" w:hAnsi="宋体"/>
                <w:color w:val="auto"/>
                <w:szCs w:val="21"/>
              </w:rPr>
            </w:pPr>
            <w:r>
              <w:rPr>
                <w:rFonts w:hint="eastAsia" w:ascii="宋体" w:hAnsi="宋体"/>
                <w:color w:val="auto"/>
                <w:szCs w:val="21"/>
              </w:rPr>
              <w:t>投标有效期</w:t>
            </w:r>
          </w:p>
        </w:tc>
        <w:tc>
          <w:tcPr>
            <w:tcW w:w="5667" w:type="dxa"/>
            <w:noWrap w:val="0"/>
            <w:vAlign w:val="center"/>
          </w:tcPr>
          <w:p w14:paraId="7442AD7D">
            <w:pPr>
              <w:spacing w:before="100" w:beforeAutospacing="1" w:after="100" w:afterAutospacing="1"/>
              <w:jc w:val="left"/>
              <w:rPr>
                <w:rFonts w:ascii="宋体" w:hAnsi="宋体"/>
                <w:color w:val="auto"/>
                <w:szCs w:val="21"/>
              </w:rPr>
            </w:pPr>
            <w:r>
              <w:rPr>
                <w:rFonts w:hint="eastAsia" w:ascii="宋体" w:hAnsi="宋体"/>
                <w:color w:val="auto"/>
                <w:szCs w:val="21"/>
              </w:rPr>
              <w:t>符合第二章“投标人须知前附表”规定</w:t>
            </w:r>
          </w:p>
        </w:tc>
      </w:tr>
      <w:tr w14:paraId="765B01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0" w:hRule="exact"/>
          <w:jc w:val="center"/>
        </w:trPr>
        <w:tc>
          <w:tcPr>
            <w:tcW w:w="824" w:type="dxa"/>
            <w:vMerge w:val="continue"/>
            <w:noWrap w:val="0"/>
            <w:vAlign w:val="center"/>
          </w:tcPr>
          <w:p w14:paraId="4C4CA4BB">
            <w:pPr>
              <w:spacing w:before="100" w:beforeAutospacing="1" w:after="100" w:afterAutospacing="1"/>
              <w:rPr>
                <w:rFonts w:ascii="宋体" w:hAnsi="宋体"/>
                <w:color w:val="auto"/>
                <w:szCs w:val="21"/>
              </w:rPr>
            </w:pPr>
          </w:p>
        </w:tc>
        <w:tc>
          <w:tcPr>
            <w:tcW w:w="850" w:type="dxa"/>
            <w:vMerge w:val="continue"/>
            <w:noWrap w:val="0"/>
            <w:vAlign w:val="center"/>
          </w:tcPr>
          <w:p w14:paraId="77C2A686">
            <w:pPr>
              <w:spacing w:before="100" w:beforeAutospacing="1" w:after="100" w:afterAutospacing="1"/>
              <w:rPr>
                <w:rFonts w:ascii="宋体" w:hAnsi="宋体"/>
                <w:color w:val="auto"/>
                <w:szCs w:val="21"/>
              </w:rPr>
            </w:pPr>
          </w:p>
        </w:tc>
        <w:tc>
          <w:tcPr>
            <w:tcW w:w="2400" w:type="dxa"/>
            <w:vMerge w:val="restart"/>
            <w:noWrap w:val="0"/>
            <w:vAlign w:val="center"/>
          </w:tcPr>
          <w:p w14:paraId="2181D5E9">
            <w:pPr>
              <w:spacing w:before="100" w:beforeAutospacing="1" w:after="100" w:afterAutospacing="1"/>
              <w:jc w:val="center"/>
              <w:rPr>
                <w:rFonts w:ascii="宋体" w:hAnsi="宋体"/>
                <w:color w:val="auto"/>
                <w:szCs w:val="21"/>
              </w:rPr>
            </w:pPr>
            <w:r>
              <w:rPr>
                <w:rFonts w:hint="eastAsia" w:ascii="宋体" w:hAnsi="宋体"/>
                <w:color w:val="auto"/>
                <w:szCs w:val="21"/>
              </w:rPr>
              <w:t>其它实质性条件</w:t>
            </w:r>
          </w:p>
        </w:tc>
        <w:tc>
          <w:tcPr>
            <w:tcW w:w="5667" w:type="dxa"/>
            <w:noWrap w:val="0"/>
            <w:vAlign w:val="center"/>
          </w:tcPr>
          <w:p w14:paraId="4E144413">
            <w:pPr>
              <w:spacing w:before="100" w:beforeAutospacing="1" w:after="100" w:afterAutospacing="1"/>
              <w:rPr>
                <w:rFonts w:ascii="宋体" w:hAnsi="宋体"/>
                <w:color w:val="auto"/>
                <w:szCs w:val="21"/>
              </w:rPr>
            </w:pPr>
            <w:r>
              <w:rPr>
                <w:rFonts w:hint="eastAsia" w:ascii="宋体" w:hAnsi="宋体"/>
                <w:color w:val="auto"/>
                <w:szCs w:val="21"/>
              </w:rPr>
              <w:t>关键内容未出现字迹潦草、表达不清、未按要求填写而导致非唯一理解的</w:t>
            </w:r>
          </w:p>
        </w:tc>
      </w:tr>
      <w:tr w14:paraId="79E02D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27" w:hRule="exact"/>
          <w:jc w:val="center"/>
        </w:trPr>
        <w:tc>
          <w:tcPr>
            <w:tcW w:w="824" w:type="dxa"/>
            <w:vMerge w:val="continue"/>
            <w:noWrap w:val="0"/>
            <w:vAlign w:val="center"/>
          </w:tcPr>
          <w:p w14:paraId="31B77B6A">
            <w:pPr>
              <w:spacing w:before="100" w:beforeAutospacing="1" w:after="100" w:afterAutospacing="1"/>
              <w:rPr>
                <w:rFonts w:ascii="宋体" w:hAnsi="宋体"/>
                <w:color w:val="auto"/>
                <w:szCs w:val="21"/>
              </w:rPr>
            </w:pPr>
          </w:p>
        </w:tc>
        <w:tc>
          <w:tcPr>
            <w:tcW w:w="850" w:type="dxa"/>
            <w:vMerge w:val="continue"/>
            <w:noWrap w:val="0"/>
            <w:vAlign w:val="center"/>
          </w:tcPr>
          <w:p w14:paraId="72028B45">
            <w:pPr>
              <w:spacing w:before="100" w:beforeAutospacing="1" w:after="100" w:afterAutospacing="1"/>
              <w:rPr>
                <w:rFonts w:ascii="宋体" w:hAnsi="宋体"/>
                <w:color w:val="auto"/>
                <w:szCs w:val="21"/>
              </w:rPr>
            </w:pPr>
          </w:p>
        </w:tc>
        <w:tc>
          <w:tcPr>
            <w:tcW w:w="2400" w:type="dxa"/>
            <w:vMerge w:val="continue"/>
            <w:noWrap w:val="0"/>
            <w:vAlign w:val="center"/>
          </w:tcPr>
          <w:p w14:paraId="57D13301">
            <w:pPr>
              <w:spacing w:before="100" w:beforeAutospacing="1" w:after="100" w:afterAutospacing="1"/>
              <w:jc w:val="center"/>
              <w:rPr>
                <w:rFonts w:ascii="宋体" w:hAnsi="宋体"/>
                <w:color w:val="auto"/>
                <w:szCs w:val="21"/>
              </w:rPr>
            </w:pPr>
          </w:p>
        </w:tc>
        <w:tc>
          <w:tcPr>
            <w:tcW w:w="5667" w:type="dxa"/>
            <w:noWrap w:val="0"/>
            <w:vAlign w:val="center"/>
          </w:tcPr>
          <w:p w14:paraId="72830C02">
            <w:pPr>
              <w:rPr>
                <w:rFonts w:ascii="宋体" w:hAnsi="宋体"/>
                <w:color w:val="auto"/>
                <w:szCs w:val="21"/>
              </w:rPr>
            </w:pPr>
            <w:r>
              <w:rPr>
                <w:rFonts w:ascii="宋体" w:hAnsi="宋体"/>
                <w:color w:val="auto"/>
                <w:szCs w:val="21"/>
              </w:rPr>
              <w:t>投标文件</w:t>
            </w:r>
            <w:r>
              <w:rPr>
                <w:rFonts w:hint="eastAsia" w:ascii="宋体" w:hAnsi="宋体"/>
                <w:color w:val="auto"/>
                <w:szCs w:val="21"/>
              </w:rPr>
              <w:t>未</w:t>
            </w:r>
            <w:r>
              <w:rPr>
                <w:rFonts w:ascii="宋体" w:hAnsi="宋体"/>
                <w:color w:val="auto"/>
                <w:szCs w:val="21"/>
              </w:rPr>
              <w:t>出现计算或表达上的错误</w:t>
            </w:r>
            <w:r>
              <w:rPr>
                <w:rFonts w:hint="eastAsia" w:ascii="宋体" w:hAnsi="宋体"/>
                <w:color w:val="auto"/>
                <w:szCs w:val="21"/>
              </w:rPr>
              <w:t>，且</w:t>
            </w:r>
            <w:r>
              <w:rPr>
                <w:rFonts w:ascii="宋体" w:hAnsi="宋体"/>
                <w:color w:val="auto"/>
                <w:szCs w:val="21"/>
              </w:rPr>
              <w:t>投标人不接受</w:t>
            </w:r>
            <w:r>
              <w:rPr>
                <w:rFonts w:hint="eastAsia" w:ascii="宋体" w:hAnsi="宋体"/>
                <w:color w:val="auto"/>
                <w:szCs w:val="21"/>
              </w:rPr>
              <w:t>按招标文件第六章《评标办法》3.1.2条款规定</w:t>
            </w:r>
            <w:r>
              <w:rPr>
                <w:rFonts w:ascii="宋体" w:hAnsi="宋体"/>
                <w:color w:val="auto"/>
                <w:szCs w:val="21"/>
              </w:rPr>
              <w:t>的原则</w:t>
            </w:r>
            <w:r>
              <w:rPr>
                <w:rFonts w:hint="eastAsia" w:ascii="宋体" w:hAnsi="宋体"/>
                <w:color w:val="auto"/>
                <w:szCs w:val="21"/>
              </w:rPr>
              <w:t>进行</w:t>
            </w:r>
            <w:r>
              <w:rPr>
                <w:rFonts w:ascii="宋体" w:hAnsi="宋体"/>
                <w:color w:val="auto"/>
                <w:szCs w:val="21"/>
              </w:rPr>
              <w:t>修正</w:t>
            </w:r>
            <w:r>
              <w:rPr>
                <w:rFonts w:hint="eastAsia" w:ascii="宋体" w:hAnsi="宋体"/>
                <w:color w:val="auto"/>
                <w:szCs w:val="21"/>
              </w:rPr>
              <w:t>的</w:t>
            </w:r>
          </w:p>
        </w:tc>
      </w:tr>
      <w:tr w14:paraId="2C6BC0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0" w:hRule="exact"/>
          <w:jc w:val="center"/>
        </w:trPr>
        <w:tc>
          <w:tcPr>
            <w:tcW w:w="824" w:type="dxa"/>
            <w:vMerge w:val="continue"/>
            <w:noWrap w:val="0"/>
            <w:vAlign w:val="center"/>
          </w:tcPr>
          <w:p w14:paraId="0ED764B0">
            <w:pPr>
              <w:spacing w:before="100" w:beforeAutospacing="1" w:after="100" w:afterAutospacing="1"/>
              <w:rPr>
                <w:rFonts w:ascii="宋体" w:hAnsi="宋体"/>
                <w:color w:val="auto"/>
                <w:szCs w:val="21"/>
              </w:rPr>
            </w:pPr>
          </w:p>
        </w:tc>
        <w:tc>
          <w:tcPr>
            <w:tcW w:w="850" w:type="dxa"/>
            <w:vMerge w:val="continue"/>
            <w:noWrap w:val="0"/>
            <w:vAlign w:val="center"/>
          </w:tcPr>
          <w:p w14:paraId="53ED4195">
            <w:pPr>
              <w:spacing w:before="100" w:beforeAutospacing="1" w:after="100" w:afterAutospacing="1"/>
              <w:rPr>
                <w:rFonts w:ascii="宋体" w:hAnsi="宋体"/>
                <w:color w:val="auto"/>
                <w:szCs w:val="21"/>
              </w:rPr>
            </w:pPr>
          </w:p>
        </w:tc>
        <w:tc>
          <w:tcPr>
            <w:tcW w:w="2400" w:type="dxa"/>
            <w:vMerge w:val="continue"/>
            <w:noWrap w:val="0"/>
            <w:vAlign w:val="center"/>
          </w:tcPr>
          <w:p w14:paraId="39A096BD">
            <w:pPr>
              <w:spacing w:before="100" w:beforeAutospacing="1" w:after="100" w:afterAutospacing="1"/>
              <w:jc w:val="center"/>
              <w:rPr>
                <w:rFonts w:ascii="宋体" w:hAnsi="宋体"/>
                <w:color w:val="auto"/>
                <w:szCs w:val="21"/>
              </w:rPr>
            </w:pPr>
          </w:p>
        </w:tc>
        <w:tc>
          <w:tcPr>
            <w:tcW w:w="5667" w:type="dxa"/>
            <w:noWrap w:val="0"/>
            <w:vAlign w:val="center"/>
          </w:tcPr>
          <w:p w14:paraId="4AD9837D">
            <w:pPr>
              <w:rPr>
                <w:rFonts w:ascii="宋体" w:hAnsi="宋体"/>
                <w:color w:val="auto"/>
                <w:szCs w:val="21"/>
              </w:rPr>
            </w:pPr>
            <w:bookmarkStart w:id="122" w:name="OLE_LINK8"/>
            <w:r>
              <w:rPr>
                <w:rFonts w:hint="eastAsia" w:ascii="宋体" w:hAnsi="宋体"/>
                <w:color w:val="auto"/>
                <w:szCs w:val="21"/>
              </w:rPr>
              <w:t>响应其它招标文件中规定的实质性内容的</w:t>
            </w:r>
            <w:bookmarkEnd w:id="122"/>
          </w:p>
        </w:tc>
      </w:tr>
      <w:tr w14:paraId="5E85EF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173" w:hRule="exact"/>
          <w:jc w:val="center"/>
        </w:trPr>
        <w:tc>
          <w:tcPr>
            <w:tcW w:w="824" w:type="dxa"/>
            <w:vMerge w:val="restart"/>
            <w:noWrap w:val="0"/>
            <w:vAlign w:val="center"/>
          </w:tcPr>
          <w:p w14:paraId="376F206A">
            <w:pPr>
              <w:rPr>
                <w:rFonts w:ascii="宋体" w:hAnsi="宋体"/>
                <w:color w:val="auto"/>
                <w:szCs w:val="21"/>
              </w:rPr>
            </w:pPr>
            <w:r>
              <w:rPr>
                <w:rFonts w:hint="eastAsia" w:ascii="宋体" w:hAnsi="宋体"/>
                <w:color w:val="auto"/>
                <w:szCs w:val="21"/>
              </w:rPr>
              <w:t>2.2</w:t>
            </w:r>
          </w:p>
        </w:tc>
        <w:tc>
          <w:tcPr>
            <w:tcW w:w="850" w:type="dxa"/>
            <w:vMerge w:val="restart"/>
            <w:noWrap w:val="0"/>
            <w:vAlign w:val="center"/>
          </w:tcPr>
          <w:p w14:paraId="2C54B006">
            <w:pPr>
              <w:rPr>
                <w:rFonts w:ascii="宋体" w:hAnsi="宋体"/>
                <w:color w:val="auto"/>
                <w:szCs w:val="21"/>
              </w:rPr>
            </w:pPr>
            <w:r>
              <w:rPr>
                <w:rFonts w:hint="eastAsia" w:ascii="宋体" w:hAnsi="宋体"/>
                <w:color w:val="auto"/>
                <w:szCs w:val="21"/>
              </w:rPr>
              <w:t>详细评审标准</w:t>
            </w:r>
          </w:p>
        </w:tc>
        <w:tc>
          <w:tcPr>
            <w:tcW w:w="2400" w:type="dxa"/>
            <w:noWrap w:val="0"/>
            <w:vAlign w:val="center"/>
          </w:tcPr>
          <w:p w14:paraId="0ECFC130">
            <w:pPr>
              <w:jc w:val="center"/>
              <w:rPr>
                <w:rFonts w:ascii="宋体" w:hAnsi="宋体"/>
                <w:color w:val="auto"/>
                <w:szCs w:val="21"/>
              </w:rPr>
            </w:pPr>
            <w:r>
              <w:rPr>
                <w:rFonts w:hint="eastAsia" w:ascii="宋体" w:hAnsi="宋体"/>
                <w:color w:val="auto"/>
                <w:szCs w:val="21"/>
              </w:rPr>
              <w:t>1）评标总得分计算公式</w:t>
            </w:r>
          </w:p>
        </w:tc>
        <w:tc>
          <w:tcPr>
            <w:tcW w:w="5667" w:type="dxa"/>
            <w:noWrap w:val="0"/>
            <w:vAlign w:val="center"/>
          </w:tcPr>
          <w:p w14:paraId="7E2BDB5F">
            <w:pPr>
              <w:rPr>
                <w:rFonts w:ascii="宋体" w:hAnsi="宋体"/>
                <w:color w:val="auto"/>
                <w:szCs w:val="21"/>
              </w:rPr>
            </w:pPr>
            <w:r>
              <w:rPr>
                <w:rFonts w:ascii="宋体" w:hAnsi="宋体"/>
                <w:color w:val="auto"/>
                <w:szCs w:val="21"/>
              </w:rPr>
              <w:t>投标人的评标总得分＝F1＋F2</w:t>
            </w:r>
          </w:p>
          <w:p w14:paraId="20F6649E">
            <w:pPr>
              <w:rPr>
                <w:rFonts w:ascii="宋体" w:hAnsi="宋体"/>
                <w:color w:val="auto"/>
                <w:szCs w:val="21"/>
              </w:rPr>
            </w:pPr>
            <w:r>
              <w:rPr>
                <w:rFonts w:ascii="宋体" w:hAnsi="宋体"/>
                <w:color w:val="auto"/>
                <w:szCs w:val="21"/>
              </w:rPr>
              <w:t>其中：</w:t>
            </w:r>
          </w:p>
          <w:p w14:paraId="12D151F0">
            <w:pPr>
              <w:rPr>
                <w:rFonts w:ascii="宋体" w:hAnsi="宋体"/>
                <w:color w:val="auto"/>
                <w:szCs w:val="21"/>
              </w:rPr>
            </w:pPr>
            <w:r>
              <w:rPr>
                <w:rFonts w:ascii="宋体" w:hAnsi="宋体"/>
                <w:color w:val="auto"/>
                <w:szCs w:val="21"/>
              </w:rPr>
              <w:t>①F1、F2分别为投标报价、技术部分</w:t>
            </w:r>
            <w:r>
              <w:rPr>
                <w:rFonts w:hint="eastAsia" w:ascii="宋体" w:hAnsi="宋体"/>
                <w:color w:val="auto"/>
                <w:szCs w:val="21"/>
                <w:lang w:val="en-US" w:eastAsia="zh-CN"/>
              </w:rPr>
              <w:t>2</w:t>
            </w:r>
            <w:r>
              <w:rPr>
                <w:rFonts w:ascii="宋体" w:hAnsi="宋体"/>
                <w:color w:val="auto"/>
                <w:szCs w:val="21"/>
              </w:rPr>
              <w:t>项评分因素的汇总得分</w:t>
            </w:r>
          </w:p>
        </w:tc>
      </w:tr>
      <w:tr w14:paraId="298291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390" w:hRule="exact"/>
          <w:jc w:val="center"/>
        </w:trPr>
        <w:tc>
          <w:tcPr>
            <w:tcW w:w="824" w:type="dxa"/>
            <w:vMerge w:val="continue"/>
            <w:tcBorders>
              <w:bottom w:val="single" w:color="auto" w:sz="4" w:space="0"/>
            </w:tcBorders>
            <w:noWrap w:val="0"/>
            <w:vAlign w:val="center"/>
          </w:tcPr>
          <w:p w14:paraId="25458643">
            <w:pPr>
              <w:rPr>
                <w:rFonts w:ascii="宋体" w:hAnsi="宋体"/>
                <w:color w:val="auto"/>
                <w:szCs w:val="21"/>
              </w:rPr>
            </w:pPr>
          </w:p>
        </w:tc>
        <w:tc>
          <w:tcPr>
            <w:tcW w:w="850" w:type="dxa"/>
            <w:vMerge w:val="continue"/>
            <w:tcBorders>
              <w:bottom w:val="single" w:color="auto" w:sz="4" w:space="0"/>
            </w:tcBorders>
            <w:noWrap w:val="0"/>
            <w:vAlign w:val="center"/>
          </w:tcPr>
          <w:p w14:paraId="11D6A603">
            <w:pPr>
              <w:rPr>
                <w:rFonts w:ascii="宋体" w:hAnsi="宋体"/>
                <w:color w:val="auto"/>
                <w:szCs w:val="21"/>
              </w:rPr>
            </w:pPr>
          </w:p>
        </w:tc>
        <w:tc>
          <w:tcPr>
            <w:tcW w:w="2400" w:type="dxa"/>
            <w:tcBorders>
              <w:bottom w:val="single" w:color="auto" w:sz="4" w:space="0"/>
            </w:tcBorders>
            <w:noWrap w:val="0"/>
            <w:vAlign w:val="center"/>
          </w:tcPr>
          <w:p w14:paraId="64766BA0">
            <w:pPr>
              <w:rPr>
                <w:rFonts w:ascii="宋体" w:hAnsi="宋体"/>
                <w:color w:val="auto"/>
                <w:szCs w:val="21"/>
              </w:rPr>
            </w:pPr>
            <w:r>
              <w:rPr>
                <w:rFonts w:hint="eastAsia" w:ascii="宋体" w:hAnsi="宋体"/>
                <w:color w:val="auto"/>
                <w:szCs w:val="21"/>
              </w:rPr>
              <w:t>2）评分因素权重</w:t>
            </w:r>
          </w:p>
        </w:tc>
        <w:tc>
          <w:tcPr>
            <w:tcW w:w="5667" w:type="dxa"/>
            <w:tcBorders>
              <w:bottom w:val="single" w:color="auto" w:sz="4" w:space="0"/>
            </w:tcBorders>
            <w:noWrap w:val="0"/>
            <w:vAlign w:val="center"/>
          </w:tcPr>
          <w:p w14:paraId="1F42A7C0">
            <w:pPr>
              <w:ind w:left="1258" w:hanging="1258"/>
              <w:rPr>
                <w:rFonts w:ascii="宋体" w:hAnsi="宋体"/>
                <w:color w:val="auto"/>
                <w:szCs w:val="21"/>
              </w:rPr>
            </w:pPr>
            <w:r>
              <w:rPr>
                <w:rFonts w:ascii="宋体" w:hAnsi="宋体"/>
                <w:color w:val="auto"/>
                <w:szCs w:val="21"/>
              </w:rPr>
              <w:t>投标报价F1：</w:t>
            </w:r>
            <w:r>
              <w:rPr>
                <w:rFonts w:hint="eastAsia" w:ascii="宋体" w:hAnsi="宋体"/>
                <w:color w:val="auto"/>
                <w:szCs w:val="21"/>
                <w:lang w:val="en-US" w:eastAsia="zh-CN"/>
              </w:rPr>
              <w:t>3</w:t>
            </w:r>
            <w:r>
              <w:rPr>
                <w:rFonts w:ascii="宋体" w:hAnsi="宋体"/>
                <w:color w:val="auto"/>
                <w:szCs w:val="21"/>
              </w:rPr>
              <w:t>0分</w:t>
            </w:r>
          </w:p>
          <w:p w14:paraId="64DCD107">
            <w:pPr>
              <w:ind w:left="1258" w:hanging="1258"/>
              <w:rPr>
                <w:rFonts w:ascii="宋体" w:hAnsi="宋体"/>
                <w:color w:val="auto"/>
                <w:szCs w:val="21"/>
                <w:highlight w:val="yellow"/>
              </w:rPr>
            </w:pPr>
            <w:r>
              <w:rPr>
                <w:rFonts w:ascii="宋体" w:hAnsi="宋体" w:cs="Times New Roman"/>
                <w:color w:val="auto"/>
                <w:szCs w:val="21"/>
              </w:rPr>
              <w:t>技术</w:t>
            </w:r>
            <w:r>
              <w:rPr>
                <w:rFonts w:hint="eastAsia" w:ascii="宋体" w:hAnsi="宋体" w:cs="Times New Roman"/>
                <w:color w:val="auto"/>
                <w:szCs w:val="21"/>
                <w:lang w:val="en-US" w:eastAsia="zh-CN"/>
              </w:rPr>
              <w:t>及服务</w:t>
            </w:r>
            <w:r>
              <w:rPr>
                <w:rFonts w:ascii="宋体" w:hAnsi="宋体" w:cs="Times New Roman"/>
                <w:color w:val="auto"/>
                <w:szCs w:val="21"/>
              </w:rPr>
              <w:t>部分F2：</w:t>
            </w:r>
            <w:r>
              <w:rPr>
                <w:rFonts w:hint="eastAsia" w:ascii="宋体" w:hAnsi="宋体" w:cs="Times New Roman"/>
                <w:color w:val="auto"/>
                <w:szCs w:val="21"/>
                <w:lang w:val="en-US" w:eastAsia="zh-CN"/>
              </w:rPr>
              <w:t>7</w:t>
            </w:r>
            <w:r>
              <w:rPr>
                <w:rFonts w:ascii="宋体" w:hAnsi="宋体" w:cs="Times New Roman"/>
                <w:color w:val="auto"/>
                <w:szCs w:val="21"/>
              </w:rPr>
              <w:t>0分</w:t>
            </w:r>
          </w:p>
        </w:tc>
      </w:tr>
      <w:tr w14:paraId="37119F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157" w:hRule="exact"/>
          <w:jc w:val="center"/>
        </w:trPr>
        <w:tc>
          <w:tcPr>
            <w:tcW w:w="824" w:type="dxa"/>
            <w:tcBorders>
              <w:top w:val="single" w:color="auto" w:sz="4" w:space="0"/>
              <w:left w:val="single" w:color="auto" w:sz="4" w:space="0"/>
              <w:bottom w:val="single" w:color="auto" w:sz="4" w:space="0"/>
            </w:tcBorders>
            <w:noWrap w:val="0"/>
            <w:vAlign w:val="center"/>
          </w:tcPr>
          <w:p w14:paraId="156541C6">
            <w:pPr>
              <w:rPr>
                <w:rFonts w:ascii="宋体" w:hAnsi="宋体"/>
                <w:color w:val="auto"/>
                <w:szCs w:val="21"/>
              </w:rPr>
            </w:pPr>
            <w:r>
              <w:rPr>
                <w:rFonts w:hint="eastAsia" w:ascii="宋体" w:hAnsi="宋体"/>
                <w:color w:val="auto"/>
                <w:szCs w:val="21"/>
              </w:rPr>
              <w:t>2.2.1（1）</w:t>
            </w:r>
          </w:p>
        </w:tc>
        <w:tc>
          <w:tcPr>
            <w:tcW w:w="850" w:type="dxa"/>
            <w:tcBorders>
              <w:top w:val="single" w:color="auto" w:sz="4" w:space="0"/>
              <w:bottom w:val="single" w:color="auto" w:sz="4" w:space="0"/>
            </w:tcBorders>
            <w:noWrap w:val="0"/>
            <w:vAlign w:val="center"/>
          </w:tcPr>
          <w:p w14:paraId="44E998FD">
            <w:pPr>
              <w:rPr>
                <w:color w:val="auto"/>
              </w:rPr>
            </w:pPr>
            <w:r>
              <w:rPr>
                <w:rFonts w:hint="eastAsia"/>
                <w:color w:val="auto"/>
              </w:rPr>
              <w:t>投标报价得分F1</w:t>
            </w:r>
          </w:p>
          <w:p w14:paraId="61468946">
            <w:pPr>
              <w:rPr>
                <w:color w:val="auto"/>
              </w:rPr>
            </w:pPr>
            <w:r>
              <w:rPr>
                <w:color w:val="auto"/>
              </w:rPr>
              <w:t>评分标准</w:t>
            </w:r>
          </w:p>
          <w:p w14:paraId="582D223F">
            <w:pPr>
              <w:pStyle w:val="14"/>
              <w:rPr>
                <w:color w:val="auto"/>
                <w:lang w:val="en-US" w:eastAsia="zh-CN"/>
              </w:rPr>
            </w:pPr>
          </w:p>
        </w:tc>
        <w:tc>
          <w:tcPr>
            <w:tcW w:w="2400" w:type="dxa"/>
            <w:tcBorders>
              <w:top w:val="single" w:color="auto" w:sz="4" w:space="0"/>
              <w:bottom w:val="single" w:color="auto" w:sz="4" w:space="0"/>
            </w:tcBorders>
            <w:noWrap w:val="0"/>
            <w:vAlign w:val="center"/>
          </w:tcPr>
          <w:p w14:paraId="084822B5">
            <w:pPr>
              <w:rPr>
                <w:rFonts w:ascii="宋体" w:hAnsi="宋体"/>
                <w:color w:val="auto"/>
                <w:szCs w:val="21"/>
              </w:rPr>
            </w:pPr>
            <w:r>
              <w:rPr>
                <w:rFonts w:ascii="宋体" w:hAnsi="宋体"/>
                <w:color w:val="auto"/>
                <w:szCs w:val="21"/>
              </w:rPr>
              <w:t>投标报价评分计算公式</w:t>
            </w:r>
          </w:p>
        </w:tc>
        <w:tc>
          <w:tcPr>
            <w:tcW w:w="5667" w:type="dxa"/>
            <w:tcBorders>
              <w:top w:val="single" w:color="auto" w:sz="4" w:space="0"/>
              <w:bottom w:val="single" w:color="auto" w:sz="4" w:space="0"/>
              <w:right w:val="single" w:color="auto" w:sz="4" w:space="0"/>
            </w:tcBorders>
            <w:noWrap w:val="0"/>
            <w:vAlign w:val="center"/>
          </w:tcPr>
          <w:p w14:paraId="387536E9">
            <w:pPr>
              <w:adjustRightInd w:val="0"/>
              <w:rPr>
                <w:rFonts w:hint="eastAsia"/>
                <w:color w:val="auto"/>
              </w:rPr>
            </w:pPr>
            <w:r>
              <w:rPr>
                <w:rFonts w:hint="eastAsia"/>
                <w:color w:val="auto"/>
              </w:rPr>
              <w:t xml:space="preserve">投标报价计算公式= </w:t>
            </w:r>
            <w:r>
              <w:rPr>
                <w:color w:val="auto"/>
              </w:rPr>
              <w:drawing>
                <wp:inline distT="0" distB="0" distL="114300" distR="114300">
                  <wp:extent cx="971550" cy="457835"/>
                  <wp:effectExtent l="0" t="0" r="0" b="0"/>
                  <wp:docPr id="2" name="图片 4" descr="341228446826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341228446826312"/>
                          <pic:cNvPicPr>
                            <a:picLocks noChangeAspect="1"/>
                          </pic:cNvPicPr>
                        </pic:nvPicPr>
                        <pic:blipFill>
                          <a:blip r:embed="rId14"/>
                          <a:stretch>
                            <a:fillRect/>
                          </a:stretch>
                        </pic:blipFill>
                        <pic:spPr>
                          <a:xfrm>
                            <a:off x="0" y="0"/>
                            <a:ext cx="971550" cy="457835"/>
                          </a:xfrm>
                          <a:prstGeom prst="rect">
                            <a:avLst/>
                          </a:prstGeom>
                          <a:noFill/>
                          <a:ln>
                            <a:noFill/>
                          </a:ln>
                        </pic:spPr>
                      </pic:pic>
                    </a:graphicData>
                  </a:graphic>
                </wp:inline>
              </w:drawing>
            </w:r>
            <w:r>
              <w:rPr>
                <w:rFonts w:hint="eastAsia"/>
                <w:color w:val="auto"/>
              </w:rPr>
              <w:t>×</w:t>
            </w:r>
            <w:r>
              <w:rPr>
                <w:rFonts w:hint="eastAsia"/>
                <w:color w:val="auto"/>
                <w:lang w:val="en-US" w:eastAsia="zh-CN"/>
              </w:rPr>
              <w:t>3</w:t>
            </w:r>
            <w:r>
              <w:rPr>
                <w:rFonts w:hint="eastAsia"/>
                <w:color w:val="auto"/>
              </w:rPr>
              <w:t>0</w:t>
            </w:r>
          </w:p>
          <w:p w14:paraId="46F1DD6E">
            <w:pPr>
              <w:adjustRightInd w:val="0"/>
              <w:spacing w:line="300" w:lineRule="exact"/>
              <w:rPr>
                <w:rFonts w:hint="eastAsia"/>
                <w:color w:val="auto"/>
              </w:rPr>
            </w:pPr>
          </w:p>
          <w:p w14:paraId="05D47233">
            <w:pPr>
              <w:adjustRightInd w:val="0"/>
              <w:spacing w:line="300" w:lineRule="exact"/>
              <w:rPr>
                <w:color w:val="auto"/>
              </w:rPr>
            </w:pPr>
            <w:r>
              <w:rPr>
                <w:rFonts w:hint="eastAsia"/>
                <w:color w:val="auto"/>
              </w:rPr>
              <w:t>即：</w:t>
            </w:r>
            <w:r>
              <w:rPr>
                <w:color w:val="auto"/>
              </w:rPr>
              <w:t>F</w:t>
            </w:r>
            <w:r>
              <w:rPr>
                <w:rFonts w:hint="eastAsia"/>
                <w:color w:val="auto"/>
              </w:rPr>
              <w:t>1</w:t>
            </w:r>
            <w:r>
              <w:rPr>
                <w:color w:val="auto"/>
              </w:rPr>
              <w:t>=[C/（B1，B2，…</w:t>
            </w:r>
            <w:r>
              <w:rPr>
                <w:rFonts w:hint="eastAsia"/>
                <w:color w:val="auto"/>
              </w:rPr>
              <w:t>，</w:t>
            </w:r>
            <w:r>
              <w:rPr>
                <w:color w:val="auto"/>
              </w:rPr>
              <w:t>Bn）]×</w:t>
            </w:r>
            <w:r>
              <w:rPr>
                <w:rFonts w:hint="eastAsia"/>
                <w:color w:val="auto"/>
                <w:lang w:val="en-US" w:eastAsia="zh-CN"/>
              </w:rPr>
              <w:t>3</w:t>
            </w:r>
            <w:r>
              <w:rPr>
                <w:rFonts w:hint="eastAsia"/>
                <w:color w:val="auto"/>
              </w:rPr>
              <w:t>0</w:t>
            </w:r>
          </w:p>
          <w:p w14:paraId="1E66A3BB">
            <w:pPr>
              <w:adjustRightInd w:val="0"/>
              <w:spacing w:line="300" w:lineRule="exact"/>
              <w:rPr>
                <w:b/>
                <w:color w:val="auto"/>
              </w:rPr>
            </w:pPr>
            <w:r>
              <w:rPr>
                <w:rFonts w:hint="eastAsia"/>
                <w:b/>
                <w:color w:val="auto"/>
              </w:rPr>
              <w:t>注：</w:t>
            </w:r>
            <w:r>
              <w:rPr>
                <w:b/>
                <w:color w:val="auto"/>
              </w:rPr>
              <w:t>C为评标基准价，即经</w:t>
            </w:r>
            <w:r>
              <w:rPr>
                <w:rFonts w:hint="eastAsia"/>
                <w:b/>
                <w:color w:val="auto"/>
              </w:rPr>
              <w:t>初步</w:t>
            </w:r>
            <w:r>
              <w:rPr>
                <w:b/>
                <w:color w:val="auto"/>
              </w:rPr>
              <w:t>审查合格的</w:t>
            </w:r>
            <w:r>
              <w:rPr>
                <w:rFonts w:hint="eastAsia"/>
                <w:b/>
                <w:color w:val="auto"/>
              </w:rPr>
              <w:t>最低有效投标人的报价；</w:t>
            </w:r>
          </w:p>
          <w:p w14:paraId="718EBA90">
            <w:pPr>
              <w:spacing w:line="300" w:lineRule="exact"/>
              <w:ind w:firstLine="420" w:firstLineChars="200"/>
              <w:rPr>
                <w:b/>
                <w:color w:val="auto"/>
              </w:rPr>
            </w:pPr>
            <w:r>
              <w:rPr>
                <w:b/>
                <w:color w:val="auto"/>
              </w:rPr>
              <w:t>B1，B2，…</w:t>
            </w:r>
            <w:r>
              <w:rPr>
                <w:rFonts w:hint="eastAsia"/>
                <w:b/>
                <w:color w:val="auto"/>
              </w:rPr>
              <w:t>，</w:t>
            </w:r>
            <w:r>
              <w:rPr>
                <w:b/>
                <w:color w:val="auto"/>
              </w:rPr>
              <w:t>Bn为第n个经</w:t>
            </w:r>
            <w:r>
              <w:rPr>
                <w:rFonts w:hint="eastAsia"/>
                <w:b/>
                <w:color w:val="auto"/>
              </w:rPr>
              <w:t>初步</w:t>
            </w:r>
            <w:r>
              <w:rPr>
                <w:b/>
                <w:color w:val="auto"/>
              </w:rPr>
              <w:t>审查合格的有效投标报价。</w:t>
            </w:r>
          </w:p>
          <w:p w14:paraId="68809C9D">
            <w:pPr>
              <w:pStyle w:val="18"/>
              <w:spacing w:line="300" w:lineRule="exact"/>
              <w:ind w:firstLine="400" w:firstLineChars="200"/>
              <w:rPr>
                <w:rFonts w:hint="eastAsia" w:ascii="Times New Roman" w:hAnsi="Calibri"/>
                <w:color w:val="auto"/>
                <w:kern w:val="2"/>
                <w:sz w:val="20"/>
                <w:szCs w:val="20"/>
                <w:lang w:val="en-US" w:eastAsia="zh-CN"/>
              </w:rPr>
            </w:pPr>
            <w:r>
              <w:rPr>
                <w:rFonts w:hint="eastAsia" w:hAnsi="Calibri"/>
                <w:b/>
                <w:bCs/>
                <w:color w:val="auto"/>
                <w:lang w:val="en-US" w:eastAsia="zh-CN"/>
              </w:rPr>
              <w:t>若投标人投标报价超该项目采购预算的，则作废标处理。</w:t>
            </w:r>
            <w:r>
              <w:rPr>
                <w:rFonts w:hint="eastAsia" w:ascii="Times New Roman" w:hAnsi="Calibri"/>
                <w:color w:val="auto"/>
                <w:kern w:val="2"/>
                <w:sz w:val="20"/>
                <w:szCs w:val="20"/>
                <w:lang w:val="en-US" w:eastAsia="zh-CN"/>
              </w:rPr>
              <w:t>关于中小企业：</w:t>
            </w:r>
          </w:p>
          <w:p w14:paraId="2EE19848">
            <w:pPr>
              <w:pStyle w:val="18"/>
              <w:spacing w:line="300" w:lineRule="exact"/>
              <w:ind w:firstLine="400" w:firstLineChars="200"/>
              <w:rPr>
                <w:rFonts w:hint="eastAsia" w:ascii="Times New Roman" w:hAnsi="Calibri"/>
                <w:color w:val="auto"/>
                <w:kern w:val="2"/>
                <w:sz w:val="20"/>
                <w:szCs w:val="20"/>
                <w:lang w:val="en-US" w:eastAsia="zh-CN"/>
              </w:rPr>
            </w:pPr>
            <w:r>
              <w:rPr>
                <w:rFonts w:hint="eastAsia" w:ascii="Times New Roman" w:hAnsi="Calibri"/>
                <w:color w:val="auto"/>
                <w:kern w:val="2"/>
                <w:sz w:val="20"/>
                <w:szCs w:val="20"/>
                <w:lang w:val="en-US" w:eastAsia="zh-CN"/>
              </w:rPr>
              <w:t>1．根据《关于印发&lt;政府采购促进中小企业发展暂行办法&gt;的通知》(财库【2011】181号文)的规定，中小企业(含中型、小型、微型企业，下同)应当同时符合以下条件：</w:t>
            </w:r>
          </w:p>
          <w:p w14:paraId="0182AE45">
            <w:pPr>
              <w:pStyle w:val="18"/>
              <w:spacing w:line="300" w:lineRule="exact"/>
              <w:ind w:firstLine="400" w:firstLineChars="200"/>
              <w:rPr>
                <w:rFonts w:hint="eastAsia" w:ascii="Times New Roman" w:hAnsi="Calibri"/>
                <w:color w:val="auto"/>
                <w:kern w:val="2"/>
                <w:sz w:val="20"/>
                <w:szCs w:val="20"/>
                <w:lang w:val="en-US" w:eastAsia="zh-CN"/>
              </w:rPr>
            </w:pPr>
            <w:r>
              <w:rPr>
                <w:rFonts w:hint="eastAsia" w:ascii="Times New Roman" w:hAnsi="Calibri"/>
                <w:color w:val="auto"/>
                <w:kern w:val="2"/>
                <w:sz w:val="20"/>
                <w:szCs w:val="20"/>
                <w:lang w:val="en-US" w:eastAsia="zh-CN"/>
              </w:rPr>
              <w:t>(1)符合中小企业划分标准；</w:t>
            </w:r>
          </w:p>
          <w:p w14:paraId="07AC31E1">
            <w:pPr>
              <w:pStyle w:val="18"/>
              <w:spacing w:line="300" w:lineRule="exact"/>
              <w:ind w:firstLine="400" w:firstLineChars="200"/>
              <w:rPr>
                <w:rFonts w:hint="eastAsia" w:ascii="Times New Roman" w:hAnsi="Calibri"/>
                <w:color w:val="auto"/>
                <w:kern w:val="2"/>
                <w:sz w:val="20"/>
                <w:szCs w:val="20"/>
                <w:lang w:val="en-US" w:eastAsia="zh-CN"/>
              </w:rPr>
            </w:pPr>
            <w:r>
              <w:rPr>
                <w:rFonts w:hint="eastAsia" w:ascii="Times New Roman" w:hAnsi="Calibri"/>
                <w:color w:val="auto"/>
                <w:kern w:val="2"/>
                <w:sz w:val="20"/>
                <w:szCs w:val="20"/>
                <w:lang w:val="en-US" w:eastAsia="zh-CN"/>
              </w:rPr>
              <w:t>(2)提供本企业制造的货物、承担的工程或者服务，或者提供其他中小企业制造的货物。本项所称货物不包括使用大型企业注册商标的货物。</w:t>
            </w:r>
          </w:p>
          <w:p w14:paraId="74B94811">
            <w:pPr>
              <w:pStyle w:val="18"/>
              <w:spacing w:line="300" w:lineRule="exact"/>
              <w:ind w:firstLine="400" w:firstLineChars="200"/>
              <w:rPr>
                <w:rFonts w:hint="eastAsia" w:ascii="Times New Roman" w:hAnsi="Calibri"/>
                <w:color w:val="auto"/>
                <w:kern w:val="2"/>
                <w:sz w:val="20"/>
                <w:szCs w:val="20"/>
                <w:lang w:val="en-US" w:eastAsia="zh-CN"/>
              </w:rPr>
            </w:pPr>
            <w:r>
              <w:rPr>
                <w:rFonts w:hint="eastAsia" w:ascii="Times New Roman" w:hAnsi="Calibri"/>
                <w:color w:val="auto"/>
                <w:kern w:val="2"/>
                <w:sz w:val="20"/>
                <w:szCs w:val="20"/>
                <w:lang w:val="en-US" w:eastAsia="zh-CN"/>
              </w:rPr>
              <w:t>2.本规定所称中小企业划分标准，是指国务院有关部门根据企业从业人员、营业收入、资产总额等指标制定的中小企业划型标准，详见《关于印发中小企业划型标准规定的通知》(工信部联企业〔2011〕300号)。</w:t>
            </w:r>
          </w:p>
          <w:p w14:paraId="0360F72B">
            <w:pPr>
              <w:pStyle w:val="18"/>
              <w:spacing w:line="300" w:lineRule="exact"/>
              <w:ind w:firstLine="400" w:firstLineChars="200"/>
              <w:rPr>
                <w:rFonts w:hint="eastAsia" w:ascii="Times New Roman" w:hAnsi="Calibri"/>
                <w:color w:val="auto"/>
                <w:kern w:val="2"/>
                <w:sz w:val="20"/>
                <w:szCs w:val="20"/>
                <w:lang w:val="en-US" w:eastAsia="zh-CN"/>
              </w:rPr>
            </w:pPr>
            <w:r>
              <w:rPr>
                <w:rFonts w:hint="eastAsia" w:ascii="Times New Roman" w:hAnsi="Calibri"/>
                <w:color w:val="auto"/>
                <w:kern w:val="2"/>
                <w:sz w:val="20"/>
                <w:szCs w:val="20"/>
                <w:lang w:val="en-US" w:eastAsia="zh-CN"/>
              </w:rPr>
              <w:t>3.小型、微型企业提供中型企业制造的货物的，视同为中型企业。</w:t>
            </w:r>
          </w:p>
          <w:p w14:paraId="5D6427FD">
            <w:pPr>
              <w:pStyle w:val="18"/>
              <w:spacing w:line="300" w:lineRule="exact"/>
              <w:ind w:firstLine="400" w:firstLineChars="200"/>
              <w:rPr>
                <w:rFonts w:hint="eastAsia" w:ascii="Times New Roman" w:hAnsi="Calibri"/>
                <w:color w:val="auto"/>
                <w:kern w:val="2"/>
                <w:sz w:val="20"/>
                <w:szCs w:val="20"/>
                <w:lang w:val="en-US" w:eastAsia="zh-CN"/>
              </w:rPr>
            </w:pPr>
            <w:r>
              <w:rPr>
                <w:rFonts w:hint="eastAsia" w:ascii="Times New Roman" w:hAnsi="Calibri"/>
                <w:color w:val="auto"/>
                <w:kern w:val="2"/>
                <w:sz w:val="20"/>
                <w:szCs w:val="20"/>
                <w:lang w:val="en-US" w:eastAsia="zh-CN"/>
              </w:rPr>
              <w:t>4.中小企业提供本企业制造的货物参与投标时，须提供本企业的《中小企业声明函》；中小企业提供其他中小企业制造的货物参与投标时，还须同时提供货物制造企业的《中小企业声明函》。</w:t>
            </w:r>
          </w:p>
          <w:p w14:paraId="053CD3FF">
            <w:pPr>
              <w:pStyle w:val="18"/>
              <w:spacing w:line="300" w:lineRule="exact"/>
              <w:ind w:firstLine="400" w:firstLineChars="200"/>
              <w:rPr>
                <w:rFonts w:hint="eastAsia" w:ascii="Times New Roman" w:hAnsi="Calibri"/>
                <w:color w:val="auto"/>
                <w:kern w:val="2"/>
                <w:sz w:val="20"/>
                <w:szCs w:val="20"/>
                <w:lang w:val="en-US" w:eastAsia="zh-CN"/>
              </w:rPr>
            </w:pPr>
            <w:r>
              <w:rPr>
                <w:rFonts w:hint="eastAsia" w:ascii="Times New Roman" w:hAnsi="Calibri"/>
                <w:color w:val="auto"/>
                <w:kern w:val="2"/>
                <w:sz w:val="20"/>
                <w:szCs w:val="20"/>
                <w:lang w:val="en-US" w:eastAsia="zh-CN"/>
              </w:rPr>
              <w:t>注：监狱企业、残疾人福利性单位视同小型、微型企业。</w:t>
            </w:r>
          </w:p>
          <w:p w14:paraId="61241DD8">
            <w:pPr>
              <w:pStyle w:val="18"/>
              <w:spacing w:line="300" w:lineRule="exact"/>
              <w:ind w:firstLine="400" w:firstLineChars="200"/>
              <w:rPr>
                <w:rFonts w:hint="eastAsia" w:hAnsi="Calibri"/>
                <w:color w:val="auto"/>
                <w:lang w:val="en-US" w:eastAsia="zh-CN"/>
              </w:rPr>
            </w:pPr>
            <w:r>
              <w:rPr>
                <w:rFonts w:hint="eastAsia" w:ascii="Times New Roman" w:hAnsi="Calibri"/>
                <w:color w:val="auto"/>
                <w:kern w:val="2"/>
                <w:sz w:val="20"/>
                <w:szCs w:val="20"/>
                <w:lang w:val="en-US" w:eastAsia="zh-CN"/>
              </w:rPr>
              <w:t>根据财库【2011】181号和财库【2014】68号的规定：满足“中小型企业声明函”所列条件的供应商，其价格给予10%的扣除，用扣除后的价格参与评审。即：评标价=投标报价×（1-10%）。</w:t>
            </w:r>
          </w:p>
        </w:tc>
      </w:tr>
    </w:tbl>
    <w:p w14:paraId="04356AF6">
      <w:pPr>
        <w:rPr>
          <w:rFonts w:hint="eastAsia" w:ascii="宋体" w:hAnsi="宋体"/>
          <w:color w:val="auto"/>
          <w:szCs w:val="21"/>
          <w:u w:val="single"/>
        </w:rPr>
      </w:pPr>
    </w:p>
    <w:p w14:paraId="1729B16F">
      <w:pPr>
        <w:rPr>
          <w:rFonts w:hint="eastAsia" w:ascii="宋体" w:hAnsi="宋体"/>
          <w:color w:val="auto"/>
          <w:szCs w:val="21"/>
          <w:u w:val="single"/>
        </w:rPr>
      </w:pPr>
    </w:p>
    <w:p w14:paraId="3BA5BE85">
      <w:pPr>
        <w:rPr>
          <w:rFonts w:hint="eastAsia" w:ascii="宋体" w:hAnsi="宋体"/>
          <w:color w:val="auto"/>
          <w:szCs w:val="21"/>
          <w:u w:val="single"/>
        </w:rPr>
      </w:pPr>
    </w:p>
    <w:p w14:paraId="4F9C6C4D">
      <w:pPr>
        <w:pStyle w:val="2"/>
        <w:numPr>
          <w:ilvl w:val="0"/>
          <w:numId w:val="0"/>
        </w:numPr>
        <w:rPr>
          <w:rFonts w:hint="eastAsia"/>
          <w:color w:val="auto"/>
        </w:rPr>
      </w:pPr>
    </w:p>
    <w:tbl>
      <w:tblPr>
        <w:tblStyle w:val="36"/>
        <w:tblW w:w="9720"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599"/>
        <w:gridCol w:w="367"/>
        <w:gridCol w:w="1114"/>
        <w:gridCol w:w="7640"/>
      </w:tblGrid>
      <w:tr w14:paraId="6349187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3" w:hRule="atLeast"/>
          <w:jc w:val="center"/>
        </w:trPr>
        <w:tc>
          <w:tcPr>
            <w:tcW w:w="966" w:type="dxa"/>
            <w:gridSpan w:val="2"/>
            <w:noWrap w:val="0"/>
            <w:vAlign w:val="center"/>
          </w:tcPr>
          <w:p w14:paraId="4D102E9C">
            <w:pPr>
              <w:jc w:val="center"/>
              <w:rPr>
                <w:rFonts w:ascii="宋体" w:hAnsi="宋体"/>
                <w:color w:val="auto"/>
                <w:szCs w:val="21"/>
              </w:rPr>
            </w:pPr>
            <w:r>
              <w:rPr>
                <w:rFonts w:ascii="宋体" w:hAnsi="宋体"/>
                <w:b/>
                <w:color w:val="auto"/>
                <w:szCs w:val="21"/>
              </w:rPr>
              <w:t>条款号</w:t>
            </w:r>
          </w:p>
        </w:tc>
        <w:tc>
          <w:tcPr>
            <w:tcW w:w="1114" w:type="dxa"/>
            <w:noWrap w:val="0"/>
            <w:vAlign w:val="center"/>
          </w:tcPr>
          <w:p w14:paraId="1112BDCB">
            <w:pPr>
              <w:jc w:val="center"/>
              <w:rPr>
                <w:rFonts w:ascii="宋体" w:hAnsi="宋体"/>
                <w:b/>
                <w:color w:val="auto"/>
                <w:szCs w:val="21"/>
              </w:rPr>
            </w:pPr>
            <w:r>
              <w:rPr>
                <w:rFonts w:ascii="宋体" w:hAnsi="宋体"/>
                <w:b/>
                <w:color w:val="auto"/>
                <w:szCs w:val="21"/>
              </w:rPr>
              <w:t>评分因素</w:t>
            </w:r>
          </w:p>
        </w:tc>
        <w:tc>
          <w:tcPr>
            <w:tcW w:w="7640" w:type="dxa"/>
            <w:noWrap w:val="0"/>
            <w:vAlign w:val="center"/>
          </w:tcPr>
          <w:p w14:paraId="4CE8525C">
            <w:pPr>
              <w:jc w:val="center"/>
              <w:rPr>
                <w:rFonts w:ascii="宋体" w:hAnsi="宋体"/>
                <w:b/>
                <w:color w:val="auto"/>
                <w:szCs w:val="21"/>
              </w:rPr>
            </w:pPr>
            <w:r>
              <w:rPr>
                <w:rFonts w:ascii="宋体" w:hAnsi="宋体"/>
                <w:b/>
                <w:color w:val="auto"/>
                <w:szCs w:val="21"/>
              </w:rPr>
              <w:t>评分标准</w:t>
            </w:r>
          </w:p>
        </w:tc>
      </w:tr>
      <w:tr w14:paraId="65DEECE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393" w:hRule="atLeast"/>
          <w:jc w:val="center"/>
        </w:trPr>
        <w:tc>
          <w:tcPr>
            <w:tcW w:w="599" w:type="dxa"/>
            <w:vMerge w:val="restart"/>
            <w:tcBorders>
              <w:right w:val="single" w:color="auto" w:sz="4" w:space="0"/>
            </w:tcBorders>
            <w:noWrap w:val="0"/>
            <w:vAlign w:val="center"/>
          </w:tcPr>
          <w:p w14:paraId="1018D39B">
            <w:pPr>
              <w:jc w:val="center"/>
              <w:rPr>
                <w:rFonts w:ascii="宋体" w:hAnsi="宋体"/>
                <w:color w:val="auto"/>
                <w:szCs w:val="21"/>
              </w:rPr>
            </w:pPr>
            <w:r>
              <w:rPr>
                <w:rFonts w:ascii="宋体" w:hAnsi="宋体"/>
                <w:color w:val="auto"/>
                <w:szCs w:val="21"/>
              </w:rPr>
              <w:t>2.2.</w:t>
            </w:r>
            <w:r>
              <w:rPr>
                <w:rFonts w:hint="eastAsia" w:ascii="宋体" w:hAnsi="宋体"/>
                <w:color w:val="auto"/>
                <w:szCs w:val="21"/>
              </w:rPr>
              <w:t>1</w:t>
            </w:r>
            <w:r>
              <w:rPr>
                <w:rFonts w:ascii="宋体" w:hAnsi="宋体"/>
                <w:color w:val="auto"/>
                <w:szCs w:val="21"/>
              </w:rPr>
              <w:t>（2）</w:t>
            </w:r>
          </w:p>
        </w:tc>
        <w:tc>
          <w:tcPr>
            <w:tcW w:w="367" w:type="dxa"/>
            <w:vMerge w:val="restart"/>
            <w:tcBorders>
              <w:left w:val="single" w:color="auto" w:sz="4" w:space="0"/>
            </w:tcBorders>
            <w:noWrap w:val="0"/>
            <w:vAlign w:val="center"/>
          </w:tcPr>
          <w:p w14:paraId="069923FB">
            <w:pPr>
              <w:jc w:val="center"/>
              <w:rPr>
                <w:rFonts w:ascii="宋体" w:hAnsi="宋体"/>
                <w:color w:val="auto"/>
                <w:szCs w:val="21"/>
              </w:rPr>
            </w:pPr>
            <w:r>
              <w:rPr>
                <w:rFonts w:ascii="宋体" w:hAnsi="宋体"/>
                <w:color w:val="auto"/>
                <w:szCs w:val="21"/>
              </w:rPr>
              <w:t>技术</w:t>
            </w:r>
            <w:r>
              <w:rPr>
                <w:rFonts w:hint="eastAsia" w:ascii="宋体" w:hAnsi="宋体"/>
                <w:color w:val="auto"/>
                <w:szCs w:val="21"/>
                <w:lang w:val="en-US" w:eastAsia="zh-CN"/>
              </w:rPr>
              <w:t>及服务</w:t>
            </w:r>
            <w:r>
              <w:rPr>
                <w:rFonts w:ascii="宋体" w:hAnsi="宋体"/>
                <w:color w:val="auto"/>
                <w:szCs w:val="21"/>
              </w:rPr>
              <w:t>部分</w:t>
            </w:r>
          </w:p>
          <w:p w14:paraId="745CCAAC">
            <w:pPr>
              <w:jc w:val="center"/>
              <w:rPr>
                <w:rFonts w:ascii="宋体" w:hAnsi="宋体"/>
                <w:color w:val="auto"/>
                <w:szCs w:val="21"/>
              </w:rPr>
            </w:pPr>
            <w:r>
              <w:rPr>
                <w:rFonts w:ascii="宋体" w:hAnsi="宋体"/>
                <w:color w:val="auto"/>
                <w:szCs w:val="21"/>
              </w:rPr>
              <w:t>F2</w:t>
            </w:r>
          </w:p>
          <w:p w14:paraId="1FA674D4">
            <w:pPr>
              <w:jc w:val="center"/>
              <w:rPr>
                <w:rFonts w:ascii="宋体" w:hAnsi="宋体"/>
                <w:color w:val="auto"/>
                <w:szCs w:val="21"/>
              </w:rPr>
            </w:pPr>
            <w:r>
              <w:rPr>
                <w:rFonts w:ascii="宋体" w:hAnsi="宋体"/>
                <w:color w:val="auto"/>
                <w:szCs w:val="21"/>
              </w:rPr>
              <w:t>评分标准</w:t>
            </w:r>
          </w:p>
        </w:tc>
        <w:tc>
          <w:tcPr>
            <w:tcW w:w="1114" w:type="dxa"/>
            <w:tcBorders>
              <w:bottom w:val="single" w:color="auto" w:sz="4" w:space="0"/>
            </w:tcBorders>
            <w:noWrap w:val="0"/>
            <w:vAlign w:val="center"/>
          </w:tcPr>
          <w:p w14:paraId="61179C43">
            <w:pPr>
              <w:keepNext w:val="0"/>
              <w:keepLines w:val="0"/>
              <w:pageBreakBefore w:val="0"/>
              <w:widowControl w:val="0"/>
              <w:kinsoku/>
              <w:wordWrap/>
              <w:overflowPunct/>
              <w:bidi w:val="0"/>
              <w:rPr>
                <w:rFonts w:ascii="宋体" w:hAnsi="宋体"/>
                <w:color w:val="auto"/>
                <w:szCs w:val="21"/>
              </w:rPr>
            </w:pPr>
            <w:r>
              <w:rPr>
                <w:rFonts w:hint="eastAsia" w:ascii="宋体" w:hAnsi="宋体"/>
              </w:rPr>
              <w:t>技术参数响应程度评审（满分30分）</w:t>
            </w:r>
          </w:p>
        </w:tc>
        <w:tc>
          <w:tcPr>
            <w:tcW w:w="7640" w:type="dxa"/>
            <w:noWrap w:val="0"/>
            <w:vAlign w:val="center"/>
          </w:tcPr>
          <w:p w14:paraId="12139648">
            <w:pPr>
              <w:keepNext w:val="0"/>
              <w:keepLines w:val="0"/>
              <w:pageBreakBefore w:val="0"/>
              <w:widowControl w:val="0"/>
              <w:kinsoku/>
              <w:wordWrap/>
              <w:overflowPunct/>
              <w:bidi w:val="0"/>
              <w:rPr>
                <w:rFonts w:hint="eastAsia" w:ascii="宋体" w:hAnsi="宋体"/>
              </w:rPr>
            </w:pPr>
            <w:r>
              <w:rPr>
                <w:rFonts w:hint="eastAsia" w:ascii="宋体" w:hAnsi="宋体"/>
              </w:rPr>
              <w:t>1.投标人所提供的产品技术参数、性能指标以及主要部件的结构、选材完全满足招标文件要求的，得满分30分；</w:t>
            </w:r>
          </w:p>
          <w:p w14:paraId="5617E106">
            <w:pPr>
              <w:keepNext w:val="0"/>
              <w:keepLines w:val="0"/>
              <w:pageBreakBefore w:val="0"/>
              <w:widowControl w:val="0"/>
              <w:kinsoku/>
              <w:wordWrap/>
              <w:overflowPunct/>
              <w:bidi w:val="0"/>
              <w:rPr>
                <w:rFonts w:hint="eastAsia" w:ascii="宋体" w:hAnsi="宋体" w:eastAsia="宋体" w:cs="Times New Roman"/>
                <w:lang w:eastAsia="zh-CN"/>
              </w:rPr>
            </w:pPr>
            <w:r>
              <w:rPr>
                <w:rFonts w:hint="eastAsia" w:ascii="宋体" w:hAnsi="宋体"/>
              </w:rPr>
              <w:t>2.</w:t>
            </w:r>
            <w:r>
              <w:rPr>
                <w:rFonts w:hint="eastAsia" w:ascii="宋体" w:hAnsi="宋体"/>
                <w:lang w:val="en-US" w:eastAsia="zh-CN"/>
              </w:rPr>
              <w:t>技术响应参数</w:t>
            </w:r>
            <w:r>
              <w:rPr>
                <w:rFonts w:hint="eastAsia" w:ascii="宋体" w:hAnsi="宋体" w:eastAsia="宋体" w:cs="Times New Roman"/>
                <w:lang w:val="en-US" w:eastAsia="zh-CN"/>
              </w:rPr>
              <w:t>正偏离不加分； 一般性负偏离（非核心功能）每项扣 0.5 分；核心参数负偏离视为无效响应</w:t>
            </w:r>
            <w:r>
              <w:rPr>
                <w:rFonts w:hint="eastAsia" w:ascii="宋体" w:hAnsi="宋体" w:eastAsia="宋体" w:cs="Times New Roman"/>
              </w:rPr>
              <w:t>。</w:t>
            </w:r>
          </w:p>
          <w:p w14:paraId="70394A93">
            <w:pPr>
              <w:keepNext w:val="0"/>
              <w:keepLines w:val="0"/>
              <w:pageBreakBefore w:val="0"/>
              <w:widowControl w:val="0"/>
              <w:kinsoku/>
              <w:wordWrap/>
              <w:overflowPunct/>
              <w:bidi w:val="0"/>
              <w:rPr>
                <w:rFonts w:hint="eastAsia" w:ascii="宋体" w:hAnsi="宋体" w:eastAsia="宋体" w:cs="Times New Roman"/>
                <w:b/>
                <w:bCs/>
                <w:lang w:val="en-US" w:eastAsia="zh-CN"/>
              </w:rPr>
            </w:pPr>
          </w:p>
          <w:p w14:paraId="22E66F19">
            <w:pPr>
              <w:keepNext w:val="0"/>
              <w:keepLines w:val="0"/>
              <w:pageBreakBefore w:val="0"/>
              <w:widowControl w:val="0"/>
              <w:kinsoku/>
              <w:wordWrap/>
              <w:overflowPunct/>
              <w:bidi w:val="0"/>
              <w:rPr>
                <w:rFonts w:ascii="宋体" w:hAnsi="宋体"/>
                <w:color w:val="auto"/>
                <w:szCs w:val="21"/>
              </w:rPr>
            </w:pPr>
            <w:r>
              <w:rPr>
                <w:rFonts w:hint="eastAsia" w:ascii="宋体" w:hAnsi="宋体" w:eastAsia="宋体" w:cs="Times New Roman"/>
                <w:b/>
                <w:bCs/>
                <w:sz w:val="24"/>
                <w:szCs w:val="24"/>
                <w:lang w:val="en-US" w:eastAsia="zh-CN"/>
              </w:rPr>
              <w:t>注：本项目酒店信息管理系统为核心产品，其参数全部为核心参数。</w:t>
            </w:r>
          </w:p>
        </w:tc>
      </w:tr>
      <w:tr w14:paraId="7D69463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963" w:hRule="atLeast"/>
          <w:jc w:val="center"/>
        </w:trPr>
        <w:tc>
          <w:tcPr>
            <w:tcW w:w="599" w:type="dxa"/>
            <w:vMerge w:val="continue"/>
            <w:tcBorders>
              <w:right w:val="single" w:color="auto" w:sz="4" w:space="0"/>
            </w:tcBorders>
            <w:noWrap w:val="0"/>
            <w:vAlign w:val="center"/>
          </w:tcPr>
          <w:p w14:paraId="5A223953">
            <w:pPr>
              <w:rPr>
                <w:rFonts w:ascii="宋体" w:hAnsi="宋体"/>
                <w:color w:val="auto"/>
                <w:szCs w:val="21"/>
              </w:rPr>
            </w:pPr>
          </w:p>
        </w:tc>
        <w:tc>
          <w:tcPr>
            <w:tcW w:w="367" w:type="dxa"/>
            <w:vMerge w:val="continue"/>
            <w:tcBorders>
              <w:left w:val="single" w:color="auto" w:sz="4" w:space="0"/>
            </w:tcBorders>
            <w:noWrap w:val="0"/>
            <w:vAlign w:val="center"/>
          </w:tcPr>
          <w:p w14:paraId="034B3647">
            <w:pPr>
              <w:rPr>
                <w:rFonts w:ascii="宋体" w:hAnsi="宋体"/>
                <w:color w:val="auto"/>
                <w:szCs w:val="21"/>
              </w:rPr>
            </w:pPr>
          </w:p>
        </w:tc>
        <w:tc>
          <w:tcPr>
            <w:tcW w:w="1114" w:type="dxa"/>
            <w:tcBorders>
              <w:bottom w:val="single" w:color="auto" w:sz="4" w:space="0"/>
            </w:tcBorders>
            <w:noWrap w:val="0"/>
            <w:vAlign w:val="center"/>
          </w:tcPr>
          <w:p w14:paraId="041A3206">
            <w:pPr>
              <w:pStyle w:val="127"/>
              <w:keepNext w:val="0"/>
              <w:keepLines w:val="0"/>
              <w:pageBreakBefore w:val="0"/>
              <w:widowControl w:val="0"/>
              <w:kinsoku/>
              <w:wordWrap/>
              <w:overflowPunct/>
              <w:bidi w:val="0"/>
              <w:jc w:val="center"/>
              <w:rPr>
                <w:rFonts w:ascii="宋体" w:hAnsi="宋体"/>
                <w:color w:val="auto"/>
                <w:szCs w:val="21"/>
              </w:rPr>
            </w:pPr>
            <w:r>
              <w:rPr>
                <w:rFonts w:hint="eastAsia" w:hAnsi="宋体" w:cs="Times New Roman"/>
                <w:color w:val="auto"/>
                <w:sz w:val="21"/>
                <w:szCs w:val="21"/>
                <w:lang w:val="en-US" w:eastAsia="zh-CN"/>
              </w:rPr>
              <w:t>项目</w:t>
            </w:r>
            <w:r>
              <w:rPr>
                <w:rFonts w:hint="eastAsia" w:hAnsi="宋体" w:cs="Times New Roman"/>
                <w:color w:val="auto"/>
                <w:sz w:val="21"/>
                <w:szCs w:val="21"/>
              </w:rPr>
              <w:t>实施方案及进度计划、交货期、违约责任（满分20分）</w:t>
            </w:r>
          </w:p>
        </w:tc>
        <w:tc>
          <w:tcPr>
            <w:tcW w:w="7640" w:type="dxa"/>
            <w:noWrap w:val="0"/>
            <w:vAlign w:val="center"/>
          </w:tcPr>
          <w:p w14:paraId="694D5707">
            <w:pPr>
              <w:keepNext w:val="0"/>
              <w:keepLines w:val="0"/>
              <w:pageBreakBefore w:val="0"/>
              <w:widowControl w:val="0"/>
              <w:kinsoku/>
              <w:wordWrap/>
              <w:overflowPunct/>
              <w:bidi w:val="0"/>
              <w:rPr>
                <w:rFonts w:hint="eastAsia" w:ascii="宋体" w:hAnsi="宋体"/>
              </w:rPr>
            </w:pPr>
            <w:r>
              <w:rPr>
                <w:rFonts w:hint="eastAsia" w:ascii="宋体" w:hAnsi="宋体"/>
              </w:rPr>
              <w:t>根据项目实施方案、交货计划、人员配置水平、故障售后服务响应时间及具体的违约责任措施因素综合打分。</w:t>
            </w:r>
          </w:p>
          <w:p w14:paraId="25DD1BD7">
            <w:pPr>
              <w:keepNext w:val="0"/>
              <w:keepLines w:val="0"/>
              <w:pageBreakBefore w:val="0"/>
              <w:widowControl w:val="0"/>
              <w:numPr>
                <w:ilvl w:val="0"/>
                <w:numId w:val="6"/>
              </w:numPr>
              <w:kinsoku/>
              <w:wordWrap/>
              <w:overflowPunct/>
              <w:bidi w:val="0"/>
              <w:rPr>
                <w:rFonts w:hint="eastAsia" w:ascii="宋体" w:hAnsi="宋体"/>
                <w:lang w:val="en-US" w:eastAsia="zh-CN"/>
              </w:rPr>
            </w:pPr>
            <w:r>
              <w:rPr>
                <w:rFonts w:hint="eastAsia" w:ascii="宋体" w:hAnsi="宋体"/>
              </w:rPr>
              <w:t>实施方案全面、合理、可行</w:t>
            </w:r>
            <w:r>
              <w:rPr>
                <w:rFonts w:hint="eastAsia" w:ascii="宋体" w:hAnsi="宋体"/>
                <w:lang w:eastAsia="zh-CN"/>
              </w:rPr>
              <w:t>的，</w:t>
            </w:r>
            <w:r>
              <w:rPr>
                <w:rFonts w:hint="eastAsia" w:ascii="宋体" w:hAnsi="宋体" w:eastAsia="宋体" w:cs="Times New Roman"/>
                <w:lang w:val="en-US" w:eastAsia="zh-CN"/>
              </w:rPr>
              <w:t>项目人员配置水平符合采购建设需求，故障售后服务响应时间及时，能完全的满足采购要求</w:t>
            </w:r>
            <w:r>
              <w:rPr>
                <w:rFonts w:hint="eastAsia" w:ascii="宋体" w:hAnsi="宋体"/>
                <w:lang w:val="en-US" w:eastAsia="zh-CN"/>
              </w:rPr>
              <w:t>得20分；</w:t>
            </w:r>
          </w:p>
          <w:p w14:paraId="7118FD5F">
            <w:pPr>
              <w:keepNext w:val="0"/>
              <w:keepLines w:val="0"/>
              <w:pageBreakBefore w:val="0"/>
              <w:widowControl w:val="0"/>
              <w:numPr>
                <w:ilvl w:val="0"/>
                <w:numId w:val="7"/>
              </w:numPr>
              <w:kinsoku/>
              <w:wordWrap/>
              <w:overflowPunct/>
              <w:bidi w:val="0"/>
              <w:rPr>
                <w:rFonts w:hint="eastAsia" w:ascii="宋体" w:hAnsi="宋体" w:eastAsia="宋体" w:cs="Times New Roman"/>
                <w:lang w:val="en-US" w:eastAsia="zh-CN"/>
              </w:rPr>
            </w:pPr>
            <w:r>
              <w:rPr>
                <w:rFonts w:hint="eastAsia" w:ascii="宋体" w:hAnsi="宋体"/>
                <w:lang w:val="en-US" w:eastAsia="zh-CN"/>
              </w:rPr>
              <w:t>方案包</w:t>
            </w:r>
            <w:r>
              <w:rPr>
                <w:rFonts w:hint="eastAsia" w:ascii="宋体" w:hAnsi="宋体" w:eastAsia="宋体" w:cs="Times New Roman"/>
                <w:lang w:val="en-US" w:eastAsia="zh-CN"/>
              </w:rPr>
              <w:t>含实施计划、人员配置、售后响应时间的得8分；</w:t>
            </w:r>
          </w:p>
          <w:p w14:paraId="021DEAE0">
            <w:pPr>
              <w:keepNext w:val="0"/>
              <w:keepLines w:val="0"/>
              <w:pageBreakBefore w:val="0"/>
              <w:widowControl w:val="0"/>
              <w:numPr>
                <w:ilvl w:val="0"/>
                <w:numId w:val="7"/>
              </w:numPr>
              <w:kinsoku/>
              <w:wordWrap/>
              <w:overflowPunct/>
              <w:bidi w:val="0"/>
              <w:rPr>
                <w:rFonts w:hint="eastAsia" w:ascii="宋体" w:hAnsi="宋体" w:eastAsia="宋体" w:cs="Times New Roman"/>
                <w:lang w:val="en-US" w:eastAsia="zh-CN"/>
              </w:rPr>
            </w:pPr>
            <w:r>
              <w:rPr>
                <w:rFonts w:hint="eastAsia" w:ascii="宋体" w:hAnsi="宋体" w:eastAsia="宋体" w:cs="Times New Roman"/>
                <w:lang w:val="en-US" w:eastAsia="zh-CN"/>
              </w:rPr>
              <w:t>可行性方案结合民宿实训室案例经验、本地化服务能力的得7分；</w:t>
            </w:r>
          </w:p>
          <w:p w14:paraId="5DCFBD64">
            <w:pPr>
              <w:keepNext w:val="0"/>
              <w:keepLines w:val="0"/>
              <w:pageBreakBefore w:val="0"/>
              <w:widowControl w:val="0"/>
              <w:numPr>
                <w:ilvl w:val="0"/>
                <w:numId w:val="7"/>
              </w:numPr>
              <w:kinsoku/>
              <w:wordWrap/>
              <w:overflowPunct/>
              <w:bidi w:val="0"/>
              <w:rPr>
                <w:rFonts w:hint="eastAsia" w:ascii="宋体" w:hAnsi="宋体" w:eastAsia="宋体" w:cs="Times New Roman"/>
                <w:lang w:val="en-US" w:eastAsia="zh-CN"/>
              </w:rPr>
            </w:pPr>
            <w:r>
              <w:rPr>
                <w:rFonts w:hint="eastAsia" w:ascii="宋体" w:hAnsi="宋体" w:eastAsia="宋体" w:cs="Times New Roman"/>
                <w:lang w:val="en-US" w:eastAsia="zh-CN"/>
              </w:rPr>
              <w:t>违约责任明确违约条款、赔偿标准的得5分，</w:t>
            </w:r>
          </w:p>
          <w:p w14:paraId="6D2D03AA">
            <w:pPr>
              <w:keepNext w:val="0"/>
              <w:keepLines w:val="0"/>
              <w:pageBreakBefore w:val="0"/>
              <w:widowControl w:val="0"/>
              <w:numPr>
                <w:ilvl w:val="0"/>
                <w:numId w:val="6"/>
              </w:numPr>
              <w:kinsoku/>
              <w:wordWrap/>
              <w:overflowPunct/>
              <w:bidi w:val="0"/>
              <w:ind w:left="0" w:leftChars="0" w:firstLine="0" w:firstLineChars="0"/>
              <w:rPr>
                <w:rFonts w:hint="eastAsia" w:ascii="宋体" w:hAnsi="宋体"/>
              </w:rPr>
            </w:pPr>
            <w:r>
              <w:rPr>
                <w:rFonts w:hint="eastAsia" w:ascii="宋体" w:hAnsi="宋体"/>
              </w:rPr>
              <w:t>实施方案</w:t>
            </w:r>
            <w:r>
              <w:rPr>
                <w:rFonts w:hint="eastAsia" w:ascii="宋体" w:hAnsi="宋体"/>
                <w:lang w:val="en-US" w:eastAsia="zh-CN"/>
              </w:rPr>
              <w:t>一般</w:t>
            </w:r>
            <w:r>
              <w:rPr>
                <w:rFonts w:hint="eastAsia" w:ascii="宋体" w:hAnsi="宋体"/>
              </w:rPr>
              <w:t>，项目人员配置有缺陷</w:t>
            </w:r>
            <w:r>
              <w:rPr>
                <w:rFonts w:hint="eastAsia" w:ascii="宋体" w:hAnsi="宋体"/>
                <w:lang w:eastAsia="zh-CN"/>
              </w:rPr>
              <w:t>，</w:t>
            </w:r>
            <w:r>
              <w:rPr>
                <w:rFonts w:hint="eastAsia" w:ascii="宋体" w:hAnsi="宋体" w:eastAsia="宋体" w:cs="Times New Roman"/>
                <w:lang w:val="en-US" w:eastAsia="zh-CN"/>
              </w:rPr>
              <w:t>故障售后服务响应时间一般，能基本满足采购要求</w:t>
            </w:r>
            <w:r>
              <w:rPr>
                <w:rFonts w:hint="eastAsia" w:ascii="宋体" w:hAnsi="宋体"/>
                <w:lang w:eastAsia="zh-CN"/>
              </w:rPr>
              <w:t>的</w:t>
            </w:r>
            <w:r>
              <w:rPr>
                <w:rFonts w:hint="eastAsia" w:ascii="宋体" w:hAnsi="宋体"/>
                <w:lang w:val="en-US" w:eastAsia="zh-CN"/>
              </w:rPr>
              <w:t>得15分</w:t>
            </w:r>
            <w:r>
              <w:rPr>
                <w:rFonts w:hint="eastAsia" w:ascii="宋体" w:hAnsi="宋体"/>
              </w:rPr>
              <w:t>；</w:t>
            </w:r>
          </w:p>
          <w:p w14:paraId="265057EE">
            <w:pPr>
              <w:keepNext w:val="0"/>
              <w:keepLines w:val="0"/>
              <w:pageBreakBefore w:val="0"/>
              <w:widowControl w:val="0"/>
              <w:kinsoku/>
              <w:wordWrap/>
              <w:overflowPunct/>
              <w:bidi w:val="0"/>
              <w:rPr>
                <w:rFonts w:hint="eastAsia" w:ascii="宋体" w:hAnsi="宋体"/>
                <w:color w:val="auto"/>
                <w:szCs w:val="21"/>
              </w:rPr>
            </w:pPr>
            <w:r>
              <w:rPr>
                <w:rFonts w:hint="eastAsia" w:ascii="宋体" w:hAnsi="宋体"/>
              </w:rPr>
              <w:t>3、实施方案不完整、合理性和可行性有缺陷，项目人员配置有缺陷，故障售后服务响应时间能满足采购人要求，得10分；</w:t>
            </w:r>
          </w:p>
        </w:tc>
      </w:tr>
      <w:tr w14:paraId="07BD964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0" w:hRule="atLeast"/>
          <w:jc w:val="center"/>
        </w:trPr>
        <w:tc>
          <w:tcPr>
            <w:tcW w:w="599" w:type="dxa"/>
            <w:vMerge w:val="continue"/>
            <w:tcBorders>
              <w:right w:val="single" w:color="auto" w:sz="4" w:space="0"/>
            </w:tcBorders>
            <w:noWrap w:val="0"/>
            <w:vAlign w:val="center"/>
          </w:tcPr>
          <w:p w14:paraId="735CC4CF">
            <w:pPr>
              <w:rPr>
                <w:rFonts w:ascii="宋体" w:hAnsi="宋体"/>
                <w:color w:val="auto"/>
                <w:szCs w:val="21"/>
              </w:rPr>
            </w:pPr>
          </w:p>
        </w:tc>
        <w:tc>
          <w:tcPr>
            <w:tcW w:w="367" w:type="dxa"/>
            <w:vMerge w:val="continue"/>
            <w:tcBorders>
              <w:left w:val="single" w:color="auto" w:sz="4" w:space="0"/>
            </w:tcBorders>
            <w:noWrap w:val="0"/>
            <w:vAlign w:val="center"/>
          </w:tcPr>
          <w:p w14:paraId="4CC06621">
            <w:pPr>
              <w:rPr>
                <w:rFonts w:ascii="宋体" w:hAnsi="宋体"/>
                <w:color w:val="auto"/>
                <w:szCs w:val="21"/>
              </w:rPr>
            </w:pPr>
          </w:p>
        </w:tc>
        <w:tc>
          <w:tcPr>
            <w:tcW w:w="1114" w:type="dxa"/>
            <w:noWrap w:val="0"/>
            <w:vAlign w:val="center"/>
          </w:tcPr>
          <w:p w14:paraId="6B06EF47">
            <w:pPr>
              <w:keepNext w:val="0"/>
              <w:keepLines w:val="0"/>
              <w:pageBreakBefore w:val="0"/>
              <w:widowControl w:val="0"/>
              <w:kinsoku/>
              <w:wordWrap/>
              <w:overflowPunct/>
              <w:bidi w:val="0"/>
              <w:rPr>
                <w:rFonts w:hint="eastAsia" w:ascii="宋体" w:hAnsi="宋体"/>
                <w:color w:val="auto"/>
                <w:szCs w:val="21"/>
              </w:rPr>
            </w:pPr>
            <w:r>
              <w:rPr>
                <w:rFonts w:hint="eastAsia" w:ascii="宋体" w:hAnsi="宋体"/>
              </w:rPr>
              <w:t>售后服务承诺及保证措施（满分10分）</w:t>
            </w:r>
          </w:p>
        </w:tc>
        <w:tc>
          <w:tcPr>
            <w:tcW w:w="7640" w:type="dxa"/>
            <w:noWrap w:val="0"/>
            <w:vAlign w:val="center"/>
          </w:tcPr>
          <w:p w14:paraId="5A8F60B4">
            <w:pPr>
              <w:keepNext w:val="0"/>
              <w:keepLines w:val="0"/>
              <w:pageBreakBefore w:val="0"/>
              <w:widowControl w:val="0"/>
              <w:numPr>
                <w:ilvl w:val="0"/>
                <w:numId w:val="0"/>
              </w:numPr>
              <w:kinsoku/>
              <w:wordWrap/>
              <w:overflowPunct/>
              <w:bidi w:val="0"/>
              <w:rPr>
                <w:rFonts w:hint="eastAsia" w:ascii="宋体" w:hAnsi="宋体"/>
              </w:rPr>
            </w:pPr>
            <w:r>
              <w:rPr>
                <w:rFonts w:hint="eastAsia" w:ascii="宋体" w:hAnsi="宋体"/>
              </w:rPr>
              <w:t>质保期售后服务行业标准、规范、完善、具体，做到优质服务，能切实解决质保期内货物使用可能发生的问题，且对质保期后服务承诺及要求合理</w:t>
            </w:r>
          </w:p>
          <w:p w14:paraId="017BEF9B">
            <w:pPr>
              <w:keepNext w:val="0"/>
              <w:keepLines w:val="0"/>
              <w:pageBreakBefore w:val="0"/>
              <w:widowControl w:val="0"/>
              <w:numPr>
                <w:ilvl w:val="0"/>
                <w:numId w:val="0"/>
              </w:numPr>
              <w:kinsoku/>
              <w:wordWrap/>
              <w:overflowPunct/>
              <w:bidi w:val="0"/>
              <w:rPr>
                <w:rFonts w:hint="eastAsia" w:ascii="宋体" w:hAnsi="宋体" w:eastAsia="宋体" w:cs="Times New Roman"/>
              </w:rPr>
            </w:pPr>
            <w:r>
              <w:rPr>
                <w:rFonts w:hint="eastAsia" w:ascii="宋体" w:hAnsi="宋体" w:eastAsia="宋体" w:cs="Times New Roman"/>
                <w:lang w:eastAsia="zh-CN"/>
              </w:rPr>
              <w:t>（</w:t>
            </w:r>
            <w:r>
              <w:rPr>
                <w:rFonts w:hint="eastAsia" w:ascii="宋体" w:hAnsi="宋体" w:eastAsia="宋体" w:cs="Times New Roman"/>
                <w:lang w:val="en-US" w:eastAsia="zh-CN"/>
              </w:rPr>
              <w:t>1</w:t>
            </w:r>
            <w:r>
              <w:rPr>
                <w:rFonts w:hint="eastAsia" w:ascii="宋体" w:hAnsi="宋体" w:eastAsia="宋体" w:cs="Times New Roman"/>
                <w:lang w:eastAsia="zh-CN"/>
              </w:rPr>
              <w:t>）</w:t>
            </w:r>
            <w:r>
              <w:rPr>
                <w:rFonts w:hint="eastAsia" w:ascii="宋体" w:hAnsi="宋体" w:eastAsia="宋体" w:cs="Times New Roman"/>
              </w:rPr>
              <w:t>质保期（4 分）：≥3 年得 4 分，2-3 年得 2 分，＜2 年得 0 分；</w:t>
            </w:r>
          </w:p>
          <w:p w14:paraId="2ACAF581">
            <w:pPr>
              <w:keepNext w:val="0"/>
              <w:keepLines w:val="0"/>
              <w:pageBreakBefore w:val="0"/>
              <w:widowControl w:val="0"/>
              <w:numPr>
                <w:ilvl w:val="0"/>
                <w:numId w:val="0"/>
              </w:numPr>
              <w:kinsoku/>
              <w:wordWrap/>
              <w:overflowPunct/>
              <w:bidi w:val="0"/>
              <w:rPr>
                <w:rFonts w:hint="eastAsia" w:ascii="宋体" w:hAnsi="宋体" w:eastAsia="宋体" w:cs="Times New Roman"/>
              </w:rPr>
            </w:pPr>
            <w:r>
              <w:rPr>
                <w:rFonts w:hint="eastAsia" w:ascii="宋体" w:hAnsi="宋体" w:eastAsia="宋体" w:cs="Times New Roman"/>
                <w:lang w:eastAsia="zh-CN"/>
              </w:rPr>
              <w:t>（</w:t>
            </w:r>
            <w:r>
              <w:rPr>
                <w:rFonts w:hint="eastAsia" w:ascii="宋体" w:hAnsi="宋体" w:eastAsia="宋体" w:cs="Times New Roman"/>
                <w:lang w:val="en-US" w:eastAsia="zh-CN"/>
              </w:rPr>
              <w:t>2</w:t>
            </w:r>
            <w:r>
              <w:rPr>
                <w:rFonts w:hint="eastAsia" w:ascii="宋体" w:hAnsi="宋体" w:eastAsia="宋体" w:cs="Times New Roman"/>
                <w:lang w:eastAsia="zh-CN"/>
              </w:rPr>
              <w:t>）</w:t>
            </w:r>
            <w:r>
              <w:rPr>
                <w:rFonts w:hint="eastAsia" w:ascii="宋体" w:hAnsi="宋体" w:eastAsia="宋体" w:cs="Times New Roman"/>
              </w:rPr>
              <w:t>响应时间（3 分）：2 小时内响应、24 小时到场得 3 分，</w:t>
            </w:r>
            <w:r>
              <w:rPr>
                <w:rFonts w:hint="eastAsia" w:ascii="宋体" w:hAnsi="宋体" w:eastAsia="宋体" w:cs="Times New Roman"/>
                <w:lang w:val="en-US" w:eastAsia="zh-CN"/>
              </w:rPr>
              <w:t>3</w:t>
            </w:r>
            <w:r>
              <w:rPr>
                <w:rFonts w:hint="eastAsia" w:ascii="宋体" w:hAnsi="宋体" w:eastAsia="宋体" w:cs="Times New Roman"/>
              </w:rPr>
              <w:t xml:space="preserve"> 小时内响应、</w:t>
            </w:r>
            <w:r>
              <w:rPr>
                <w:rFonts w:hint="eastAsia" w:ascii="宋体" w:hAnsi="宋体" w:eastAsia="宋体" w:cs="Times New Roman"/>
                <w:lang w:val="en-US" w:eastAsia="zh-CN"/>
              </w:rPr>
              <w:t>36</w:t>
            </w:r>
            <w:r>
              <w:rPr>
                <w:rFonts w:hint="eastAsia" w:ascii="宋体" w:hAnsi="宋体" w:eastAsia="宋体" w:cs="Times New Roman"/>
              </w:rPr>
              <w:t xml:space="preserve"> 小时到场得 </w:t>
            </w:r>
            <w:r>
              <w:rPr>
                <w:rFonts w:hint="eastAsia" w:ascii="宋体" w:hAnsi="宋体" w:eastAsia="宋体" w:cs="Times New Roman"/>
                <w:lang w:val="en-US" w:eastAsia="zh-CN"/>
              </w:rPr>
              <w:t>2</w:t>
            </w:r>
            <w:r>
              <w:rPr>
                <w:rFonts w:hint="eastAsia" w:ascii="宋体" w:hAnsi="宋体" w:eastAsia="宋体" w:cs="Times New Roman"/>
              </w:rPr>
              <w:t xml:space="preserve"> 分</w:t>
            </w:r>
            <w:r>
              <w:rPr>
                <w:rFonts w:hint="eastAsia" w:ascii="宋体" w:hAnsi="宋体" w:eastAsia="宋体" w:cs="Times New Roman"/>
                <w:lang w:eastAsia="zh-CN"/>
              </w:rPr>
              <w:t>，</w:t>
            </w:r>
            <w:r>
              <w:rPr>
                <w:rFonts w:hint="eastAsia" w:ascii="宋体" w:hAnsi="宋体" w:eastAsia="宋体" w:cs="Times New Roman"/>
                <w:lang w:val="en-US" w:eastAsia="zh-CN"/>
              </w:rPr>
              <w:t>4</w:t>
            </w:r>
            <w:r>
              <w:rPr>
                <w:rFonts w:hint="eastAsia" w:ascii="宋体" w:hAnsi="宋体" w:eastAsia="宋体" w:cs="Times New Roman"/>
              </w:rPr>
              <w:t>小时内响应、</w:t>
            </w:r>
            <w:r>
              <w:rPr>
                <w:rFonts w:hint="eastAsia" w:ascii="宋体" w:hAnsi="宋体" w:eastAsia="宋体" w:cs="Times New Roman"/>
                <w:lang w:val="en-US" w:eastAsia="zh-CN"/>
              </w:rPr>
              <w:t>48</w:t>
            </w:r>
            <w:r>
              <w:rPr>
                <w:rFonts w:hint="eastAsia" w:ascii="宋体" w:hAnsi="宋体" w:eastAsia="宋体" w:cs="Times New Roman"/>
              </w:rPr>
              <w:t>小时到场得 1 分</w:t>
            </w:r>
            <w:r>
              <w:rPr>
                <w:rFonts w:hint="eastAsia" w:ascii="宋体" w:hAnsi="宋体" w:eastAsia="宋体" w:cs="Times New Roman"/>
                <w:lang w:eastAsia="zh-CN"/>
              </w:rPr>
              <w:t>。</w:t>
            </w:r>
          </w:p>
          <w:p w14:paraId="4792EDF8">
            <w:pPr>
              <w:keepNext w:val="0"/>
              <w:keepLines w:val="0"/>
              <w:pageBreakBefore w:val="0"/>
              <w:widowControl w:val="0"/>
              <w:numPr>
                <w:ilvl w:val="0"/>
                <w:numId w:val="0"/>
              </w:numPr>
              <w:kinsoku/>
              <w:wordWrap/>
              <w:overflowPunct/>
              <w:bidi w:val="0"/>
              <w:ind w:left="0" w:leftChars="0" w:firstLine="0" w:firstLineChars="0"/>
              <w:rPr>
                <w:rFonts w:hint="eastAsia" w:ascii="宋体" w:hAnsi="宋体"/>
                <w:color w:val="auto"/>
                <w:szCs w:val="21"/>
              </w:rPr>
            </w:pPr>
            <w:r>
              <w:rPr>
                <w:rFonts w:hint="eastAsia" w:ascii="宋体" w:hAnsi="宋体" w:eastAsia="宋体" w:cs="Times New Roman"/>
                <w:lang w:eastAsia="zh-CN"/>
              </w:rPr>
              <w:t>（</w:t>
            </w:r>
            <w:r>
              <w:rPr>
                <w:rFonts w:hint="eastAsia" w:ascii="宋体" w:hAnsi="宋体" w:eastAsia="宋体" w:cs="Times New Roman"/>
                <w:lang w:val="en-US" w:eastAsia="zh-CN"/>
              </w:rPr>
              <w:t>3</w:t>
            </w:r>
            <w:r>
              <w:rPr>
                <w:rFonts w:hint="eastAsia" w:ascii="宋体" w:hAnsi="宋体" w:eastAsia="宋体" w:cs="Times New Roman"/>
                <w:lang w:eastAsia="zh-CN"/>
              </w:rPr>
              <w:t>）</w:t>
            </w:r>
            <w:r>
              <w:rPr>
                <w:rFonts w:hint="eastAsia" w:ascii="宋体" w:hAnsi="宋体" w:eastAsia="宋体" w:cs="Times New Roman"/>
              </w:rPr>
              <w:t xml:space="preserve">售后团队（3 分）：≥3 名专职技术人员得 3 分，2 名得 </w:t>
            </w:r>
            <w:r>
              <w:rPr>
                <w:rFonts w:hint="eastAsia" w:ascii="宋体" w:hAnsi="宋体" w:eastAsia="宋体" w:cs="Times New Roman"/>
                <w:lang w:val="en-US" w:eastAsia="zh-CN"/>
              </w:rPr>
              <w:t>2</w:t>
            </w:r>
            <w:r>
              <w:rPr>
                <w:rFonts w:hint="eastAsia" w:ascii="宋体" w:hAnsi="宋体" w:eastAsia="宋体" w:cs="Times New Roman"/>
              </w:rPr>
              <w:t xml:space="preserve"> 分</w:t>
            </w:r>
            <w:r>
              <w:rPr>
                <w:rFonts w:hint="eastAsia" w:ascii="宋体" w:hAnsi="宋体" w:eastAsia="宋体" w:cs="Times New Roman"/>
                <w:lang w:eastAsia="zh-CN"/>
              </w:rPr>
              <w:t>，</w:t>
            </w:r>
            <w:r>
              <w:rPr>
                <w:rFonts w:hint="eastAsia" w:ascii="宋体" w:hAnsi="宋体" w:eastAsia="宋体" w:cs="Times New Roman"/>
                <w:lang w:val="en-US" w:eastAsia="zh-CN"/>
              </w:rPr>
              <w:t>1名得1分</w:t>
            </w:r>
          </w:p>
        </w:tc>
      </w:tr>
      <w:tr w14:paraId="24D9BB8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0" w:hRule="atLeast"/>
          <w:jc w:val="center"/>
        </w:trPr>
        <w:tc>
          <w:tcPr>
            <w:tcW w:w="599" w:type="dxa"/>
            <w:vMerge w:val="continue"/>
            <w:tcBorders>
              <w:right w:val="single" w:color="auto" w:sz="4" w:space="0"/>
            </w:tcBorders>
            <w:noWrap w:val="0"/>
            <w:vAlign w:val="center"/>
          </w:tcPr>
          <w:p w14:paraId="557873B5">
            <w:pPr>
              <w:rPr>
                <w:rFonts w:ascii="宋体" w:hAnsi="宋体"/>
                <w:color w:val="auto"/>
                <w:szCs w:val="21"/>
              </w:rPr>
            </w:pPr>
          </w:p>
        </w:tc>
        <w:tc>
          <w:tcPr>
            <w:tcW w:w="367" w:type="dxa"/>
            <w:vMerge w:val="continue"/>
            <w:tcBorders>
              <w:left w:val="single" w:color="auto" w:sz="4" w:space="0"/>
            </w:tcBorders>
            <w:noWrap w:val="0"/>
            <w:vAlign w:val="center"/>
          </w:tcPr>
          <w:p w14:paraId="3D292788">
            <w:pPr>
              <w:rPr>
                <w:rFonts w:ascii="宋体" w:hAnsi="宋体"/>
                <w:color w:val="auto"/>
                <w:szCs w:val="21"/>
              </w:rPr>
            </w:pPr>
          </w:p>
        </w:tc>
        <w:tc>
          <w:tcPr>
            <w:tcW w:w="1114" w:type="dxa"/>
            <w:noWrap w:val="0"/>
            <w:vAlign w:val="center"/>
          </w:tcPr>
          <w:p w14:paraId="25BFF01F">
            <w:pPr>
              <w:pStyle w:val="127"/>
              <w:keepNext w:val="0"/>
              <w:keepLines w:val="0"/>
              <w:pageBreakBefore w:val="0"/>
              <w:widowControl w:val="0"/>
              <w:kinsoku/>
              <w:wordWrap/>
              <w:overflowPunct/>
              <w:bidi w:val="0"/>
              <w:rPr>
                <w:rFonts w:hint="eastAsia" w:ascii="宋体" w:hAnsi="宋体"/>
                <w:color w:val="auto"/>
                <w:szCs w:val="21"/>
              </w:rPr>
            </w:pPr>
            <w:r>
              <w:rPr>
                <w:rFonts w:hint="eastAsia" w:hAnsi="宋体" w:cs="Times New Roman"/>
                <w:color w:val="auto"/>
                <w:sz w:val="21"/>
                <w:szCs w:val="21"/>
              </w:rPr>
              <w:t>供货安装调试方案评审（满分10分）</w:t>
            </w:r>
          </w:p>
        </w:tc>
        <w:tc>
          <w:tcPr>
            <w:tcW w:w="7640" w:type="dxa"/>
            <w:noWrap w:val="0"/>
            <w:vAlign w:val="center"/>
          </w:tcPr>
          <w:p w14:paraId="74A7CAE7">
            <w:pPr>
              <w:pStyle w:val="127"/>
              <w:keepNext w:val="0"/>
              <w:keepLines w:val="0"/>
              <w:pageBreakBefore w:val="0"/>
              <w:widowControl w:val="0"/>
              <w:kinsoku/>
              <w:wordWrap/>
              <w:overflowPunct/>
              <w:bidi w:val="0"/>
              <w:rPr>
                <w:rFonts w:hint="eastAsia" w:hAnsi="宋体" w:cs="Times New Roman"/>
                <w:color w:val="auto"/>
                <w:sz w:val="21"/>
                <w:szCs w:val="21"/>
              </w:rPr>
            </w:pPr>
            <w:r>
              <w:rPr>
                <w:rFonts w:hint="eastAsia" w:hAnsi="宋体" w:cs="Times New Roman"/>
                <w:color w:val="auto"/>
                <w:sz w:val="21"/>
                <w:szCs w:val="21"/>
              </w:rPr>
              <w:t>1.供货计划清晰明了、安装调试方案完善有保障、供货时间安排合理，具有专用配送车辆，拟派人员配置、配送方案及保障措施的科学性、合理性、规范性和可操作性强等能较好满足使用方要求，得10分；</w:t>
            </w:r>
          </w:p>
          <w:p w14:paraId="2AF6DF26">
            <w:pPr>
              <w:pStyle w:val="127"/>
              <w:keepNext w:val="0"/>
              <w:keepLines w:val="0"/>
              <w:pageBreakBefore w:val="0"/>
              <w:widowControl w:val="0"/>
              <w:kinsoku/>
              <w:wordWrap/>
              <w:overflowPunct/>
              <w:bidi w:val="0"/>
              <w:rPr>
                <w:rFonts w:hint="eastAsia" w:hAnsi="宋体" w:cs="Times New Roman"/>
                <w:color w:val="auto"/>
                <w:sz w:val="21"/>
                <w:szCs w:val="21"/>
              </w:rPr>
            </w:pPr>
            <w:r>
              <w:rPr>
                <w:rFonts w:hint="eastAsia" w:hAnsi="宋体" w:cs="Times New Roman"/>
                <w:color w:val="auto"/>
                <w:sz w:val="21"/>
                <w:szCs w:val="21"/>
              </w:rPr>
              <w:t>2.供货计划、安装调试方案及供货时间等能基本满足使用方要求，具有专用配送车辆，拟派人员配置，配送方案及保障措施的科学性、合理性、规范性和可操作性一般的，得5分；</w:t>
            </w:r>
          </w:p>
          <w:p w14:paraId="6C7DD931">
            <w:pPr>
              <w:pStyle w:val="127"/>
              <w:keepNext w:val="0"/>
              <w:keepLines w:val="0"/>
              <w:pageBreakBefore w:val="0"/>
              <w:widowControl w:val="0"/>
              <w:kinsoku/>
              <w:wordWrap/>
              <w:overflowPunct/>
              <w:bidi w:val="0"/>
              <w:rPr>
                <w:rFonts w:hint="eastAsia" w:ascii="宋体" w:hAnsi="宋体"/>
                <w:color w:val="auto"/>
                <w:szCs w:val="21"/>
              </w:rPr>
            </w:pPr>
            <w:r>
              <w:rPr>
                <w:rFonts w:hint="eastAsia" w:hAnsi="宋体" w:cs="Times New Roman"/>
                <w:color w:val="auto"/>
                <w:sz w:val="21"/>
                <w:szCs w:val="21"/>
              </w:rPr>
              <w:t>3.供货计划、安装调试方案及供货时间等合理性及可行性差，不具有专用配送车辆，拟派人员配置，配送方案及保障措施的科学性、合理性、规范性和可操作性较差的，得0分。</w:t>
            </w:r>
          </w:p>
        </w:tc>
      </w:tr>
    </w:tbl>
    <w:p w14:paraId="5C86C95C">
      <w:pPr>
        <w:pStyle w:val="14"/>
        <w:rPr>
          <w:color w:val="auto"/>
        </w:rPr>
      </w:pPr>
    </w:p>
    <w:p w14:paraId="16D95B4E">
      <w:pPr>
        <w:rPr>
          <w:color w:val="auto"/>
        </w:rPr>
      </w:pPr>
    </w:p>
    <w:p w14:paraId="2B0073DA">
      <w:pPr>
        <w:pStyle w:val="18"/>
        <w:tabs>
          <w:tab w:val="left" w:pos="2472"/>
        </w:tabs>
        <w:spacing w:line="480" w:lineRule="exact"/>
        <w:rPr>
          <w:rFonts w:hint="eastAsia" w:hAnsi="宋体"/>
          <w:b/>
          <w:bCs/>
          <w:color w:val="auto"/>
          <w:sz w:val="21"/>
          <w:szCs w:val="21"/>
        </w:rPr>
      </w:pPr>
    </w:p>
    <w:p w14:paraId="222B860D">
      <w:pPr>
        <w:pStyle w:val="18"/>
        <w:tabs>
          <w:tab w:val="left" w:pos="2472"/>
        </w:tabs>
        <w:spacing w:line="480" w:lineRule="exact"/>
        <w:rPr>
          <w:rFonts w:hAnsi="宋体"/>
          <w:b/>
          <w:bCs/>
          <w:color w:val="auto"/>
          <w:sz w:val="21"/>
          <w:szCs w:val="21"/>
        </w:rPr>
      </w:pPr>
      <w:r>
        <w:rPr>
          <w:rFonts w:hint="eastAsia" w:hAnsi="宋体"/>
          <w:b/>
          <w:bCs/>
          <w:color w:val="auto"/>
          <w:sz w:val="21"/>
          <w:szCs w:val="21"/>
        </w:rPr>
        <w:t>1.评标方法：</w:t>
      </w:r>
    </w:p>
    <w:p w14:paraId="22A4086E">
      <w:pPr>
        <w:pStyle w:val="21"/>
        <w:tabs>
          <w:tab w:val="left" w:pos="540"/>
        </w:tabs>
        <w:adjustRightInd w:val="0"/>
        <w:spacing w:before="240" w:line="360" w:lineRule="auto"/>
        <w:ind w:left="0" w:leftChars="0" w:firstLine="420"/>
        <w:rPr>
          <w:rFonts w:ascii="宋体" w:hAnsi="宋体"/>
          <w:b/>
          <w:bCs/>
          <w:color w:val="auto"/>
          <w:sz w:val="21"/>
          <w:szCs w:val="21"/>
        </w:rPr>
      </w:pPr>
      <w:r>
        <w:rPr>
          <w:rFonts w:hint="eastAsia" w:ascii="宋体" w:hAnsi="宋体"/>
          <w:b/>
          <w:bCs/>
          <w:color w:val="auto"/>
          <w:sz w:val="21"/>
          <w:szCs w:val="21"/>
        </w:rPr>
        <w:t>本次评标采用综合评分法。</w:t>
      </w:r>
      <w:r>
        <w:rPr>
          <w:rFonts w:ascii="宋体" w:hAnsi="宋体"/>
          <w:color w:val="auto"/>
          <w:sz w:val="21"/>
          <w:szCs w:val="21"/>
        </w:rPr>
        <w:t>评标委员会对满足招标文件资格审查、</w:t>
      </w:r>
      <w:r>
        <w:rPr>
          <w:rFonts w:hint="eastAsia" w:ascii="宋体" w:hAnsi="宋体"/>
          <w:color w:val="auto"/>
          <w:sz w:val="21"/>
          <w:szCs w:val="21"/>
        </w:rPr>
        <w:t>初步评审</w:t>
      </w:r>
      <w:r>
        <w:rPr>
          <w:rFonts w:ascii="宋体" w:hAnsi="宋体"/>
          <w:color w:val="auto"/>
          <w:sz w:val="21"/>
          <w:szCs w:val="21"/>
        </w:rPr>
        <w:t>要求的投标文件，按照本章</w:t>
      </w:r>
      <w:r>
        <w:rPr>
          <w:rFonts w:hint="eastAsia" w:ascii="宋体" w:hAnsi="宋体"/>
          <w:color w:val="auto"/>
          <w:sz w:val="21"/>
          <w:szCs w:val="21"/>
        </w:rPr>
        <w:t>前附表规定的</w:t>
      </w:r>
      <w:r>
        <w:rPr>
          <w:rFonts w:ascii="宋体" w:hAnsi="宋体"/>
          <w:color w:val="auto"/>
          <w:sz w:val="21"/>
          <w:szCs w:val="21"/>
        </w:rPr>
        <w:t>评分标准进行打分，</w:t>
      </w:r>
      <w:r>
        <w:rPr>
          <w:rFonts w:hint="eastAsia" w:ascii="宋体" w:hAnsi="宋体"/>
          <w:color w:val="auto"/>
          <w:sz w:val="21"/>
          <w:szCs w:val="21"/>
        </w:rPr>
        <w:t>并按下列评标总得分计算公式计算评标总得分，</w:t>
      </w:r>
      <w:r>
        <w:rPr>
          <w:rFonts w:ascii="宋体" w:hAnsi="宋体"/>
          <w:color w:val="auto"/>
          <w:sz w:val="21"/>
          <w:szCs w:val="21"/>
        </w:rPr>
        <w:t>按</w:t>
      </w:r>
      <w:r>
        <w:rPr>
          <w:rFonts w:hint="eastAsia" w:ascii="宋体" w:hAnsi="宋体"/>
          <w:color w:val="auto"/>
          <w:sz w:val="21"/>
          <w:szCs w:val="21"/>
        </w:rPr>
        <w:t>总</w:t>
      </w:r>
      <w:r>
        <w:rPr>
          <w:rFonts w:ascii="宋体" w:hAnsi="宋体"/>
          <w:color w:val="auto"/>
          <w:sz w:val="21"/>
          <w:szCs w:val="21"/>
        </w:rPr>
        <w:t>得分由高到低</w:t>
      </w:r>
      <w:r>
        <w:rPr>
          <w:rFonts w:hint="eastAsia" w:ascii="宋体" w:hAnsi="宋体"/>
          <w:color w:val="auto"/>
          <w:sz w:val="21"/>
          <w:szCs w:val="21"/>
        </w:rPr>
        <w:t>的顺序</w:t>
      </w:r>
      <w:r>
        <w:rPr>
          <w:rFonts w:ascii="宋体" w:hAnsi="宋体"/>
          <w:color w:val="auto"/>
          <w:sz w:val="21"/>
          <w:szCs w:val="21"/>
        </w:rPr>
        <w:t>推荐中标候选</w:t>
      </w:r>
      <w:r>
        <w:rPr>
          <w:rFonts w:hint="eastAsia" w:ascii="宋体" w:hAnsi="宋体"/>
          <w:color w:val="auto"/>
          <w:sz w:val="21"/>
          <w:szCs w:val="21"/>
        </w:rPr>
        <w:t>人排序</w:t>
      </w:r>
      <w:r>
        <w:rPr>
          <w:rFonts w:ascii="宋体" w:hAnsi="宋体"/>
          <w:color w:val="auto"/>
          <w:sz w:val="21"/>
          <w:szCs w:val="21"/>
        </w:rPr>
        <w:t>；评标总得分相等时，按投标报价由低到高顺序排</w:t>
      </w:r>
      <w:r>
        <w:rPr>
          <w:rFonts w:hint="eastAsia" w:ascii="宋体" w:hAnsi="宋体"/>
          <w:color w:val="auto"/>
          <w:sz w:val="21"/>
          <w:szCs w:val="21"/>
        </w:rPr>
        <w:t>序</w:t>
      </w:r>
      <w:r>
        <w:rPr>
          <w:rFonts w:ascii="宋体" w:hAnsi="宋体"/>
          <w:color w:val="auto"/>
          <w:sz w:val="21"/>
          <w:szCs w:val="21"/>
        </w:rPr>
        <w:t>；评标总得分相等且投标报价相同时，按技术部分得分</w:t>
      </w:r>
      <w:r>
        <w:rPr>
          <w:rFonts w:hint="eastAsia" w:ascii="宋体" w:hAnsi="宋体"/>
          <w:color w:val="auto"/>
          <w:sz w:val="21"/>
          <w:szCs w:val="21"/>
        </w:rPr>
        <w:t>由</w:t>
      </w:r>
      <w:r>
        <w:rPr>
          <w:rFonts w:ascii="宋体" w:hAnsi="宋体"/>
          <w:color w:val="auto"/>
          <w:sz w:val="21"/>
          <w:szCs w:val="21"/>
        </w:rPr>
        <w:t>高</w:t>
      </w:r>
      <w:r>
        <w:rPr>
          <w:rFonts w:hint="eastAsia" w:ascii="宋体" w:hAnsi="宋体"/>
          <w:color w:val="auto"/>
          <w:sz w:val="21"/>
          <w:szCs w:val="21"/>
        </w:rPr>
        <w:t>到</w:t>
      </w:r>
      <w:r>
        <w:rPr>
          <w:rFonts w:ascii="宋体" w:hAnsi="宋体"/>
          <w:color w:val="auto"/>
          <w:sz w:val="21"/>
          <w:szCs w:val="21"/>
        </w:rPr>
        <w:t>低顺序</w:t>
      </w:r>
      <w:r>
        <w:rPr>
          <w:rFonts w:hint="eastAsia" w:ascii="宋体" w:hAnsi="宋体"/>
          <w:color w:val="auto"/>
          <w:sz w:val="21"/>
          <w:szCs w:val="21"/>
        </w:rPr>
        <w:t>排序</w:t>
      </w:r>
      <w:r>
        <w:rPr>
          <w:rFonts w:ascii="宋体" w:hAnsi="宋体"/>
          <w:color w:val="auto"/>
          <w:sz w:val="21"/>
          <w:szCs w:val="21"/>
        </w:rPr>
        <w:t>。</w:t>
      </w:r>
    </w:p>
    <w:p w14:paraId="790591B0">
      <w:pPr>
        <w:pStyle w:val="18"/>
        <w:tabs>
          <w:tab w:val="left" w:pos="2472"/>
        </w:tabs>
        <w:spacing w:line="480" w:lineRule="exact"/>
        <w:ind w:firstLine="411" w:firstLineChars="196"/>
        <w:rPr>
          <w:rFonts w:hAnsi="宋体"/>
          <w:b/>
          <w:bCs/>
          <w:color w:val="auto"/>
          <w:sz w:val="21"/>
          <w:szCs w:val="21"/>
        </w:rPr>
      </w:pPr>
      <w:r>
        <w:rPr>
          <w:rFonts w:hint="eastAsia" w:hAnsi="宋体"/>
          <w:b/>
          <w:bCs/>
          <w:color w:val="auto"/>
          <w:sz w:val="21"/>
          <w:szCs w:val="21"/>
        </w:rPr>
        <w:t>2. 评审标准</w:t>
      </w:r>
    </w:p>
    <w:p w14:paraId="50BC5AC6">
      <w:pPr>
        <w:pStyle w:val="18"/>
        <w:tabs>
          <w:tab w:val="left" w:pos="2472"/>
        </w:tabs>
        <w:spacing w:line="480" w:lineRule="exact"/>
        <w:ind w:firstLine="411" w:firstLineChars="196"/>
        <w:rPr>
          <w:rFonts w:hAnsi="宋体"/>
          <w:color w:val="auto"/>
          <w:sz w:val="21"/>
          <w:szCs w:val="21"/>
        </w:rPr>
      </w:pPr>
      <w:r>
        <w:rPr>
          <w:rFonts w:hint="eastAsia" w:hAnsi="宋体"/>
          <w:b/>
          <w:bCs/>
          <w:color w:val="auto"/>
          <w:sz w:val="21"/>
          <w:szCs w:val="21"/>
        </w:rPr>
        <w:t>2.1初步评审标准</w:t>
      </w:r>
    </w:p>
    <w:p w14:paraId="0A4661D3">
      <w:pPr>
        <w:spacing w:line="360" w:lineRule="auto"/>
        <w:ind w:firstLine="420" w:firstLineChars="200"/>
        <w:jc w:val="left"/>
        <w:rPr>
          <w:rFonts w:ascii="宋体" w:hAnsi="宋体"/>
          <w:color w:val="auto"/>
          <w:szCs w:val="21"/>
        </w:rPr>
      </w:pPr>
      <w:r>
        <w:rPr>
          <w:rFonts w:hint="eastAsia" w:ascii="宋体" w:hAnsi="宋体"/>
          <w:color w:val="auto"/>
          <w:szCs w:val="21"/>
        </w:rPr>
        <w:t>2.1.1资格评审标准：</w:t>
      </w:r>
      <w:r>
        <w:rPr>
          <w:rFonts w:ascii="宋体" w:hAnsi="宋体"/>
          <w:color w:val="auto"/>
          <w:szCs w:val="21"/>
        </w:rPr>
        <w:t>依据法律法规和招标文件的规定，对投标文件中的资格证明</w:t>
      </w:r>
      <w:r>
        <w:rPr>
          <w:rFonts w:hint="eastAsia" w:ascii="宋体" w:hAnsi="宋体"/>
          <w:color w:val="auto"/>
          <w:szCs w:val="21"/>
        </w:rPr>
        <w:t>文件</w:t>
      </w:r>
      <w:r>
        <w:rPr>
          <w:rFonts w:ascii="宋体" w:hAnsi="宋体"/>
          <w:color w:val="auto"/>
          <w:szCs w:val="21"/>
        </w:rPr>
        <w:t>、投标保证金等进行审查</w:t>
      </w:r>
      <w:r>
        <w:rPr>
          <w:rFonts w:hint="eastAsia" w:ascii="宋体" w:hAnsi="宋体"/>
          <w:color w:val="auto"/>
          <w:szCs w:val="21"/>
        </w:rPr>
        <w:t>，</w:t>
      </w:r>
      <w:r>
        <w:rPr>
          <w:rFonts w:ascii="宋体" w:hAnsi="宋体"/>
          <w:color w:val="auto"/>
          <w:szCs w:val="21"/>
        </w:rPr>
        <w:t>见评标方法前附表。</w:t>
      </w:r>
    </w:p>
    <w:p w14:paraId="6CF5CC07">
      <w:pPr>
        <w:pStyle w:val="18"/>
        <w:tabs>
          <w:tab w:val="left" w:pos="2472"/>
        </w:tabs>
        <w:spacing w:line="480" w:lineRule="exact"/>
        <w:ind w:firstLine="420" w:firstLineChars="200"/>
        <w:rPr>
          <w:rFonts w:hAnsi="宋体"/>
          <w:color w:val="auto"/>
          <w:sz w:val="21"/>
          <w:szCs w:val="21"/>
        </w:rPr>
      </w:pPr>
      <w:r>
        <w:rPr>
          <w:rFonts w:hint="eastAsia" w:hAnsi="宋体"/>
          <w:color w:val="auto"/>
          <w:sz w:val="21"/>
          <w:szCs w:val="21"/>
        </w:rPr>
        <w:t>2.1.2符合性评审标准：</w:t>
      </w:r>
      <w:r>
        <w:rPr>
          <w:rFonts w:hAnsi="宋体"/>
          <w:color w:val="auto"/>
          <w:sz w:val="21"/>
          <w:szCs w:val="21"/>
        </w:rPr>
        <w:t>依据招标文件的规定，从投标文件的有效性、完性和对招标文件的响应程度进行审查，见评标方法前附表。</w:t>
      </w:r>
    </w:p>
    <w:p w14:paraId="00891A34">
      <w:pPr>
        <w:pStyle w:val="18"/>
        <w:tabs>
          <w:tab w:val="left" w:pos="2472"/>
        </w:tabs>
        <w:spacing w:line="480" w:lineRule="exact"/>
        <w:ind w:firstLine="411" w:firstLineChars="196"/>
        <w:rPr>
          <w:rFonts w:hAnsi="宋体"/>
          <w:b/>
          <w:bCs/>
          <w:color w:val="auto"/>
          <w:sz w:val="21"/>
          <w:szCs w:val="21"/>
        </w:rPr>
      </w:pPr>
      <w:bookmarkStart w:id="123" w:name="_Toc321836408"/>
      <w:bookmarkStart w:id="124" w:name="_Toc396093006"/>
      <w:r>
        <w:rPr>
          <w:rFonts w:hint="eastAsia" w:hAnsi="宋体"/>
          <w:b/>
          <w:bCs/>
          <w:color w:val="auto"/>
          <w:sz w:val="21"/>
          <w:szCs w:val="21"/>
        </w:rPr>
        <w:t>2</w:t>
      </w:r>
      <w:r>
        <w:rPr>
          <w:rFonts w:hAnsi="宋体"/>
          <w:b/>
          <w:bCs/>
          <w:color w:val="auto"/>
          <w:sz w:val="21"/>
          <w:szCs w:val="21"/>
        </w:rPr>
        <w:t>.2 分值构成与评分标准</w:t>
      </w:r>
      <w:bookmarkEnd w:id="123"/>
      <w:bookmarkEnd w:id="124"/>
    </w:p>
    <w:p w14:paraId="7F7CC076">
      <w:pPr>
        <w:pStyle w:val="18"/>
        <w:tabs>
          <w:tab w:val="left" w:pos="2472"/>
        </w:tabs>
        <w:spacing w:line="360" w:lineRule="auto"/>
        <w:ind w:firstLine="420" w:firstLineChars="200"/>
        <w:rPr>
          <w:rFonts w:hAnsi="宋体"/>
          <w:color w:val="auto"/>
          <w:sz w:val="21"/>
          <w:szCs w:val="21"/>
        </w:rPr>
      </w:pPr>
      <w:r>
        <w:rPr>
          <w:rFonts w:hint="eastAsia" w:hAnsi="宋体"/>
          <w:color w:val="auto"/>
          <w:sz w:val="21"/>
          <w:szCs w:val="21"/>
        </w:rPr>
        <w:t>2</w:t>
      </w:r>
      <w:r>
        <w:rPr>
          <w:rFonts w:hAnsi="宋体"/>
          <w:color w:val="auto"/>
          <w:sz w:val="21"/>
          <w:szCs w:val="21"/>
        </w:rPr>
        <w:t>.2.1 分值构成</w:t>
      </w:r>
    </w:p>
    <w:p w14:paraId="1FA48014">
      <w:pPr>
        <w:pStyle w:val="18"/>
        <w:tabs>
          <w:tab w:val="left" w:pos="2472"/>
        </w:tabs>
        <w:spacing w:line="360" w:lineRule="auto"/>
        <w:ind w:firstLine="420" w:firstLineChars="200"/>
        <w:rPr>
          <w:rFonts w:hAnsi="宋体"/>
          <w:color w:val="auto"/>
          <w:sz w:val="21"/>
          <w:szCs w:val="21"/>
        </w:rPr>
      </w:pPr>
      <w:r>
        <w:rPr>
          <w:rFonts w:hAnsi="宋体"/>
          <w:color w:val="auto"/>
          <w:sz w:val="21"/>
          <w:szCs w:val="21"/>
        </w:rPr>
        <w:t>（1）投标报价：见评标方法前附表；</w:t>
      </w:r>
    </w:p>
    <w:p w14:paraId="4CBD67C6">
      <w:pPr>
        <w:pStyle w:val="18"/>
        <w:tabs>
          <w:tab w:val="left" w:pos="2472"/>
        </w:tabs>
        <w:spacing w:line="360" w:lineRule="auto"/>
        <w:ind w:firstLine="420" w:firstLineChars="200"/>
        <w:rPr>
          <w:rFonts w:hAnsi="宋体"/>
          <w:color w:val="auto"/>
          <w:sz w:val="21"/>
          <w:szCs w:val="21"/>
        </w:rPr>
      </w:pPr>
      <w:r>
        <w:rPr>
          <w:rFonts w:hAnsi="宋体"/>
          <w:color w:val="auto"/>
          <w:sz w:val="21"/>
          <w:szCs w:val="21"/>
        </w:rPr>
        <w:t>（2）技术</w:t>
      </w:r>
      <w:r>
        <w:rPr>
          <w:rFonts w:hint="eastAsia" w:hAnsi="宋体"/>
          <w:color w:val="auto"/>
          <w:sz w:val="21"/>
          <w:szCs w:val="21"/>
          <w:lang w:val="en-US" w:eastAsia="zh-CN"/>
        </w:rPr>
        <w:t>及服务</w:t>
      </w:r>
      <w:r>
        <w:rPr>
          <w:rFonts w:hAnsi="宋体"/>
          <w:color w:val="auto"/>
          <w:sz w:val="21"/>
          <w:szCs w:val="21"/>
        </w:rPr>
        <w:t>部分：见评标方法前附表；</w:t>
      </w:r>
    </w:p>
    <w:p w14:paraId="70A95C7A">
      <w:pPr>
        <w:pStyle w:val="18"/>
        <w:tabs>
          <w:tab w:val="left" w:pos="2472"/>
        </w:tabs>
        <w:spacing w:line="360" w:lineRule="auto"/>
        <w:ind w:firstLine="420" w:firstLineChars="200"/>
        <w:rPr>
          <w:rFonts w:hAnsi="宋体"/>
          <w:color w:val="auto"/>
          <w:sz w:val="21"/>
          <w:szCs w:val="21"/>
        </w:rPr>
      </w:pPr>
      <w:r>
        <w:rPr>
          <w:rFonts w:hint="eastAsia" w:hAnsi="宋体"/>
          <w:color w:val="auto"/>
          <w:sz w:val="21"/>
          <w:szCs w:val="21"/>
        </w:rPr>
        <w:t>2</w:t>
      </w:r>
      <w:r>
        <w:rPr>
          <w:rFonts w:hAnsi="宋体"/>
          <w:color w:val="auto"/>
          <w:sz w:val="21"/>
          <w:szCs w:val="21"/>
        </w:rPr>
        <w:t>.2.2 评标基准价计算方法：见评标方法前附表。</w:t>
      </w:r>
    </w:p>
    <w:p w14:paraId="6986D8E4">
      <w:pPr>
        <w:pStyle w:val="18"/>
        <w:tabs>
          <w:tab w:val="left" w:pos="2472"/>
        </w:tabs>
        <w:spacing w:line="360" w:lineRule="auto"/>
        <w:ind w:firstLine="420" w:firstLineChars="200"/>
        <w:rPr>
          <w:rFonts w:hAnsi="宋体"/>
          <w:color w:val="auto"/>
          <w:sz w:val="21"/>
          <w:szCs w:val="21"/>
        </w:rPr>
      </w:pPr>
      <w:r>
        <w:rPr>
          <w:rFonts w:hint="eastAsia" w:hAnsi="宋体"/>
          <w:color w:val="auto"/>
          <w:sz w:val="21"/>
          <w:szCs w:val="21"/>
        </w:rPr>
        <w:t>2</w:t>
      </w:r>
      <w:r>
        <w:rPr>
          <w:rFonts w:hAnsi="宋体"/>
          <w:color w:val="auto"/>
          <w:sz w:val="21"/>
          <w:szCs w:val="21"/>
        </w:rPr>
        <w:t>.2.3 评分标准</w:t>
      </w:r>
    </w:p>
    <w:p w14:paraId="39B4C16F">
      <w:pPr>
        <w:pStyle w:val="18"/>
        <w:tabs>
          <w:tab w:val="left" w:pos="2472"/>
        </w:tabs>
        <w:spacing w:line="360" w:lineRule="auto"/>
        <w:ind w:firstLine="420" w:firstLineChars="200"/>
        <w:rPr>
          <w:rFonts w:hAnsi="宋体"/>
          <w:color w:val="auto"/>
          <w:sz w:val="21"/>
          <w:szCs w:val="21"/>
        </w:rPr>
      </w:pPr>
      <w:r>
        <w:rPr>
          <w:rFonts w:hAnsi="宋体"/>
          <w:color w:val="auto"/>
          <w:sz w:val="21"/>
          <w:szCs w:val="21"/>
        </w:rPr>
        <w:t>按招标文件中规定的评标方法和标准，对资格评审和符合性评审合格的投标文件进行商务和技术评估，综合比较与评价。</w:t>
      </w:r>
    </w:p>
    <w:p w14:paraId="5021C8C6">
      <w:pPr>
        <w:pStyle w:val="18"/>
        <w:tabs>
          <w:tab w:val="left" w:pos="2472"/>
        </w:tabs>
        <w:spacing w:line="360" w:lineRule="auto"/>
        <w:ind w:firstLine="420" w:firstLineChars="200"/>
        <w:rPr>
          <w:rFonts w:hAnsi="宋体"/>
          <w:color w:val="auto"/>
          <w:sz w:val="21"/>
          <w:szCs w:val="21"/>
        </w:rPr>
      </w:pPr>
      <w:r>
        <w:rPr>
          <w:rFonts w:hAnsi="宋体"/>
          <w:color w:val="auto"/>
          <w:sz w:val="21"/>
          <w:szCs w:val="21"/>
        </w:rPr>
        <w:t>（1）投标报价评分标准：见评标方法前附表；</w:t>
      </w:r>
    </w:p>
    <w:p w14:paraId="22511DBB">
      <w:pPr>
        <w:pStyle w:val="18"/>
        <w:tabs>
          <w:tab w:val="left" w:pos="2472"/>
        </w:tabs>
        <w:spacing w:line="360" w:lineRule="auto"/>
        <w:ind w:firstLine="420" w:firstLineChars="200"/>
        <w:rPr>
          <w:rFonts w:hAnsi="宋体"/>
          <w:color w:val="auto"/>
          <w:sz w:val="21"/>
          <w:szCs w:val="21"/>
        </w:rPr>
      </w:pPr>
      <w:r>
        <w:rPr>
          <w:rFonts w:hAnsi="宋体"/>
          <w:color w:val="auto"/>
          <w:sz w:val="21"/>
          <w:szCs w:val="21"/>
        </w:rPr>
        <w:t>（2）技术</w:t>
      </w:r>
      <w:r>
        <w:rPr>
          <w:rFonts w:hint="eastAsia" w:hAnsi="宋体"/>
          <w:color w:val="auto"/>
          <w:sz w:val="21"/>
          <w:szCs w:val="21"/>
          <w:lang w:val="en-US" w:eastAsia="zh-CN"/>
        </w:rPr>
        <w:t>及服务</w:t>
      </w:r>
      <w:r>
        <w:rPr>
          <w:rFonts w:hAnsi="宋体"/>
          <w:color w:val="auto"/>
          <w:sz w:val="21"/>
          <w:szCs w:val="21"/>
        </w:rPr>
        <w:t>部分评分标准：见评标方法前附表；</w:t>
      </w:r>
    </w:p>
    <w:p w14:paraId="65E07DEA">
      <w:pPr>
        <w:pStyle w:val="18"/>
        <w:tabs>
          <w:tab w:val="left" w:pos="2472"/>
        </w:tabs>
        <w:spacing w:line="480" w:lineRule="exact"/>
        <w:ind w:firstLine="411" w:firstLineChars="196"/>
        <w:rPr>
          <w:rFonts w:hAnsi="宋体"/>
          <w:b/>
          <w:bCs/>
          <w:color w:val="auto"/>
          <w:sz w:val="21"/>
          <w:szCs w:val="21"/>
        </w:rPr>
      </w:pPr>
      <w:bookmarkStart w:id="125" w:name="_Toc396093007"/>
      <w:bookmarkStart w:id="126" w:name="_Toc321836409"/>
      <w:r>
        <w:rPr>
          <w:rFonts w:hint="eastAsia" w:hAnsi="宋体"/>
          <w:b/>
          <w:bCs/>
          <w:color w:val="auto"/>
          <w:sz w:val="21"/>
          <w:szCs w:val="21"/>
        </w:rPr>
        <w:t>3</w:t>
      </w:r>
      <w:r>
        <w:rPr>
          <w:rFonts w:hAnsi="宋体"/>
          <w:b/>
          <w:bCs/>
          <w:color w:val="auto"/>
          <w:sz w:val="21"/>
          <w:szCs w:val="21"/>
        </w:rPr>
        <w:t>. 评标程序</w:t>
      </w:r>
      <w:bookmarkEnd w:id="125"/>
      <w:bookmarkEnd w:id="126"/>
    </w:p>
    <w:p w14:paraId="197A05A3">
      <w:pPr>
        <w:pStyle w:val="18"/>
        <w:tabs>
          <w:tab w:val="left" w:pos="2472"/>
        </w:tabs>
        <w:spacing w:line="480" w:lineRule="exact"/>
        <w:ind w:firstLine="411" w:firstLineChars="196"/>
        <w:rPr>
          <w:rFonts w:hAnsi="宋体"/>
          <w:b/>
          <w:bCs/>
          <w:color w:val="auto"/>
          <w:sz w:val="21"/>
          <w:szCs w:val="21"/>
        </w:rPr>
      </w:pPr>
      <w:bookmarkStart w:id="127" w:name="_Toc396093008"/>
      <w:bookmarkStart w:id="128" w:name="_Toc321836410"/>
      <w:r>
        <w:rPr>
          <w:rFonts w:hint="eastAsia" w:hAnsi="宋体"/>
          <w:b/>
          <w:bCs/>
          <w:color w:val="auto"/>
          <w:sz w:val="21"/>
          <w:szCs w:val="21"/>
        </w:rPr>
        <w:t>3</w:t>
      </w:r>
      <w:r>
        <w:rPr>
          <w:rFonts w:hAnsi="宋体"/>
          <w:b/>
          <w:bCs/>
          <w:color w:val="auto"/>
          <w:sz w:val="21"/>
          <w:szCs w:val="21"/>
        </w:rPr>
        <w:t>.1 初步评审</w:t>
      </w:r>
      <w:bookmarkEnd w:id="127"/>
      <w:bookmarkEnd w:id="128"/>
    </w:p>
    <w:p w14:paraId="6C307E3D">
      <w:pPr>
        <w:pStyle w:val="18"/>
        <w:tabs>
          <w:tab w:val="left" w:pos="2472"/>
        </w:tabs>
        <w:spacing w:line="360" w:lineRule="auto"/>
        <w:ind w:firstLine="420" w:firstLineChars="200"/>
        <w:rPr>
          <w:rFonts w:hAnsi="宋体"/>
          <w:color w:val="auto"/>
          <w:sz w:val="21"/>
          <w:szCs w:val="21"/>
        </w:rPr>
      </w:pPr>
      <w:r>
        <w:rPr>
          <w:rFonts w:hint="eastAsia" w:hAnsi="宋体"/>
          <w:color w:val="auto"/>
          <w:sz w:val="21"/>
          <w:szCs w:val="21"/>
        </w:rPr>
        <w:t>3</w:t>
      </w:r>
      <w:r>
        <w:rPr>
          <w:rFonts w:hAnsi="宋体"/>
          <w:color w:val="auto"/>
          <w:sz w:val="21"/>
          <w:szCs w:val="21"/>
        </w:rPr>
        <w:t>.1.1 评标委员会依据本章第</w:t>
      </w:r>
      <w:r>
        <w:rPr>
          <w:rFonts w:hint="eastAsia" w:hAnsi="宋体"/>
          <w:color w:val="auto"/>
          <w:sz w:val="21"/>
          <w:szCs w:val="21"/>
        </w:rPr>
        <w:t>2</w:t>
      </w:r>
      <w:r>
        <w:rPr>
          <w:rFonts w:hAnsi="宋体"/>
          <w:color w:val="auto"/>
          <w:sz w:val="21"/>
          <w:szCs w:val="21"/>
        </w:rPr>
        <w:t>.1.1项、第</w:t>
      </w:r>
      <w:r>
        <w:rPr>
          <w:rFonts w:hint="eastAsia" w:hAnsi="宋体"/>
          <w:color w:val="auto"/>
          <w:sz w:val="21"/>
          <w:szCs w:val="21"/>
        </w:rPr>
        <w:t>2</w:t>
      </w:r>
      <w:r>
        <w:rPr>
          <w:rFonts w:hAnsi="宋体"/>
          <w:color w:val="auto"/>
          <w:sz w:val="21"/>
          <w:szCs w:val="21"/>
        </w:rPr>
        <w:t>.1.2项规定的标准对投标文件进行初步评审。有一项不符合评审标准的，</w:t>
      </w:r>
      <w:r>
        <w:rPr>
          <w:rFonts w:hint="eastAsia" w:hAnsi="宋体"/>
          <w:color w:val="auto"/>
          <w:sz w:val="21"/>
          <w:szCs w:val="21"/>
        </w:rPr>
        <w:t>视为未实质性响应招标文件要求</w:t>
      </w:r>
      <w:r>
        <w:rPr>
          <w:rFonts w:hAnsi="宋体"/>
          <w:color w:val="auto"/>
          <w:sz w:val="21"/>
          <w:szCs w:val="21"/>
        </w:rPr>
        <w:t>。</w:t>
      </w:r>
    </w:p>
    <w:p w14:paraId="59427283">
      <w:pPr>
        <w:pStyle w:val="18"/>
        <w:tabs>
          <w:tab w:val="left" w:pos="2472"/>
        </w:tabs>
        <w:spacing w:line="360" w:lineRule="auto"/>
        <w:ind w:firstLine="420" w:firstLineChars="200"/>
        <w:rPr>
          <w:rFonts w:hAnsi="宋体"/>
          <w:color w:val="auto"/>
          <w:sz w:val="21"/>
          <w:szCs w:val="21"/>
        </w:rPr>
      </w:pPr>
      <w:r>
        <w:rPr>
          <w:rFonts w:hint="eastAsia" w:hAnsi="宋体"/>
          <w:color w:val="auto"/>
          <w:sz w:val="21"/>
          <w:szCs w:val="21"/>
        </w:rPr>
        <w:t>3</w:t>
      </w:r>
      <w:r>
        <w:rPr>
          <w:rFonts w:hAnsi="宋体"/>
          <w:color w:val="auto"/>
          <w:sz w:val="21"/>
          <w:szCs w:val="21"/>
        </w:rPr>
        <w:t>.1.2投标文件如果出现计算或表达上的错误，修正错误的原则如下：</w:t>
      </w:r>
    </w:p>
    <w:p w14:paraId="5B8A095A">
      <w:pPr>
        <w:pStyle w:val="18"/>
        <w:tabs>
          <w:tab w:val="left" w:pos="2472"/>
        </w:tabs>
        <w:spacing w:line="360" w:lineRule="auto"/>
        <w:ind w:firstLine="420" w:firstLineChars="200"/>
        <w:rPr>
          <w:rFonts w:hAnsi="宋体"/>
          <w:color w:val="auto"/>
          <w:sz w:val="21"/>
          <w:szCs w:val="21"/>
        </w:rPr>
      </w:pPr>
      <w:r>
        <w:rPr>
          <w:rFonts w:hAnsi="宋体"/>
          <w:color w:val="auto"/>
          <w:sz w:val="21"/>
          <w:szCs w:val="21"/>
        </w:rPr>
        <w:t>（1）开标时，投标文件中开标一览表</w:t>
      </w:r>
      <w:r>
        <w:rPr>
          <w:rFonts w:hint="eastAsia" w:hAnsi="宋体"/>
          <w:color w:val="auto"/>
          <w:sz w:val="21"/>
          <w:szCs w:val="21"/>
        </w:rPr>
        <w:t>内容与</w:t>
      </w:r>
      <w:r>
        <w:rPr>
          <w:rFonts w:hAnsi="宋体"/>
          <w:color w:val="auto"/>
          <w:sz w:val="21"/>
          <w:szCs w:val="21"/>
        </w:rPr>
        <w:t>投标</w:t>
      </w:r>
      <w:r>
        <w:rPr>
          <w:rFonts w:hint="eastAsia" w:hAnsi="宋体"/>
          <w:color w:val="auto"/>
          <w:sz w:val="21"/>
          <w:szCs w:val="21"/>
        </w:rPr>
        <w:t>文件中</w:t>
      </w:r>
      <w:r>
        <w:rPr>
          <w:rFonts w:hAnsi="宋体"/>
          <w:color w:val="auto"/>
          <w:sz w:val="21"/>
          <w:szCs w:val="21"/>
        </w:rPr>
        <w:t>明细表内容不一致的，以开标一览表为准。</w:t>
      </w:r>
    </w:p>
    <w:p w14:paraId="314284F9">
      <w:pPr>
        <w:pStyle w:val="18"/>
        <w:tabs>
          <w:tab w:val="left" w:pos="2472"/>
        </w:tabs>
        <w:spacing w:line="360" w:lineRule="auto"/>
        <w:ind w:firstLine="420" w:firstLineChars="200"/>
        <w:rPr>
          <w:rFonts w:hAnsi="宋体"/>
          <w:color w:val="auto"/>
          <w:sz w:val="21"/>
          <w:szCs w:val="21"/>
        </w:rPr>
      </w:pPr>
      <w:r>
        <w:rPr>
          <w:rFonts w:hAnsi="宋体"/>
          <w:color w:val="auto"/>
          <w:sz w:val="21"/>
          <w:szCs w:val="21"/>
        </w:rPr>
        <w:t>（2）投标文件的大写金额和小写金额不一致的，以大写金额为准；</w:t>
      </w:r>
    </w:p>
    <w:p w14:paraId="2D9653CC">
      <w:pPr>
        <w:pStyle w:val="18"/>
        <w:tabs>
          <w:tab w:val="left" w:pos="2472"/>
        </w:tabs>
        <w:spacing w:line="360" w:lineRule="auto"/>
        <w:ind w:firstLine="420" w:firstLineChars="200"/>
        <w:rPr>
          <w:rFonts w:hAnsi="宋体"/>
          <w:color w:val="auto"/>
          <w:sz w:val="21"/>
          <w:szCs w:val="21"/>
        </w:rPr>
      </w:pPr>
      <w:r>
        <w:rPr>
          <w:rFonts w:hAnsi="宋体"/>
          <w:color w:val="auto"/>
          <w:sz w:val="21"/>
          <w:szCs w:val="21"/>
        </w:rPr>
        <w:t>（3）总价金额与按单价汇总金额不一致的，以单价金额计算结果为准；</w:t>
      </w:r>
    </w:p>
    <w:p w14:paraId="65E6ED18">
      <w:pPr>
        <w:pStyle w:val="18"/>
        <w:tabs>
          <w:tab w:val="left" w:pos="2472"/>
        </w:tabs>
        <w:spacing w:line="360" w:lineRule="auto"/>
        <w:ind w:firstLine="420" w:firstLineChars="200"/>
        <w:rPr>
          <w:rFonts w:hAnsi="宋体"/>
          <w:color w:val="auto"/>
          <w:sz w:val="21"/>
          <w:szCs w:val="21"/>
        </w:rPr>
      </w:pPr>
      <w:r>
        <w:rPr>
          <w:rFonts w:hAnsi="宋体"/>
          <w:color w:val="auto"/>
          <w:sz w:val="21"/>
          <w:szCs w:val="21"/>
        </w:rPr>
        <w:t>（4）单价金额小数点有明显错位的，应以总价为准，并修改单价；</w:t>
      </w:r>
    </w:p>
    <w:p w14:paraId="673C7448">
      <w:pPr>
        <w:pStyle w:val="18"/>
        <w:tabs>
          <w:tab w:val="left" w:pos="2472"/>
        </w:tabs>
        <w:spacing w:line="360" w:lineRule="auto"/>
        <w:ind w:firstLine="420" w:firstLineChars="200"/>
        <w:rPr>
          <w:rFonts w:hAnsi="宋体"/>
          <w:color w:val="auto"/>
          <w:sz w:val="21"/>
          <w:szCs w:val="21"/>
        </w:rPr>
      </w:pPr>
      <w:r>
        <w:rPr>
          <w:rFonts w:hAnsi="宋体"/>
          <w:color w:val="auto"/>
          <w:sz w:val="21"/>
          <w:szCs w:val="21"/>
        </w:rPr>
        <w:t>（5）对不同文字文本投标文件的解释发生异议的，以中文文本为准。</w:t>
      </w:r>
    </w:p>
    <w:p w14:paraId="740DDA0D">
      <w:pPr>
        <w:pStyle w:val="18"/>
        <w:tabs>
          <w:tab w:val="left" w:pos="2472"/>
        </w:tabs>
        <w:spacing w:line="360" w:lineRule="auto"/>
        <w:ind w:firstLine="420" w:firstLineChars="200"/>
        <w:rPr>
          <w:rFonts w:hAnsi="宋体"/>
          <w:color w:val="auto"/>
          <w:sz w:val="21"/>
          <w:szCs w:val="21"/>
        </w:rPr>
      </w:pPr>
      <w:r>
        <w:rPr>
          <w:rFonts w:hAnsi="宋体"/>
          <w:color w:val="auto"/>
          <w:sz w:val="21"/>
          <w:szCs w:val="21"/>
        </w:rPr>
        <w:t>（6）按上述修正错误的原则及方法调整或修正投标文件的投标报价，投标人同意后，调整后的投标报价对投标人起约束作用。如果投标人不接受修正后的报价，</w:t>
      </w:r>
      <w:r>
        <w:rPr>
          <w:rFonts w:hint="eastAsia" w:hAnsi="宋体"/>
          <w:color w:val="auto"/>
          <w:sz w:val="21"/>
          <w:szCs w:val="21"/>
        </w:rPr>
        <w:t>视为未实质性响应招标文件要求</w:t>
      </w:r>
      <w:r>
        <w:rPr>
          <w:rFonts w:hAnsi="宋体"/>
          <w:color w:val="auto"/>
          <w:sz w:val="21"/>
          <w:szCs w:val="21"/>
        </w:rPr>
        <w:t>。</w:t>
      </w:r>
    </w:p>
    <w:p w14:paraId="14AABEA9">
      <w:pPr>
        <w:pStyle w:val="18"/>
        <w:tabs>
          <w:tab w:val="left" w:pos="2472"/>
        </w:tabs>
        <w:spacing w:line="480" w:lineRule="exact"/>
        <w:ind w:firstLine="411" w:firstLineChars="196"/>
        <w:rPr>
          <w:rFonts w:hAnsi="宋体"/>
          <w:b/>
          <w:bCs/>
          <w:color w:val="auto"/>
          <w:sz w:val="21"/>
          <w:szCs w:val="21"/>
        </w:rPr>
      </w:pPr>
      <w:bookmarkStart w:id="129" w:name="_Toc396093009"/>
      <w:bookmarkStart w:id="130" w:name="_Toc321836411"/>
      <w:r>
        <w:rPr>
          <w:rFonts w:hint="eastAsia" w:hAnsi="宋体"/>
          <w:b/>
          <w:bCs/>
          <w:color w:val="auto"/>
          <w:sz w:val="21"/>
          <w:szCs w:val="21"/>
        </w:rPr>
        <w:t>3</w:t>
      </w:r>
      <w:r>
        <w:rPr>
          <w:rFonts w:hAnsi="宋体"/>
          <w:b/>
          <w:bCs/>
          <w:color w:val="auto"/>
          <w:sz w:val="21"/>
          <w:szCs w:val="21"/>
        </w:rPr>
        <w:t>.2 详细评审</w:t>
      </w:r>
      <w:bookmarkEnd w:id="129"/>
      <w:bookmarkEnd w:id="130"/>
    </w:p>
    <w:p w14:paraId="1989DCD8">
      <w:pPr>
        <w:pStyle w:val="18"/>
        <w:tabs>
          <w:tab w:val="left" w:pos="2472"/>
        </w:tabs>
        <w:spacing w:line="360" w:lineRule="auto"/>
        <w:ind w:firstLine="420" w:firstLineChars="200"/>
        <w:rPr>
          <w:rFonts w:hAnsi="宋体"/>
          <w:color w:val="auto"/>
          <w:sz w:val="21"/>
          <w:szCs w:val="21"/>
        </w:rPr>
      </w:pPr>
      <w:r>
        <w:rPr>
          <w:rFonts w:hint="eastAsia" w:hAnsi="宋体"/>
          <w:color w:val="auto"/>
          <w:sz w:val="21"/>
          <w:szCs w:val="21"/>
        </w:rPr>
        <w:t>3</w:t>
      </w:r>
      <w:r>
        <w:rPr>
          <w:rFonts w:hAnsi="宋体"/>
          <w:color w:val="auto"/>
          <w:sz w:val="21"/>
          <w:szCs w:val="21"/>
        </w:rPr>
        <w:t>.2.1 评标委员会按本章第2款规定的量化因素和分值进行打分，并计算出投标人的评标总得分。</w:t>
      </w:r>
      <w:r>
        <w:rPr>
          <w:rFonts w:hint="eastAsia" w:hAnsi="宋体"/>
          <w:color w:val="auto"/>
          <w:sz w:val="21"/>
          <w:szCs w:val="21"/>
        </w:rPr>
        <w:t>对投标人的价格分等客观评分项的评分应当一致，对其他需要借助专业知识评判的主观评分项，应当严格按照评分细则公正评分。</w:t>
      </w:r>
    </w:p>
    <w:p w14:paraId="7FBFED60">
      <w:pPr>
        <w:pStyle w:val="18"/>
        <w:tabs>
          <w:tab w:val="left" w:pos="2472"/>
        </w:tabs>
        <w:spacing w:line="360" w:lineRule="auto"/>
        <w:ind w:firstLine="420" w:firstLineChars="200"/>
        <w:rPr>
          <w:rFonts w:hAnsi="宋体"/>
          <w:color w:val="auto"/>
          <w:sz w:val="21"/>
          <w:szCs w:val="21"/>
        </w:rPr>
      </w:pPr>
      <w:r>
        <w:rPr>
          <w:rFonts w:hAnsi="宋体"/>
          <w:color w:val="auto"/>
          <w:sz w:val="21"/>
          <w:szCs w:val="21"/>
        </w:rPr>
        <w:t>（1）按本章</w:t>
      </w:r>
      <w:r>
        <w:rPr>
          <w:rFonts w:hint="eastAsia" w:hAnsi="宋体"/>
          <w:color w:val="auto"/>
          <w:sz w:val="21"/>
          <w:szCs w:val="21"/>
        </w:rPr>
        <w:t>前附表的</w:t>
      </w:r>
      <w:r>
        <w:rPr>
          <w:rFonts w:hAnsi="宋体"/>
          <w:color w:val="auto"/>
          <w:sz w:val="21"/>
          <w:szCs w:val="21"/>
        </w:rPr>
        <w:t>规定对投标报价计算出得分F1；</w:t>
      </w:r>
    </w:p>
    <w:p w14:paraId="18C63994">
      <w:pPr>
        <w:pStyle w:val="18"/>
        <w:tabs>
          <w:tab w:val="left" w:pos="2472"/>
        </w:tabs>
        <w:spacing w:line="360" w:lineRule="auto"/>
        <w:ind w:firstLine="420" w:firstLineChars="200"/>
        <w:rPr>
          <w:rFonts w:hAnsi="宋体"/>
          <w:color w:val="auto"/>
          <w:sz w:val="21"/>
          <w:szCs w:val="21"/>
        </w:rPr>
      </w:pPr>
      <w:r>
        <w:rPr>
          <w:rFonts w:hAnsi="宋体"/>
          <w:color w:val="auto"/>
          <w:sz w:val="21"/>
          <w:szCs w:val="21"/>
        </w:rPr>
        <w:t>（2）按本章</w:t>
      </w:r>
      <w:r>
        <w:rPr>
          <w:rFonts w:hint="eastAsia" w:hAnsi="宋体"/>
          <w:color w:val="auto"/>
          <w:sz w:val="21"/>
          <w:szCs w:val="21"/>
        </w:rPr>
        <w:t>前附表的</w:t>
      </w:r>
      <w:r>
        <w:rPr>
          <w:rFonts w:hAnsi="宋体"/>
          <w:color w:val="auto"/>
          <w:sz w:val="21"/>
          <w:szCs w:val="21"/>
        </w:rPr>
        <w:t>规定对技术</w:t>
      </w:r>
      <w:r>
        <w:rPr>
          <w:rFonts w:hint="eastAsia" w:hAnsi="宋体"/>
          <w:color w:val="auto"/>
          <w:sz w:val="21"/>
          <w:szCs w:val="21"/>
          <w:lang w:val="en-US" w:eastAsia="zh-CN"/>
        </w:rPr>
        <w:t>及服务</w:t>
      </w:r>
      <w:r>
        <w:rPr>
          <w:rFonts w:hAnsi="宋体"/>
          <w:color w:val="auto"/>
          <w:sz w:val="21"/>
          <w:szCs w:val="21"/>
        </w:rPr>
        <w:t>部分</w:t>
      </w:r>
      <w:r>
        <w:rPr>
          <w:rFonts w:hint="eastAsia" w:hAnsi="宋体"/>
          <w:color w:val="auto"/>
          <w:sz w:val="21"/>
          <w:szCs w:val="21"/>
        </w:rPr>
        <w:t>评分，</w:t>
      </w:r>
      <w:r>
        <w:rPr>
          <w:rFonts w:hAnsi="宋体"/>
          <w:color w:val="auto"/>
          <w:sz w:val="21"/>
          <w:szCs w:val="21"/>
        </w:rPr>
        <w:t>得分F2；</w:t>
      </w:r>
    </w:p>
    <w:p w14:paraId="1E97D782">
      <w:pPr>
        <w:pStyle w:val="18"/>
        <w:tabs>
          <w:tab w:val="left" w:pos="2472"/>
        </w:tabs>
        <w:spacing w:line="360" w:lineRule="auto"/>
        <w:ind w:left="1080" w:hanging="600"/>
        <w:rPr>
          <w:rFonts w:hAnsi="宋体"/>
          <w:color w:val="auto"/>
          <w:sz w:val="21"/>
          <w:szCs w:val="21"/>
        </w:rPr>
      </w:pPr>
      <w:r>
        <w:rPr>
          <w:rFonts w:hAnsi="宋体"/>
          <w:color w:val="auto"/>
          <w:sz w:val="21"/>
          <w:szCs w:val="21"/>
        </w:rPr>
        <w:t>（</w:t>
      </w:r>
      <w:r>
        <w:rPr>
          <w:rFonts w:hint="eastAsia" w:hAnsi="宋体"/>
          <w:color w:val="auto"/>
          <w:sz w:val="21"/>
          <w:szCs w:val="21"/>
          <w:lang w:val="en-US" w:eastAsia="zh-CN"/>
        </w:rPr>
        <w:t>3</w:t>
      </w:r>
      <w:r>
        <w:rPr>
          <w:rFonts w:hAnsi="宋体"/>
          <w:color w:val="auto"/>
          <w:sz w:val="21"/>
          <w:szCs w:val="21"/>
        </w:rPr>
        <w:t>）按本章</w:t>
      </w:r>
      <w:r>
        <w:rPr>
          <w:rFonts w:hint="eastAsia" w:hAnsi="宋体"/>
          <w:color w:val="auto"/>
          <w:sz w:val="21"/>
          <w:szCs w:val="21"/>
        </w:rPr>
        <w:t>前附表的</w:t>
      </w:r>
      <w:r>
        <w:rPr>
          <w:rFonts w:hAnsi="宋体"/>
          <w:color w:val="auto"/>
          <w:sz w:val="21"/>
          <w:szCs w:val="21"/>
        </w:rPr>
        <w:t>规定计算评标总得分。</w:t>
      </w:r>
    </w:p>
    <w:p w14:paraId="0F34D9B0">
      <w:pPr>
        <w:spacing w:line="360" w:lineRule="auto"/>
        <w:ind w:firstLine="420" w:firstLineChars="200"/>
        <w:jc w:val="left"/>
        <w:rPr>
          <w:rFonts w:ascii="宋体" w:hAnsi="宋体"/>
          <w:color w:val="auto"/>
          <w:szCs w:val="21"/>
        </w:rPr>
      </w:pPr>
      <w:r>
        <w:rPr>
          <w:rFonts w:hint="eastAsia" w:ascii="宋体" w:hAnsi="宋体"/>
          <w:color w:val="auto"/>
          <w:szCs w:val="21"/>
        </w:rPr>
        <w:t>3</w:t>
      </w:r>
      <w:r>
        <w:rPr>
          <w:rFonts w:ascii="宋体" w:hAnsi="宋体"/>
          <w:color w:val="auto"/>
          <w:szCs w:val="21"/>
        </w:rPr>
        <w:t>.2.2</w:t>
      </w:r>
      <w:r>
        <w:rPr>
          <w:rFonts w:hAnsi="宋体"/>
          <w:color w:val="auto"/>
          <w:sz w:val="21"/>
          <w:szCs w:val="21"/>
        </w:rPr>
        <w:t>技术</w:t>
      </w:r>
      <w:r>
        <w:rPr>
          <w:rFonts w:hint="eastAsia" w:hAnsi="宋体"/>
          <w:color w:val="auto"/>
          <w:sz w:val="21"/>
          <w:szCs w:val="21"/>
          <w:lang w:val="en-US" w:eastAsia="zh-CN"/>
        </w:rPr>
        <w:t>及服务</w:t>
      </w:r>
      <w:r>
        <w:rPr>
          <w:rFonts w:hint="eastAsia" w:ascii="宋体" w:hAnsi="宋体"/>
          <w:color w:val="auto"/>
          <w:szCs w:val="21"/>
        </w:rPr>
        <w:t>部分（F2）得分由评标委员会成员独立评分，</w:t>
      </w:r>
      <w:r>
        <w:rPr>
          <w:rFonts w:hint="eastAsia" w:ascii="宋体" w:hAnsi="宋体"/>
          <w:bCs/>
          <w:color w:val="auto"/>
          <w:szCs w:val="21"/>
        </w:rPr>
        <w:t>投标人各项评分因素得分为该项因素各评委评分的算术平均值（保留小数点后两位）</w:t>
      </w:r>
      <w:r>
        <w:rPr>
          <w:rFonts w:ascii="宋体" w:hAnsi="宋体"/>
          <w:color w:val="auto"/>
          <w:szCs w:val="21"/>
        </w:rPr>
        <w:t>，小数点后第三位“四舍五入”。</w:t>
      </w:r>
    </w:p>
    <w:p w14:paraId="412ED248">
      <w:pPr>
        <w:spacing w:line="360" w:lineRule="auto"/>
        <w:ind w:firstLine="420" w:firstLineChars="200"/>
        <w:jc w:val="left"/>
        <w:rPr>
          <w:rFonts w:ascii="宋体" w:hAnsi="宋体"/>
          <w:color w:val="auto"/>
          <w:szCs w:val="21"/>
        </w:rPr>
      </w:pPr>
      <w:r>
        <w:rPr>
          <w:rFonts w:hint="eastAsia" w:ascii="宋体" w:hAnsi="宋体"/>
          <w:color w:val="auto"/>
          <w:szCs w:val="21"/>
        </w:rPr>
        <w:t>3.2.3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14:paraId="48207907">
      <w:pPr>
        <w:pStyle w:val="18"/>
        <w:tabs>
          <w:tab w:val="left" w:pos="2472"/>
        </w:tabs>
        <w:spacing w:line="480" w:lineRule="exact"/>
        <w:ind w:firstLine="411" w:firstLineChars="196"/>
        <w:rPr>
          <w:rFonts w:hAnsi="宋体"/>
          <w:b/>
          <w:bCs/>
          <w:color w:val="auto"/>
          <w:sz w:val="21"/>
          <w:szCs w:val="21"/>
        </w:rPr>
      </w:pPr>
      <w:bookmarkStart w:id="131" w:name="_Toc396093010"/>
      <w:bookmarkStart w:id="132" w:name="_Toc321836412"/>
      <w:r>
        <w:rPr>
          <w:rFonts w:hint="eastAsia" w:hAnsi="宋体"/>
          <w:b/>
          <w:bCs/>
          <w:color w:val="auto"/>
          <w:sz w:val="21"/>
          <w:szCs w:val="21"/>
        </w:rPr>
        <w:t>3</w:t>
      </w:r>
      <w:r>
        <w:rPr>
          <w:rFonts w:hAnsi="宋体"/>
          <w:b/>
          <w:bCs/>
          <w:color w:val="auto"/>
          <w:sz w:val="21"/>
          <w:szCs w:val="21"/>
        </w:rPr>
        <w:t>.3 投标文件的澄清</w:t>
      </w:r>
      <w:bookmarkEnd w:id="131"/>
      <w:bookmarkEnd w:id="132"/>
    </w:p>
    <w:p w14:paraId="4217806E">
      <w:pPr>
        <w:spacing w:line="360" w:lineRule="auto"/>
        <w:ind w:firstLine="420" w:firstLineChars="200"/>
        <w:jc w:val="left"/>
        <w:rPr>
          <w:rFonts w:ascii="宋体" w:hAnsi="宋体"/>
          <w:color w:val="auto"/>
          <w:szCs w:val="21"/>
        </w:rPr>
      </w:pPr>
      <w:r>
        <w:rPr>
          <w:rFonts w:hint="eastAsia" w:ascii="宋体" w:hAnsi="宋体"/>
          <w:color w:val="auto"/>
          <w:szCs w:val="21"/>
        </w:rPr>
        <w:t>3</w:t>
      </w:r>
      <w:r>
        <w:rPr>
          <w:rFonts w:ascii="宋体" w:hAnsi="宋体"/>
          <w:color w:val="auto"/>
          <w:szCs w:val="21"/>
        </w:rPr>
        <w:t>.3.1 在评标过程中，评标委员会可以书面形式（应当由评标委员会专家签字）要求投标人对所提交的投标文件中含义不明确、同类问题表述不一致或者有明显文字和计算错误的内容，进行书面澄清或说明。评标委员会不接受投标人主动提出的澄清、说明。</w:t>
      </w:r>
    </w:p>
    <w:p w14:paraId="3C454BDE">
      <w:pPr>
        <w:spacing w:line="360" w:lineRule="auto"/>
        <w:ind w:firstLine="420" w:firstLineChars="200"/>
        <w:jc w:val="left"/>
        <w:rPr>
          <w:rFonts w:ascii="宋体" w:hAnsi="宋体"/>
          <w:color w:val="auto"/>
          <w:szCs w:val="21"/>
        </w:rPr>
      </w:pPr>
      <w:r>
        <w:rPr>
          <w:rFonts w:hint="eastAsia" w:ascii="宋体" w:hAnsi="宋体"/>
          <w:color w:val="auto"/>
          <w:szCs w:val="21"/>
        </w:rPr>
        <w:t>3</w:t>
      </w:r>
      <w:r>
        <w:rPr>
          <w:rFonts w:ascii="宋体" w:hAnsi="宋体"/>
          <w:color w:val="auto"/>
          <w:szCs w:val="21"/>
        </w:rPr>
        <w:t>.3.2 投标人的澄清、说明应当采用书面形式，由法定代表人或其授权的代表签字，</w:t>
      </w:r>
      <w:r>
        <w:rPr>
          <w:rFonts w:hint="eastAsia" w:ascii="宋体" w:hAnsi="宋体"/>
          <w:color w:val="auto"/>
          <w:szCs w:val="21"/>
        </w:rPr>
        <w:t>澄清事项不得超出投标文件的范围</w:t>
      </w:r>
      <w:r>
        <w:rPr>
          <w:rFonts w:ascii="宋体" w:hAnsi="宋体"/>
          <w:color w:val="auto"/>
          <w:szCs w:val="21"/>
        </w:rPr>
        <w:t>并不得改变投标文件的实质性内容（算术性错误修正的除外）。投标人的书面澄清、说明属于投标文件的组成部分。</w:t>
      </w:r>
    </w:p>
    <w:p w14:paraId="45B9045F">
      <w:pPr>
        <w:spacing w:line="360" w:lineRule="auto"/>
        <w:ind w:firstLine="420" w:firstLineChars="200"/>
        <w:jc w:val="left"/>
        <w:rPr>
          <w:rFonts w:ascii="宋体" w:hAnsi="宋体"/>
          <w:color w:val="auto"/>
          <w:szCs w:val="21"/>
        </w:rPr>
      </w:pPr>
      <w:r>
        <w:rPr>
          <w:rFonts w:hint="eastAsia" w:ascii="宋体" w:hAnsi="宋体"/>
          <w:color w:val="auto"/>
          <w:szCs w:val="21"/>
        </w:rPr>
        <w:t>3</w:t>
      </w:r>
      <w:r>
        <w:rPr>
          <w:rFonts w:ascii="宋体" w:hAnsi="宋体"/>
          <w:color w:val="auto"/>
          <w:szCs w:val="21"/>
        </w:rPr>
        <w:t>.3.3 评标委员会对投标人提交的澄清、说明有疑问的，可以要求投标人进一步澄清、说明。</w:t>
      </w:r>
    </w:p>
    <w:p w14:paraId="1B952087">
      <w:pPr>
        <w:pStyle w:val="18"/>
        <w:tabs>
          <w:tab w:val="left" w:pos="2472"/>
        </w:tabs>
        <w:spacing w:line="480" w:lineRule="exact"/>
        <w:ind w:firstLine="411" w:firstLineChars="196"/>
        <w:rPr>
          <w:rFonts w:hAnsi="宋体"/>
          <w:b/>
          <w:bCs/>
          <w:color w:val="auto"/>
          <w:sz w:val="21"/>
          <w:szCs w:val="21"/>
        </w:rPr>
      </w:pPr>
      <w:bookmarkStart w:id="133" w:name="_Toc321836413"/>
      <w:bookmarkStart w:id="134" w:name="_Toc396093011"/>
      <w:r>
        <w:rPr>
          <w:rFonts w:hint="eastAsia" w:hAnsi="宋体"/>
          <w:b/>
          <w:bCs/>
          <w:color w:val="auto"/>
          <w:sz w:val="21"/>
          <w:szCs w:val="21"/>
        </w:rPr>
        <w:t>3</w:t>
      </w:r>
      <w:r>
        <w:rPr>
          <w:rFonts w:hAnsi="宋体"/>
          <w:b/>
          <w:bCs/>
          <w:color w:val="auto"/>
          <w:sz w:val="21"/>
          <w:szCs w:val="21"/>
        </w:rPr>
        <w:t>.4 评标结果</w:t>
      </w:r>
      <w:bookmarkEnd w:id="133"/>
      <w:bookmarkEnd w:id="134"/>
    </w:p>
    <w:p w14:paraId="4C35A004">
      <w:pPr>
        <w:spacing w:line="360" w:lineRule="auto"/>
        <w:ind w:firstLine="420" w:firstLineChars="200"/>
        <w:jc w:val="left"/>
        <w:rPr>
          <w:rFonts w:ascii="宋体" w:hAnsi="宋体"/>
          <w:color w:val="auto"/>
          <w:szCs w:val="21"/>
        </w:rPr>
      </w:pPr>
      <w:r>
        <w:rPr>
          <w:rFonts w:hint="eastAsia" w:ascii="宋体" w:hAnsi="宋体"/>
          <w:color w:val="auto"/>
          <w:szCs w:val="21"/>
        </w:rPr>
        <w:t>3</w:t>
      </w:r>
      <w:r>
        <w:rPr>
          <w:rFonts w:ascii="宋体" w:hAnsi="宋体"/>
          <w:color w:val="auto"/>
          <w:szCs w:val="21"/>
        </w:rPr>
        <w:t>.4.1 评标委员会按得分由高到低顺序推荐中标候选人，并提出书面评标报告。</w:t>
      </w:r>
    </w:p>
    <w:p w14:paraId="2FEFABF4">
      <w:pPr>
        <w:spacing w:line="360" w:lineRule="auto"/>
        <w:ind w:firstLine="420" w:firstLineChars="200"/>
        <w:jc w:val="left"/>
        <w:rPr>
          <w:rFonts w:ascii="宋体" w:hAnsi="宋体"/>
          <w:color w:val="auto"/>
          <w:szCs w:val="21"/>
        </w:rPr>
      </w:pPr>
      <w:r>
        <w:rPr>
          <w:rFonts w:hint="eastAsia" w:ascii="宋体" w:hAnsi="宋体"/>
          <w:color w:val="auto"/>
          <w:szCs w:val="21"/>
        </w:rPr>
        <w:t>3</w:t>
      </w:r>
      <w:r>
        <w:rPr>
          <w:rFonts w:ascii="宋体" w:hAnsi="宋体"/>
          <w:color w:val="auto"/>
          <w:szCs w:val="21"/>
        </w:rPr>
        <w:t>.4.2 采购人根据评标委员会提出的书面评标报告和推荐的中标候选人名单，确定中标人。</w:t>
      </w:r>
    </w:p>
    <w:p w14:paraId="077C4D73">
      <w:pPr>
        <w:spacing w:line="360" w:lineRule="auto"/>
        <w:ind w:firstLine="420" w:firstLineChars="200"/>
        <w:jc w:val="left"/>
        <w:rPr>
          <w:rFonts w:hint="eastAsia" w:ascii="宋体" w:hAnsi="宋体"/>
          <w:color w:val="auto"/>
          <w:szCs w:val="21"/>
        </w:rPr>
      </w:pPr>
      <w:r>
        <w:rPr>
          <w:rFonts w:hint="eastAsia" w:ascii="宋体" w:hAnsi="宋体"/>
          <w:color w:val="auto"/>
          <w:szCs w:val="21"/>
        </w:rPr>
        <w:t>3</w:t>
      </w:r>
      <w:r>
        <w:rPr>
          <w:rFonts w:ascii="宋体" w:hAnsi="宋体"/>
          <w:color w:val="auto"/>
          <w:szCs w:val="21"/>
        </w:rPr>
        <w:t>.4.</w:t>
      </w:r>
      <w:r>
        <w:rPr>
          <w:rFonts w:hint="eastAsia" w:ascii="宋体" w:hAnsi="宋体"/>
          <w:color w:val="auto"/>
          <w:szCs w:val="21"/>
        </w:rPr>
        <w:t>3评标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供应商提供虚假材料、串通等违法违规行为的，要及时向采购人或采购代理机构报告。</w:t>
      </w:r>
    </w:p>
    <w:p w14:paraId="00B2CA7D">
      <w:pPr>
        <w:spacing w:line="360" w:lineRule="auto"/>
        <w:ind w:firstLine="420" w:firstLineChars="200"/>
        <w:jc w:val="left"/>
        <w:rPr>
          <w:rFonts w:hint="eastAsia" w:ascii="宋体" w:hAnsi="宋体"/>
          <w:color w:val="auto"/>
          <w:szCs w:val="21"/>
        </w:rPr>
      </w:pPr>
    </w:p>
    <w:p w14:paraId="14074ABD">
      <w:pPr>
        <w:rPr>
          <w:rFonts w:hint="eastAsia" w:ascii="宋体" w:hAnsi="宋体"/>
          <w:color w:val="auto"/>
          <w:szCs w:val="21"/>
          <w:u w:val="single"/>
        </w:rPr>
      </w:pPr>
      <w:r>
        <w:rPr>
          <w:rFonts w:hint="eastAsia" w:ascii="宋体" w:hAnsi="宋体"/>
          <w:b/>
          <w:bCs/>
          <w:color w:val="auto"/>
          <w:szCs w:val="21"/>
        </w:rPr>
        <w:t xml:space="preserve">    </w:t>
      </w:r>
    </w:p>
    <w:sectPr>
      <w:type w:val="continuous"/>
      <w:pgSz w:w="11907" w:h="16840"/>
      <w:pgMar w:top="1440" w:right="1752" w:bottom="1440" w:left="1752" w:header="851" w:footer="992" w:gutter="0"/>
      <w:cols w:space="720" w:num="1"/>
      <w:titlePg/>
      <w:docGrid w:type="linesAndChars" w:linePitch="323" w:charSpace="-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DD8964D-1000-46A1-BD1B-AB202D774F4A}"/>
  </w:font>
  <w:font w:name="Arial">
    <w:panose1 w:val="020B0604020202020204"/>
    <w:charset w:val="01"/>
    <w:family w:val="swiss"/>
    <w:pitch w:val="default"/>
    <w:sig w:usb0="E0002EFF" w:usb1="C000785B" w:usb2="00000009" w:usb3="00000000" w:csb0="400001FF" w:csb1="FFFF0000"/>
    <w:embedRegular r:id="rId2" w:fontKey="{D9B0C07B-1F33-444B-A822-7020E3C7F92B}"/>
  </w:font>
  <w:font w:name="黑体">
    <w:panose1 w:val="02010609060101010101"/>
    <w:charset w:val="86"/>
    <w:family w:val="auto"/>
    <w:pitch w:val="default"/>
    <w:sig w:usb0="800002BF" w:usb1="38CF7CFA" w:usb2="00000016" w:usb3="00000000" w:csb0="00040001" w:csb1="00000000"/>
    <w:embedRegular r:id="rId3" w:fontKey="{E2BE5681-72AA-4979-BA1B-52B482DBF8BE}"/>
  </w:font>
  <w:font w:name="Courier New">
    <w:panose1 w:val="02070309020205020404"/>
    <w:charset w:val="01"/>
    <w:family w:val="modern"/>
    <w:pitch w:val="default"/>
    <w:sig w:usb0="E0002EFF" w:usb1="C0007843" w:usb2="00000009" w:usb3="00000000" w:csb0="400001FF" w:csb1="FFFF0000"/>
    <w:embedRegular r:id="rId4" w:fontKey="{D03F1B91-3A94-410F-9D6C-556F5FC5C7F0}"/>
  </w:font>
  <w:font w:name="Symbol">
    <w:panose1 w:val="05050102010706020507"/>
    <w:charset w:val="02"/>
    <w:family w:val="roman"/>
    <w:pitch w:val="default"/>
    <w:sig w:usb0="00000000" w:usb1="00000000" w:usb2="00000000" w:usb3="00000000" w:csb0="80000000" w:csb1="00000000"/>
    <w:embedRegular r:id="rId5" w:fontKey="{019B05B9-2F68-4F11-9046-9D47A44BFA0A}"/>
  </w:font>
  <w:font w:name="Calibri">
    <w:panose1 w:val="020F0502020204030204"/>
    <w:charset w:val="00"/>
    <w:family w:val="swiss"/>
    <w:pitch w:val="default"/>
    <w:sig w:usb0="E4002EFF" w:usb1="C000247B" w:usb2="00000009" w:usb3="00000000" w:csb0="200001FF" w:csb1="00000000"/>
    <w:embedRegular r:id="rId6" w:fontKey="{285EC11F-3FF8-4C62-A2DE-611B63237AC9}"/>
  </w:font>
  <w:font w:name="Cambria">
    <w:panose1 w:val="02040503050406030204"/>
    <w:charset w:val="00"/>
    <w:family w:val="roman"/>
    <w:pitch w:val="default"/>
    <w:sig w:usb0="E00006FF" w:usb1="420024FF" w:usb2="02000000" w:usb3="00000000" w:csb0="2000019F" w:csb1="00000000"/>
    <w:embedRegular r:id="rId7" w:fontKey="{8B5FF473-E6B2-4DAA-8E01-6E20C89CF871}"/>
  </w:font>
  <w:font w:name="金山简黑体">
    <w:altName w:val="宋体"/>
    <w:panose1 w:val="00000000000000000000"/>
    <w:charset w:val="00"/>
    <w:family w:val="auto"/>
    <w:pitch w:val="default"/>
    <w:sig w:usb0="00000000" w:usb1="00000000" w:usb2="00000000" w:usb3="00000000" w:csb0="00040001" w:csb1="00000000"/>
  </w:font>
  <w:font w:name="Century Gothic">
    <w:panose1 w:val="020B0502020202020204"/>
    <w:charset w:val="00"/>
    <w:family w:val="swiss"/>
    <w:pitch w:val="default"/>
    <w:sig w:usb0="00000287" w:usb1="00000000" w:usb2="00000000" w:usb3="00000000" w:csb0="2000009F" w:csb1="DFD70000"/>
    <w:embedRegular r:id="rId8" w:fontKey="{75DF47ED-C765-4141-BD5C-1DCD723CD116}"/>
  </w:font>
  <w:font w:name="Arial Unicode MS">
    <w:altName w:val="宋体"/>
    <w:panose1 w:val="020B0604020202020204"/>
    <w:charset w:val="86"/>
    <w:family w:val="swiss"/>
    <w:pitch w:val="default"/>
    <w:sig w:usb0="00000000" w:usb1="00000000" w:usb2="0000003F" w:usb3="00000000" w:csb0="003F01FF"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embedRegular r:id="rId9" w:fontKey="{534EE04C-C22C-4E98-8691-FEE31E3CB5D2}"/>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10" w:fontKey="{4F03F653-866F-4C8C-8F8E-82AB6F2E016B}"/>
  </w:font>
  <w:font w:name="方正小标宋_GBK">
    <w:altName w:val="微软雅黑"/>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embedRegular r:id="rId11" w:fontKey="{99B09068-A69A-4DF2-911C-6F4870B168B4}"/>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2"/>
    <w:family w:val="roman"/>
    <w:pitch w:val="default"/>
    <w:sig w:usb0="00000000" w:usb1="00000000" w:usb2="00000000" w:usb3="00000000" w:csb0="80000000" w:csb1="00000000"/>
    <w:embedRegular r:id="rId12" w:fontKey="{F0448812-D3C5-4890-8953-0ADA731242D8}"/>
  </w:font>
  <w:font w:name="新宋体">
    <w:panose1 w:val="02010609030101010101"/>
    <w:charset w:val="86"/>
    <w:family w:val="modern"/>
    <w:pitch w:val="default"/>
    <w:sig w:usb0="00000203" w:usb1="288F0000" w:usb2="00000006" w:usb3="00000000" w:csb0="00040001" w:csb1="00000000"/>
    <w:embedRegular r:id="rId13" w:fontKey="{409D243E-0463-48EB-BFA0-7D84C3648151}"/>
  </w:font>
  <w:font w:name="方正小标宋简体">
    <w:panose1 w:val="02000000000000000000"/>
    <w:charset w:val="86"/>
    <w:family w:val="auto"/>
    <w:pitch w:val="default"/>
    <w:sig w:usb0="00000001" w:usb1="08000000" w:usb2="00000000" w:usb3="00000000" w:csb0="00040000" w:csb1="00000000"/>
    <w:embedRegular r:id="rId14" w:fontKey="{868774B9-7663-4189-BD17-CD3C652B6F8A}"/>
  </w:font>
  <w:font w:name="Cambria Math">
    <w:panose1 w:val="02040503050406030204"/>
    <w:charset w:val="00"/>
    <w:family w:val="roman"/>
    <w:pitch w:val="default"/>
    <w:sig w:usb0="E00006FF" w:usb1="420024FF" w:usb2="02000000" w:usb3="00000000" w:csb0="2000019F" w:csb1="00000000"/>
    <w:embedRegular r:id="rId15" w:fontKey="{EC6077D0-1673-470F-9BDD-F5D48C3EDCC6}"/>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E6603">
    <w:pPr>
      <w:pStyle w:val="23"/>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E10C0">
    <w:pPr>
      <w:pStyle w:val="23"/>
      <w:jc w:val="center"/>
    </w:pPr>
    <w:r>
      <w:fldChar w:fldCharType="begin"/>
    </w:r>
    <w:r>
      <w:instrText xml:space="preserve"> PAGE   \* MERGEFORMAT </w:instrText>
    </w:r>
    <w:r>
      <w:fldChar w:fldCharType="separate"/>
    </w:r>
    <w:r>
      <w:rPr>
        <w:lang w:val="zh-CN"/>
      </w:rPr>
      <w:t>9</w:t>
    </w:r>
    <w:r>
      <w:rPr>
        <w:lang w:val="zh-CN"/>
      </w:rPr>
      <w:fldChar w:fldCharType="end"/>
    </w:r>
  </w:p>
  <w:p w14:paraId="368BC445">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56B02">
    <w:pPr>
      <w:pStyle w:val="2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829791A">
                          <w:pPr>
                            <w:pStyle w:val="23"/>
                            <w:rPr>
                              <w:rFonts w:hint="eastAsia"/>
                            </w:rPr>
                          </w:pPr>
                          <w:r>
                            <w:rPr>
                              <w:rFonts w:hint="eastAsia"/>
                            </w:rPr>
                            <w:fldChar w:fldCharType="begin"/>
                          </w:r>
                          <w:r>
                            <w:rPr>
                              <w:rFonts w:hint="eastAsia"/>
                            </w:rPr>
                            <w:instrText xml:space="preserve"> PAGE  \* MERGEFORMAT </w:instrText>
                          </w:r>
                          <w:r>
                            <w:rPr>
                              <w:rFonts w:hint="eastAsia"/>
                            </w:rPr>
                            <w:fldChar w:fldCharType="separate"/>
                          </w:r>
                          <w:r>
                            <w:t>39</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e76mrSAQAAowMAAA4AAABkcnMvZTJvRG9jLnhtbK1TS27bMBDd&#10;F8gdCO5rKQbcCoLloIWRoEDRFkhzAJoiLQL8gUNb8gXaG3TVTfc9l8/RISU5QbLJohtqhjN8M+/N&#10;aH0zGE2OIoBytqHXi5ISYblrld039OH77duKEojMtkw7Kxp6EkBvNldv1r2vxdJ1TrciEASxUPe+&#10;oV2Mvi4K4J0wDBbOC4tB6YJhEd2wL9rAekQ3uliW5buid6H1wXEBgLfbMUgnxPAaQCel4mLr+MEI&#10;G0fUIDSLSAk65YFucrdSCh6/SgkiEt1QZBrziUXQ3qWz2KxZvQ/Md4pPLbDXtPCMk2HKYtEL1JZF&#10;Rg5BvYAyigcHTsYFd6YYiWRFkMV1+Uyb+455kbmg1OAvosP/g+Vfjt8CUW1DV5RYZnDg518/z7//&#10;nv/8IKskT++hxqx7j3lx+OgGXJr5HvAysR5kMOmLfAjGUdzTRVwxRMLTo2pZVSWGOMZmB/GLx+c+&#10;QLwTzpBkNDTg9LKo7PgZ4pg6p6Rq1t0qrfMEtSU9oq6q96v84hJCdG2xSGIxdpusOOyGidrOtSdk&#10;1uMKNNTixlOiP1lUOG3LbITZ2M3GwQe17/I6pVbAfzhEbCd3mSqMsFNhnF3mOe1ZWo6nfs56/Lc2&#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97vqatIBAACjAwAADgAAAAAAAAABACAAAAAi&#10;AQAAZHJzL2Uyb0RvYy54bWxQSwUGAAAAAAYABgBZAQAAZgUAAAAA&#10;">
              <v:fill on="f" focussize="0,0"/>
              <v:stroke on="f" weight="1.25pt"/>
              <v:imagedata o:title=""/>
              <o:lock v:ext="edit" aspectratio="f"/>
              <v:textbox inset="0mm,0mm,0mm,0mm" style="mso-fit-shape-to-text:t;">
                <w:txbxContent>
                  <w:p w14:paraId="3829791A">
                    <w:pPr>
                      <w:pStyle w:val="23"/>
                      <w:rPr>
                        <w:rFonts w:hint="eastAsia"/>
                      </w:rPr>
                    </w:pPr>
                    <w:r>
                      <w:rPr>
                        <w:rFonts w:hint="eastAsia"/>
                      </w:rPr>
                      <w:fldChar w:fldCharType="begin"/>
                    </w:r>
                    <w:r>
                      <w:rPr>
                        <w:rFonts w:hint="eastAsia"/>
                      </w:rPr>
                      <w:instrText xml:space="preserve"> PAGE  \* MERGEFORMAT </w:instrText>
                    </w:r>
                    <w:r>
                      <w:rPr>
                        <w:rFonts w:hint="eastAsia"/>
                      </w:rPr>
                      <w:fldChar w:fldCharType="separate"/>
                    </w:r>
                    <w:r>
                      <w:t>39</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1A9CB">
    <w:pPr>
      <w:pStyle w:val="2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6D56149">
                          <w:pPr>
                            <w:pStyle w:val="23"/>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26</w:t>
                          </w:r>
                          <w:r>
                            <w:rPr>
                              <w:rFonts w:hint="eastAsia"/>
                              <w:lang w:eastAsia="zh-CN"/>
                            </w:rPr>
                            <w:fldChar w:fldCharType="end"/>
                          </w:r>
                        </w:p>
                      </w:txbxContent>
                    </wps:txbx>
                    <wps:bodyPr wrap="none" lIns="0" tIns="0" rIns="0" bIns="0" upright="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mlljHSAQAAowMAAA4AAABkcnMvZTJvRG9jLnhtbK1TS27bMBDd&#10;F8gdCO5rKS7SKoLloIWRoEDRFkh6AJoiLQL8gUNb8gXaG3TVTfc9l8+RISU5RbrJohtqhjN8M+/N&#10;aHUzGE0OIoBytqGXi5ISYblrld019NvD7euKEojMtkw7Kxp6FEBv1hevVr2vxdJ1TrciEASxUPe+&#10;oV2Mvi4K4J0wDBbOC4tB6YJhEd2wK9rAekQ3uliW5duid6H1wXEBgLebMUgnxPASQCel4mLj+N4I&#10;G0fUIDSLSAk65YGuc7dSCh6/SAkiEt1QZBrziUXQ3qazWK9YvQvMd4pPLbCXtPCMk2HKYtEz1IZF&#10;RvZB/QNlFA8OnIwL7kwxEsmKIIvL8pk29x3zInNBqcGfRYf/B8s/H74GotqGvqHEMoMDP/38cfr1&#10;5/T7O7lO8vQeasy695gXhw9uwKWZ7wEvE+tBBpO+yIdgHMU9nsUVQyQ8PaqWVVViiGNsdhC/eHru&#10;A8Q74QxJRkMDTi+Lyg6fII6pc0qqZt2t0jpPUFvSI+pV9e4qvziHEF1bLJJYjN0mKw7bYaK2de0R&#10;mfW4Ag21uPGU6I8WFU7bMhthNrazsfdB7bq8TqkV8O/3EdvJXaYKI+xUGGeXeU57lpbjbz9nPf1b&#10;60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eaWWMdIBAACjAwAADgAAAAAAAAABACAAAAAi&#10;AQAAZHJzL2Uyb0RvYy54bWxQSwUGAAAAAAYABgBZAQAAZgUAAAAA&#10;">
              <v:fill on="f" focussize="0,0"/>
              <v:stroke on="f" weight="1.25pt"/>
              <v:imagedata o:title=""/>
              <o:lock v:ext="edit" aspectratio="f"/>
              <v:textbox inset="0mm,0mm,0mm,0mm" style="mso-fit-shape-to-text:t;">
                <w:txbxContent>
                  <w:p w14:paraId="26D56149">
                    <w:pPr>
                      <w:pStyle w:val="23"/>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26</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E83A3">
    <w:pPr>
      <w:pStyle w:val="2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9816B17">
                          <w:pPr>
                            <w:pStyle w:val="23"/>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3</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N/c/RAQAApAMAAA4AAABkcnMvZTJvRG9jLnhtbK1TzY7TMBC+&#10;I/EOlu80acVCFDVdLaoWISFAWngA17EbS/6Tx23SF4A34MSFO8/V52DsJC1aLnvYizPjGX8z3zeT&#10;9e1gNDmKAMrZhi4XJSXCctcqu2/ot6/3rypKIDLbMu2saOhJAL3dvHyx7n0tVq5zuhWBIIiFuvcN&#10;7WL0dVEA74RhsHBeWAxKFwyL6IZ90QbWI7rRxaos3xS9C60PjgsAvN2OQTohhqcAOikVF1vHD0bY&#10;OKIGoVlEStApD3STu5VS8PhZShCR6IYi05hPLIL2Lp3FZs3qfWC+U3xqgT2lhUecDFMWi16gtiwy&#10;cgjqPyijeHDgZFxwZ4qRSFYEWSzLR9o8dMyLzAWlBn8RHZ4Pln86fglEtQ19TYllBgd+/vnj/OvP&#10;+fd3ssz69B5qTHvwmBiHd27ArUm6pXvAy0R7kMGkLxIiGEd1Txd1xRAJT4+qVVWVGOIYmx3EKa7P&#10;fYD4XjhDktHQgOPLqrLjR4hj6pySqll3r7TOI9SW9Ih6U729yS8uIUTXFotcu01WHHbDRGHn2hMy&#10;63EHGmpx5SnRHyxKnNZlNsJs7Gbj4IPad3mfUivg7w4R28ldpgoj7FQYh5d5TouWtuNfP2ddf67N&#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Afzf3P0QEAAKQDAAAOAAAAAAAAAAEAIAAAACIB&#10;AABkcnMvZTJvRG9jLnhtbFBLBQYAAAAABgAGAFkBAABlBQAAAAA=&#10;">
              <v:fill on="f" focussize="0,0"/>
              <v:stroke on="f" weight="1.25pt"/>
              <v:imagedata o:title=""/>
              <o:lock v:ext="edit" aspectratio="f"/>
              <v:textbox inset="0mm,0mm,0mm,0mm" style="mso-fit-shape-to-text:t;">
                <w:txbxContent>
                  <w:p w14:paraId="69816B17">
                    <w:pPr>
                      <w:pStyle w:val="23"/>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3</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5F2C1">
    <w:pPr>
      <w:pStyle w:val="24"/>
      <w:jc w:val="both"/>
    </w:pPr>
    <w:r>
      <w:rPr>
        <w:rFonts w:hint="eastAsia"/>
        <w:b/>
        <w:bCs/>
        <w:sz w:val="15"/>
        <w:szCs w:val="15"/>
        <w:lang w:val="en-US" w:eastAsia="zh-CN"/>
      </w:rPr>
      <w:t>怒江石月亮招标有限公司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F8206">
    <w:pPr>
      <w:pStyle w:val="18"/>
      <w:jc w:val="both"/>
      <w:rPr>
        <w:rFonts w:hint="eastAsia"/>
        <w:b/>
        <w:bCs/>
        <w:sz w:val="15"/>
        <w:szCs w:val="15"/>
        <w:lang w:val="en-US" w:eastAsia="zh-CN"/>
      </w:rPr>
    </w:pPr>
    <w:r>
      <w:rPr>
        <w:rFonts w:hint="eastAsia"/>
        <w:b/>
        <w:bCs/>
        <w:sz w:val="15"/>
        <w:szCs w:val="15"/>
        <w:lang w:val="en-US" w:eastAsia="zh-CN"/>
      </w:rPr>
      <w:t xml:space="preserve">怒江石月亮招标有限公司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B1D15">
    <w:pPr>
      <w:spacing w:line="360" w:lineRule="auto"/>
      <w:jc w:val="both"/>
      <w:rPr>
        <w:rFonts w:hint="eastAsia" w:eastAsia="宋体"/>
        <w:b/>
        <w:bCs/>
        <w:sz w:val="15"/>
        <w:szCs w:val="15"/>
        <w:lang w:eastAsia="zh-CN"/>
      </w:rPr>
    </w:pPr>
    <w:r>
      <w:rPr>
        <w:rFonts w:hint="eastAsia"/>
        <w:b/>
        <w:bCs/>
        <w:sz w:val="15"/>
        <w:szCs w:val="15"/>
      </w:rPr>
      <w:t xml:space="preserve">      </w:t>
    </w:r>
  </w:p>
  <w:p w14:paraId="06818CB6">
    <w:pPr>
      <w:pStyle w:val="18"/>
      <w:jc w:val="center"/>
      <w:rPr>
        <w:rFonts w:hint="eastAsia"/>
        <w:b/>
        <w:bCs/>
        <w:sz w:val="15"/>
        <w:szCs w:val="15"/>
        <w:lang w:val="en-US"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6E6AB">
    <w:pPr>
      <w:pStyle w:val="24"/>
      <w:pBdr>
        <w:bottom w:val="none" w:color="auto" w:sz="0" w:space="0"/>
      </w:pBdr>
      <w:jc w:val="both"/>
    </w:pPr>
    <w:r>
      <w:rPr>
        <w:rFonts w:hint="eastAsia"/>
        <w:b/>
        <w:bCs/>
        <w:sz w:val="15"/>
        <w:szCs w:val="15"/>
        <w:lang w:val="en-US" w:eastAsia="zh-CN"/>
      </w:rPr>
      <w:t xml:space="preserve">怒江石月亮招标有限公司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CD4DE3"/>
    <w:multiLevelType w:val="singleLevel"/>
    <w:tmpl w:val="A0CD4DE3"/>
    <w:lvl w:ilvl="0" w:tentative="0">
      <w:start w:val="1"/>
      <w:numFmt w:val="decimal"/>
      <w:suff w:val="nothing"/>
      <w:lvlText w:val="%1、"/>
      <w:lvlJc w:val="left"/>
    </w:lvl>
  </w:abstractNum>
  <w:abstractNum w:abstractNumId="1">
    <w:nsid w:val="E3BE8B7E"/>
    <w:multiLevelType w:val="singleLevel"/>
    <w:tmpl w:val="E3BE8B7E"/>
    <w:lvl w:ilvl="0" w:tentative="0">
      <w:start w:val="1"/>
      <w:numFmt w:val="decimal"/>
      <w:suff w:val="nothing"/>
      <w:lvlText w:val="（%1）"/>
      <w:lvlJc w:val="left"/>
    </w:lvl>
  </w:abstractNum>
  <w:abstractNum w:abstractNumId="2">
    <w:nsid w:val="00000002"/>
    <w:multiLevelType w:val="multilevel"/>
    <w:tmpl w:val="00000002"/>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6"/>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0000000C"/>
    <w:multiLevelType w:val="multilevel"/>
    <w:tmpl w:val="0000000C"/>
    <w:lvl w:ilvl="0" w:tentative="0">
      <w:start w:val="1"/>
      <w:numFmt w:val="decimal"/>
      <w:lvlText w:val="%1."/>
      <w:legacy w:legacy="1" w:legacySpace="0" w:legacyIndent="425"/>
      <w:lvlJc w:val="left"/>
      <w:pPr>
        <w:ind w:left="425" w:hanging="425"/>
      </w:pPr>
    </w:lvl>
    <w:lvl w:ilvl="1" w:tentative="0">
      <w:start w:val="1"/>
      <w:numFmt w:val="decimal"/>
      <w:lvlText w:val="%1.%2."/>
      <w:legacy w:legacy="1" w:legacySpace="0" w:legacyIndent="425"/>
      <w:lvlJc w:val="left"/>
      <w:pPr>
        <w:ind w:left="850" w:hanging="425"/>
      </w:pPr>
    </w:lvl>
    <w:lvl w:ilvl="2" w:tentative="0">
      <w:start w:val="1"/>
      <w:numFmt w:val="decimal"/>
      <w:lvlText w:val="%1.%2.%3."/>
      <w:legacy w:legacy="1" w:legacySpace="0" w:legacyIndent="425"/>
      <w:lvlJc w:val="left"/>
      <w:pPr>
        <w:ind w:left="1275" w:hanging="425"/>
      </w:pPr>
    </w:lvl>
    <w:lvl w:ilvl="3" w:tentative="0">
      <w:start w:val="1"/>
      <w:numFmt w:val="decimal"/>
      <w:lvlText w:val="%1.%2.%3.%4."/>
      <w:legacy w:legacy="1" w:legacySpace="0" w:legacyIndent="425"/>
      <w:lvlJc w:val="left"/>
      <w:pPr>
        <w:ind w:left="1700" w:hanging="425"/>
      </w:pPr>
    </w:lvl>
    <w:lvl w:ilvl="4" w:tentative="0">
      <w:start w:val="1"/>
      <w:numFmt w:val="decimal"/>
      <w:pStyle w:val="7"/>
      <w:lvlText w:val="%1.%2.%3.%4.%5."/>
      <w:legacy w:legacy="1" w:legacySpace="0" w:legacyIndent="425"/>
      <w:lvlJc w:val="left"/>
      <w:pPr>
        <w:ind w:left="2125" w:hanging="425"/>
      </w:pPr>
    </w:lvl>
    <w:lvl w:ilvl="5" w:tentative="0">
      <w:start w:val="1"/>
      <w:numFmt w:val="decimal"/>
      <w:lvlText w:val="%1.%2.%3.%4.%5.%6."/>
      <w:legacy w:legacy="1" w:legacySpace="0" w:legacyIndent="425"/>
      <w:lvlJc w:val="left"/>
      <w:pPr>
        <w:ind w:left="2550" w:hanging="425"/>
      </w:pPr>
    </w:lvl>
    <w:lvl w:ilvl="6" w:tentative="0">
      <w:start w:val="1"/>
      <w:numFmt w:val="decimal"/>
      <w:lvlText w:val="%1.%2.%3.%4.%5.%6.%7."/>
      <w:legacy w:legacy="1" w:legacySpace="0" w:legacyIndent="425"/>
      <w:lvlJc w:val="left"/>
      <w:pPr>
        <w:ind w:left="2975" w:hanging="425"/>
      </w:pPr>
    </w:lvl>
    <w:lvl w:ilvl="7" w:tentative="0">
      <w:start w:val="1"/>
      <w:numFmt w:val="decimal"/>
      <w:lvlText w:val="%1.%2.%3.%4.%5.%6.%7.%8."/>
      <w:legacy w:legacy="1" w:legacySpace="0" w:legacyIndent="425"/>
      <w:lvlJc w:val="left"/>
      <w:pPr>
        <w:ind w:left="3400" w:hanging="425"/>
      </w:pPr>
    </w:lvl>
    <w:lvl w:ilvl="8" w:tentative="0">
      <w:start w:val="1"/>
      <w:numFmt w:val="decimal"/>
      <w:lvlText w:val="%1.%2.%3.%4.%5.%6.%7.%8.%9."/>
      <w:legacy w:legacy="1" w:legacySpace="0" w:legacyIndent="425"/>
      <w:lvlJc w:val="left"/>
      <w:pPr>
        <w:ind w:left="3825" w:hanging="425"/>
      </w:pPr>
    </w:lvl>
  </w:abstractNum>
  <w:abstractNum w:abstractNumId="4">
    <w:nsid w:val="0C2EACD3"/>
    <w:multiLevelType w:val="singleLevel"/>
    <w:tmpl w:val="0C2EACD3"/>
    <w:lvl w:ilvl="0" w:tentative="0">
      <w:start w:val="1"/>
      <w:numFmt w:val="chineseCounting"/>
      <w:suff w:val="space"/>
      <w:lvlText w:val="第%1章"/>
      <w:lvlJc w:val="left"/>
      <w:rPr>
        <w:rFonts w:hint="eastAsia"/>
      </w:rPr>
    </w:lvl>
  </w:abstractNum>
  <w:abstractNum w:abstractNumId="5">
    <w:nsid w:val="2ABA6FDF"/>
    <w:multiLevelType w:val="singleLevel"/>
    <w:tmpl w:val="2ABA6FDF"/>
    <w:lvl w:ilvl="0" w:tentative="0">
      <w:start w:val="2"/>
      <w:numFmt w:val="chineseCounting"/>
      <w:suff w:val="nothing"/>
      <w:lvlText w:val="（%1）"/>
      <w:lvlJc w:val="left"/>
      <w:rPr>
        <w:rFonts w:hint="eastAsia"/>
      </w:rPr>
    </w:lvl>
  </w:abstractNum>
  <w:abstractNum w:abstractNumId="6">
    <w:nsid w:val="7AECFCE2"/>
    <w:multiLevelType w:val="singleLevel"/>
    <w:tmpl w:val="7AECFCE2"/>
    <w:lvl w:ilvl="0" w:tentative="0">
      <w:start w:val="1"/>
      <w:numFmt w:val="decimal"/>
      <w:suff w:val="nothing"/>
      <w:lvlText w:val="%1、"/>
      <w:lvlJc w:val="left"/>
    </w:lvl>
  </w:abstractNum>
  <w:num w:numId="1">
    <w:abstractNumId w:val="2"/>
  </w:num>
  <w:num w:numId="2">
    <w:abstractNumId w:val="3"/>
  </w:num>
  <w:num w:numId="3">
    <w:abstractNumId w:val="4"/>
  </w:num>
  <w:num w:numId="4">
    <w:abstractNumId w:val="5"/>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displayBackgroundShape w:val="1"/>
  <w:embedTrueType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10"/>
  <w:drawingGridVerticalSpacing w:val="165"/>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wNDY0YzhhNGEzYWExYmU3ZTU0ZDJlZjQ3ODY0ZWQifQ=="/>
  </w:docVars>
  <w:rsids>
    <w:rsidRoot w:val="00172A27"/>
    <w:rsid w:val="001C0183"/>
    <w:rsid w:val="001C6515"/>
    <w:rsid w:val="00280360"/>
    <w:rsid w:val="002D2FA1"/>
    <w:rsid w:val="00324103"/>
    <w:rsid w:val="0036325A"/>
    <w:rsid w:val="00554405"/>
    <w:rsid w:val="005E59DC"/>
    <w:rsid w:val="006A2920"/>
    <w:rsid w:val="00747F44"/>
    <w:rsid w:val="007733D6"/>
    <w:rsid w:val="007E146E"/>
    <w:rsid w:val="007F2434"/>
    <w:rsid w:val="00851E18"/>
    <w:rsid w:val="008621B2"/>
    <w:rsid w:val="008A6CCD"/>
    <w:rsid w:val="008D7683"/>
    <w:rsid w:val="00947F22"/>
    <w:rsid w:val="009702C2"/>
    <w:rsid w:val="00A31576"/>
    <w:rsid w:val="00A93CE4"/>
    <w:rsid w:val="00AA12A3"/>
    <w:rsid w:val="00B2488F"/>
    <w:rsid w:val="00B758CD"/>
    <w:rsid w:val="00BB0A5F"/>
    <w:rsid w:val="00C732CC"/>
    <w:rsid w:val="00CA5C6F"/>
    <w:rsid w:val="00CC27E8"/>
    <w:rsid w:val="00D02B5C"/>
    <w:rsid w:val="00E17A44"/>
    <w:rsid w:val="00F2554C"/>
    <w:rsid w:val="00F41513"/>
    <w:rsid w:val="00F47B5A"/>
    <w:rsid w:val="00FF1CE4"/>
    <w:rsid w:val="015C1AB2"/>
    <w:rsid w:val="01732322"/>
    <w:rsid w:val="01D0339E"/>
    <w:rsid w:val="01FD6D08"/>
    <w:rsid w:val="02121098"/>
    <w:rsid w:val="0273153E"/>
    <w:rsid w:val="02C12C9B"/>
    <w:rsid w:val="02DA70C2"/>
    <w:rsid w:val="03121AFA"/>
    <w:rsid w:val="03134773"/>
    <w:rsid w:val="034B1EA8"/>
    <w:rsid w:val="037D22B8"/>
    <w:rsid w:val="039E740C"/>
    <w:rsid w:val="03DE4CB2"/>
    <w:rsid w:val="03F5114B"/>
    <w:rsid w:val="04872B31"/>
    <w:rsid w:val="048E191F"/>
    <w:rsid w:val="04992D3F"/>
    <w:rsid w:val="04C820B6"/>
    <w:rsid w:val="04D35001"/>
    <w:rsid w:val="04EE0BC6"/>
    <w:rsid w:val="05102B0D"/>
    <w:rsid w:val="05290F57"/>
    <w:rsid w:val="054C56A5"/>
    <w:rsid w:val="057D31A8"/>
    <w:rsid w:val="057F604C"/>
    <w:rsid w:val="05A50258"/>
    <w:rsid w:val="05FA307C"/>
    <w:rsid w:val="05FB5A9A"/>
    <w:rsid w:val="0659022F"/>
    <w:rsid w:val="065F0C11"/>
    <w:rsid w:val="066F0EE8"/>
    <w:rsid w:val="07480191"/>
    <w:rsid w:val="07DD7296"/>
    <w:rsid w:val="07E06E9E"/>
    <w:rsid w:val="08754CE6"/>
    <w:rsid w:val="08B16C23"/>
    <w:rsid w:val="08BC44EC"/>
    <w:rsid w:val="092710F2"/>
    <w:rsid w:val="093D2DA0"/>
    <w:rsid w:val="0966085E"/>
    <w:rsid w:val="098C6AF2"/>
    <w:rsid w:val="09B51FC1"/>
    <w:rsid w:val="09C87CC8"/>
    <w:rsid w:val="09D019BF"/>
    <w:rsid w:val="09D747C2"/>
    <w:rsid w:val="0A313784"/>
    <w:rsid w:val="0A8C5353"/>
    <w:rsid w:val="0AB355C3"/>
    <w:rsid w:val="0AB608A6"/>
    <w:rsid w:val="0AFC0395"/>
    <w:rsid w:val="0B012523"/>
    <w:rsid w:val="0B3E1FA5"/>
    <w:rsid w:val="0B3E25AB"/>
    <w:rsid w:val="0B58122C"/>
    <w:rsid w:val="0B5C3530"/>
    <w:rsid w:val="0B5C5BE2"/>
    <w:rsid w:val="0B8C52A4"/>
    <w:rsid w:val="0B981B3B"/>
    <w:rsid w:val="0BC0769B"/>
    <w:rsid w:val="0BD61463"/>
    <w:rsid w:val="0BE344D5"/>
    <w:rsid w:val="0C0B7609"/>
    <w:rsid w:val="0CC3399D"/>
    <w:rsid w:val="0CE44986"/>
    <w:rsid w:val="0CF954A1"/>
    <w:rsid w:val="0D753534"/>
    <w:rsid w:val="0D786450"/>
    <w:rsid w:val="0DE56648"/>
    <w:rsid w:val="0E0D4789"/>
    <w:rsid w:val="0E2E14B6"/>
    <w:rsid w:val="0E5D18A0"/>
    <w:rsid w:val="0E6D61DB"/>
    <w:rsid w:val="0E8B373E"/>
    <w:rsid w:val="0EA61A02"/>
    <w:rsid w:val="0EC05161"/>
    <w:rsid w:val="0EE939EF"/>
    <w:rsid w:val="0F012FCD"/>
    <w:rsid w:val="0F057CFA"/>
    <w:rsid w:val="0F1F24D4"/>
    <w:rsid w:val="0F24052F"/>
    <w:rsid w:val="0F324DCC"/>
    <w:rsid w:val="0F4D39CC"/>
    <w:rsid w:val="0F5016D9"/>
    <w:rsid w:val="0F5D5E86"/>
    <w:rsid w:val="0F79455B"/>
    <w:rsid w:val="0F8571D9"/>
    <w:rsid w:val="0FAA0041"/>
    <w:rsid w:val="0FD9787F"/>
    <w:rsid w:val="0FF10F17"/>
    <w:rsid w:val="10017BCA"/>
    <w:rsid w:val="101B7BE9"/>
    <w:rsid w:val="1026776B"/>
    <w:rsid w:val="102B4DBA"/>
    <w:rsid w:val="102C652B"/>
    <w:rsid w:val="10B81854"/>
    <w:rsid w:val="10C74EC9"/>
    <w:rsid w:val="10E75CC1"/>
    <w:rsid w:val="110D7489"/>
    <w:rsid w:val="11101BD9"/>
    <w:rsid w:val="11210AE4"/>
    <w:rsid w:val="12144334"/>
    <w:rsid w:val="1236324B"/>
    <w:rsid w:val="12667289"/>
    <w:rsid w:val="12B41389"/>
    <w:rsid w:val="12D20F53"/>
    <w:rsid w:val="12D614A6"/>
    <w:rsid w:val="12E03B1B"/>
    <w:rsid w:val="13100721"/>
    <w:rsid w:val="1326261C"/>
    <w:rsid w:val="134E729E"/>
    <w:rsid w:val="137D1BA4"/>
    <w:rsid w:val="13810E2A"/>
    <w:rsid w:val="13994ECD"/>
    <w:rsid w:val="13A16B88"/>
    <w:rsid w:val="141069CF"/>
    <w:rsid w:val="14365607"/>
    <w:rsid w:val="14443E5B"/>
    <w:rsid w:val="14CD0F5A"/>
    <w:rsid w:val="14D13CB6"/>
    <w:rsid w:val="14F6549E"/>
    <w:rsid w:val="15135FF6"/>
    <w:rsid w:val="153F499D"/>
    <w:rsid w:val="155136C0"/>
    <w:rsid w:val="15822253"/>
    <w:rsid w:val="15916060"/>
    <w:rsid w:val="15966195"/>
    <w:rsid w:val="161D1B5D"/>
    <w:rsid w:val="16566A61"/>
    <w:rsid w:val="167C6843"/>
    <w:rsid w:val="16891D28"/>
    <w:rsid w:val="16942DA1"/>
    <w:rsid w:val="16AF56A5"/>
    <w:rsid w:val="16B10809"/>
    <w:rsid w:val="16C136E5"/>
    <w:rsid w:val="16F45558"/>
    <w:rsid w:val="17397720"/>
    <w:rsid w:val="174F0E5D"/>
    <w:rsid w:val="17AD74A1"/>
    <w:rsid w:val="17B13289"/>
    <w:rsid w:val="17FA7F9C"/>
    <w:rsid w:val="183F4FA6"/>
    <w:rsid w:val="18514E4B"/>
    <w:rsid w:val="18573A3C"/>
    <w:rsid w:val="18C70070"/>
    <w:rsid w:val="18D54080"/>
    <w:rsid w:val="19243E72"/>
    <w:rsid w:val="196A26B9"/>
    <w:rsid w:val="19724B50"/>
    <w:rsid w:val="198B04B4"/>
    <w:rsid w:val="199623BE"/>
    <w:rsid w:val="19A67CE5"/>
    <w:rsid w:val="19B76B26"/>
    <w:rsid w:val="19F4792E"/>
    <w:rsid w:val="1A1F1CCC"/>
    <w:rsid w:val="1A6A4C94"/>
    <w:rsid w:val="1AAB77D4"/>
    <w:rsid w:val="1AFE06FD"/>
    <w:rsid w:val="1B0A3007"/>
    <w:rsid w:val="1B0E637F"/>
    <w:rsid w:val="1B1A5316"/>
    <w:rsid w:val="1B335F41"/>
    <w:rsid w:val="1B4617EF"/>
    <w:rsid w:val="1B557CD1"/>
    <w:rsid w:val="1B6D01C5"/>
    <w:rsid w:val="1C3C09CC"/>
    <w:rsid w:val="1C4830ED"/>
    <w:rsid w:val="1C71542E"/>
    <w:rsid w:val="1C9F0025"/>
    <w:rsid w:val="1CAB500B"/>
    <w:rsid w:val="1CC14909"/>
    <w:rsid w:val="1D070D04"/>
    <w:rsid w:val="1D5F35E5"/>
    <w:rsid w:val="1D951B65"/>
    <w:rsid w:val="1DDA0047"/>
    <w:rsid w:val="1DEE7694"/>
    <w:rsid w:val="1E413864"/>
    <w:rsid w:val="1E4C6086"/>
    <w:rsid w:val="1EA04409"/>
    <w:rsid w:val="1EA10E84"/>
    <w:rsid w:val="1EB84B40"/>
    <w:rsid w:val="1EBF5274"/>
    <w:rsid w:val="1EE86559"/>
    <w:rsid w:val="1F9F3E87"/>
    <w:rsid w:val="20036452"/>
    <w:rsid w:val="200644C5"/>
    <w:rsid w:val="20801B8B"/>
    <w:rsid w:val="20A819DF"/>
    <w:rsid w:val="20CC3BBB"/>
    <w:rsid w:val="20CC5DC9"/>
    <w:rsid w:val="20CC6D44"/>
    <w:rsid w:val="21117552"/>
    <w:rsid w:val="215600A1"/>
    <w:rsid w:val="216D4A20"/>
    <w:rsid w:val="217A47A7"/>
    <w:rsid w:val="21D11E4D"/>
    <w:rsid w:val="227A6D38"/>
    <w:rsid w:val="2295197D"/>
    <w:rsid w:val="22AC270E"/>
    <w:rsid w:val="22D7292F"/>
    <w:rsid w:val="22DB1047"/>
    <w:rsid w:val="22E73D02"/>
    <w:rsid w:val="2320194D"/>
    <w:rsid w:val="232A20E7"/>
    <w:rsid w:val="234D7319"/>
    <w:rsid w:val="237229FB"/>
    <w:rsid w:val="23A9763A"/>
    <w:rsid w:val="23D76374"/>
    <w:rsid w:val="24421669"/>
    <w:rsid w:val="245C3D02"/>
    <w:rsid w:val="24695217"/>
    <w:rsid w:val="247649E0"/>
    <w:rsid w:val="24955B50"/>
    <w:rsid w:val="24BB721C"/>
    <w:rsid w:val="24BE1303"/>
    <w:rsid w:val="24D877A3"/>
    <w:rsid w:val="24F46A34"/>
    <w:rsid w:val="250869B7"/>
    <w:rsid w:val="253F4153"/>
    <w:rsid w:val="2572665C"/>
    <w:rsid w:val="25D771A5"/>
    <w:rsid w:val="25F61EAA"/>
    <w:rsid w:val="262812B0"/>
    <w:rsid w:val="26423D9E"/>
    <w:rsid w:val="266A5701"/>
    <w:rsid w:val="266E3DB7"/>
    <w:rsid w:val="26BB261D"/>
    <w:rsid w:val="26DD402A"/>
    <w:rsid w:val="271F32CE"/>
    <w:rsid w:val="27203C34"/>
    <w:rsid w:val="27241CD5"/>
    <w:rsid w:val="274D0C6C"/>
    <w:rsid w:val="274E2D59"/>
    <w:rsid w:val="27A5647A"/>
    <w:rsid w:val="27CC053E"/>
    <w:rsid w:val="27D042EE"/>
    <w:rsid w:val="27EF2374"/>
    <w:rsid w:val="282206E4"/>
    <w:rsid w:val="28AE1E4B"/>
    <w:rsid w:val="28B67BD6"/>
    <w:rsid w:val="28C31BB1"/>
    <w:rsid w:val="28CF4951"/>
    <w:rsid w:val="28F7527E"/>
    <w:rsid w:val="29440AFA"/>
    <w:rsid w:val="2957563F"/>
    <w:rsid w:val="2986292C"/>
    <w:rsid w:val="29C67C9C"/>
    <w:rsid w:val="29D15596"/>
    <w:rsid w:val="29E66E5C"/>
    <w:rsid w:val="2A036372"/>
    <w:rsid w:val="2A0E1CA2"/>
    <w:rsid w:val="2A5E0851"/>
    <w:rsid w:val="2A6E306B"/>
    <w:rsid w:val="2A7462CF"/>
    <w:rsid w:val="2AA0379C"/>
    <w:rsid w:val="2AAF39F9"/>
    <w:rsid w:val="2B651229"/>
    <w:rsid w:val="2B686656"/>
    <w:rsid w:val="2B751869"/>
    <w:rsid w:val="2BA56CDA"/>
    <w:rsid w:val="2BC15BC2"/>
    <w:rsid w:val="2BC169CF"/>
    <w:rsid w:val="2C1B25F3"/>
    <w:rsid w:val="2C2B7C8F"/>
    <w:rsid w:val="2C535582"/>
    <w:rsid w:val="2C733701"/>
    <w:rsid w:val="2C857CB9"/>
    <w:rsid w:val="2C875212"/>
    <w:rsid w:val="2C923B80"/>
    <w:rsid w:val="2C9C2A26"/>
    <w:rsid w:val="2CC40AF1"/>
    <w:rsid w:val="2CFC3984"/>
    <w:rsid w:val="2D2951AD"/>
    <w:rsid w:val="2D405C5B"/>
    <w:rsid w:val="2D6E3A19"/>
    <w:rsid w:val="2D797639"/>
    <w:rsid w:val="2D7B7BE2"/>
    <w:rsid w:val="2DB9213D"/>
    <w:rsid w:val="2DC53E30"/>
    <w:rsid w:val="2DD16483"/>
    <w:rsid w:val="2DE42E9A"/>
    <w:rsid w:val="2E075A2A"/>
    <w:rsid w:val="2E3C17A4"/>
    <w:rsid w:val="2E546601"/>
    <w:rsid w:val="2E9B61C8"/>
    <w:rsid w:val="2EDA787E"/>
    <w:rsid w:val="2EE0293F"/>
    <w:rsid w:val="2F045FBE"/>
    <w:rsid w:val="2F0A34AB"/>
    <w:rsid w:val="2F4F5B2E"/>
    <w:rsid w:val="2F525EF4"/>
    <w:rsid w:val="2F840BAF"/>
    <w:rsid w:val="2FC201F0"/>
    <w:rsid w:val="2FC403E4"/>
    <w:rsid w:val="2FDA44EC"/>
    <w:rsid w:val="30365E89"/>
    <w:rsid w:val="305B6555"/>
    <w:rsid w:val="31375204"/>
    <w:rsid w:val="31595D30"/>
    <w:rsid w:val="315F1D60"/>
    <w:rsid w:val="31AB2BD5"/>
    <w:rsid w:val="31BF4EEA"/>
    <w:rsid w:val="31E456E6"/>
    <w:rsid w:val="324C4353"/>
    <w:rsid w:val="326150B6"/>
    <w:rsid w:val="32722F00"/>
    <w:rsid w:val="331805F2"/>
    <w:rsid w:val="33380D5F"/>
    <w:rsid w:val="33433F09"/>
    <w:rsid w:val="336D27D3"/>
    <w:rsid w:val="339C4F51"/>
    <w:rsid w:val="33CA2424"/>
    <w:rsid w:val="34B21F6F"/>
    <w:rsid w:val="34BF512D"/>
    <w:rsid w:val="34DB088F"/>
    <w:rsid w:val="34F90C97"/>
    <w:rsid w:val="35042CC3"/>
    <w:rsid w:val="35257E8C"/>
    <w:rsid w:val="35265D35"/>
    <w:rsid w:val="352F2891"/>
    <w:rsid w:val="35350F5A"/>
    <w:rsid w:val="353A151D"/>
    <w:rsid w:val="355F5732"/>
    <w:rsid w:val="35603B33"/>
    <w:rsid w:val="357D02ED"/>
    <w:rsid w:val="35834ABA"/>
    <w:rsid w:val="3599107C"/>
    <w:rsid w:val="35A15D59"/>
    <w:rsid w:val="35A301B7"/>
    <w:rsid w:val="36066EA0"/>
    <w:rsid w:val="360A7D0B"/>
    <w:rsid w:val="36512304"/>
    <w:rsid w:val="36524C7A"/>
    <w:rsid w:val="36724AAF"/>
    <w:rsid w:val="370362B7"/>
    <w:rsid w:val="37145DC4"/>
    <w:rsid w:val="374234DA"/>
    <w:rsid w:val="375A3B96"/>
    <w:rsid w:val="377D6D5D"/>
    <w:rsid w:val="378E6004"/>
    <w:rsid w:val="37943805"/>
    <w:rsid w:val="37EF5C2B"/>
    <w:rsid w:val="384B08B5"/>
    <w:rsid w:val="38634AAC"/>
    <w:rsid w:val="38B80D70"/>
    <w:rsid w:val="38CC7F9C"/>
    <w:rsid w:val="38ED7AD5"/>
    <w:rsid w:val="38FD6182"/>
    <w:rsid w:val="3942518F"/>
    <w:rsid w:val="39466AB8"/>
    <w:rsid w:val="398A7705"/>
    <w:rsid w:val="399B43FA"/>
    <w:rsid w:val="39B71F7E"/>
    <w:rsid w:val="39BE570B"/>
    <w:rsid w:val="39CB5627"/>
    <w:rsid w:val="3A0A72F4"/>
    <w:rsid w:val="3A12378C"/>
    <w:rsid w:val="3A590190"/>
    <w:rsid w:val="3A8A78FC"/>
    <w:rsid w:val="3A9029B1"/>
    <w:rsid w:val="3A9074B0"/>
    <w:rsid w:val="3AB905BB"/>
    <w:rsid w:val="3AC57255"/>
    <w:rsid w:val="3AEC1ACC"/>
    <w:rsid w:val="3B4958D4"/>
    <w:rsid w:val="3B51756C"/>
    <w:rsid w:val="3B711979"/>
    <w:rsid w:val="3B751B04"/>
    <w:rsid w:val="3BB47595"/>
    <w:rsid w:val="3BC724F0"/>
    <w:rsid w:val="3BD361E8"/>
    <w:rsid w:val="3BE1656E"/>
    <w:rsid w:val="3BFD13FD"/>
    <w:rsid w:val="3BFE4A0E"/>
    <w:rsid w:val="3C0417FB"/>
    <w:rsid w:val="3C122874"/>
    <w:rsid w:val="3C707236"/>
    <w:rsid w:val="3CC06CD3"/>
    <w:rsid w:val="3CF14E2E"/>
    <w:rsid w:val="3CF56720"/>
    <w:rsid w:val="3D164BF3"/>
    <w:rsid w:val="3D31634D"/>
    <w:rsid w:val="3D5C519C"/>
    <w:rsid w:val="3D846896"/>
    <w:rsid w:val="3D8E79D8"/>
    <w:rsid w:val="3E3B7D9F"/>
    <w:rsid w:val="3E4072A3"/>
    <w:rsid w:val="3E691625"/>
    <w:rsid w:val="3E6E5D6E"/>
    <w:rsid w:val="3EAA5249"/>
    <w:rsid w:val="3ED86A9E"/>
    <w:rsid w:val="3ED87447"/>
    <w:rsid w:val="3EE17D37"/>
    <w:rsid w:val="3F185E50"/>
    <w:rsid w:val="3F9470ED"/>
    <w:rsid w:val="3FF219D8"/>
    <w:rsid w:val="401D4029"/>
    <w:rsid w:val="403A028F"/>
    <w:rsid w:val="403B7BFA"/>
    <w:rsid w:val="40A71F0F"/>
    <w:rsid w:val="40F943DA"/>
    <w:rsid w:val="41546069"/>
    <w:rsid w:val="416922DB"/>
    <w:rsid w:val="419F5746"/>
    <w:rsid w:val="41CF62A5"/>
    <w:rsid w:val="41E135F7"/>
    <w:rsid w:val="41E40104"/>
    <w:rsid w:val="41FC3E10"/>
    <w:rsid w:val="420B3951"/>
    <w:rsid w:val="42236EFE"/>
    <w:rsid w:val="4226181D"/>
    <w:rsid w:val="42435B45"/>
    <w:rsid w:val="4252299D"/>
    <w:rsid w:val="425F0DCE"/>
    <w:rsid w:val="428B6B85"/>
    <w:rsid w:val="42915CC1"/>
    <w:rsid w:val="42AC5787"/>
    <w:rsid w:val="42C72756"/>
    <w:rsid w:val="42D073D0"/>
    <w:rsid w:val="4304400E"/>
    <w:rsid w:val="43126228"/>
    <w:rsid w:val="43307FB5"/>
    <w:rsid w:val="43354C47"/>
    <w:rsid w:val="434075BC"/>
    <w:rsid w:val="43824293"/>
    <w:rsid w:val="43846643"/>
    <w:rsid w:val="43CB6F68"/>
    <w:rsid w:val="43CD0882"/>
    <w:rsid w:val="4432320D"/>
    <w:rsid w:val="444258CE"/>
    <w:rsid w:val="44C337E3"/>
    <w:rsid w:val="45100C9B"/>
    <w:rsid w:val="451211DE"/>
    <w:rsid w:val="453B05AD"/>
    <w:rsid w:val="454146E9"/>
    <w:rsid w:val="45416265"/>
    <w:rsid w:val="456100BC"/>
    <w:rsid w:val="45627588"/>
    <w:rsid w:val="45723FC2"/>
    <w:rsid w:val="45AE3664"/>
    <w:rsid w:val="45DA1BAB"/>
    <w:rsid w:val="4626301D"/>
    <w:rsid w:val="46270707"/>
    <w:rsid w:val="464A0078"/>
    <w:rsid w:val="4653788C"/>
    <w:rsid w:val="466345FF"/>
    <w:rsid w:val="469D5EA8"/>
    <w:rsid w:val="46A43280"/>
    <w:rsid w:val="46CF05AE"/>
    <w:rsid w:val="47604FD6"/>
    <w:rsid w:val="47946C2C"/>
    <w:rsid w:val="47982CA1"/>
    <w:rsid w:val="47C21867"/>
    <w:rsid w:val="47F143C1"/>
    <w:rsid w:val="47F340D3"/>
    <w:rsid w:val="48332C35"/>
    <w:rsid w:val="48774CD8"/>
    <w:rsid w:val="48901A1B"/>
    <w:rsid w:val="48B9571B"/>
    <w:rsid w:val="48DF1279"/>
    <w:rsid w:val="490F12ED"/>
    <w:rsid w:val="495B3DFB"/>
    <w:rsid w:val="49957D51"/>
    <w:rsid w:val="49995C78"/>
    <w:rsid w:val="49B361E1"/>
    <w:rsid w:val="49D25E8F"/>
    <w:rsid w:val="49DB447F"/>
    <w:rsid w:val="49F54463"/>
    <w:rsid w:val="4A090441"/>
    <w:rsid w:val="4A3F078F"/>
    <w:rsid w:val="4A5E2C09"/>
    <w:rsid w:val="4A6242BC"/>
    <w:rsid w:val="4A98566F"/>
    <w:rsid w:val="4AAB053C"/>
    <w:rsid w:val="4AB770E4"/>
    <w:rsid w:val="4AF64F40"/>
    <w:rsid w:val="4B3A7EE7"/>
    <w:rsid w:val="4B3E6374"/>
    <w:rsid w:val="4B5016E2"/>
    <w:rsid w:val="4B620299"/>
    <w:rsid w:val="4B9506C1"/>
    <w:rsid w:val="4BDD36BD"/>
    <w:rsid w:val="4BF70D1F"/>
    <w:rsid w:val="4C212115"/>
    <w:rsid w:val="4C6908D5"/>
    <w:rsid w:val="4C856040"/>
    <w:rsid w:val="4C982522"/>
    <w:rsid w:val="4CA00651"/>
    <w:rsid w:val="4CA53F31"/>
    <w:rsid w:val="4CB33B30"/>
    <w:rsid w:val="4CCC1647"/>
    <w:rsid w:val="4D3E5C55"/>
    <w:rsid w:val="4D7A2F34"/>
    <w:rsid w:val="4D921D49"/>
    <w:rsid w:val="4DCA28A4"/>
    <w:rsid w:val="4DF94C39"/>
    <w:rsid w:val="4DF95AE2"/>
    <w:rsid w:val="4E031FAD"/>
    <w:rsid w:val="4EE910AD"/>
    <w:rsid w:val="4EEE7AB4"/>
    <w:rsid w:val="4EFF353D"/>
    <w:rsid w:val="4F1813ED"/>
    <w:rsid w:val="4F340D5B"/>
    <w:rsid w:val="5013099F"/>
    <w:rsid w:val="501A54D1"/>
    <w:rsid w:val="502F0512"/>
    <w:rsid w:val="50703C68"/>
    <w:rsid w:val="50AC6291"/>
    <w:rsid w:val="50B0733E"/>
    <w:rsid w:val="50C7677A"/>
    <w:rsid w:val="50C97E12"/>
    <w:rsid w:val="50CD1D3A"/>
    <w:rsid w:val="50D4218D"/>
    <w:rsid w:val="50E14B13"/>
    <w:rsid w:val="510A5F9F"/>
    <w:rsid w:val="513E06EE"/>
    <w:rsid w:val="514117C0"/>
    <w:rsid w:val="51991A79"/>
    <w:rsid w:val="51B667C8"/>
    <w:rsid w:val="51E938AD"/>
    <w:rsid w:val="51FC76E7"/>
    <w:rsid w:val="52202BD9"/>
    <w:rsid w:val="523278A8"/>
    <w:rsid w:val="523634E2"/>
    <w:rsid w:val="528514A4"/>
    <w:rsid w:val="528B15D2"/>
    <w:rsid w:val="52974ED6"/>
    <w:rsid w:val="52995481"/>
    <w:rsid w:val="52CE4B04"/>
    <w:rsid w:val="52D24897"/>
    <w:rsid w:val="52EE3074"/>
    <w:rsid w:val="52EF66F6"/>
    <w:rsid w:val="533512DA"/>
    <w:rsid w:val="53385EB8"/>
    <w:rsid w:val="534567B5"/>
    <w:rsid w:val="534B3623"/>
    <w:rsid w:val="539820CE"/>
    <w:rsid w:val="53A07C03"/>
    <w:rsid w:val="53C867AF"/>
    <w:rsid w:val="53F13A1B"/>
    <w:rsid w:val="541A4DAC"/>
    <w:rsid w:val="544B54B4"/>
    <w:rsid w:val="545A1087"/>
    <w:rsid w:val="54946E10"/>
    <w:rsid w:val="54DB23EA"/>
    <w:rsid w:val="54EA7388"/>
    <w:rsid w:val="54FA45B8"/>
    <w:rsid w:val="54FD0D00"/>
    <w:rsid w:val="55516AD4"/>
    <w:rsid w:val="55CB6AB2"/>
    <w:rsid w:val="55DB331D"/>
    <w:rsid w:val="55EB09B2"/>
    <w:rsid w:val="55EF1DB7"/>
    <w:rsid w:val="56014DF2"/>
    <w:rsid w:val="564A382F"/>
    <w:rsid w:val="56656D85"/>
    <w:rsid w:val="566E26DB"/>
    <w:rsid w:val="56F40D79"/>
    <w:rsid w:val="57074D92"/>
    <w:rsid w:val="573C4762"/>
    <w:rsid w:val="57407733"/>
    <w:rsid w:val="576C6911"/>
    <w:rsid w:val="57800585"/>
    <w:rsid w:val="57B401AF"/>
    <w:rsid w:val="57DD41E1"/>
    <w:rsid w:val="57E32FCC"/>
    <w:rsid w:val="57FE3E69"/>
    <w:rsid w:val="581B1C07"/>
    <w:rsid w:val="588A2483"/>
    <w:rsid w:val="58932233"/>
    <w:rsid w:val="591B5490"/>
    <w:rsid w:val="594518F8"/>
    <w:rsid w:val="594A047C"/>
    <w:rsid w:val="596036CA"/>
    <w:rsid w:val="59905E31"/>
    <w:rsid w:val="59D70F2C"/>
    <w:rsid w:val="59ED61F4"/>
    <w:rsid w:val="59F75D51"/>
    <w:rsid w:val="5A616647"/>
    <w:rsid w:val="5A8715CA"/>
    <w:rsid w:val="5AC42FA1"/>
    <w:rsid w:val="5ACA6E7D"/>
    <w:rsid w:val="5AE454B9"/>
    <w:rsid w:val="5B155DE7"/>
    <w:rsid w:val="5B2125A7"/>
    <w:rsid w:val="5B813746"/>
    <w:rsid w:val="5BCB673B"/>
    <w:rsid w:val="5BF13303"/>
    <w:rsid w:val="5C4D16E2"/>
    <w:rsid w:val="5C630E42"/>
    <w:rsid w:val="5C8A2D89"/>
    <w:rsid w:val="5CD428F6"/>
    <w:rsid w:val="5D1B3855"/>
    <w:rsid w:val="5D2E4A97"/>
    <w:rsid w:val="5D882F74"/>
    <w:rsid w:val="5D9521A5"/>
    <w:rsid w:val="5DAF4D9E"/>
    <w:rsid w:val="5DBA659D"/>
    <w:rsid w:val="5DDB6495"/>
    <w:rsid w:val="5DEC3091"/>
    <w:rsid w:val="5DFC1EDA"/>
    <w:rsid w:val="5E074943"/>
    <w:rsid w:val="5E217A67"/>
    <w:rsid w:val="5E403A8A"/>
    <w:rsid w:val="5E5711FB"/>
    <w:rsid w:val="5E5A34BE"/>
    <w:rsid w:val="5E685BAB"/>
    <w:rsid w:val="5E794DB0"/>
    <w:rsid w:val="5E8D5D31"/>
    <w:rsid w:val="5EB32EE1"/>
    <w:rsid w:val="5EB903EF"/>
    <w:rsid w:val="5F4B3403"/>
    <w:rsid w:val="5F834D83"/>
    <w:rsid w:val="5FC13F0A"/>
    <w:rsid w:val="60003F04"/>
    <w:rsid w:val="60005122"/>
    <w:rsid w:val="60035061"/>
    <w:rsid w:val="60215D06"/>
    <w:rsid w:val="608778DC"/>
    <w:rsid w:val="60966616"/>
    <w:rsid w:val="60D66C7E"/>
    <w:rsid w:val="60F42827"/>
    <w:rsid w:val="60FF7BD8"/>
    <w:rsid w:val="610E2650"/>
    <w:rsid w:val="61144051"/>
    <w:rsid w:val="61661AB7"/>
    <w:rsid w:val="61994540"/>
    <w:rsid w:val="61997B4D"/>
    <w:rsid w:val="61A16207"/>
    <w:rsid w:val="61BE4529"/>
    <w:rsid w:val="61CE11D2"/>
    <w:rsid w:val="61E87DF9"/>
    <w:rsid w:val="61F71336"/>
    <w:rsid w:val="624F2C7B"/>
    <w:rsid w:val="62B432B7"/>
    <w:rsid w:val="62E0799D"/>
    <w:rsid w:val="63050CE0"/>
    <w:rsid w:val="634767C9"/>
    <w:rsid w:val="637163DF"/>
    <w:rsid w:val="641C7961"/>
    <w:rsid w:val="643464F3"/>
    <w:rsid w:val="644242D8"/>
    <w:rsid w:val="648F50E5"/>
    <w:rsid w:val="64D20AB1"/>
    <w:rsid w:val="64D91E11"/>
    <w:rsid w:val="64EB1F31"/>
    <w:rsid w:val="64F555CB"/>
    <w:rsid w:val="64F80740"/>
    <w:rsid w:val="655B0A50"/>
    <w:rsid w:val="655E295F"/>
    <w:rsid w:val="6563449C"/>
    <w:rsid w:val="657B56CF"/>
    <w:rsid w:val="65AE61B0"/>
    <w:rsid w:val="65D87212"/>
    <w:rsid w:val="66380CF9"/>
    <w:rsid w:val="66635B3C"/>
    <w:rsid w:val="668855B8"/>
    <w:rsid w:val="668C3D21"/>
    <w:rsid w:val="668F6F9C"/>
    <w:rsid w:val="66C45D70"/>
    <w:rsid w:val="66EC4416"/>
    <w:rsid w:val="67230E51"/>
    <w:rsid w:val="67232657"/>
    <w:rsid w:val="6732012D"/>
    <w:rsid w:val="673B229E"/>
    <w:rsid w:val="675A5BC6"/>
    <w:rsid w:val="67C33BFB"/>
    <w:rsid w:val="67C55198"/>
    <w:rsid w:val="67F5674C"/>
    <w:rsid w:val="67F64A1E"/>
    <w:rsid w:val="682D7860"/>
    <w:rsid w:val="683165CD"/>
    <w:rsid w:val="683608C0"/>
    <w:rsid w:val="684211CE"/>
    <w:rsid w:val="689A3F65"/>
    <w:rsid w:val="68FD17AF"/>
    <w:rsid w:val="69085D3E"/>
    <w:rsid w:val="69145404"/>
    <w:rsid w:val="69282D7C"/>
    <w:rsid w:val="69463940"/>
    <w:rsid w:val="694A725B"/>
    <w:rsid w:val="6966126C"/>
    <w:rsid w:val="69871C8C"/>
    <w:rsid w:val="69B83803"/>
    <w:rsid w:val="6A0412C9"/>
    <w:rsid w:val="6A0B317D"/>
    <w:rsid w:val="6A645C56"/>
    <w:rsid w:val="6A895812"/>
    <w:rsid w:val="6AA670E5"/>
    <w:rsid w:val="6AD1407E"/>
    <w:rsid w:val="6AE2176E"/>
    <w:rsid w:val="6B080441"/>
    <w:rsid w:val="6B250CC2"/>
    <w:rsid w:val="6B2637DA"/>
    <w:rsid w:val="6B42437A"/>
    <w:rsid w:val="6B4368F3"/>
    <w:rsid w:val="6B481F0D"/>
    <w:rsid w:val="6B815D3D"/>
    <w:rsid w:val="6B967855"/>
    <w:rsid w:val="6BA94A86"/>
    <w:rsid w:val="6BEA4261"/>
    <w:rsid w:val="6BFF10DB"/>
    <w:rsid w:val="6C467136"/>
    <w:rsid w:val="6CAE6334"/>
    <w:rsid w:val="6CCC0297"/>
    <w:rsid w:val="6CE40FB9"/>
    <w:rsid w:val="6CF14F0A"/>
    <w:rsid w:val="6CF76CDA"/>
    <w:rsid w:val="6D1F38BC"/>
    <w:rsid w:val="6D2E67AE"/>
    <w:rsid w:val="6DA273E6"/>
    <w:rsid w:val="6DEC111D"/>
    <w:rsid w:val="6E8B52E0"/>
    <w:rsid w:val="6E947B83"/>
    <w:rsid w:val="6EC72557"/>
    <w:rsid w:val="6EDC30BF"/>
    <w:rsid w:val="6EEA76E5"/>
    <w:rsid w:val="6F1A6664"/>
    <w:rsid w:val="6F356425"/>
    <w:rsid w:val="6F647C67"/>
    <w:rsid w:val="6F955BF1"/>
    <w:rsid w:val="6FA87D1D"/>
    <w:rsid w:val="6FAC19B2"/>
    <w:rsid w:val="706B08EE"/>
    <w:rsid w:val="7077164F"/>
    <w:rsid w:val="70BC4EB4"/>
    <w:rsid w:val="70F23137"/>
    <w:rsid w:val="70FB030A"/>
    <w:rsid w:val="70FD776C"/>
    <w:rsid w:val="710D52AA"/>
    <w:rsid w:val="719E53FD"/>
    <w:rsid w:val="71B609B3"/>
    <w:rsid w:val="71E471C9"/>
    <w:rsid w:val="722A3530"/>
    <w:rsid w:val="72445E66"/>
    <w:rsid w:val="72B73E67"/>
    <w:rsid w:val="72FC1202"/>
    <w:rsid w:val="730613D9"/>
    <w:rsid w:val="7331069C"/>
    <w:rsid w:val="73A54E08"/>
    <w:rsid w:val="7408345B"/>
    <w:rsid w:val="740D7450"/>
    <w:rsid w:val="745054CA"/>
    <w:rsid w:val="74A1314E"/>
    <w:rsid w:val="74CA6122"/>
    <w:rsid w:val="75316C3E"/>
    <w:rsid w:val="75486B55"/>
    <w:rsid w:val="75683086"/>
    <w:rsid w:val="75846D64"/>
    <w:rsid w:val="75A33CF7"/>
    <w:rsid w:val="75A76658"/>
    <w:rsid w:val="75A84C04"/>
    <w:rsid w:val="75C51F90"/>
    <w:rsid w:val="75D12F83"/>
    <w:rsid w:val="7608210F"/>
    <w:rsid w:val="767E2703"/>
    <w:rsid w:val="7698476A"/>
    <w:rsid w:val="769851B3"/>
    <w:rsid w:val="76B2018D"/>
    <w:rsid w:val="76E61C4D"/>
    <w:rsid w:val="76F17B66"/>
    <w:rsid w:val="773A7E4C"/>
    <w:rsid w:val="773B3B70"/>
    <w:rsid w:val="779F2C66"/>
    <w:rsid w:val="77AC7437"/>
    <w:rsid w:val="77AD180F"/>
    <w:rsid w:val="77AF0BF8"/>
    <w:rsid w:val="78300CA6"/>
    <w:rsid w:val="78456274"/>
    <w:rsid w:val="78B379AF"/>
    <w:rsid w:val="78B876A9"/>
    <w:rsid w:val="791775F2"/>
    <w:rsid w:val="79264E47"/>
    <w:rsid w:val="79352B9A"/>
    <w:rsid w:val="794410C3"/>
    <w:rsid w:val="79447B63"/>
    <w:rsid w:val="79B5271D"/>
    <w:rsid w:val="79D264B9"/>
    <w:rsid w:val="79E75002"/>
    <w:rsid w:val="7A1563A6"/>
    <w:rsid w:val="7A520535"/>
    <w:rsid w:val="7ABC0308"/>
    <w:rsid w:val="7B2B6834"/>
    <w:rsid w:val="7B2F45A8"/>
    <w:rsid w:val="7B557F95"/>
    <w:rsid w:val="7B5E1D6E"/>
    <w:rsid w:val="7BA56133"/>
    <w:rsid w:val="7BB43DF9"/>
    <w:rsid w:val="7BB47BBC"/>
    <w:rsid w:val="7BD21C1A"/>
    <w:rsid w:val="7BD71AF0"/>
    <w:rsid w:val="7BE25FA4"/>
    <w:rsid w:val="7C1130A4"/>
    <w:rsid w:val="7C2D4C3E"/>
    <w:rsid w:val="7C8155D3"/>
    <w:rsid w:val="7CC11C19"/>
    <w:rsid w:val="7D185608"/>
    <w:rsid w:val="7D2D24AF"/>
    <w:rsid w:val="7D953A0F"/>
    <w:rsid w:val="7DF05A37"/>
    <w:rsid w:val="7E0E0672"/>
    <w:rsid w:val="7E2131EE"/>
    <w:rsid w:val="7E812674"/>
    <w:rsid w:val="7E87427A"/>
    <w:rsid w:val="7EA06E11"/>
    <w:rsid w:val="7EE92386"/>
    <w:rsid w:val="7EF43657"/>
    <w:rsid w:val="7F87565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1"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qFormat="1" w:unhideWhenUsed="0" w:uiPriority="0" w:semiHidden="0" w:name="HTML Preformatted"/>
    <w:lsdException w:qFormat="1" w:uiPriority="99" w:semiHidden="0"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9"/>
    <w:autoRedefine/>
    <w:qFormat/>
    <w:uiPriority w:val="0"/>
    <w:pPr>
      <w:keepNext/>
      <w:keepLines/>
      <w:numPr>
        <w:ilvl w:val="0"/>
        <w:numId w:val="1"/>
      </w:numPr>
      <w:adjustRightInd w:val="0"/>
      <w:spacing w:before="120" w:beforeLines="0" w:line="360" w:lineRule="auto"/>
      <w:textAlignment w:val="baseline"/>
      <w:outlineLvl w:val="0"/>
    </w:pPr>
    <w:rPr>
      <w:rFonts w:ascii="Times New Roman" w:hAnsi="Times New Roman" w:eastAsia="黑体"/>
      <w:b/>
      <w:kern w:val="44"/>
      <w:sz w:val="28"/>
      <w:szCs w:val="20"/>
    </w:rPr>
  </w:style>
  <w:style w:type="paragraph" w:styleId="3">
    <w:name w:val="heading 2"/>
    <w:basedOn w:val="1"/>
    <w:next w:val="1"/>
    <w:link w:val="50"/>
    <w:autoRedefine/>
    <w:qFormat/>
    <w:uiPriority w:val="0"/>
    <w:pPr>
      <w:keepNext/>
      <w:numPr>
        <w:ilvl w:val="1"/>
        <w:numId w:val="1"/>
      </w:numPr>
      <w:tabs>
        <w:tab w:val="left" w:pos="360"/>
        <w:tab w:val="clear" w:pos="1021"/>
      </w:tabs>
      <w:adjustRightInd w:val="0"/>
      <w:spacing w:before="120" w:beforeLines="0" w:line="360" w:lineRule="auto"/>
      <w:textAlignment w:val="baseline"/>
      <w:outlineLvl w:val="1"/>
    </w:pPr>
    <w:rPr>
      <w:rFonts w:ascii="Times New Roman" w:hAnsi="Times New Roman" w:eastAsia="黑体"/>
      <w:b/>
      <w:kern w:val="0"/>
      <w:sz w:val="28"/>
      <w:szCs w:val="20"/>
    </w:rPr>
  </w:style>
  <w:style w:type="paragraph" w:styleId="4">
    <w:name w:val="heading 3"/>
    <w:basedOn w:val="1"/>
    <w:next w:val="5"/>
    <w:link w:val="51"/>
    <w:autoRedefine/>
    <w:qFormat/>
    <w:uiPriority w:val="0"/>
    <w:pPr>
      <w:numPr>
        <w:ilvl w:val="2"/>
        <w:numId w:val="1"/>
      </w:numPr>
      <w:tabs>
        <w:tab w:val="left" w:pos="360"/>
        <w:tab w:val="left" w:pos="900"/>
        <w:tab w:val="clear" w:pos="1588"/>
      </w:tabs>
      <w:adjustRightInd w:val="0"/>
      <w:spacing w:before="120" w:beforeLines="0" w:line="360" w:lineRule="auto"/>
      <w:textAlignment w:val="baseline"/>
      <w:outlineLvl w:val="2"/>
    </w:pPr>
    <w:rPr>
      <w:rFonts w:ascii="Times New Roman" w:hAnsi="Times New Roman" w:eastAsia="黑体"/>
      <w:b/>
      <w:kern w:val="0"/>
      <w:sz w:val="28"/>
      <w:szCs w:val="20"/>
    </w:rPr>
  </w:style>
  <w:style w:type="paragraph" w:styleId="6">
    <w:name w:val="heading 4"/>
    <w:basedOn w:val="1"/>
    <w:next w:val="1"/>
    <w:link w:val="52"/>
    <w:autoRedefine/>
    <w:qFormat/>
    <w:uiPriority w:val="0"/>
    <w:pPr>
      <w:numPr>
        <w:ilvl w:val="3"/>
        <w:numId w:val="1"/>
      </w:numPr>
      <w:tabs>
        <w:tab w:val="left" w:pos="360"/>
        <w:tab w:val="clear" w:pos="2155"/>
      </w:tabs>
      <w:adjustRightInd w:val="0"/>
      <w:spacing w:before="120" w:beforeLines="0" w:line="360" w:lineRule="auto"/>
      <w:textAlignment w:val="baseline"/>
      <w:outlineLvl w:val="3"/>
    </w:pPr>
    <w:rPr>
      <w:rFonts w:ascii="Arial" w:hAnsi="Arial" w:eastAsia="黑体"/>
      <w:kern w:val="0"/>
      <w:sz w:val="28"/>
      <w:szCs w:val="20"/>
    </w:rPr>
  </w:style>
  <w:style w:type="paragraph" w:styleId="7">
    <w:name w:val="heading 5"/>
    <w:basedOn w:val="1"/>
    <w:next w:val="1"/>
    <w:link w:val="53"/>
    <w:autoRedefine/>
    <w:qFormat/>
    <w:uiPriority w:val="0"/>
    <w:pPr>
      <w:keepNext/>
      <w:keepLines/>
      <w:numPr>
        <w:ilvl w:val="4"/>
        <w:numId w:val="2"/>
      </w:numPr>
      <w:adjustRightInd w:val="0"/>
      <w:spacing w:before="280" w:beforeLines="0" w:after="290" w:afterLines="0" w:line="376" w:lineRule="atLeast"/>
      <w:textAlignment w:val="baseline"/>
      <w:outlineLvl w:val="4"/>
    </w:pPr>
    <w:rPr>
      <w:rFonts w:ascii="Times New Roman" w:hAnsi="Times New Roman"/>
      <w:b/>
      <w:kern w:val="0"/>
      <w:sz w:val="28"/>
    </w:rPr>
  </w:style>
  <w:style w:type="paragraph" w:styleId="8">
    <w:name w:val="heading 6"/>
    <w:basedOn w:val="1"/>
    <w:next w:val="1"/>
    <w:autoRedefine/>
    <w:qFormat/>
    <w:uiPriority w:val="1"/>
    <w:pPr>
      <w:ind w:left="1020"/>
      <w:outlineLvl w:val="5"/>
    </w:pPr>
    <w:rPr>
      <w:rFonts w:ascii="宋体" w:hAnsi="宋体" w:eastAsia="宋体" w:cs="宋体"/>
      <w:b/>
      <w:bCs/>
      <w:sz w:val="21"/>
      <w:szCs w:val="21"/>
      <w:lang w:val="zh-CN" w:eastAsia="zh-CN" w:bidi="zh-CN"/>
    </w:rPr>
  </w:style>
  <w:style w:type="character" w:default="1" w:styleId="38">
    <w:name w:val="Default Paragraph Font"/>
    <w:autoRedefine/>
    <w:qFormat/>
    <w:uiPriority w:val="0"/>
  </w:style>
  <w:style w:type="table" w:default="1" w:styleId="36">
    <w:name w:val="Normal Table"/>
    <w:autoRedefine/>
    <w:unhideWhenUsed/>
    <w:qFormat/>
    <w:uiPriority w:val="99"/>
    <w:tblPr>
      <w:tblCellMar>
        <w:top w:w="0" w:type="dxa"/>
        <w:left w:w="108" w:type="dxa"/>
        <w:bottom w:w="0" w:type="dxa"/>
        <w:right w:w="108" w:type="dxa"/>
      </w:tblCellMar>
    </w:tblPr>
  </w:style>
  <w:style w:type="paragraph" w:styleId="5">
    <w:name w:val="Normal Indent"/>
    <w:basedOn w:val="1"/>
    <w:next w:val="1"/>
    <w:autoRedefine/>
    <w:qFormat/>
    <w:uiPriority w:val="0"/>
    <w:pPr>
      <w:ind w:firstLine="420"/>
    </w:pPr>
    <w:rPr>
      <w:szCs w:val="21"/>
    </w:rPr>
  </w:style>
  <w:style w:type="paragraph" w:styleId="9">
    <w:name w:val="toc 7"/>
    <w:basedOn w:val="1"/>
    <w:next w:val="1"/>
    <w:autoRedefine/>
    <w:qFormat/>
    <w:uiPriority w:val="0"/>
    <w:pPr>
      <w:ind w:left="1260"/>
      <w:jc w:val="left"/>
    </w:pPr>
    <w:rPr>
      <w:sz w:val="18"/>
      <w:szCs w:val="18"/>
    </w:rPr>
  </w:style>
  <w:style w:type="paragraph" w:styleId="10">
    <w:name w:val="Document Map"/>
    <w:basedOn w:val="1"/>
    <w:link w:val="54"/>
    <w:autoRedefine/>
    <w:qFormat/>
    <w:uiPriority w:val="0"/>
    <w:pPr>
      <w:shd w:val="clear" w:color="auto" w:fill="000080"/>
    </w:pPr>
    <w:rPr>
      <w:rFonts w:ascii="Times New Roman" w:hAnsi="Times New Roman"/>
      <w:kern w:val="0"/>
      <w:sz w:val="20"/>
      <w:shd w:val="clear" w:color="auto" w:fill="000080"/>
    </w:rPr>
  </w:style>
  <w:style w:type="paragraph" w:styleId="11">
    <w:name w:val="toa heading"/>
    <w:basedOn w:val="1"/>
    <w:next w:val="1"/>
    <w:autoRedefine/>
    <w:qFormat/>
    <w:uiPriority w:val="0"/>
    <w:rPr>
      <w:rFonts w:ascii="Cambria" w:hAnsi="Cambria" w:eastAsia="宋体" w:cs="Times New Roman"/>
      <w:sz w:val="24"/>
      <w:szCs w:val="24"/>
    </w:rPr>
  </w:style>
  <w:style w:type="paragraph" w:styleId="12">
    <w:name w:val="annotation text"/>
    <w:basedOn w:val="1"/>
    <w:autoRedefine/>
    <w:qFormat/>
    <w:uiPriority w:val="0"/>
    <w:pPr>
      <w:jc w:val="left"/>
    </w:pPr>
  </w:style>
  <w:style w:type="paragraph" w:styleId="13">
    <w:name w:val="Body Text 3"/>
    <w:basedOn w:val="1"/>
    <w:link w:val="55"/>
    <w:autoRedefine/>
    <w:qFormat/>
    <w:uiPriority w:val="0"/>
    <w:rPr>
      <w:rFonts w:ascii="Times New Roman" w:hAnsi="Times New Roman"/>
      <w:kern w:val="0"/>
      <w:sz w:val="24"/>
    </w:rPr>
  </w:style>
  <w:style w:type="paragraph" w:styleId="14">
    <w:name w:val="Body Text"/>
    <w:basedOn w:val="1"/>
    <w:next w:val="1"/>
    <w:link w:val="56"/>
    <w:autoRedefine/>
    <w:qFormat/>
    <w:uiPriority w:val="0"/>
    <w:rPr>
      <w:rFonts w:ascii="金山简黑体" w:hAnsi="金山简黑体" w:eastAsia="金山简黑体"/>
      <w:b/>
      <w:spacing w:val="-8"/>
      <w:kern w:val="0"/>
      <w:sz w:val="44"/>
      <w:szCs w:val="20"/>
    </w:rPr>
  </w:style>
  <w:style w:type="paragraph" w:styleId="15">
    <w:name w:val="Body Text Indent"/>
    <w:basedOn w:val="1"/>
    <w:link w:val="57"/>
    <w:autoRedefine/>
    <w:qFormat/>
    <w:uiPriority w:val="0"/>
    <w:pPr>
      <w:spacing w:line="200" w:lineRule="exact"/>
      <w:ind w:firstLine="301"/>
    </w:pPr>
    <w:rPr>
      <w:rFonts w:ascii="宋体" w:hAnsi="Times New Roman"/>
      <w:spacing w:val="-4"/>
      <w:kern w:val="0"/>
      <w:sz w:val="18"/>
      <w:szCs w:val="20"/>
    </w:rPr>
  </w:style>
  <w:style w:type="paragraph" w:styleId="16">
    <w:name w:val="toc 5"/>
    <w:basedOn w:val="1"/>
    <w:next w:val="1"/>
    <w:autoRedefine/>
    <w:qFormat/>
    <w:uiPriority w:val="0"/>
    <w:pPr>
      <w:ind w:left="840"/>
      <w:jc w:val="left"/>
    </w:pPr>
    <w:rPr>
      <w:sz w:val="18"/>
      <w:szCs w:val="18"/>
    </w:rPr>
  </w:style>
  <w:style w:type="paragraph" w:styleId="17">
    <w:name w:val="toc 3"/>
    <w:basedOn w:val="1"/>
    <w:next w:val="1"/>
    <w:autoRedefine/>
    <w:qFormat/>
    <w:uiPriority w:val="0"/>
    <w:pPr>
      <w:ind w:firstLine="400" w:firstLineChars="400"/>
      <w:jc w:val="left"/>
    </w:pPr>
    <w:rPr>
      <w:i/>
      <w:iCs/>
      <w:sz w:val="20"/>
      <w:szCs w:val="20"/>
    </w:rPr>
  </w:style>
  <w:style w:type="paragraph" w:styleId="18">
    <w:name w:val="Plain Text"/>
    <w:basedOn w:val="1"/>
    <w:next w:val="1"/>
    <w:link w:val="58"/>
    <w:autoRedefine/>
    <w:qFormat/>
    <w:uiPriority w:val="0"/>
    <w:rPr>
      <w:rFonts w:ascii="宋体" w:hAnsi="Times New Roman"/>
      <w:kern w:val="0"/>
      <w:sz w:val="20"/>
      <w:szCs w:val="20"/>
    </w:rPr>
  </w:style>
  <w:style w:type="paragraph" w:styleId="19">
    <w:name w:val="toc 8"/>
    <w:basedOn w:val="1"/>
    <w:next w:val="1"/>
    <w:autoRedefine/>
    <w:qFormat/>
    <w:uiPriority w:val="0"/>
    <w:pPr>
      <w:ind w:left="1470"/>
      <w:jc w:val="left"/>
    </w:pPr>
    <w:rPr>
      <w:sz w:val="18"/>
      <w:szCs w:val="18"/>
    </w:rPr>
  </w:style>
  <w:style w:type="paragraph" w:styleId="20">
    <w:name w:val="Date"/>
    <w:basedOn w:val="1"/>
    <w:next w:val="1"/>
    <w:link w:val="59"/>
    <w:autoRedefine/>
    <w:qFormat/>
    <w:uiPriority w:val="0"/>
    <w:pPr>
      <w:ind w:left="100" w:leftChars="2500"/>
    </w:pPr>
    <w:rPr>
      <w:rFonts w:ascii="Times New Roman" w:hAnsi="Times New Roman"/>
      <w:kern w:val="0"/>
      <w:sz w:val="20"/>
    </w:rPr>
  </w:style>
  <w:style w:type="paragraph" w:styleId="21">
    <w:name w:val="Body Text Indent 2"/>
    <w:basedOn w:val="1"/>
    <w:link w:val="60"/>
    <w:autoRedefine/>
    <w:qFormat/>
    <w:uiPriority w:val="0"/>
    <w:pPr>
      <w:spacing w:after="120" w:afterLines="0" w:line="480" w:lineRule="auto"/>
      <w:ind w:left="200" w:leftChars="200"/>
    </w:pPr>
    <w:rPr>
      <w:rFonts w:ascii="Times New Roman" w:hAnsi="Times New Roman"/>
      <w:kern w:val="0"/>
      <w:sz w:val="20"/>
    </w:rPr>
  </w:style>
  <w:style w:type="paragraph" w:styleId="22">
    <w:name w:val="Balloon Text"/>
    <w:basedOn w:val="1"/>
    <w:link w:val="61"/>
    <w:autoRedefine/>
    <w:qFormat/>
    <w:uiPriority w:val="0"/>
    <w:rPr>
      <w:rFonts w:ascii="Times New Roman" w:hAnsi="Times New Roman"/>
      <w:kern w:val="0"/>
      <w:sz w:val="18"/>
      <w:szCs w:val="18"/>
    </w:rPr>
  </w:style>
  <w:style w:type="paragraph" w:styleId="23">
    <w:name w:val="footer"/>
    <w:basedOn w:val="1"/>
    <w:link w:val="62"/>
    <w:autoRedefine/>
    <w:qFormat/>
    <w:uiPriority w:val="0"/>
    <w:pPr>
      <w:tabs>
        <w:tab w:val="center" w:pos="4153"/>
        <w:tab w:val="right" w:pos="8306"/>
      </w:tabs>
      <w:snapToGrid w:val="0"/>
      <w:jc w:val="left"/>
    </w:pPr>
    <w:rPr>
      <w:rFonts w:ascii="宋体" w:hAnsi="Times New Roman"/>
      <w:kern w:val="0"/>
      <w:sz w:val="18"/>
      <w:szCs w:val="20"/>
    </w:rPr>
  </w:style>
  <w:style w:type="paragraph" w:styleId="24">
    <w:name w:val="header"/>
    <w:basedOn w:val="1"/>
    <w:link w:val="63"/>
    <w:autoRedefine/>
    <w:qFormat/>
    <w:uiPriority w:val="0"/>
    <w:pPr>
      <w:pBdr>
        <w:bottom w:val="single" w:color="auto" w:sz="6" w:space="1"/>
      </w:pBdr>
      <w:tabs>
        <w:tab w:val="center" w:pos="4153"/>
        <w:tab w:val="right" w:pos="8306"/>
      </w:tabs>
      <w:snapToGrid w:val="0"/>
      <w:jc w:val="center"/>
    </w:pPr>
    <w:rPr>
      <w:rFonts w:ascii="Times New Roman" w:hAnsi="Times New Roman"/>
      <w:kern w:val="0"/>
      <w:sz w:val="18"/>
      <w:szCs w:val="18"/>
    </w:rPr>
  </w:style>
  <w:style w:type="paragraph" w:styleId="25">
    <w:name w:val="toc 1"/>
    <w:basedOn w:val="1"/>
    <w:next w:val="1"/>
    <w:autoRedefine/>
    <w:qFormat/>
    <w:uiPriority w:val="0"/>
    <w:pPr>
      <w:tabs>
        <w:tab w:val="right" w:leader="dot" w:pos="9072"/>
      </w:tabs>
      <w:spacing w:before="120" w:beforeLines="0" w:after="120" w:afterLines="0" w:line="276" w:lineRule="auto"/>
      <w:ind w:firstLine="155" w:firstLineChars="74"/>
      <w:jc w:val="left"/>
    </w:pPr>
    <w:rPr>
      <w:b/>
      <w:bCs/>
      <w:caps/>
      <w:sz w:val="20"/>
      <w:szCs w:val="20"/>
    </w:rPr>
  </w:style>
  <w:style w:type="paragraph" w:styleId="26">
    <w:name w:val="toc 4"/>
    <w:basedOn w:val="1"/>
    <w:next w:val="1"/>
    <w:autoRedefine/>
    <w:qFormat/>
    <w:uiPriority w:val="0"/>
    <w:pPr>
      <w:ind w:left="630"/>
      <w:jc w:val="left"/>
    </w:pPr>
    <w:rPr>
      <w:sz w:val="18"/>
      <w:szCs w:val="18"/>
    </w:rPr>
  </w:style>
  <w:style w:type="paragraph" w:styleId="27">
    <w:name w:val="Subtitle"/>
    <w:basedOn w:val="1"/>
    <w:next w:val="1"/>
    <w:link w:val="64"/>
    <w:autoRedefine/>
    <w:qFormat/>
    <w:uiPriority w:val="0"/>
    <w:pPr>
      <w:tabs>
        <w:tab w:val="left" w:pos="360"/>
      </w:tabs>
      <w:ind w:left="284" w:hanging="284"/>
      <w:jc w:val="left"/>
      <w:outlineLvl w:val="1"/>
    </w:pPr>
    <w:rPr>
      <w:rFonts w:ascii="Century Gothic" w:hAnsi="Century Gothic"/>
      <w:kern w:val="28"/>
      <w:sz w:val="20"/>
      <w:szCs w:val="21"/>
    </w:rPr>
  </w:style>
  <w:style w:type="paragraph" w:styleId="28">
    <w:name w:val="toc 6"/>
    <w:basedOn w:val="1"/>
    <w:next w:val="1"/>
    <w:autoRedefine/>
    <w:qFormat/>
    <w:uiPriority w:val="0"/>
    <w:pPr>
      <w:ind w:left="1050"/>
      <w:jc w:val="left"/>
    </w:pPr>
    <w:rPr>
      <w:sz w:val="18"/>
      <w:szCs w:val="18"/>
    </w:rPr>
  </w:style>
  <w:style w:type="paragraph" w:styleId="29">
    <w:name w:val="Body Text Indent 3"/>
    <w:basedOn w:val="1"/>
    <w:link w:val="65"/>
    <w:autoRedefine/>
    <w:qFormat/>
    <w:uiPriority w:val="0"/>
    <w:pPr>
      <w:spacing w:line="400" w:lineRule="exact"/>
      <w:ind w:left="360"/>
    </w:pPr>
    <w:rPr>
      <w:rFonts w:ascii="Times New Roman" w:hAnsi="Times New Roman"/>
      <w:kern w:val="0"/>
      <w:sz w:val="24"/>
    </w:rPr>
  </w:style>
  <w:style w:type="paragraph" w:styleId="30">
    <w:name w:val="toc 2"/>
    <w:basedOn w:val="1"/>
    <w:next w:val="1"/>
    <w:autoRedefine/>
    <w:qFormat/>
    <w:uiPriority w:val="0"/>
    <w:pPr>
      <w:tabs>
        <w:tab w:val="right" w:leader="dot" w:pos="9072"/>
      </w:tabs>
      <w:spacing w:line="360" w:lineRule="auto"/>
      <w:ind w:firstLine="400" w:firstLineChars="200"/>
      <w:jc w:val="left"/>
    </w:pPr>
    <w:rPr>
      <w:smallCaps/>
      <w:sz w:val="20"/>
      <w:szCs w:val="20"/>
    </w:rPr>
  </w:style>
  <w:style w:type="paragraph" w:styleId="31">
    <w:name w:val="toc 9"/>
    <w:basedOn w:val="1"/>
    <w:next w:val="1"/>
    <w:autoRedefine/>
    <w:qFormat/>
    <w:uiPriority w:val="0"/>
    <w:pPr>
      <w:ind w:left="1680"/>
      <w:jc w:val="left"/>
    </w:pPr>
    <w:rPr>
      <w:sz w:val="18"/>
      <w:szCs w:val="18"/>
    </w:rPr>
  </w:style>
  <w:style w:type="paragraph" w:styleId="32">
    <w:name w:val="Body Text 2"/>
    <w:basedOn w:val="1"/>
    <w:link w:val="66"/>
    <w:autoRedefine/>
    <w:qFormat/>
    <w:uiPriority w:val="0"/>
    <w:rPr>
      <w:rFonts w:ascii="宋体" w:hAnsi="Times New Roman"/>
      <w:kern w:val="0"/>
      <w:sz w:val="13"/>
      <w:szCs w:val="20"/>
    </w:rPr>
  </w:style>
  <w:style w:type="paragraph" w:styleId="33">
    <w:name w:val="HTML Preformatted"/>
    <w:basedOn w:val="1"/>
    <w:link w:val="67"/>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4">
    <w:name w:val="Normal (Web)"/>
    <w:basedOn w:val="1"/>
    <w:autoRedefine/>
    <w:qFormat/>
    <w:uiPriority w:val="0"/>
    <w:pPr>
      <w:widowControl/>
      <w:spacing w:before="100" w:beforeLines="0" w:beforeAutospacing="1" w:after="100" w:afterLines="0" w:afterAutospacing="1"/>
      <w:jc w:val="left"/>
    </w:pPr>
    <w:rPr>
      <w:rFonts w:ascii="Arial Unicode MS" w:hAnsi="Arial Unicode MS" w:eastAsia="Arial Unicode MS" w:cs="华文仿宋"/>
      <w:kern w:val="0"/>
      <w:sz w:val="24"/>
    </w:rPr>
  </w:style>
  <w:style w:type="paragraph" w:styleId="35">
    <w:name w:val="Body Text First Indent 2"/>
    <w:basedOn w:val="15"/>
    <w:autoRedefine/>
    <w:qFormat/>
    <w:uiPriority w:val="0"/>
    <w:pPr>
      <w:ind w:firstLine="420" w:firstLineChars="200"/>
    </w:pPr>
    <w:rPr>
      <w:rFonts w:ascii="Times New Roman"/>
    </w:rPr>
  </w:style>
  <w:style w:type="table" w:styleId="37">
    <w:name w:val="Table Grid"/>
    <w:basedOn w:val="3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basedOn w:val="38"/>
    <w:autoRedefine/>
    <w:qFormat/>
    <w:uiPriority w:val="0"/>
    <w:rPr>
      <w:b/>
      <w:bCs/>
    </w:rPr>
  </w:style>
  <w:style w:type="character" w:styleId="40">
    <w:name w:val="page number"/>
    <w:autoRedefine/>
    <w:qFormat/>
    <w:uiPriority w:val="0"/>
  </w:style>
  <w:style w:type="character" w:styleId="41">
    <w:name w:val="FollowedHyperlink"/>
    <w:basedOn w:val="38"/>
    <w:autoRedefine/>
    <w:qFormat/>
    <w:uiPriority w:val="0"/>
    <w:rPr>
      <w:rFonts w:hint="eastAsia" w:ascii="微软雅黑" w:hAnsi="微软雅黑" w:eastAsia="微软雅黑" w:cs="微软雅黑"/>
      <w:color w:val="428BCA"/>
      <w:u w:val="none"/>
    </w:rPr>
  </w:style>
  <w:style w:type="character" w:styleId="42">
    <w:name w:val="Emphasis"/>
    <w:autoRedefine/>
    <w:qFormat/>
    <w:uiPriority w:val="0"/>
    <w:rPr>
      <w:color w:val="CC0033"/>
    </w:rPr>
  </w:style>
  <w:style w:type="character" w:styleId="43">
    <w:name w:val="HTML Definition"/>
    <w:basedOn w:val="38"/>
    <w:autoRedefine/>
    <w:unhideWhenUsed/>
    <w:qFormat/>
    <w:uiPriority w:val="99"/>
    <w:rPr>
      <w:i/>
    </w:rPr>
  </w:style>
  <w:style w:type="character" w:styleId="44">
    <w:name w:val="Hyperlink"/>
    <w:basedOn w:val="38"/>
    <w:autoRedefine/>
    <w:qFormat/>
    <w:uiPriority w:val="0"/>
    <w:rPr>
      <w:rFonts w:hint="eastAsia" w:ascii="微软雅黑" w:hAnsi="微软雅黑" w:eastAsia="微软雅黑" w:cs="微软雅黑"/>
      <w:color w:val="428BCA"/>
      <w:u w:val="none"/>
    </w:rPr>
  </w:style>
  <w:style w:type="character" w:styleId="45">
    <w:name w:val="HTML Code"/>
    <w:basedOn w:val="38"/>
    <w:autoRedefine/>
    <w:unhideWhenUsed/>
    <w:qFormat/>
    <w:uiPriority w:val="99"/>
    <w:rPr>
      <w:rFonts w:hint="default" w:ascii="Consolas" w:hAnsi="Consolas" w:eastAsia="Consolas" w:cs="Consolas"/>
      <w:color w:val="C7254E"/>
      <w:sz w:val="21"/>
      <w:szCs w:val="21"/>
      <w:shd w:val="clear" w:color="auto" w:fill="F9F2F4"/>
    </w:rPr>
  </w:style>
  <w:style w:type="character" w:styleId="46">
    <w:name w:val="HTML Keyboard"/>
    <w:basedOn w:val="38"/>
    <w:autoRedefine/>
    <w:unhideWhenUsed/>
    <w:qFormat/>
    <w:uiPriority w:val="99"/>
    <w:rPr>
      <w:rFonts w:ascii="Consolas" w:hAnsi="Consolas" w:eastAsia="Consolas" w:cs="Consolas"/>
      <w:color w:val="FFFFFF"/>
      <w:sz w:val="21"/>
      <w:szCs w:val="21"/>
      <w:shd w:val="clear" w:color="auto" w:fill="333333"/>
    </w:rPr>
  </w:style>
  <w:style w:type="character" w:styleId="47">
    <w:name w:val="HTML Sample"/>
    <w:basedOn w:val="38"/>
    <w:autoRedefine/>
    <w:unhideWhenUsed/>
    <w:qFormat/>
    <w:uiPriority w:val="99"/>
    <w:rPr>
      <w:rFonts w:hint="default" w:ascii="Consolas" w:hAnsi="Consolas" w:eastAsia="Consolas" w:cs="Consolas"/>
      <w:sz w:val="21"/>
      <w:szCs w:val="21"/>
    </w:rPr>
  </w:style>
  <w:style w:type="paragraph" w:customStyle="1" w:styleId="48">
    <w:name w:val="正文_4"/>
    <w:next w:val="35"/>
    <w:autoRedefine/>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49">
    <w:name w:val="标题 1 Char"/>
    <w:link w:val="2"/>
    <w:autoRedefine/>
    <w:qFormat/>
    <w:uiPriority w:val="0"/>
    <w:rPr>
      <w:rFonts w:ascii="Times New Roman" w:hAnsi="Times New Roman" w:eastAsia="黑体" w:cs="Times New Roman"/>
      <w:b/>
      <w:kern w:val="44"/>
      <w:sz w:val="28"/>
      <w:szCs w:val="20"/>
    </w:rPr>
  </w:style>
  <w:style w:type="character" w:customStyle="1" w:styleId="50">
    <w:name w:val="标题 2 Char"/>
    <w:link w:val="3"/>
    <w:autoRedefine/>
    <w:qFormat/>
    <w:uiPriority w:val="0"/>
    <w:rPr>
      <w:rFonts w:ascii="Times New Roman" w:hAnsi="Times New Roman" w:eastAsia="黑体" w:cs="Times New Roman"/>
      <w:b/>
      <w:kern w:val="0"/>
      <w:sz w:val="28"/>
      <w:szCs w:val="20"/>
    </w:rPr>
  </w:style>
  <w:style w:type="character" w:customStyle="1" w:styleId="51">
    <w:name w:val="标题 3 Char"/>
    <w:link w:val="4"/>
    <w:autoRedefine/>
    <w:qFormat/>
    <w:uiPriority w:val="0"/>
    <w:rPr>
      <w:rFonts w:ascii="Times New Roman" w:hAnsi="Times New Roman" w:eastAsia="黑体" w:cs="Times New Roman"/>
      <w:b/>
      <w:kern w:val="0"/>
      <w:sz w:val="28"/>
      <w:szCs w:val="20"/>
    </w:rPr>
  </w:style>
  <w:style w:type="character" w:customStyle="1" w:styleId="52">
    <w:name w:val="标题 4 Char"/>
    <w:link w:val="6"/>
    <w:autoRedefine/>
    <w:qFormat/>
    <w:uiPriority w:val="0"/>
    <w:rPr>
      <w:rFonts w:ascii="Arial" w:hAnsi="Arial" w:eastAsia="黑体" w:cs="Times New Roman"/>
      <w:kern w:val="0"/>
      <w:sz w:val="28"/>
      <w:szCs w:val="20"/>
    </w:rPr>
  </w:style>
  <w:style w:type="character" w:customStyle="1" w:styleId="53">
    <w:name w:val="标题 5 Char"/>
    <w:link w:val="7"/>
    <w:autoRedefine/>
    <w:qFormat/>
    <w:uiPriority w:val="0"/>
    <w:rPr>
      <w:rFonts w:ascii="Times New Roman" w:hAnsi="Times New Roman" w:eastAsia="宋体" w:cs="Times New Roman"/>
      <w:b/>
      <w:kern w:val="0"/>
      <w:sz w:val="28"/>
      <w:szCs w:val="24"/>
    </w:rPr>
  </w:style>
  <w:style w:type="character" w:customStyle="1" w:styleId="54">
    <w:name w:val="文档结构图 Char"/>
    <w:link w:val="10"/>
    <w:autoRedefine/>
    <w:qFormat/>
    <w:uiPriority w:val="0"/>
    <w:rPr>
      <w:rFonts w:ascii="Times New Roman" w:hAnsi="Times New Roman" w:eastAsia="宋体" w:cs="Times New Roman"/>
      <w:szCs w:val="24"/>
      <w:shd w:val="clear" w:color="auto" w:fill="000080"/>
    </w:rPr>
  </w:style>
  <w:style w:type="character" w:customStyle="1" w:styleId="55">
    <w:name w:val="正文文本 3 Char"/>
    <w:link w:val="13"/>
    <w:autoRedefine/>
    <w:qFormat/>
    <w:uiPriority w:val="0"/>
    <w:rPr>
      <w:rFonts w:ascii="Times New Roman" w:hAnsi="Times New Roman" w:eastAsia="宋体" w:cs="Times New Roman"/>
      <w:sz w:val="24"/>
      <w:szCs w:val="24"/>
    </w:rPr>
  </w:style>
  <w:style w:type="character" w:customStyle="1" w:styleId="56">
    <w:name w:val="正文文本 Char"/>
    <w:link w:val="14"/>
    <w:autoRedefine/>
    <w:qFormat/>
    <w:uiPriority w:val="0"/>
    <w:rPr>
      <w:rFonts w:ascii="金山简黑体" w:hAnsi="金山简黑体" w:eastAsia="金山简黑体" w:cs="Times New Roman"/>
      <w:b/>
      <w:spacing w:val="-8"/>
      <w:sz w:val="44"/>
      <w:szCs w:val="20"/>
    </w:rPr>
  </w:style>
  <w:style w:type="character" w:customStyle="1" w:styleId="57">
    <w:name w:val="正文文本缩进 Char"/>
    <w:link w:val="15"/>
    <w:autoRedefine/>
    <w:qFormat/>
    <w:uiPriority w:val="0"/>
    <w:rPr>
      <w:rFonts w:ascii="宋体" w:hAnsi="Times New Roman" w:eastAsia="宋体" w:cs="Times New Roman"/>
      <w:spacing w:val="-4"/>
      <w:sz w:val="18"/>
      <w:szCs w:val="20"/>
    </w:rPr>
  </w:style>
  <w:style w:type="character" w:customStyle="1" w:styleId="58">
    <w:name w:val="纯文本 Char"/>
    <w:link w:val="18"/>
    <w:autoRedefine/>
    <w:qFormat/>
    <w:uiPriority w:val="0"/>
    <w:rPr>
      <w:rFonts w:ascii="宋体" w:hAnsi="Times New Roman" w:eastAsia="宋体" w:cs="Times New Roman"/>
      <w:szCs w:val="20"/>
    </w:rPr>
  </w:style>
  <w:style w:type="character" w:customStyle="1" w:styleId="59">
    <w:name w:val="日期 Char"/>
    <w:link w:val="20"/>
    <w:autoRedefine/>
    <w:qFormat/>
    <w:uiPriority w:val="0"/>
    <w:rPr>
      <w:rFonts w:ascii="Times New Roman" w:hAnsi="Times New Roman" w:eastAsia="宋体" w:cs="Times New Roman"/>
      <w:szCs w:val="24"/>
    </w:rPr>
  </w:style>
  <w:style w:type="character" w:customStyle="1" w:styleId="60">
    <w:name w:val="正文文本缩进 2 Char"/>
    <w:link w:val="21"/>
    <w:autoRedefine/>
    <w:qFormat/>
    <w:uiPriority w:val="0"/>
    <w:rPr>
      <w:rFonts w:ascii="Times New Roman" w:hAnsi="Times New Roman" w:eastAsia="宋体" w:cs="Times New Roman"/>
      <w:szCs w:val="24"/>
    </w:rPr>
  </w:style>
  <w:style w:type="character" w:customStyle="1" w:styleId="61">
    <w:name w:val="批注框文本 Char"/>
    <w:link w:val="22"/>
    <w:autoRedefine/>
    <w:qFormat/>
    <w:uiPriority w:val="0"/>
    <w:rPr>
      <w:rFonts w:ascii="Times New Roman" w:hAnsi="Times New Roman" w:eastAsia="宋体" w:cs="Times New Roman"/>
      <w:sz w:val="18"/>
      <w:szCs w:val="18"/>
    </w:rPr>
  </w:style>
  <w:style w:type="character" w:customStyle="1" w:styleId="62">
    <w:name w:val="页脚 Char"/>
    <w:link w:val="23"/>
    <w:autoRedefine/>
    <w:qFormat/>
    <w:uiPriority w:val="0"/>
    <w:rPr>
      <w:rFonts w:ascii="宋体" w:hAnsi="Times New Roman" w:eastAsia="宋体" w:cs="Times New Roman"/>
      <w:sz w:val="18"/>
      <w:szCs w:val="20"/>
    </w:rPr>
  </w:style>
  <w:style w:type="character" w:customStyle="1" w:styleId="63">
    <w:name w:val="页眉 Char"/>
    <w:link w:val="24"/>
    <w:autoRedefine/>
    <w:qFormat/>
    <w:uiPriority w:val="0"/>
    <w:rPr>
      <w:rFonts w:ascii="Times New Roman" w:hAnsi="Times New Roman" w:eastAsia="宋体" w:cs="Times New Roman"/>
      <w:sz w:val="18"/>
      <w:szCs w:val="18"/>
    </w:rPr>
  </w:style>
  <w:style w:type="character" w:customStyle="1" w:styleId="64">
    <w:name w:val="副标题 Char"/>
    <w:link w:val="27"/>
    <w:autoRedefine/>
    <w:qFormat/>
    <w:uiPriority w:val="0"/>
    <w:rPr>
      <w:rFonts w:ascii="Century Gothic" w:hAnsi="Century Gothic" w:eastAsia="宋体" w:cs="Century Gothic"/>
      <w:kern w:val="28"/>
      <w:szCs w:val="21"/>
    </w:rPr>
  </w:style>
  <w:style w:type="character" w:customStyle="1" w:styleId="65">
    <w:name w:val="正文文本缩进 3 Char"/>
    <w:link w:val="29"/>
    <w:autoRedefine/>
    <w:qFormat/>
    <w:uiPriority w:val="0"/>
    <w:rPr>
      <w:rFonts w:ascii="Times New Roman" w:hAnsi="Times New Roman" w:eastAsia="宋体" w:cs="Times New Roman"/>
      <w:sz w:val="24"/>
      <w:szCs w:val="24"/>
    </w:rPr>
  </w:style>
  <w:style w:type="character" w:customStyle="1" w:styleId="66">
    <w:name w:val="正文文本 2 Char"/>
    <w:link w:val="32"/>
    <w:autoRedefine/>
    <w:qFormat/>
    <w:uiPriority w:val="0"/>
    <w:rPr>
      <w:rFonts w:ascii="宋体" w:hAnsi="Times New Roman" w:eastAsia="宋体" w:cs="Times New Roman"/>
      <w:sz w:val="13"/>
      <w:szCs w:val="20"/>
    </w:rPr>
  </w:style>
  <w:style w:type="character" w:customStyle="1" w:styleId="67">
    <w:name w:val="HTML 预设格式 Char"/>
    <w:link w:val="33"/>
    <w:autoRedefine/>
    <w:qFormat/>
    <w:uiPriority w:val="0"/>
    <w:rPr>
      <w:rFonts w:ascii="宋体" w:hAnsi="宋体" w:eastAsia="宋体" w:cs="宋体"/>
      <w:kern w:val="0"/>
      <w:sz w:val="24"/>
      <w:szCs w:val="24"/>
    </w:rPr>
  </w:style>
  <w:style w:type="character" w:customStyle="1" w:styleId="68">
    <w:name w:val="纯文本 Char Char"/>
    <w:autoRedefine/>
    <w:qFormat/>
    <w:uiPriority w:val="0"/>
    <w:rPr>
      <w:rFonts w:ascii="宋体" w:hAnsi="Courier New" w:eastAsia="宋体" w:cs="Courier New"/>
      <w:szCs w:val="21"/>
    </w:rPr>
  </w:style>
  <w:style w:type="character" w:customStyle="1" w:styleId="69">
    <w:name w:val="Char Char Char Char Char"/>
    <w:autoRedefine/>
    <w:qFormat/>
    <w:uiPriority w:val="0"/>
    <w:rPr>
      <w:rFonts w:ascii="Century Gothic" w:hAnsi="Century Gothic"/>
      <w:bCs/>
      <w:kern w:val="28"/>
      <w:sz w:val="21"/>
      <w:szCs w:val="32"/>
    </w:rPr>
  </w:style>
  <w:style w:type="character" w:customStyle="1" w:styleId="70">
    <w:name w:val="不明显强调1"/>
    <w:autoRedefine/>
    <w:qFormat/>
    <w:uiPriority w:val="0"/>
    <w:rPr>
      <w:rFonts w:eastAsia="仿宋_GB2312"/>
      <w:iCs/>
      <w:color w:val="auto"/>
      <w:sz w:val="24"/>
    </w:rPr>
  </w:style>
  <w:style w:type="character" w:customStyle="1" w:styleId="71">
    <w:name w:val="font181"/>
    <w:basedOn w:val="38"/>
    <w:autoRedefine/>
    <w:qFormat/>
    <w:uiPriority w:val="0"/>
    <w:rPr>
      <w:rFonts w:hint="eastAsia" w:ascii="宋体" w:hAnsi="宋体" w:eastAsia="宋体" w:cs="宋体"/>
      <w:b/>
      <w:color w:val="000000"/>
      <w:sz w:val="20"/>
      <w:szCs w:val="20"/>
      <w:u w:val="none"/>
    </w:rPr>
  </w:style>
  <w:style w:type="character" w:customStyle="1" w:styleId="72">
    <w:name w:val="样式3 Char Char Char"/>
    <w:link w:val="73"/>
    <w:autoRedefine/>
    <w:qFormat/>
    <w:uiPriority w:val="0"/>
    <w:rPr>
      <w:rFonts w:ascii="黑体" w:hAnsi="黑体" w:eastAsia="黑体" w:cs="Times New Roman"/>
      <w:bCs/>
      <w:sz w:val="18"/>
      <w:szCs w:val="18"/>
    </w:rPr>
  </w:style>
  <w:style w:type="paragraph" w:customStyle="1" w:styleId="73">
    <w:name w:val="样式3"/>
    <w:basedOn w:val="24"/>
    <w:link w:val="72"/>
    <w:autoRedefine/>
    <w:qFormat/>
    <w:uiPriority w:val="0"/>
    <w:pPr>
      <w:pBdr>
        <w:bottom w:val="thickThinSmallGap" w:color="auto" w:sz="12" w:space="1"/>
      </w:pBdr>
      <w:jc w:val="left"/>
    </w:pPr>
    <w:rPr>
      <w:rFonts w:ascii="黑体" w:hAnsi="黑体" w:eastAsia="黑体"/>
      <w:bCs/>
    </w:rPr>
  </w:style>
  <w:style w:type="character" w:customStyle="1" w:styleId="74">
    <w:name w:val="样式4 Char Char"/>
    <w:link w:val="75"/>
    <w:autoRedefine/>
    <w:qFormat/>
    <w:uiPriority w:val="0"/>
    <w:rPr>
      <w:rFonts w:ascii="Times New Roman" w:hAnsi="Times New Roman" w:eastAsia="宋体" w:cs="Times New Roman"/>
      <w:bCs/>
      <w:sz w:val="18"/>
      <w:szCs w:val="18"/>
    </w:rPr>
  </w:style>
  <w:style w:type="paragraph" w:customStyle="1" w:styleId="75">
    <w:name w:val="样式4"/>
    <w:basedOn w:val="24"/>
    <w:link w:val="74"/>
    <w:autoRedefine/>
    <w:qFormat/>
    <w:uiPriority w:val="0"/>
    <w:pPr>
      <w:pBdr>
        <w:bottom w:val="thickThinSmallGap" w:color="auto" w:sz="12" w:space="1"/>
      </w:pBdr>
      <w:jc w:val="both"/>
    </w:pPr>
    <w:rPr>
      <w:bCs/>
    </w:rPr>
  </w:style>
  <w:style w:type="character" w:customStyle="1" w:styleId="76">
    <w:name w:val="font131"/>
    <w:basedOn w:val="38"/>
    <w:autoRedefine/>
    <w:qFormat/>
    <w:uiPriority w:val="0"/>
    <w:rPr>
      <w:rFonts w:hint="default" w:ascii="Arial" w:hAnsi="Arial" w:cs="Arial"/>
      <w:b/>
      <w:color w:val="000000"/>
      <w:sz w:val="22"/>
      <w:szCs w:val="22"/>
      <w:u w:val="none"/>
    </w:rPr>
  </w:style>
  <w:style w:type="character" w:customStyle="1" w:styleId="77">
    <w:name w:val="grame"/>
    <w:autoRedefine/>
    <w:qFormat/>
    <w:uiPriority w:val="0"/>
  </w:style>
  <w:style w:type="character" w:customStyle="1" w:styleId="78">
    <w:name w:val="px12h161"/>
    <w:autoRedefine/>
    <w:qFormat/>
    <w:uiPriority w:val="0"/>
    <w:rPr>
      <w:sz w:val="14"/>
      <w:szCs w:val="14"/>
    </w:rPr>
  </w:style>
  <w:style w:type="character" w:customStyle="1" w:styleId="79">
    <w:name w:val="样式5 Char Char"/>
    <w:link w:val="80"/>
    <w:autoRedefine/>
    <w:qFormat/>
    <w:uiPriority w:val="0"/>
    <w:rPr>
      <w:rFonts w:ascii="宋体" w:hAnsi="Times New Roman" w:eastAsia="宋体" w:cs="Times New Roman"/>
      <w:szCs w:val="20"/>
      <w:u w:val="single"/>
    </w:rPr>
  </w:style>
  <w:style w:type="paragraph" w:customStyle="1" w:styleId="80">
    <w:name w:val="样式5"/>
    <w:basedOn w:val="18"/>
    <w:link w:val="79"/>
    <w:autoRedefine/>
    <w:qFormat/>
    <w:uiPriority w:val="0"/>
    <w:pPr>
      <w:pBdr>
        <w:bottom w:val="thickThinSmallGap" w:color="auto" w:sz="12" w:space="1"/>
      </w:pBdr>
      <w:tabs>
        <w:tab w:val="center" w:pos="4535"/>
      </w:tabs>
      <w:jc w:val="center"/>
    </w:pPr>
    <w:rPr>
      <w:u w:val="single"/>
    </w:rPr>
  </w:style>
  <w:style w:type="character" w:customStyle="1" w:styleId="81">
    <w:name w:val="副标题 Char1"/>
    <w:autoRedefine/>
    <w:qFormat/>
    <w:uiPriority w:val="0"/>
    <w:rPr>
      <w:rFonts w:ascii="Cambria" w:hAnsi="Cambria" w:eastAsia="宋体" w:cs="黑体"/>
      <w:b/>
      <w:bCs/>
      <w:kern w:val="28"/>
      <w:sz w:val="32"/>
      <w:szCs w:val="32"/>
    </w:rPr>
  </w:style>
  <w:style w:type="character" w:customStyle="1" w:styleId="82">
    <w:name w:val="普通文字1 Char1"/>
    <w:autoRedefine/>
    <w:qFormat/>
    <w:uiPriority w:val="0"/>
    <w:rPr>
      <w:rFonts w:ascii="宋体" w:eastAsia="宋体"/>
      <w:kern w:val="2"/>
      <w:sz w:val="21"/>
      <w:lang w:val="en-US" w:eastAsia="zh-CN" w:bidi="ar-SA"/>
    </w:rPr>
  </w:style>
  <w:style w:type="character" w:customStyle="1" w:styleId="83">
    <w:name w:val="样式3 Char Char"/>
    <w:autoRedefine/>
    <w:qFormat/>
    <w:uiPriority w:val="0"/>
    <w:rPr>
      <w:rFonts w:ascii="Century Gothic" w:hAnsi="Century Gothic" w:eastAsia="宋体"/>
      <w:kern w:val="2"/>
      <w:sz w:val="21"/>
      <w:szCs w:val="21"/>
      <w:lang w:val="en-US" w:eastAsia="zh-CN" w:bidi="ar-SA"/>
    </w:rPr>
  </w:style>
  <w:style w:type="character" w:customStyle="1" w:styleId="84">
    <w:name w:val="Char Char2"/>
    <w:autoRedefine/>
    <w:qFormat/>
    <w:uiPriority w:val="0"/>
    <w:rPr>
      <w:rFonts w:eastAsia="宋体"/>
      <w:kern w:val="2"/>
      <w:sz w:val="18"/>
      <w:szCs w:val="18"/>
      <w:lang w:val="en-US" w:eastAsia="zh-CN" w:bidi="ar-SA"/>
    </w:rPr>
  </w:style>
  <w:style w:type="paragraph" w:customStyle="1" w:styleId="85">
    <w:name w:val="default"/>
    <w:basedOn w:val="1"/>
    <w:autoRedefine/>
    <w:qFormat/>
    <w:uiPriority w:val="0"/>
    <w:pPr>
      <w:widowControl/>
      <w:spacing w:before="100" w:beforeLines="0" w:beforeAutospacing="1" w:after="100" w:afterLines="0" w:afterAutospacing="1"/>
      <w:jc w:val="left"/>
    </w:pPr>
    <w:rPr>
      <w:rFonts w:ascii="宋体" w:hAnsi="宋体" w:cs="宋体"/>
      <w:kern w:val="0"/>
      <w:sz w:val="24"/>
    </w:rPr>
  </w:style>
  <w:style w:type="paragraph" w:customStyle="1" w:styleId="86">
    <w:name w:val="正文 New New New New New New New New New New New New New New New New New New New New New New New New New New New New New New New New New New New New New New New"/>
    <w:autoRedefine/>
    <w:qFormat/>
    <w:uiPriority w:val="0"/>
    <w:pPr>
      <w:widowControl w:val="0"/>
      <w:spacing w:line="460" w:lineRule="exact"/>
      <w:jc w:val="both"/>
    </w:pPr>
    <w:rPr>
      <w:rFonts w:ascii="Times New Roman" w:hAnsi="Times New Roman" w:eastAsia="宋体" w:cs="Times New Roman"/>
      <w:spacing w:val="6"/>
      <w:sz w:val="24"/>
      <w:szCs w:val="24"/>
      <w:lang w:val="en-US" w:eastAsia="zh-CN" w:bidi="ar-SA"/>
    </w:rPr>
  </w:style>
  <w:style w:type="paragraph" w:customStyle="1" w:styleId="87">
    <w:name w:val="正文 New New New New New New New New New New New New New New New New New New New New New New New New New"/>
    <w:autoRedefine/>
    <w:qFormat/>
    <w:uiPriority w:val="0"/>
    <w:pPr>
      <w:widowControl w:val="0"/>
      <w:jc w:val="both"/>
    </w:pPr>
    <w:rPr>
      <w:rFonts w:ascii="Times New Roman" w:hAnsi="Times New Roman" w:eastAsia="宋体" w:cs="Times New Roman"/>
      <w:lang w:val="en-US" w:eastAsia="zh-CN" w:bidi="ar-SA"/>
    </w:rPr>
  </w:style>
  <w:style w:type="paragraph" w:customStyle="1" w:styleId="88">
    <w:name w:val="正文 New New New New New New New New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89">
    <w:name w:val="正文 New New New New New New New New New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90">
    <w:name w:val="正文 New New New New New New New New New New New New New New New New New New New"/>
    <w:autoRedefine/>
    <w:qFormat/>
    <w:uiPriority w:val="0"/>
    <w:pPr>
      <w:widowControl w:val="0"/>
      <w:jc w:val="both"/>
    </w:pPr>
    <w:rPr>
      <w:rFonts w:ascii="Times New Roman" w:hAnsi="Times New Roman" w:eastAsia="宋体" w:cs="Times New Roman"/>
      <w:lang w:val="en-US" w:eastAsia="zh-CN" w:bidi="ar-SA"/>
    </w:rPr>
  </w:style>
  <w:style w:type="paragraph" w:customStyle="1" w:styleId="91">
    <w:name w:val="纯文本 New"/>
    <w:basedOn w:val="92"/>
    <w:autoRedefine/>
    <w:qFormat/>
    <w:uiPriority w:val="0"/>
    <w:pPr>
      <w:widowControl/>
      <w:spacing w:before="100" w:beforeLines="0" w:beforeAutospacing="1" w:after="100" w:afterLines="0" w:afterAutospacing="1"/>
      <w:jc w:val="left"/>
    </w:pPr>
    <w:rPr>
      <w:rFonts w:ascii="宋体" w:hAnsi="宋体" w:cs="宋体"/>
      <w:sz w:val="24"/>
      <w:szCs w:val="24"/>
    </w:rPr>
  </w:style>
  <w:style w:type="paragraph" w:customStyle="1" w:styleId="92">
    <w:name w:val="正文 New New New"/>
    <w:autoRedefine/>
    <w:qFormat/>
    <w:uiPriority w:val="0"/>
    <w:pPr>
      <w:widowControl w:val="0"/>
      <w:jc w:val="both"/>
    </w:pPr>
    <w:rPr>
      <w:rFonts w:ascii="Times New Roman" w:hAnsi="Times New Roman" w:eastAsia="宋体" w:cs="Times New Roman"/>
      <w:lang w:val="en-US" w:eastAsia="zh-CN" w:bidi="ar-SA"/>
    </w:rPr>
  </w:style>
  <w:style w:type="paragraph" w:customStyle="1" w:styleId="93">
    <w:name w:val="List Paragraph"/>
    <w:basedOn w:val="1"/>
    <w:autoRedefine/>
    <w:qFormat/>
    <w:uiPriority w:val="0"/>
    <w:pPr>
      <w:ind w:firstLine="420" w:firstLineChars="200"/>
    </w:pPr>
  </w:style>
  <w:style w:type="paragraph" w:customStyle="1" w:styleId="94">
    <w:name w:val="Char1"/>
    <w:basedOn w:val="1"/>
    <w:autoRedefine/>
    <w:qFormat/>
    <w:uiPriority w:val="0"/>
    <w:pPr>
      <w:widowControl/>
      <w:spacing w:after="160" w:afterLines="0" w:line="240" w:lineRule="exact"/>
      <w:jc w:val="left"/>
    </w:pPr>
    <w:rPr>
      <w:szCs w:val="20"/>
    </w:rPr>
  </w:style>
  <w:style w:type="paragraph" w:customStyle="1" w:styleId="95">
    <w:name w:val="列出段落1"/>
    <w:basedOn w:val="1"/>
    <w:autoRedefine/>
    <w:qFormat/>
    <w:uiPriority w:val="0"/>
    <w:pPr>
      <w:ind w:firstLine="420" w:firstLineChars="200"/>
    </w:pPr>
    <w:rPr>
      <w:szCs w:val="21"/>
    </w:rPr>
  </w:style>
  <w:style w:type="paragraph" w:customStyle="1" w:styleId="96">
    <w:name w:val="正文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97">
    <w:name w:val="正文 New New New New New New New New New New New New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98">
    <w:name w:val="纯文本 New New New"/>
    <w:basedOn w:val="99"/>
    <w:autoRedefine/>
    <w:qFormat/>
    <w:uiPriority w:val="0"/>
  </w:style>
  <w:style w:type="paragraph" w:customStyle="1" w:styleId="99">
    <w:name w:val="正文 New New New New New New New New New New New New New New New New New New New New"/>
    <w:autoRedefine/>
    <w:qFormat/>
    <w:uiPriority w:val="0"/>
    <w:pPr>
      <w:widowControl w:val="0"/>
      <w:jc w:val="both"/>
    </w:pPr>
    <w:rPr>
      <w:rFonts w:ascii="Times New Roman" w:hAnsi="Times New Roman" w:eastAsia="宋体" w:cs="Times New Roman"/>
      <w:lang w:val="en-US" w:eastAsia="zh-CN" w:bidi="ar-SA"/>
    </w:rPr>
  </w:style>
  <w:style w:type="paragraph" w:customStyle="1" w:styleId="100">
    <w:name w:val="正文 New New New New New"/>
    <w:autoRedefine/>
    <w:qFormat/>
    <w:uiPriority w:val="0"/>
    <w:pPr>
      <w:widowControl w:val="0"/>
      <w:jc w:val="both"/>
    </w:pPr>
    <w:rPr>
      <w:rFonts w:ascii="Times New Roman" w:hAnsi="Times New Roman" w:eastAsia="宋体" w:cs="Times New Roman"/>
      <w:lang w:val="en-US" w:eastAsia="zh-CN" w:bidi="ar-SA"/>
    </w:rPr>
  </w:style>
  <w:style w:type="paragraph" w:customStyle="1" w:styleId="101">
    <w:name w:val="题目"/>
    <w:basedOn w:val="1"/>
    <w:autoRedefine/>
    <w:qFormat/>
    <w:uiPriority w:val="0"/>
    <w:pPr>
      <w:snapToGrid w:val="0"/>
      <w:spacing w:line="480" w:lineRule="auto"/>
      <w:jc w:val="center"/>
    </w:pPr>
    <w:rPr>
      <w:rFonts w:ascii="方正小标宋_GBK" w:hAnsi="宋体" w:eastAsia="方正小标宋_GBK"/>
      <w:sz w:val="44"/>
      <w:szCs w:val="44"/>
    </w:rPr>
  </w:style>
  <w:style w:type="paragraph" w:customStyle="1" w:styleId="102">
    <w:name w:val="正文 New New New New New New New New New New New New New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103">
    <w:name w:val="正文 New New New New New New"/>
    <w:autoRedefine/>
    <w:qFormat/>
    <w:uiPriority w:val="0"/>
    <w:pPr>
      <w:widowControl w:val="0"/>
      <w:jc w:val="both"/>
    </w:pPr>
    <w:rPr>
      <w:rFonts w:ascii="Times New Roman" w:hAnsi="Times New Roman" w:eastAsia="宋体" w:cs="Times New Roman"/>
      <w:lang w:val="en-US" w:eastAsia="zh-CN" w:bidi="ar-SA"/>
    </w:rPr>
  </w:style>
  <w:style w:type="paragraph" w:customStyle="1" w:styleId="104">
    <w:name w:val="纯文本 New New"/>
    <w:basedOn w:val="90"/>
    <w:autoRedefine/>
    <w:qFormat/>
    <w:uiPriority w:val="0"/>
    <w:pPr>
      <w:widowControl/>
      <w:spacing w:before="100" w:beforeLines="0" w:beforeAutospacing="1" w:after="100" w:afterLines="0" w:afterAutospacing="1"/>
      <w:jc w:val="left"/>
    </w:pPr>
    <w:rPr>
      <w:rFonts w:ascii="宋体" w:hAnsi="宋体" w:cs="宋体"/>
      <w:sz w:val="24"/>
      <w:szCs w:val="24"/>
    </w:rPr>
  </w:style>
  <w:style w:type="paragraph" w:customStyle="1" w:styleId="105">
    <w:name w:val="正文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106">
    <w:name w:val="正文 New New New New New New New New New New New New New New New New New New New New New New New"/>
    <w:autoRedefine/>
    <w:qFormat/>
    <w:uiPriority w:val="0"/>
    <w:pPr>
      <w:widowControl w:val="0"/>
      <w:jc w:val="both"/>
    </w:pPr>
    <w:rPr>
      <w:rFonts w:ascii="Times New Roman" w:hAnsi="Times New Roman" w:eastAsia="宋体" w:cs="Times New Roman"/>
      <w:lang w:val="en-US" w:eastAsia="zh-CN" w:bidi="ar-SA"/>
    </w:rPr>
  </w:style>
  <w:style w:type="paragraph" w:customStyle="1" w:styleId="107">
    <w:name w:val="列出段落11"/>
    <w:basedOn w:val="1"/>
    <w:autoRedefine/>
    <w:qFormat/>
    <w:uiPriority w:val="0"/>
    <w:pPr>
      <w:ind w:firstLine="420" w:firstLineChars="200"/>
    </w:pPr>
    <w:rPr>
      <w:szCs w:val="20"/>
    </w:rPr>
  </w:style>
  <w:style w:type="paragraph" w:customStyle="1" w:styleId="108">
    <w:name w:val="文档正文"/>
    <w:basedOn w:val="1"/>
    <w:autoRedefine/>
    <w:qFormat/>
    <w:uiPriority w:val="0"/>
    <w:pPr>
      <w:adjustRightInd w:val="0"/>
      <w:snapToGrid w:val="0"/>
      <w:spacing w:line="360" w:lineRule="auto"/>
      <w:ind w:left="13" w:leftChars="-45" w:hanging="107" w:hangingChars="51"/>
    </w:pPr>
    <w:rPr>
      <w:rFonts w:ascii="宋体" w:hAnsi="宋体"/>
      <w:color w:val="FF0000"/>
      <w:kern w:val="0"/>
      <w:szCs w:val="20"/>
    </w:rPr>
  </w:style>
  <w:style w:type="paragraph" w:customStyle="1" w:styleId="109">
    <w:name w:val="表格"/>
    <w:basedOn w:val="1"/>
    <w:autoRedefine/>
    <w:qFormat/>
    <w:uiPriority w:val="0"/>
    <w:pPr>
      <w:tabs>
        <w:tab w:val="left" w:pos="1200"/>
      </w:tabs>
      <w:spacing w:line="500" w:lineRule="exact"/>
      <w:jc w:val="center"/>
    </w:pPr>
    <w:rPr>
      <w:rFonts w:ascii="宋体"/>
      <w:sz w:val="24"/>
      <w:szCs w:val="18"/>
    </w:rPr>
  </w:style>
  <w:style w:type="paragraph" w:customStyle="1" w:styleId="110">
    <w:name w:val="para"/>
    <w:basedOn w:val="1"/>
    <w:autoRedefine/>
    <w:qFormat/>
    <w:uiPriority w:val="0"/>
    <w:pPr>
      <w:widowControl/>
      <w:adjustRightInd w:val="0"/>
      <w:spacing w:before="160" w:beforeLines="0" w:line="360" w:lineRule="auto"/>
      <w:ind w:firstLine="425"/>
      <w:textAlignment w:val="baseline"/>
    </w:pPr>
    <w:rPr>
      <w:kern w:val="0"/>
      <w:sz w:val="24"/>
      <w:szCs w:val="20"/>
      <w:lang w:eastAsia="en-US"/>
    </w:rPr>
  </w:style>
  <w:style w:type="paragraph" w:customStyle="1" w:styleId="111">
    <w:name w:val="正文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112">
    <w:name w:val="正文 New New New New New New New New New New New New New New New New New New New New New New New New"/>
    <w:autoRedefine/>
    <w:qFormat/>
    <w:uiPriority w:val="0"/>
    <w:pPr>
      <w:widowControl w:val="0"/>
      <w:jc w:val="both"/>
    </w:pPr>
    <w:rPr>
      <w:rFonts w:ascii="Times New Roman" w:hAnsi="Times New Roman" w:eastAsia="宋体" w:cs="Times New Roman"/>
      <w:lang w:val="en-US" w:eastAsia="zh-CN" w:bidi="ar-SA"/>
    </w:rPr>
  </w:style>
  <w:style w:type="paragraph" w:customStyle="1" w:styleId="113">
    <w:name w:val="正文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114">
    <w:name w:val="样式2"/>
    <w:basedOn w:val="3"/>
    <w:autoRedefine/>
    <w:qFormat/>
    <w:uiPriority w:val="0"/>
    <w:pPr>
      <w:tabs>
        <w:tab w:val="left" w:pos="1021"/>
        <w:tab w:val="clear" w:pos="360"/>
      </w:tabs>
      <w:spacing w:line="440" w:lineRule="exact"/>
      <w:jc w:val="center"/>
    </w:pPr>
    <w:rPr>
      <w:rFonts w:ascii="宋体" w:hAnsi="宋体"/>
      <w:b w:val="0"/>
      <w:sz w:val="32"/>
    </w:rPr>
  </w:style>
  <w:style w:type="paragraph" w:customStyle="1" w:styleId="115">
    <w:name w:val="正文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116">
    <w:name w:val="正文 New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117">
    <w:name w:val="正文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118">
    <w:name w:val="正文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119">
    <w:name w:val="副标题 New New New"/>
    <w:basedOn w:val="120"/>
    <w:next w:val="120"/>
    <w:autoRedefine/>
    <w:qFormat/>
    <w:uiPriority w:val="0"/>
    <w:pPr>
      <w:tabs>
        <w:tab w:val="left" w:pos="779"/>
      </w:tabs>
      <w:ind w:left="779" w:hanging="420"/>
      <w:jc w:val="left"/>
      <w:outlineLvl w:val="1"/>
    </w:pPr>
    <w:rPr>
      <w:rFonts w:ascii="Century Gothic" w:hAnsi="Century Gothic"/>
      <w:bCs/>
      <w:kern w:val="28"/>
      <w:szCs w:val="32"/>
    </w:rPr>
  </w:style>
  <w:style w:type="paragraph" w:customStyle="1" w:styleId="120">
    <w:name w:val="正文 New New New New New New New New New New New New New New New New New New"/>
    <w:autoRedefine/>
    <w:qFormat/>
    <w:uiPriority w:val="0"/>
    <w:pPr>
      <w:widowControl w:val="0"/>
      <w:jc w:val="both"/>
    </w:pPr>
    <w:rPr>
      <w:rFonts w:ascii="Times New Roman" w:hAnsi="Times New Roman" w:eastAsia="宋体" w:cs="Times New Roman"/>
      <w:lang w:val="en-US" w:eastAsia="zh-CN" w:bidi="ar-SA"/>
    </w:rPr>
  </w:style>
  <w:style w:type="paragraph" w:customStyle="1" w:styleId="121">
    <w:name w:val="正文 New New New New New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122">
    <w:name w:val="正文 New New New New New New New"/>
    <w:autoRedefine/>
    <w:qFormat/>
    <w:uiPriority w:val="0"/>
    <w:pPr>
      <w:widowControl w:val="0"/>
      <w:jc w:val="both"/>
    </w:pPr>
    <w:rPr>
      <w:rFonts w:ascii="Times New Roman" w:hAnsi="Times New Roman" w:eastAsia="宋体" w:cs="Times New Roman"/>
      <w:lang w:val="en-US" w:eastAsia="zh-CN" w:bidi="ar-SA"/>
    </w:rPr>
  </w:style>
  <w:style w:type="paragraph" w:customStyle="1" w:styleId="123">
    <w:name w:val="Absatz2AL"/>
    <w:basedOn w:val="14"/>
    <w:next w:val="1"/>
    <w:autoRedefine/>
    <w:qFormat/>
    <w:uiPriority w:val="0"/>
    <w:pPr>
      <w:widowControl/>
      <w:overflowPunct w:val="0"/>
      <w:autoSpaceDE w:val="0"/>
      <w:autoSpaceDN w:val="0"/>
      <w:adjustRightInd w:val="0"/>
      <w:textAlignment w:val="baseline"/>
    </w:pPr>
    <w:rPr>
      <w:rFonts w:ascii="Times New Roman" w:hAnsi="Times New Roman" w:eastAsia="楷体_GB2312"/>
      <w:b w:val="0"/>
      <w:spacing w:val="0"/>
      <w:kern w:val="0"/>
      <w:sz w:val="24"/>
    </w:rPr>
  </w:style>
  <w:style w:type="paragraph" w:customStyle="1" w:styleId="124">
    <w:name w:val="正文 New New New New New New New New New New New New New New New New New New New New New New"/>
    <w:autoRedefine/>
    <w:qFormat/>
    <w:uiPriority w:val="0"/>
    <w:pPr>
      <w:widowControl w:val="0"/>
      <w:jc w:val="both"/>
    </w:pPr>
    <w:rPr>
      <w:rFonts w:ascii="Times New Roman" w:hAnsi="Times New Roman" w:eastAsia="宋体" w:cs="Times New Roman"/>
      <w:lang w:val="en-US" w:eastAsia="zh-CN" w:bidi="ar-SA"/>
    </w:rPr>
  </w:style>
  <w:style w:type="paragraph" w:customStyle="1" w:styleId="125">
    <w:name w:val="正文 New New New New New New New New New New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126">
    <w:name w:val="正文五号"/>
    <w:basedOn w:val="1"/>
    <w:autoRedefine/>
    <w:qFormat/>
    <w:uiPriority w:val="0"/>
    <w:rPr>
      <w:rFonts w:hint="eastAsia" w:ascii="宋体" w:eastAsia="仿宋_GB2312"/>
      <w:szCs w:val="20"/>
    </w:rPr>
  </w:style>
  <w:style w:type="paragraph" w:customStyle="1" w:styleId="127">
    <w:name w:val="Default"/>
    <w:autoRedefine/>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128">
    <w:name w:val="缺省文本"/>
    <w:basedOn w:val="1"/>
    <w:autoRedefine/>
    <w:qFormat/>
    <w:uiPriority w:val="0"/>
    <w:pPr>
      <w:autoSpaceDE w:val="0"/>
      <w:autoSpaceDN w:val="0"/>
      <w:adjustRightInd w:val="0"/>
      <w:jc w:val="left"/>
    </w:pPr>
    <w:rPr>
      <w:kern w:val="0"/>
      <w:sz w:val="24"/>
      <w:szCs w:val="20"/>
    </w:rPr>
  </w:style>
  <w:style w:type="paragraph" w:customStyle="1" w:styleId="129">
    <w:name w:val="样式1"/>
    <w:basedOn w:val="3"/>
    <w:autoRedefine/>
    <w:qFormat/>
    <w:uiPriority w:val="0"/>
    <w:pPr>
      <w:tabs>
        <w:tab w:val="left" w:pos="1021"/>
        <w:tab w:val="clear" w:pos="360"/>
      </w:tabs>
    </w:pPr>
  </w:style>
  <w:style w:type="paragraph" w:customStyle="1" w:styleId="130">
    <w:name w:val="正文 New New New New New New New New New New New New New New New New New New New New New New New New New New New New New New New New New New New New New New New New"/>
    <w:autoRedefine/>
    <w:qFormat/>
    <w:uiPriority w:val="0"/>
    <w:pPr>
      <w:widowControl w:val="0"/>
      <w:spacing w:line="460" w:lineRule="exact"/>
      <w:jc w:val="both"/>
    </w:pPr>
    <w:rPr>
      <w:rFonts w:ascii="Times New Roman" w:hAnsi="Times New Roman" w:eastAsia="宋体" w:cs="Times New Roman"/>
      <w:spacing w:val="6"/>
      <w:sz w:val="24"/>
      <w:szCs w:val="24"/>
      <w:lang w:val="en-US" w:eastAsia="zh-CN" w:bidi="ar-SA"/>
    </w:rPr>
  </w:style>
  <w:style w:type="paragraph" w:customStyle="1" w:styleId="131">
    <w:name w:val="正文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lang w:val="en-US" w:eastAsia="zh-CN" w:bidi="ar-SA"/>
    </w:rPr>
  </w:style>
  <w:style w:type="paragraph" w:customStyle="1" w:styleId="132">
    <w:name w:val="正文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lang w:val="en-US" w:eastAsia="zh-CN" w:bidi="ar-SA"/>
    </w:rPr>
  </w:style>
  <w:style w:type="paragraph" w:customStyle="1" w:styleId="133">
    <w:name w:val="正文 New New New New New New New New New New New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134">
    <w:name w:val="xl23"/>
    <w:next w:val="31"/>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35">
    <w:name w:val="Char"/>
    <w:basedOn w:val="1"/>
    <w:autoRedefine/>
    <w:qFormat/>
    <w:uiPriority w:val="0"/>
    <w:rPr>
      <w:rFonts w:ascii="Tahoma" w:hAnsi="Tahoma"/>
      <w:sz w:val="24"/>
      <w:szCs w:val="20"/>
    </w:rPr>
  </w:style>
  <w:style w:type="paragraph" w:customStyle="1" w:styleId="136">
    <w:name w:val="正文 New New New New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137">
    <w:name w:val="正文 New New New New New New New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138">
    <w:name w:val="正文1"/>
    <w:basedOn w:val="1"/>
    <w:autoRedefine/>
    <w:qFormat/>
    <w:uiPriority w:val="0"/>
    <w:pPr>
      <w:spacing w:line="360" w:lineRule="auto"/>
      <w:ind w:firstLine="200"/>
      <w:jc w:val="left"/>
    </w:pPr>
    <w:rPr>
      <w:rFonts w:eastAsia="Times New Roman" w:cs="宋体"/>
      <w:kern w:val="0"/>
      <w:sz w:val="28"/>
      <w:szCs w:val="20"/>
      <w:lang w:eastAsia="en-US"/>
    </w:rPr>
  </w:style>
  <w:style w:type="paragraph" w:customStyle="1" w:styleId="139">
    <w:name w:val="普通(网站) New"/>
    <w:basedOn w:val="112"/>
    <w:autoRedefine/>
    <w:qFormat/>
    <w:uiPriority w:val="0"/>
    <w:pPr>
      <w:widowControl/>
      <w:spacing w:before="100" w:beforeLines="0" w:beforeAutospacing="1" w:after="100" w:afterLines="0" w:afterAutospacing="1"/>
      <w:jc w:val="left"/>
    </w:pPr>
    <w:rPr>
      <w:rFonts w:ascii="宋体" w:hAnsi="宋体"/>
      <w:sz w:val="24"/>
      <w:szCs w:val="24"/>
    </w:rPr>
  </w:style>
  <w:style w:type="paragraph" w:customStyle="1" w:styleId="140">
    <w:name w:val="正文 New New New New New New New New New New New New New New New New New New New New New"/>
    <w:autoRedefine/>
    <w:qFormat/>
    <w:uiPriority w:val="0"/>
    <w:pPr>
      <w:widowControl w:val="0"/>
      <w:jc w:val="both"/>
    </w:pPr>
    <w:rPr>
      <w:rFonts w:ascii="Times New Roman" w:hAnsi="Times New Roman" w:eastAsia="宋体" w:cs="Times New Roman"/>
      <w:lang w:val="en-US" w:eastAsia="zh-CN" w:bidi="ar-SA"/>
    </w:rPr>
  </w:style>
  <w:style w:type="paragraph" w:customStyle="1" w:styleId="141">
    <w:name w:val="样式 黑体 居中 首行缩进:  0.35 厘米 行距: 1.5 倍行距"/>
    <w:basedOn w:val="1"/>
    <w:autoRedefine/>
    <w:qFormat/>
    <w:uiPriority w:val="0"/>
    <w:pPr>
      <w:widowControl/>
      <w:jc w:val="center"/>
    </w:pPr>
    <w:rPr>
      <w:rFonts w:ascii="黑体" w:hAnsi="黑体" w:eastAsia="黑体"/>
      <w:kern w:val="0"/>
      <w:sz w:val="24"/>
      <w:szCs w:val="20"/>
    </w:rPr>
  </w:style>
  <w:style w:type="paragraph" w:customStyle="1" w:styleId="142">
    <w:name w:val="附件正文"/>
    <w:autoRedefine/>
    <w:qFormat/>
    <w:uiPriority w:val="0"/>
    <w:pPr>
      <w:snapToGrid w:val="0"/>
      <w:spacing w:line="500" w:lineRule="exact"/>
      <w:ind w:firstLine="540" w:firstLineChars="225"/>
    </w:pPr>
    <w:rPr>
      <w:rFonts w:ascii="Times New Roman" w:hAnsi="Times New Roman" w:eastAsia="宋体" w:cs="Times New Roman"/>
      <w:sz w:val="24"/>
      <w:lang w:val="en-US" w:eastAsia="zh-CN" w:bidi="ar-SA"/>
    </w:rPr>
  </w:style>
  <w:style w:type="paragraph" w:customStyle="1" w:styleId="143">
    <w:name w:val="_Style 142"/>
    <w:basedOn w:val="1"/>
    <w:autoRedefine/>
    <w:qFormat/>
    <w:uiPriority w:val="0"/>
    <w:pPr>
      <w:ind w:firstLine="420" w:firstLineChars="200"/>
    </w:pPr>
  </w:style>
  <w:style w:type="paragraph" w:customStyle="1" w:styleId="144">
    <w:name w:val="副标题 New New"/>
    <w:basedOn w:val="1"/>
    <w:next w:val="1"/>
    <w:autoRedefine/>
    <w:qFormat/>
    <w:uiPriority w:val="0"/>
    <w:pPr>
      <w:tabs>
        <w:tab w:val="left" w:pos="840"/>
      </w:tabs>
      <w:ind w:left="840" w:hanging="420"/>
      <w:jc w:val="left"/>
      <w:outlineLvl w:val="1"/>
    </w:pPr>
    <w:rPr>
      <w:rFonts w:ascii="Century Gothic" w:hAnsi="Century Gothic" w:cs="Century Gothic"/>
      <w:kern w:val="28"/>
      <w:szCs w:val="21"/>
    </w:rPr>
  </w:style>
  <w:style w:type="paragraph" w:customStyle="1" w:styleId="145">
    <w:name w:val="Char Char Char"/>
    <w:basedOn w:val="1"/>
    <w:autoRedefine/>
    <w:qFormat/>
    <w:uiPriority w:val="0"/>
    <w:pPr>
      <w:ind w:firstLine="200" w:firstLineChars="200"/>
    </w:pPr>
    <w:rPr>
      <w:sz w:val="24"/>
    </w:rPr>
  </w:style>
  <w:style w:type="paragraph" w:customStyle="1" w:styleId="146">
    <w:name w:val="Char Char1 Char Char"/>
    <w:basedOn w:val="1"/>
    <w:autoRedefine/>
    <w:qFormat/>
    <w:uiPriority w:val="0"/>
    <w:pPr>
      <w:tabs>
        <w:tab w:val="left" w:pos="360"/>
      </w:tabs>
    </w:pPr>
    <w:rPr>
      <w:szCs w:val="20"/>
    </w:rPr>
  </w:style>
  <w:style w:type="paragraph" w:customStyle="1" w:styleId="147">
    <w:name w:val="Char13"/>
    <w:basedOn w:val="1"/>
    <w:autoRedefine/>
    <w:qFormat/>
    <w:uiPriority w:val="0"/>
  </w:style>
  <w:style w:type="paragraph" w:customStyle="1" w:styleId="148">
    <w:name w:val="Char Char Char Char Char Char Char Char Char Char Char Char"/>
    <w:basedOn w:val="1"/>
    <w:autoRedefine/>
    <w:qFormat/>
    <w:uiPriority w:val="0"/>
    <w:pPr>
      <w:tabs>
        <w:tab w:val="right" w:pos="-2120"/>
      </w:tabs>
      <w:snapToGrid w:val="0"/>
    </w:pPr>
    <w:rPr>
      <w:rFonts w:ascii="Tahoma" w:hAnsi="Tahoma"/>
      <w:spacing w:val="6"/>
      <w:sz w:val="24"/>
      <w:szCs w:val="20"/>
    </w:rPr>
  </w:style>
  <w:style w:type="paragraph" w:customStyle="1" w:styleId="149">
    <w:name w:val="正文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150">
    <w:name w:val="List Paragraph1"/>
    <w:basedOn w:val="1"/>
    <w:autoRedefine/>
    <w:qFormat/>
    <w:uiPriority w:val="0"/>
    <w:pPr>
      <w:ind w:firstLine="420" w:firstLineChars="200"/>
    </w:pPr>
  </w:style>
  <w:style w:type="paragraph" w:customStyle="1" w:styleId="151">
    <w:name w:val="正文 New New New New"/>
    <w:autoRedefine/>
    <w:qFormat/>
    <w:uiPriority w:val="0"/>
    <w:pPr>
      <w:widowControl w:val="0"/>
      <w:jc w:val="both"/>
    </w:pPr>
    <w:rPr>
      <w:rFonts w:ascii="Times New Roman" w:hAnsi="Times New Roman" w:eastAsia="宋体" w:cs="Times New Roman"/>
      <w:lang w:val="en-US" w:eastAsia="zh-CN" w:bidi="ar-SA"/>
    </w:rPr>
  </w:style>
  <w:style w:type="paragraph" w:customStyle="1" w:styleId="152">
    <w:name w:val="副标题 New"/>
    <w:basedOn w:val="1"/>
    <w:next w:val="1"/>
    <w:autoRedefine/>
    <w:qFormat/>
    <w:uiPriority w:val="0"/>
    <w:pPr>
      <w:tabs>
        <w:tab w:val="left" w:pos="840"/>
      </w:tabs>
      <w:ind w:left="840" w:hanging="420"/>
      <w:jc w:val="left"/>
      <w:outlineLvl w:val="1"/>
    </w:pPr>
    <w:rPr>
      <w:rFonts w:ascii="Century Gothic" w:hAnsi="Century Gothic" w:cs="Century Gothic"/>
      <w:kern w:val="28"/>
      <w:szCs w:val="21"/>
    </w:rPr>
  </w:style>
  <w:style w:type="paragraph" w:customStyle="1" w:styleId="153">
    <w:name w:val="抬头"/>
    <w:basedOn w:val="1"/>
    <w:autoRedefine/>
    <w:qFormat/>
    <w:uiPriority w:val="0"/>
    <w:pPr>
      <w:spacing w:before="156" w:beforeLines="50" w:line="360" w:lineRule="auto"/>
    </w:pPr>
    <w:rPr>
      <w:rFonts w:ascii="宋体"/>
      <w:sz w:val="24"/>
    </w:rPr>
  </w:style>
  <w:style w:type="paragraph" w:customStyle="1" w:styleId="154">
    <w:name w:val="正文 New New New New New New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155">
    <w:name w:val="正文 New New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156">
    <w:name w:val="g3"/>
    <w:basedOn w:val="1"/>
    <w:autoRedefine/>
    <w:qFormat/>
    <w:uiPriority w:val="0"/>
    <w:pPr>
      <w:widowControl/>
      <w:spacing w:before="100" w:beforeLines="0" w:beforeAutospacing="1" w:after="100" w:afterLines="0" w:afterAutospacing="1" w:line="675" w:lineRule="atLeast"/>
      <w:jc w:val="left"/>
    </w:pPr>
    <w:rPr>
      <w:rFonts w:ascii="华文中宋" w:hAnsi="华文中宋" w:eastAsia="华文中宋"/>
      <w:kern w:val="0"/>
      <w:sz w:val="42"/>
      <w:szCs w:val="42"/>
    </w:rPr>
  </w:style>
  <w:style w:type="paragraph" w:customStyle="1" w:styleId="157">
    <w:name w:val="正文 New New New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158">
    <w:name w:val="注"/>
    <w:basedOn w:val="1"/>
    <w:autoRedefine/>
    <w:qFormat/>
    <w:uiPriority w:val="0"/>
    <w:pPr>
      <w:spacing w:line="360" w:lineRule="auto"/>
      <w:ind w:left="200" w:hanging="200" w:hangingChars="200"/>
    </w:pPr>
    <w:rPr>
      <w:rFonts w:ascii="宋体"/>
      <w:b/>
    </w:rPr>
  </w:style>
  <w:style w:type="paragraph" w:customStyle="1" w:styleId="159">
    <w:name w:val="正文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160">
    <w:name w:val="正文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szCs w:val="24"/>
      <w:lang w:val="en-US" w:eastAsia="zh-CN" w:bidi="ar-SA"/>
    </w:rPr>
  </w:style>
  <w:style w:type="character" w:customStyle="1" w:styleId="161">
    <w:name w:val="font51"/>
    <w:basedOn w:val="38"/>
    <w:autoRedefine/>
    <w:qFormat/>
    <w:uiPriority w:val="0"/>
    <w:rPr>
      <w:rFonts w:hint="eastAsia" w:ascii="宋体" w:hAnsi="宋体" w:eastAsia="宋体" w:cs="宋体"/>
      <w:color w:val="000000"/>
      <w:sz w:val="22"/>
      <w:szCs w:val="22"/>
      <w:u w:val="none"/>
    </w:rPr>
  </w:style>
  <w:style w:type="character" w:customStyle="1" w:styleId="162">
    <w:name w:val="font91"/>
    <w:basedOn w:val="38"/>
    <w:autoRedefine/>
    <w:qFormat/>
    <w:uiPriority w:val="0"/>
    <w:rPr>
      <w:rFonts w:ascii="微软雅黑" w:hAnsi="微软雅黑" w:eastAsia="微软雅黑" w:cs="微软雅黑"/>
      <w:color w:val="000000"/>
      <w:sz w:val="22"/>
      <w:szCs w:val="22"/>
      <w:u w:val="none"/>
    </w:rPr>
  </w:style>
  <w:style w:type="paragraph" w:customStyle="1" w:styleId="163">
    <w:name w:val="p2"/>
    <w:basedOn w:val="1"/>
    <w:autoRedefine/>
    <w:qFormat/>
    <w:uiPriority w:val="0"/>
    <w:pPr>
      <w:spacing w:line="24" w:lineRule="atLeast"/>
      <w:ind w:firstLine="420"/>
      <w:jc w:val="left"/>
    </w:pPr>
    <w:rPr>
      <w:rFonts w:hint="eastAsia" w:ascii="宋体" w:hAnsi="宋体"/>
      <w:kern w:val="0"/>
      <w:szCs w:val="21"/>
    </w:rPr>
  </w:style>
  <w:style w:type="paragraph" w:customStyle="1" w:styleId="164">
    <w:name w:val="段"/>
    <w:autoRedefine/>
    <w:qFormat/>
    <w:uiPriority w:val="99"/>
    <w:pPr>
      <w:tabs>
        <w:tab w:val="center" w:pos="4201"/>
        <w:tab w:val="right" w:leader="dot" w:pos="9298"/>
      </w:tabs>
      <w:autoSpaceDE w:val="0"/>
      <w:autoSpaceDN w:val="0"/>
      <w:ind w:firstLine="420" w:firstLineChars="200"/>
      <w:jc w:val="both"/>
    </w:pPr>
    <w:rPr>
      <w:rFonts w:ascii="宋体" w:hAnsi="Times New Roman" w:eastAsia="宋体" w:cs="宋体"/>
      <w:kern w:val="0"/>
      <w:sz w:val="21"/>
      <w:szCs w:val="21"/>
      <w:lang w:val="en-US" w:eastAsia="zh-CN" w:bidi="ar-SA"/>
    </w:rPr>
  </w:style>
  <w:style w:type="paragraph" w:customStyle="1" w:styleId="165">
    <w:name w:val="样式 首行缩进:  2 字符"/>
    <w:basedOn w:val="1"/>
    <w:autoRedefine/>
    <w:qFormat/>
    <w:uiPriority w:val="0"/>
    <w:pPr>
      <w:ind w:firstLine="560"/>
    </w:pPr>
    <w:rPr>
      <w:rFonts w:eastAsia="仿宋_GB2312" w:cs="宋体"/>
      <w:sz w:val="24"/>
      <w:szCs w:val="20"/>
    </w:rPr>
  </w:style>
  <w:style w:type="paragraph" w:customStyle="1" w:styleId="166">
    <w:name w:val="正文格式"/>
    <w:autoRedefine/>
    <w:qFormat/>
    <w:uiPriority w:val="0"/>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ascii="宋体" w:hAnsi="宋体" w:eastAsia="宋体" w:cs="Times New Roman"/>
      <w:bCs/>
      <w:kern w:val="1"/>
      <w:sz w:val="21"/>
      <w:szCs w:val="21"/>
      <w:lang w:val="en-US" w:eastAsia="zh-CN" w:bidi="ar-SA"/>
    </w:rPr>
  </w:style>
  <w:style w:type="paragraph" w:customStyle="1" w:styleId="167">
    <w:name w:val="Table Paragraph"/>
    <w:basedOn w:val="1"/>
    <w:autoRedefine/>
    <w:qFormat/>
    <w:uiPriority w:val="0"/>
    <w:rPr>
      <w:rFonts w:ascii="Times New Roman" w:hAnsi="Times New Roman" w:eastAsia="宋体" w:cs="Times New Roman"/>
    </w:rPr>
  </w:style>
  <w:style w:type="paragraph" w:customStyle="1" w:styleId="168">
    <w:name w:val="ZU标题2"/>
    <w:basedOn w:val="169"/>
    <w:next w:val="1"/>
    <w:qFormat/>
    <w:uiPriority w:val="0"/>
    <w:pPr>
      <w:spacing w:line="360" w:lineRule="auto"/>
      <w:outlineLvl w:val="1"/>
    </w:pPr>
    <w:rPr>
      <w:rFonts w:ascii="Calibri" w:hAnsi="Calibri" w:cs="Calibri"/>
      <w:color w:val="000000"/>
      <w:kern w:val="0"/>
      <w:sz w:val="30"/>
      <w:szCs w:val="21"/>
    </w:rPr>
  </w:style>
  <w:style w:type="paragraph" w:customStyle="1" w:styleId="169">
    <w:name w:val="ZU标题1"/>
    <w:next w:val="1"/>
    <w:qFormat/>
    <w:uiPriority w:val="0"/>
    <w:pPr>
      <w:keepNext/>
      <w:keepLines/>
      <w:spacing w:line="480" w:lineRule="auto"/>
      <w:outlineLvl w:val="0"/>
    </w:pPr>
    <w:rPr>
      <w:rFonts w:ascii="等线" w:hAnsi="等线" w:eastAsia="黑体" w:cs="宋体"/>
      <w:b/>
      <w:snapToGrid/>
      <w:color w:val="auto"/>
      <w:kern w:val="44"/>
      <w:sz w:val="36"/>
      <w:szCs w:val="20"/>
      <w:lang w:val="en-US" w:eastAsia="zh-CN" w:bidi="ar-SA"/>
    </w:rPr>
  </w:style>
  <w:style w:type="paragraph" w:customStyle="1" w:styleId="170">
    <w:name w:val="ZU标题3"/>
    <w:basedOn w:val="1"/>
    <w:next w:val="1"/>
    <w:qFormat/>
    <w:uiPriority w:val="0"/>
    <w:pPr>
      <w:widowControl w:val="0"/>
      <w:kinsoku/>
      <w:autoSpaceDE/>
      <w:autoSpaceDN/>
      <w:adjustRightInd/>
      <w:snapToGrid/>
      <w:spacing w:line="360" w:lineRule="auto"/>
      <w:ind w:firstLine="723" w:firstLineChars="200"/>
      <w:jc w:val="both"/>
      <w:textAlignment w:val="auto"/>
      <w:outlineLvl w:val="2"/>
    </w:pPr>
    <w:rPr>
      <w:rFonts w:ascii="Times New Roman" w:hAnsi="Times New Roman" w:eastAsia="宋体" w:cs="Times New Roman"/>
      <w:b/>
      <w:snapToGrid/>
      <w:color w:val="auto"/>
      <w:kern w:val="2"/>
      <w:sz w:val="30"/>
      <w:szCs w:val="24"/>
      <w:lang w:eastAsia="zh-CN"/>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emf"/><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81</Pages>
  <Words>12663</Words>
  <Characters>13700</Characters>
  <Lines>190</Lines>
  <Paragraphs>53</Paragraphs>
  <TotalTime>0</TotalTime>
  <ScaleCrop>false</ScaleCrop>
  <LinksUpToDate>false</LinksUpToDate>
  <CharactersWithSpaces>14849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2014-07-03T03:56:00Z</dcterms:created>
  <dc:creator>微软用户</dc:creator>
  <cp:lastModifiedBy>Win 10</cp:lastModifiedBy>
  <cp:lastPrinted>2024-06-18T08:48:00Z</cp:lastPrinted>
  <dcterms:modified xsi:type="dcterms:W3CDTF">2026-06-11T08:40:44Z</dcterms:modified>
  <dc:title>兰坪县民政局中心敬老院内部</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SaveFontToCloudKey">
    <vt:lpwstr>739736038_embed</vt:lpwstr>
  </property>
  <property fmtid="{D5CDD505-2E9C-101B-9397-08002B2CF9AE}" pid="4" name="ICV">
    <vt:lpwstr>D055588EE2B34BB7AD0A793BAF7FC423_13</vt:lpwstr>
  </property>
  <property fmtid="{D5CDD505-2E9C-101B-9397-08002B2CF9AE}" pid="5" name="KSOTemplateDocerSaveRecord">
    <vt:lpwstr>eyJoZGlkIjoiMGYwNDY0YzhhNGEzYWExYmU3ZTU0ZDJlZjQ3ODY0ZWQiLCJ1c2VySWQiOiI0MjI2MTA0MjUifQ==</vt:lpwstr>
  </property>
</Properties>
</file>